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7.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Toc481138395" w:displacedByCustomXml="next"/>
    <w:bookmarkStart w:id="2" w:name="_Toc481138187" w:displacedByCustomXml="next"/>
    <w:bookmarkStart w:id="3" w:name="_Toc480988875" w:displacedByCustomXml="next"/>
    <w:bookmarkStart w:id="4" w:name="_Hlk481497640" w:displacedByCustomXml="next"/>
    <w:sdt>
      <w:sdtPr>
        <w:rPr>
          <w:lang w:val="en-AU"/>
        </w:rPr>
        <w:id w:val="-1806228930"/>
        <w:docPartObj>
          <w:docPartGallery w:val="Cover Pages"/>
          <w:docPartUnique/>
        </w:docPartObj>
      </w:sdtPr>
      <w:sdtContent>
        <w:p w14:paraId="2F80B356" w14:textId="05CC99D3" w:rsidR="00067DD9" w:rsidRDefault="00067DD9" w:rsidP="00633068">
          <w:pPr>
            <w:pStyle w:val="NoSpacing"/>
            <w:sectPr w:rsidR="00067DD9" w:rsidSect="00703C67">
              <w:headerReference w:type="even" r:id="rId11"/>
              <w:headerReference w:type="default" r:id="rId12"/>
              <w:headerReference w:type="first" r:id="rId13"/>
              <w:type w:val="continuous"/>
              <w:pgSz w:w="11906" w:h="16838" w:code="9"/>
              <w:pgMar w:top="1134" w:right="1134" w:bottom="1134" w:left="1134" w:header="709" w:footer="692" w:gutter="0"/>
              <w:pgNumType w:start="0"/>
              <w:cols w:space="708"/>
              <w:docGrid w:linePitch="360"/>
            </w:sectPr>
          </w:pPr>
        </w:p>
        <w:p w14:paraId="776CC430" w14:textId="699987FD" w:rsidR="00067DD9" w:rsidRPr="0063494B" w:rsidRDefault="00000000" w:rsidP="00633068">
          <w:pPr>
            <w:pStyle w:val="Title"/>
          </w:pPr>
          <w:sdt>
            <w:sdtPr>
              <w:alias w:val="Title"/>
              <w:tag w:val=""/>
              <w:id w:val="-1656833702"/>
              <w:placeholder>
                <w:docPart w:val="3EBF2CEC528D4A71A4291A8B0E92D56A"/>
              </w:placeholder>
              <w:dataBinding w:prefixMappings="xmlns:ns0='http://purl.org/dc/elements/1.1/' xmlns:ns1='http://schemas.openxmlformats.org/package/2006/metadata/core-properties' " w:xpath="/ns1:coreProperties[1]/ns0:title[1]" w:storeItemID="{6C3C8BC8-F283-45AE-878A-BAB7291924A1}"/>
              <w:text/>
            </w:sdtPr>
            <w:sdtContent>
              <w:r w:rsidR="00FC698B">
                <w:t>Energy Consumer Reforms</w:t>
              </w:r>
            </w:sdtContent>
          </w:sdt>
        </w:p>
        <w:sdt>
          <w:sdtPr>
            <w:alias w:val="Subtitle"/>
            <w:tag w:val=""/>
            <w:id w:val="1140151582"/>
            <w:placeholder>
              <w:docPart w:val="497FFFCC3E4C42669754D74AE9ACD1A6"/>
            </w:placeholder>
            <w:dataBinding w:prefixMappings="xmlns:ns0='http://purl.org/dc/elements/1.1/' xmlns:ns1='http://schemas.openxmlformats.org/package/2006/metadata/core-properties' " w:xpath="/ns1:coreProperties[1]/ns0:description[1]" w:storeItemID="{6C3C8BC8-F283-45AE-878A-BAB7291924A1}"/>
            <w:text w:multiLine="1"/>
          </w:sdtPr>
          <w:sdtContent>
            <w:p w14:paraId="22AF641B" w14:textId="03271C55" w:rsidR="00067DD9" w:rsidRDefault="00FC698B" w:rsidP="00633068">
              <w:pPr>
                <w:pStyle w:val="Subtitle"/>
              </w:pPr>
              <w:r>
                <w:t>Regulatory Impact Statement</w:t>
              </w:r>
            </w:p>
          </w:sdtContent>
        </w:sdt>
        <w:p w14:paraId="3DA02904" w14:textId="1A2BF31C" w:rsidR="00067DD9" w:rsidRDefault="00000000" w:rsidP="000A7FD9">
          <w:pPr>
            <w:pStyle w:val="Subtitle"/>
          </w:pPr>
          <w:sdt>
            <w:sdtPr>
              <w:id w:val="1251166870"/>
              <w:placeholder>
                <w:docPart w:val="55E1E0B0838341FF863F119841426D80"/>
              </w:placeholder>
              <w:date w:fullDate="2025-05-16T00:00:00Z">
                <w:dateFormat w:val="d MMMM yyyy"/>
                <w:lid w:val="en-US"/>
                <w:storeMappedDataAs w:val="dateTime"/>
                <w:calendar w:val="gregorian"/>
              </w:date>
            </w:sdtPr>
            <w:sdtContent>
              <w:r w:rsidR="00FC698B">
                <w:rPr>
                  <w:lang w:val="en-US"/>
                </w:rPr>
                <w:t>1</w:t>
              </w:r>
              <w:r w:rsidR="007D7378">
                <w:rPr>
                  <w:lang w:val="en-US"/>
                </w:rPr>
                <w:t>6</w:t>
              </w:r>
              <w:r w:rsidR="00FC698B">
                <w:rPr>
                  <w:lang w:val="en-US"/>
                </w:rPr>
                <w:t xml:space="preserve"> May 2025</w:t>
              </w:r>
            </w:sdtContent>
          </w:sdt>
        </w:p>
        <w:p w14:paraId="445243B0" w14:textId="77777777" w:rsidR="00067DD9" w:rsidRDefault="00067DD9"/>
        <w:p w14:paraId="22FB8A7C" w14:textId="77777777" w:rsidR="00067DD9" w:rsidRDefault="00067DD9">
          <w:pPr>
            <w:spacing w:line="259" w:lineRule="auto"/>
          </w:pPr>
          <w:r>
            <w:br w:type="page"/>
          </w:r>
        </w:p>
      </w:sdtContent>
    </w:sdt>
    <w:p w14:paraId="26FC7ED4" w14:textId="77777777" w:rsidR="00D04C6D" w:rsidRDefault="00D04C6D" w:rsidP="00D04C6D"/>
    <w:p w14:paraId="3F9A654E" w14:textId="77777777" w:rsidR="00D04C6D" w:rsidRDefault="00D04C6D" w:rsidP="00D04C6D"/>
    <w:p w14:paraId="212D3675" w14:textId="77777777" w:rsidR="00D04C6D" w:rsidRDefault="00D04C6D" w:rsidP="00D04C6D"/>
    <w:p w14:paraId="5E8EE72A" w14:textId="77777777" w:rsidR="00D04C6D" w:rsidRDefault="00D04C6D" w:rsidP="00D04C6D"/>
    <w:p w14:paraId="2B472D18" w14:textId="77777777" w:rsidR="00D04C6D" w:rsidRDefault="00D04C6D" w:rsidP="00D04C6D"/>
    <w:p w14:paraId="6499CEB4" w14:textId="77777777" w:rsidR="00D04C6D" w:rsidRDefault="00D04C6D" w:rsidP="00D04C6D">
      <w:pPr>
        <w:pStyle w:val="Heading2"/>
      </w:pPr>
      <w:bookmarkStart w:id="5" w:name="_Toc190957848"/>
      <w:bookmarkStart w:id="6" w:name="_Toc197959417"/>
      <w:r>
        <w:t>Acknowledgement</w:t>
      </w:r>
      <w:bookmarkEnd w:id="5"/>
      <w:bookmarkEnd w:id="6"/>
    </w:p>
    <w:p w14:paraId="7B9BB930" w14:textId="77777777" w:rsidR="00D04C6D" w:rsidRDefault="00D04C6D" w:rsidP="00D04C6D">
      <w:r>
        <w:t>We acknowledge the Traditional Owners of the lands and waterways on which we work and live.</w:t>
      </w:r>
    </w:p>
    <w:p w14:paraId="201C5290" w14:textId="77777777" w:rsidR="00D04C6D" w:rsidRDefault="00D04C6D" w:rsidP="00D04C6D">
      <w:r>
        <w:t>We acknowledge all Aboriginal and Torres Strait Islander communities, and pay our respects to Elders past and present.</w:t>
      </w:r>
    </w:p>
    <w:p w14:paraId="799815FB" w14:textId="7E927AA3" w:rsidR="00D04C6D" w:rsidRDefault="00D04C6D" w:rsidP="00D04C6D">
      <w:r>
        <w:t xml:space="preserve">As the First Peoples of this land, belonging to the world’s oldest living cultures, we recognise and value their knowledge, and ongoing role in shaping and enriching the story of Victoria. </w:t>
      </w:r>
    </w:p>
    <w:p w14:paraId="5A903CD0" w14:textId="77777777" w:rsidR="00F83935" w:rsidRDefault="00F83935" w:rsidP="000D4547">
      <w:pPr>
        <w:pStyle w:val="NoSpacing"/>
        <w:rPr>
          <w:b/>
        </w:rPr>
      </w:pPr>
    </w:p>
    <w:p w14:paraId="6A79D080" w14:textId="77777777" w:rsidR="00D04C6D" w:rsidRDefault="00D04C6D" w:rsidP="00F83935">
      <w:pPr>
        <w:spacing w:line="259" w:lineRule="auto"/>
        <w:rPr>
          <w:rStyle w:val="Strong"/>
        </w:rPr>
      </w:pPr>
    </w:p>
    <w:p w14:paraId="5E40AFA4" w14:textId="77777777" w:rsidR="00D04C6D" w:rsidRDefault="00D04C6D" w:rsidP="00F83935">
      <w:pPr>
        <w:spacing w:line="259" w:lineRule="auto"/>
        <w:rPr>
          <w:rStyle w:val="Strong"/>
        </w:rPr>
      </w:pPr>
    </w:p>
    <w:p w14:paraId="729F0B0E" w14:textId="77777777" w:rsidR="00D04C6D" w:rsidRDefault="00D04C6D" w:rsidP="00F83935">
      <w:pPr>
        <w:spacing w:line="259" w:lineRule="auto"/>
        <w:rPr>
          <w:rStyle w:val="Strong"/>
        </w:rPr>
      </w:pPr>
    </w:p>
    <w:p w14:paraId="5A78082D" w14:textId="77777777" w:rsidR="00D04C6D" w:rsidRDefault="00D04C6D" w:rsidP="00F83935">
      <w:pPr>
        <w:spacing w:line="259" w:lineRule="auto"/>
        <w:rPr>
          <w:rStyle w:val="Strong"/>
        </w:rPr>
      </w:pPr>
    </w:p>
    <w:p w14:paraId="49DE9C5C" w14:textId="77777777" w:rsidR="00881E07" w:rsidRPr="00F83935" w:rsidRDefault="00881E07" w:rsidP="00F83935">
      <w:pPr>
        <w:spacing w:line="259" w:lineRule="auto"/>
        <w:rPr>
          <w:rStyle w:val="Strong"/>
          <w:b w:val="0"/>
          <w:bCs w:val="0"/>
        </w:rPr>
      </w:pPr>
      <w:r w:rsidRPr="00710792">
        <w:rPr>
          <w:rStyle w:val="Strong"/>
        </w:rPr>
        <w:t>An appropriate citation for this paper is:</w:t>
      </w:r>
      <w:bookmarkEnd w:id="3"/>
      <w:bookmarkEnd w:id="2"/>
      <w:bookmarkEnd w:id="1"/>
    </w:p>
    <w:p w14:paraId="25662974" w14:textId="3F49614E" w:rsidR="00710792" w:rsidRDefault="00881E07" w:rsidP="00710792">
      <w:pPr>
        <w:rPr>
          <w:rStyle w:val="Strong"/>
        </w:rPr>
      </w:pPr>
      <w:r>
        <w:t>Essential Services Commission</w:t>
      </w:r>
      <w:r w:rsidR="00C50E41">
        <w:t>,</w:t>
      </w:r>
      <w:r w:rsidR="003904B9">
        <w:t xml:space="preserve"> </w:t>
      </w:r>
      <w:sdt>
        <w:sdtPr>
          <w:alias w:val="Title"/>
          <w:tag w:val=""/>
          <w:id w:val="1260560542"/>
          <w:placeholder>
            <w:docPart w:val="26784A1D736647D8B114B513D6A59510"/>
          </w:placeholder>
          <w:dataBinding w:prefixMappings="xmlns:ns0='http://purl.org/dc/elements/1.1/' xmlns:ns1='http://schemas.openxmlformats.org/package/2006/metadata/core-properties' " w:xpath="/ns1:coreProperties[1]/ns0:title[1]" w:storeItemID="{6C3C8BC8-F283-45AE-878A-BAB7291924A1}"/>
          <w:text/>
        </w:sdtPr>
        <w:sdtContent>
          <w:r w:rsidR="00FC698B">
            <w:t>Energy Consumer Reforms</w:t>
          </w:r>
        </w:sdtContent>
      </w:sdt>
      <w:r w:rsidR="00633068">
        <w:t xml:space="preserve">: </w:t>
      </w:r>
      <w:sdt>
        <w:sdtPr>
          <w:alias w:val="Subtitle"/>
          <w:tag w:val=""/>
          <w:id w:val="-295916621"/>
          <w:placeholder>
            <w:docPart w:val="C3B5F2BDCEE444C89923D06CD3C3F258"/>
          </w:placeholder>
          <w:dataBinding w:prefixMappings="xmlns:ns0='http://purl.org/dc/elements/1.1/' xmlns:ns1='http://schemas.openxmlformats.org/package/2006/metadata/core-properties' " w:xpath="/ns1:coreProperties[1]/ns0:description[1]" w:storeItemID="{6C3C8BC8-F283-45AE-878A-BAB7291924A1}"/>
          <w:text w:multiLine="1"/>
        </w:sdtPr>
        <w:sdtContent>
          <w:r w:rsidR="00FC698B">
            <w:t>Regulatory Impact Statement</w:t>
          </w:r>
        </w:sdtContent>
      </w:sdt>
      <w:r w:rsidR="00012434" w:rsidRPr="00D00BE3">
        <w:t>,</w:t>
      </w:r>
      <w:r w:rsidR="00C50E41" w:rsidRPr="00D00BE3">
        <w:t xml:space="preserve"> </w:t>
      </w:r>
      <w:r w:rsidR="00367FCC" w:rsidRPr="00D00BE3">
        <w:t>1</w:t>
      </w:r>
      <w:r w:rsidR="007D7378">
        <w:t>6</w:t>
      </w:r>
      <w:r w:rsidR="00DC1367" w:rsidRPr="00D00BE3">
        <w:t xml:space="preserve"> May</w:t>
      </w:r>
      <w:r w:rsidR="00C50E41" w:rsidRPr="00D00BE3">
        <w:t xml:space="preserve"> </w:t>
      </w:r>
      <w:bookmarkStart w:id="7" w:name="_Toc480988876"/>
      <w:bookmarkStart w:id="8" w:name="_Toc481138188"/>
      <w:bookmarkStart w:id="9" w:name="_Toc481138396"/>
      <w:r w:rsidR="00C50E41" w:rsidRPr="00D00BE3">
        <w:t>2025.</w:t>
      </w:r>
    </w:p>
    <w:bookmarkEnd w:id="7"/>
    <w:bookmarkEnd w:id="8"/>
    <w:bookmarkEnd w:id="9"/>
    <w:p w14:paraId="5B5108DA" w14:textId="2387D802" w:rsidR="0050064B" w:rsidRDefault="00881E07" w:rsidP="00943BDE">
      <w:r>
        <w:t xml:space="preserve">© </w:t>
      </w:r>
      <w:r w:rsidR="00563AD8">
        <w:t>Essential Services Commission</w:t>
      </w:r>
      <w:r w:rsidR="00012434">
        <w:t>,</w:t>
      </w:r>
      <w:r w:rsidR="00563AD8">
        <w:t xml:space="preserve"> </w:t>
      </w:r>
      <w:sdt>
        <w:sdtPr>
          <w:alias w:val="Year"/>
          <w:tag w:val="Year"/>
          <w:id w:val="1606076632"/>
          <w:placeholder>
            <w:docPart w:val="AED240F9F4284DE780CFD1F88DF04FC6"/>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Content>
          <w:r w:rsidR="00FC698B">
            <w:t>2025</w:t>
          </w:r>
        </w:sdtContent>
      </w:sdt>
    </w:p>
    <w:p w14:paraId="4ECD787F" w14:textId="77777777" w:rsidR="00881E07" w:rsidRDefault="0050064B" w:rsidP="00881E07">
      <w:r w:rsidRPr="00F70F20">
        <w:rPr>
          <w:noProof/>
          <w:lang w:eastAsia="en-AU"/>
        </w:rPr>
        <w:drawing>
          <wp:inline distT="0" distB="0" distL="0" distR="0" wp14:anchorId="4B721254" wp14:editId="723602D2">
            <wp:extent cx="1198800" cy="421200"/>
            <wp:effectExtent l="0" t="0" r="1905" b="0"/>
            <wp:docPr id="4" name="Picture 4" descr="untitl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rsidR="00881E07">
        <w:t xml:space="preserve"> </w:t>
      </w:r>
    </w:p>
    <w:p w14:paraId="3B949028" w14:textId="0705474B" w:rsidR="00881E07" w:rsidRDefault="00881E07" w:rsidP="00881E07">
      <w:r>
        <w:t xml:space="preserve">This work, </w:t>
      </w:r>
      <w:sdt>
        <w:sdtPr>
          <w:alias w:val="Title"/>
          <w:tag w:val=""/>
          <w:id w:val="1731569904"/>
          <w:placeholder>
            <w:docPart w:val="487FBD851FCC403582D343AFA8BA353C"/>
          </w:placeholder>
          <w:dataBinding w:prefixMappings="xmlns:ns0='http://purl.org/dc/elements/1.1/' xmlns:ns1='http://schemas.openxmlformats.org/package/2006/metadata/core-properties' " w:xpath="/ns1:coreProperties[1]/ns0:title[1]" w:storeItemID="{6C3C8BC8-F283-45AE-878A-BAB7291924A1}"/>
          <w:text/>
        </w:sdtPr>
        <w:sdtContent>
          <w:r w:rsidR="00FC698B">
            <w:t>Energy Consumer Reforms</w:t>
          </w:r>
        </w:sdtContent>
      </w:sdt>
      <w:r>
        <w:t>, is licensed under a Creative Commons Attribution 4.0 licence [creativecommons.org/licen</w:t>
      </w:r>
      <w:r w:rsidR="00563AD8">
        <w:t>ses/by/4.0]. You are free to re-</w:t>
      </w:r>
      <w:r>
        <w:t>use the work under that licence, on the condition that you credit the Essential Services Commission as author, indicate if changes were made and comply with the other licence terms.</w:t>
      </w:r>
    </w:p>
    <w:p w14:paraId="57D87F05" w14:textId="481069E2" w:rsidR="004309BF" w:rsidRDefault="00881E07" w:rsidP="004309BF">
      <w:pPr>
        <w:rPr>
          <w:rStyle w:val="Hyperlink"/>
          <w:rFonts w:ascii="Tahoma" w:eastAsiaTheme="majorEastAsia" w:hAnsi="Tahoma" w:cstheme="majorBidi"/>
          <w:color w:val="ED8B00" w:themeColor="accent4"/>
          <w:sz w:val="40"/>
          <w:szCs w:val="32"/>
          <w:u w:val="none"/>
          <w:lang w:val="en-US"/>
        </w:rPr>
      </w:pPr>
      <w:r>
        <w:t>The licence does not apply to any brand logo, images or photographs within the publication.</w:t>
      </w:r>
      <w:bookmarkEnd w:id="4"/>
      <w:sdt>
        <w:sdtPr>
          <w:id w:val="1641840776"/>
          <w:lock w:val="sdtContentLocked"/>
          <w:placeholder>
            <w:docPart w:val="1918F803DB1F4EB5B91778A01051B62E"/>
          </w:placeholder>
          <w:showingPlcHdr/>
          <w:text/>
        </w:sdtPr>
        <w:sdtContent>
          <w:r w:rsidR="004309BF">
            <w:t xml:space="preserve">  </w:t>
          </w:r>
        </w:sdtContent>
      </w:sdt>
    </w:p>
    <w:p w14:paraId="07CA9CCE" w14:textId="49E21E40" w:rsidR="00D3670C" w:rsidRPr="00394187" w:rsidRDefault="00B503C2" w:rsidP="00113E76">
      <w:pPr>
        <w:pStyle w:val="TOCHeading"/>
        <w:tabs>
          <w:tab w:val="center" w:pos="4607"/>
        </w:tabs>
        <w:rPr>
          <w:rStyle w:val="Hyperlink"/>
          <w:color w:val="CE0058" w:themeColor="accent2"/>
          <w:u w:val="none"/>
        </w:rPr>
      </w:pPr>
      <w:r w:rsidRPr="0004302B">
        <w:br w:type="page"/>
      </w:r>
      <w:r w:rsidR="00D3670C" w:rsidRPr="00394187">
        <w:rPr>
          <w:rStyle w:val="Hyperlink"/>
          <w:color w:val="CE0058" w:themeColor="accent2"/>
          <w:u w:val="none"/>
        </w:rPr>
        <w:lastRenderedPageBreak/>
        <w:t>Contents</w:t>
      </w:r>
      <w:r w:rsidR="00113E76">
        <w:rPr>
          <w:rStyle w:val="Hyperlink"/>
          <w:color w:val="CE0058" w:themeColor="accent2"/>
          <w:u w:val="none"/>
        </w:rPr>
        <w:tab/>
      </w:r>
    </w:p>
    <w:p w14:paraId="519883BA" w14:textId="319A13D0" w:rsidR="008060DF" w:rsidRDefault="00547B9B">
      <w:pPr>
        <w:pStyle w:val="TOC2"/>
        <w:rPr>
          <w:rFonts w:eastAsiaTheme="minorEastAsia"/>
          <w:bCs w:val="0"/>
          <w:kern w:val="2"/>
          <w:sz w:val="24"/>
          <w:szCs w:val="24"/>
          <w:lang w:eastAsia="en-AU"/>
          <w14:ligatures w14:val="standardContextual"/>
        </w:rPr>
      </w:pPr>
      <w:r>
        <w:rPr>
          <w:b/>
          <w:bCs w:val="0"/>
        </w:rPr>
        <w:fldChar w:fldCharType="begin"/>
      </w:r>
      <w:r>
        <w:rPr>
          <w:b/>
          <w:bCs w:val="0"/>
        </w:rPr>
        <w:instrText xml:space="preserve"> TOC \o "1-2" \h \z \u </w:instrText>
      </w:r>
      <w:r>
        <w:rPr>
          <w:b/>
          <w:bCs w:val="0"/>
        </w:rPr>
        <w:fldChar w:fldCharType="separate"/>
      </w:r>
      <w:hyperlink w:anchor="_Toc197959417" w:history="1">
        <w:r w:rsidR="008060DF" w:rsidRPr="00E96103">
          <w:rPr>
            <w:rStyle w:val="Hyperlink"/>
          </w:rPr>
          <w:t>Acknowledgement</w:t>
        </w:r>
        <w:r w:rsidR="008060DF">
          <w:rPr>
            <w:webHidden/>
          </w:rPr>
          <w:tab/>
        </w:r>
        <w:r w:rsidR="008060DF">
          <w:rPr>
            <w:webHidden/>
          </w:rPr>
          <w:fldChar w:fldCharType="begin"/>
        </w:r>
        <w:r w:rsidR="008060DF">
          <w:rPr>
            <w:webHidden/>
          </w:rPr>
          <w:instrText xml:space="preserve"> PAGEREF _Toc197959417 \h </w:instrText>
        </w:r>
        <w:r w:rsidR="008060DF">
          <w:rPr>
            <w:webHidden/>
          </w:rPr>
        </w:r>
        <w:r w:rsidR="008060DF">
          <w:rPr>
            <w:webHidden/>
          </w:rPr>
          <w:fldChar w:fldCharType="separate"/>
        </w:r>
        <w:r w:rsidR="009A244B">
          <w:rPr>
            <w:webHidden/>
          </w:rPr>
          <w:t>i</w:t>
        </w:r>
        <w:r w:rsidR="008060DF">
          <w:rPr>
            <w:webHidden/>
          </w:rPr>
          <w:fldChar w:fldCharType="end"/>
        </w:r>
      </w:hyperlink>
    </w:p>
    <w:p w14:paraId="63026A08" w14:textId="7C27110C" w:rsidR="008060DF" w:rsidRDefault="008060DF">
      <w:pPr>
        <w:pStyle w:val="TOC1"/>
        <w:rPr>
          <w:rFonts w:eastAsiaTheme="minorEastAsia"/>
          <w:b w:val="0"/>
          <w:noProof/>
          <w:kern w:val="2"/>
          <w:sz w:val="24"/>
          <w:szCs w:val="24"/>
          <w:lang w:eastAsia="en-AU"/>
          <w14:ligatures w14:val="standardContextual"/>
        </w:rPr>
      </w:pPr>
      <w:hyperlink w:anchor="_Toc197959418" w:history="1">
        <w:r w:rsidRPr="00E96103">
          <w:rPr>
            <w:rStyle w:val="Hyperlink"/>
            <w:noProof/>
          </w:rPr>
          <w:t>Abbreviations</w:t>
        </w:r>
        <w:r>
          <w:rPr>
            <w:noProof/>
            <w:webHidden/>
          </w:rPr>
          <w:tab/>
        </w:r>
        <w:r>
          <w:rPr>
            <w:noProof/>
            <w:webHidden/>
          </w:rPr>
          <w:fldChar w:fldCharType="begin"/>
        </w:r>
        <w:r>
          <w:rPr>
            <w:noProof/>
            <w:webHidden/>
          </w:rPr>
          <w:instrText xml:space="preserve"> PAGEREF _Toc197959418 \h </w:instrText>
        </w:r>
        <w:r>
          <w:rPr>
            <w:noProof/>
            <w:webHidden/>
          </w:rPr>
        </w:r>
        <w:r>
          <w:rPr>
            <w:noProof/>
            <w:webHidden/>
          </w:rPr>
          <w:fldChar w:fldCharType="separate"/>
        </w:r>
        <w:r w:rsidR="009A244B">
          <w:rPr>
            <w:noProof/>
            <w:webHidden/>
          </w:rPr>
          <w:t>iv</w:t>
        </w:r>
        <w:r>
          <w:rPr>
            <w:noProof/>
            <w:webHidden/>
          </w:rPr>
          <w:fldChar w:fldCharType="end"/>
        </w:r>
      </w:hyperlink>
    </w:p>
    <w:p w14:paraId="6EAAB196" w14:textId="215D4DFF" w:rsidR="008060DF" w:rsidRDefault="008060DF">
      <w:pPr>
        <w:pStyle w:val="TOC1"/>
        <w:rPr>
          <w:rFonts w:eastAsiaTheme="minorEastAsia"/>
          <w:b w:val="0"/>
          <w:noProof/>
          <w:kern w:val="2"/>
          <w:sz w:val="24"/>
          <w:szCs w:val="24"/>
          <w:lang w:eastAsia="en-AU"/>
          <w14:ligatures w14:val="standardContextual"/>
        </w:rPr>
      </w:pPr>
      <w:hyperlink w:anchor="_Toc197959419" w:history="1">
        <w:r w:rsidRPr="00E96103">
          <w:rPr>
            <w:rStyle w:val="Hyperlink"/>
            <w:rFonts w:eastAsia="Tahoma" w:cs="Tahoma"/>
            <w:noProof/>
          </w:rPr>
          <w:t>Executive summary</w:t>
        </w:r>
        <w:r w:rsidRPr="00E96103">
          <w:rPr>
            <w:rStyle w:val="Hyperlink"/>
            <w:noProof/>
          </w:rPr>
          <w:t xml:space="preserve"> </w:t>
        </w:r>
        <w:r>
          <w:rPr>
            <w:noProof/>
            <w:webHidden/>
          </w:rPr>
          <w:tab/>
        </w:r>
        <w:r>
          <w:rPr>
            <w:noProof/>
            <w:webHidden/>
          </w:rPr>
          <w:fldChar w:fldCharType="begin"/>
        </w:r>
        <w:r>
          <w:rPr>
            <w:noProof/>
            <w:webHidden/>
          </w:rPr>
          <w:instrText xml:space="preserve"> PAGEREF _Toc197959419 \h </w:instrText>
        </w:r>
        <w:r>
          <w:rPr>
            <w:noProof/>
            <w:webHidden/>
          </w:rPr>
        </w:r>
        <w:r>
          <w:rPr>
            <w:noProof/>
            <w:webHidden/>
          </w:rPr>
          <w:fldChar w:fldCharType="separate"/>
        </w:r>
        <w:r w:rsidR="009A244B">
          <w:rPr>
            <w:noProof/>
            <w:webHidden/>
          </w:rPr>
          <w:t>1</w:t>
        </w:r>
        <w:r>
          <w:rPr>
            <w:noProof/>
            <w:webHidden/>
          </w:rPr>
          <w:fldChar w:fldCharType="end"/>
        </w:r>
      </w:hyperlink>
    </w:p>
    <w:p w14:paraId="256BAAED" w14:textId="16E1A49D"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20" w:history="1">
        <w:r w:rsidRPr="00E96103">
          <w:rPr>
            <w:rStyle w:val="Hyperlink"/>
            <w:noProof/>
          </w:rPr>
          <w:t>1.</w:t>
        </w:r>
        <w:r>
          <w:rPr>
            <w:rFonts w:eastAsiaTheme="minorEastAsia"/>
            <w:b w:val="0"/>
            <w:noProof/>
            <w:kern w:val="2"/>
            <w:sz w:val="24"/>
            <w:szCs w:val="24"/>
            <w:lang w:eastAsia="en-AU"/>
            <w14:ligatures w14:val="standardContextual"/>
          </w:rPr>
          <w:tab/>
        </w:r>
        <w:r w:rsidRPr="00E96103">
          <w:rPr>
            <w:rStyle w:val="Hyperlink"/>
            <w:noProof/>
          </w:rPr>
          <w:t>Background</w:t>
        </w:r>
        <w:r>
          <w:rPr>
            <w:noProof/>
            <w:webHidden/>
          </w:rPr>
          <w:tab/>
        </w:r>
        <w:r>
          <w:rPr>
            <w:noProof/>
            <w:webHidden/>
          </w:rPr>
          <w:fldChar w:fldCharType="begin"/>
        </w:r>
        <w:r>
          <w:rPr>
            <w:noProof/>
            <w:webHidden/>
          </w:rPr>
          <w:instrText xml:space="preserve"> PAGEREF _Toc197959420 \h </w:instrText>
        </w:r>
        <w:r>
          <w:rPr>
            <w:noProof/>
            <w:webHidden/>
          </w:rPr>
        </w:r>
        <w:r>
          <w:rPr>
            <w:noProof/>
            <w:webHidden/>
          </w:rPr>
          <w:fldChar w:fldCharType="separate"/>
        </w:r>
        <w:r w:rsidR="009A244B">
          <w:rPr>
            <w:noProof/>
            <w:webHidden/>
          </w:rPr>
          <w:t>11</w:t>
        </w:r>
        <w:r>
          <w:rPr>
            <w:noProof/>
            <w:webHidden/>
          </w:rPr>
          <w:fldChar w:fldCharType="end"/>
        </w:r>
      </w:hyperlink>
    </w:p>
    <w:p w14:paraId="2E88FB13" w14:textId="40825081" w:rsidR="008060DF" w:rsidRDefault="008060DF">
      <w:pPr>
        <w:pStyle w:val="TOC2"/>
        <w:rPr>
          <w:rFonts w:eastAsiaTheme="minorEastAsia"/>
          <w:bCs w:val="0"/>
          <w:kern w:val="2"/>
          <w:sz w:val="24"/>
          <w:szCs w:val="24"/>
          <w:lang w:eastAsia="en-AU"/>
          <w14:ligatures w14:val="standardContextual"/>
        </w:rPr>
      </w:pPr>
      <w:hyperlink w:anchor="_Toc197959421" w:history="1">
        <w:r w:rsidRPr="00E96103">
          <w:rPr>
            <w:rStyle w:val="Hyperlink"/>
          </w:rPr>
          <w:t>1.1.</w:t>
        </w:r>
        <w:r>
          <w:rPr>
            <w:rFonts w:eastAsiaTheme="minorEastAsia"/>
            <w:bCs w:val="0"/>
            <w:kern w:val="2"/>
            <w:sz w:val="24"/>
            <w:szCs w:val="24"/>
            <w:lang w:eastAsia="en-AU"/>
            <w14:ligatures w14:val="standardContextual"/>
          </w:rPr>
          <w:tab/>
        </w:r>
        <w:r w:rsidRPr="00E96103">
          <w:rPr>
            <w:rStyle w:val="Hyperlink"/>
          </w:rPr>
          <w:t>Introduction and purpose of this Regulatory Impact Statement</w:t>
        </w:r>
        <w:r>
          <w:rPr>
            <w:webHidden/>
          </w:rPr>
          <w:tab/>
        </w:r>
        <w:r>
          <w:rPr>
            <w:webHidden/>
          </w:rPr>
          <w:fldChar w:fldCharType="begin"/>
        </w:r>
        <w:r>
          <w:rPr>
            <w:webHidden/>
          </w:rPr>
          <w:instrText xml:space="preserve"> PAGEREF _Toc197959421 \h </w:instrText>
        </w:r>
        <w:r>
          <w:rPr>
            <w:webHidden/>
          </w:rPr>
        </w:r>
        <w:r>
          <w:rPr>
            <w:webHidden/>
          </w:rPr>
          <w:fldChar w:fldCharType="separate"/>
        </w:r>
        <w:r w:rsidR="009A244B">
          <w:rPr>
            <w:webHidden/>
          </w:rPr>
          <w:t>11</w:t>
        </w:r>
        <w:r>
          <w:rPr>
            <w:webHidden/>
          </w:rPr>
          <w:fldChar w:fldCharType="end"/>
        </w:r>
      </w:hyperlink>
    </w:p>
    <w:p w14:paraId="5814CB7D" w14:textId="481310CE" w:rsidR="008060DF" w:rsidRDefault="008060DF">
      <w:pPr>
        <w:pStyle w:val="TOC2"/>
        <w:rPr>
          <w:rFonts w:eastAsiaTheme="minorEastAsia"/>
          <w:bCs w:val="0"/>
          <w:kern w:val="2"/>
          <w:sz w:val="24"/>
          <w:szCs w:val="24"/>
          <w:lang w:eastAsia="en-AU"/>
          <w14:ligatures w14:val="standardContextual"/>
        </w:rPr>
      </w:pPr>
      <w:hyperlink w:anchor="_Toc197959422" w:history="1">
        <w:r w:rsidRPr="00E96103">
          <w:rPr>
            <w:rStyle w:val="Hyperlink"/>
          </w:rPr>
          <w:t>1.2.</w:t>
        </w:r>
        <w:r>
          <w:rPr>
            <w:rFonts w:eastAsiaTheme="minorEastAsia"/>
            <w:bCs w:val="0"/>
            <w:kern w:val="2"/>
            <w:sz w:val="24"/>
            <w:szCs w:val="24"/>
            <w:lang w:eastAsia="en-AU"/>
            <w14:ligatures w14:val="standardContextual"/>
          </w:rPr>
          <w:tab/>
        </w:r>
        <w:r w:rsidRPr="00E96103">
          <w:rPr>
            <w:rStyle w:val="Hyperlink"/>
          </w:rPr>
          <w:t>Legislative and regulatory framework governing energy retail in Victoria</w:t>
        </w:r>
        <w:r>
          <w:rPr>
            <w:webHidden/>
          </w:rPr>
          <w:tab/>
        </w:r>
        <w:r>
          <w:rPr>
            <w:webHidden/>
          </w:rPr>
          <w:fldChar w:fldCharType="begin"/>
        </w:r>
        <w:r>
          <w:rPr>
            <w:webHidden/>
          </w:rPr>
          <w:instrText xml:space="preserve"> PAGEREF _Toc197959422 \h </w:instrText>
        </w:r>
        <w:r>
          <w:rPr>
            <w:webHidden/>
          </w:rPr>
        </w:r>
        <w:r>
          <w:rPr>
            <w:webHidden/>
          </w:rPr>
          <w:fldChar w:fldCharType="separate"/>
        </w:r>
        <w:r w:rsidR="009A244B">
          <w:rPr>
            <w:webHidden/>
          </w:rPr>
          <w:t>15</w:t>
        </w:r>
        <w:r>
          <w:rPr>
            <w:webHidden/>
          </w:rPr>
          <w:fldChar w:fldCharType="end"/>
        </w:r>
      </w:hyperlink>
    </w:p>
    <w:p w14:paraId="30CF4E1B" w14:textId="0FD2B586"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23" w:history="1">
        <w:r w:rsidRPr="00E96103">
          <w:rPr>
            <w:rStyle w:val="Hyperlink"/>
            <w:noProof/>
          </w:rPr>
          <w:t>2.</w:t>
        </w:r>
        <w:r>
          <w:rPr>
            <w:rFonts w:eastAsiaTheme="minorEastAsia"/>
            <w:b w:val="0"/>
            <w:noProof/>
            <w:kern w:val="2"/>
            <w:sz w:val="24"/>
            <w:szCs w:val="24"/>
            <w:lang w:eastAsia="en-AU"/>
            <w14:ligatures w14:val="standardContextual"/>
          </w:rPr>
          <w:tab/>
        </w:r>
        <w:r w:rsidRPr="00E96103">
          <w:rPr>
            <w:rStyle w:val="Hyperlink"/>
            <w:noProof/>
          </w:rPr>
          <w:t>The problem</w:t>
        </w:r>
        <w:r>
          <w:rPr>
            <w:noProof/>
            <w:webHidden/>
          </w:rPr>
          <w:tab/>
        </w:r>
        <w:r>
          <w:rPr>
            <w:noProof/>
            <w:webHidden/>
          </w:rPr>
          <w:fldChar w:fldCharType="begin"/>
        </w:r>
        <w:r>
          <w:rPr>
            <w:noProof/>
            <w:webHidden/>
          </w:rPr>
          <w:instrText xml:space="preserve"> PAGEREF _Toc197959423 \h </w:instrText>
        </w:r>
        <w:r>
          <w:rPr>
            <w:noProof/>
            <w:webHidden/>
          </w:rPr>
        </w:r>
        <w:r>
          <w:rPr>
            <w:noProof/>
            <w:webHidden/>
          </w:rPr>
          <w:fldChar w:fldCharType="separate"/>
        </w:r>
        <w:r w:rsidR="009A244B">
          <w:rPr>
            <w:noProof/>
            <w:webHidden/>
          </w:rPr>
          <w:t>19</w:t>
        </w:r>
        <w:r>
          <w:rPr>
            <w:noProof/>
            <w:webHidden/>
          </w:rPr>
          <w:fldChar w:fldCharType="end"/>
        </w:r>
      </w:hyperlink>
    </w:p>
    <w:p w14:paraId="1BF43787" w14:textId="5D51B775" w:rsidR="008060DF" w:rsidRDefault="008060DF">
      <w:pPr>
        <w:pStyle w:val="TOC2"/>
        <w:rPr>
          <w:rFonts w:eastAsiaTheme="minorEastAsia"/>
          <w:bCs w:val="0"/>
          <w:kern w:val="2"/>
          <w:sz w:val="24"/>
          <w:szCs w:val="24"/>
          <w:lang w:eastAsia="en-AU"/>
          <w14:ligatures w14:val="standardContextual"/>
        </w:rPr>
      </w:pPr>
      <w:hyperlink w:anchor="_Toc197959424" w:history="1">
        <w:r w:rsidRPr="00E96103">
          <w:rPr>
            <w:rStyle w:val="Hyperlink"/>
          </w:rPr>
          <w:t>2.1.</w:t>
        </w:r>
        <w:r>
          <w:rPr>
            <w:rFonts w:eastAsiaTheme="minorEastAsia"/>
            <w:bCs w:val="0"/>
            <w:kern w:val="2"/>
            <w:sz w:val="24"/>
            <w:szCs w:val="24"/>
            <w:lang w:eastAsia="en-AU"/>
            <w14:ligatures w14:val="standardContextual"/>
          </w:rPr>
          <w:tab/>
        </w:r>
        <w:r w:rsidRPr="00E96103">
          <w:rPr>
            <w:rStyle w:val="Hyperlink"/>
          </w:rPr>
          <w:t>Problems</w:t>
        </w:r>
        <w:r>
          <w:rPr>
            <w:webHidden/>
          </w:rPr>
          <w:tab/>
        </w:r>
        <w:r>
          <w:rPr>
            <w:webHidden/>
          </w:rPr>
          <w:fldChar w:fldCharType="begin"/>
        </w:r>
        <w:r>
          <w:rPr>
            <w:webHidden/>
          </w:rPr>
          <w:instrText xml:space="preserve"> PAGEREF _Toc197959424 \h </w:instrText>
        </w:r>
        <w:r>
          <w:rPr>
            <w:webHidden/>
          </w:rPr>
        </w:r>
        <w:r>
          <w:rPr>
            <w:webHidden/>
          </w:rPr>
          <w:fldChar w:fldCharType="separate"/>
        </w:r>
        <w:r w:rsidR="009A244B">
          <w:rPr>
            <w:webHidden/>
          </w:rPr>
          <w:t>19</w:t>
        </w:r>
        <w:r>
          <w:rPr>
            <w:webHidden/>
          </w:rPr>
          <w:fldChar w:fldCharType="end"/>
        </w:r>
      </w:hyperlink>
    </w:p>
    <w:p w14:paraId="03030818" w14:textId="1B913805"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25" w:history="1">
        <w:r w:rsidRPr="00E96103">
          <w:rPr>
            <w:rStyle w:val="Hyperlink"/>
            <w:noProof/>
          </w:rPr>
          <w:t>3.</w:t>
        </w:r>
        <w:r>
          <w:rPr>
            <w:rFonts w:eastAsiaTheme="minorEastAsia"/>
            <w:b w:val="0"/>
            <w:noProof/>
            <w:kern w:val="2"/>
            <w:sz w:val="24"/>
            <w:szCs w:val="24"/>
            <w:lang w:eastAsia="en-AU"/>
            <w14:ligatures w14:val="standardContextual"/>
          </w:rPr>
          <w:tab/>
        </w:r>
        <w:r w:rsidRPr="00E96103">
          <w:rPr>
            <w:rStyle w:val="Hyperlink"/>
            <w:noProof/>
          </w:rPr>
          <w:t>Objectives</w:t>
        </w:r>
        <w:r>
          <w:rPr>
            <w:noProof/>
            <w:webHidden/>
          </w:rPr>
          <w:tab/>
        </w:r>
        <w:r>
          <w:rPr>
            <w:noProof/>
            <w:webHidden/>
          </w:rPr>
          <w:fldChar w:fldCharType="begin"/>
        </w:r>
        <w:r>
          <w:rPr>
            <w:noProof/>
            <w:webHidden/>
          </w:rPr>
          <w:instrText xml:space="preserve"> PAGEREF _Toc197959425 \h </w:instrText>
        </w:r>
        <w:r>
          <w:rPr>
            <w:noProof/>
            <w:webHidden/>
          </w:rPr>
        </w:r>
        <w:r>
          <w:rPr>
            <w:noProof/>
            <w:webHidden/>
          </w:rPr>
          <w:fldChar w:fldCharType="separate"/>
        </w:r>
        <w:r w:rsidR="009A244B">
          <w:rPr>
            <w:noProof/>
            <w:webHidden/>
          </w:rPr>
          <w:t>40</w:t>
        </w:r>
        <w:r>
          <w:rPr>
            <w:noProof/>
            <w:webHidden/>
          </w:rPr>
          <w:fldChar w:fldCharType="end"/>
        </w:r>
      </w:hyperlink>
    </w:p>
    <w:p w14:paraId="265A303A" w14:textId="14666B85"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26" w:history="1">
        <w:r w:rsidRPr="00E96103">
          <w:rPr>
            <w:rStyle w:val="Hyperlink"/>
            <w:noProof/>
          </w:rPr>
          <w:t>4.</w:t>
        </w:r>
        <w:r>
          <w:rPr>
            <w:rFonts w:eastAsiaTheme="minorEastAsia"/>
            <w:b w:val="0"/>
            <w:noProof/>
            <w:kern w:val="2"/>
            <w:sz w:val="24"/>
            <w:szCs w:val="24"/>
            <w:lang w:eastAsia="en-AU"/>
            <w14:ligatures w14:val="standardContextual"/>
          </w:rPr>
          <w:tab/>
        </w:r>
        <w:r w:rsidRPr="00E96103">
          <w:rPr>
            <w:rStyle w:val="Hyperlink"/>
            <w:noProof/>
          </w:rPr>
          <w:t>Options development and analysis methodology</w:t>
        </w:r>
        <w:r>
          <w:rPr>
            <w:noProof/>
            <w:webHidden/>
          </w:rPr>
          <w:tab/>
        </w:r>
        <w:r>
          <w:rPr>
            <w:noProof/>
            <w:webHidden/>
          </w:rPr>
          <w:fldChar w:fldCharType="begin"/>
        </w:r>
        <w:r>
          <w:rPr>
            <w:noProof/>
            <w:webHidden/>
          </w:rPr>
          <w:instrText xml:space="preserve"> PAGEREF _Toc197959426 \h </w:instrText>
        </w:r>
        <w:r>
          <w:rPr>
            <w:noProof/>
            <w:webHidden/>
          </w:rPr>
        </w:r>
        <w:r>
          <w:rPr>
            <w:noProof/>
            <w:webHidden/>
          </w:rPr>
          <w:fldChar w:fldCharType="separate"/>
        </w:r>
        <w:r w:rsidR="009A244B">
          <w:rPr>
            <w:noProof/>
            <w:webHidden/>
          </w:rPr>
          <w:t>41</w:t>
        </w:r>
        <w:r>
          <w:rPr>
            <w:noProof/>
            <w:webHidden/>
          </w:rPr>
          <w:fldChar w:fldCharType="end"/>
        </w:r>
      </w:hyperlink>
    </w:p>
    <w:p w14:paraId="6CF8DAB1" w14:textId="46B62200" w:rsidR="008060DF" w:rsidRDefault="008060DF">
      <w:pPr>
        <w:pStyle w:val="TOC2"/>
        <w:rPr>
          <w:rFonts w:eastAsiaTheme="minorEastAsia"/>
          <w:bCs w:val="0"/>
          <w:kern w:val="2"/>
          <w:sz w:val="24"/>
          <w:szCs w:val="24"/>
          <w:lang w:eastAsia="en-AU"/>
          <w14:ligatures w14:val="standardContextual"/>
        </w:rPr>
      </w:pPr>
      <w:hyperlink w:anchor="_Toc197959427" w:history="1">
        <w:r w:rsidRPr="00E96103">
          <w:rPr>
            <w:rStyle w:val="Hyperlink"/>
          </w:rPr>
          <w:t>4.1.</w:t>
        </w:r>
        <w:r>
          <w:rPr>
            <w:rFonts w:eastAsiaTheme="minorEastAsia"/>
            <w:bCs w:val="0"/>
            <w:kern w:val="2"/>
            <w:sz w:val="24"/>
            <w:szCs w:val="24"/>
            <w:lang w:eastAsia="en-AU"/>
            <w14:ligatures w14:val="standardContextual"/>
          </w:rPr>
          <w:tab/>
        </w:r>
        <w:r w:rsidRPr="00E96103">
          <w:rPr>
            <w:rStyle w:val="Hyperlink"/>
          </w:rPr>
          <w:t>The base case</w:t>
        </w:r>
        <w:r>
          <w:rPr>
            <w:webHidden/>
          </w:rPr>
          <w:tab/>
        </w:r>
        <w:r>
          <w:rPr>
            <w:webHidden/>
          </w:rPr>
          <w:fldChar w:fldCharType="begin"/>
        </w:r>
        <w:r>
          <w:rPr>
            <w:webHidden/>
          </w:rPr>
          <w:instrText xml:space="preserve"> PAGEREF _Toc197959427 \h </w:instrText>
        </w:r>
        <w:r>
          <w:rPr>
            <w:webHidden/>
          </w:rPr>
        </w:r>
        <w:r>
          <w:rPr>
            <w:webHidden/>
          </w:rPr>
          <w:fldChar w:fldCharType="separate"/>
        </w:r>
        <w:r w:rsidR="009A244B">
          <w:rPr>
            <w:webHidden/>
          </w:rPr>
          <w:t>41</w:t>
        </w:r>
        <w:r>
          <w:rPr>
            <w:webHidden/>
          </w:rPr>
          <w:fldChar w:fldCharType="end"/>
        </w:r>
      </w:hyperlink>
    </w:p>
    <w:p w14:paraId="21EA9CEF" w14:textId="3264C28D" w:rsidR="008060DF" w:rsidRDefault="008060DF">
      <w:pPr>
        <w:pStyle w:val="TOC2"/>
        <w:rPr>
          <w:rFonts w:eastAsiaTheme="minorEastAsia"/>
          <w:bCs w:val="0"/>
          <w:kern w:val="2"/>
          <w:sz w:val="24"/>
          <w:szCs w:val="24"/>
          <w:lang w:eastAsia="en-AU"/>
          <w14:ligatures w14:val="standardContextual"/>
        </w:rPr>
      </w:pPr>
      <w:hyperlink w:anchor="_Toc197959428" w:history="1">
        <w:r w:rsidRPr="00E96103">
          <w:rPr>
            <w:rStyle w:val="Hyperlink"/>
          </w:rPr>
          <w:t>4.2.</w:t>
        </w:r>
        <w:r>
          <w:rPr>
            <w:rFonts w:eastAsiaTheme="minorEastAsia"/>
            <w:bCs w:val="0"/>
            <w:kern w:val="2"/>
            <w:sz w:val="24"/>
            <w:szCs w:val="24"/>
            <w:lang w:eastAsia="en-AU"/>
            <w14:ligatures w14:val="standardContextual"/>
          </w:rPr>
          <w:tab/>
        </w:r>
        <w:r w:rsidRPr="00E96103">
          <w:rPr>
            <w:rStyle w:val="Hyperlink"/>
          </w:rPr>
          <w:t>Options design and development</w:t>
        </w:r>
        <w:r>
          <w:rPr>
            <w:webHidden/>
          </w:rPr>
          <w:tab/>
        </w:r>
        <w:r>
          <w:rPr>
            <w:webHidden/>
          </w:rPr>
          <w:fldChar w:fldCharType="begin"/>
        </w:r>
        <w:r>
          <w:rPr>
            <w:webHidden/>
          </w:rPr>
          <w:instrText xml:space="preserve"> PAGEREF _Toc197959428 \h </w:instrText>
        </w:r>
        <w:r>
          <w:rPr>
            <w:webHidden/>
          </w:rPr>
        </w:r>
        <w:r>
          <w:rPr>
            <w:webHidden/>
          </w:rPr>
          <w:fldChar w:fldCharType="separate"/>
        </w:r>
        <w:r w:rsidR="009A244B">
          <w:rPr>
            <w:webHidden/>
          </w:rPr>
          <w:t>41</w:t>
        </w:r>
        <w:r>
          <w:rPr>
            <w:webHidden/>
          </w:rPr>
          <w:fldChar w:fldCharType="end"/>
        </w:r>
      </w:hyperlink>
    </w:p>
    <w:p w14:paraId="40932E34" w14:textId="34FCAD1B" w:rsidR="008060DF" w:rsidRDefault="008060DF">
      <w:pPr>
        <w:pStyle w:val="TOC2"/>
        <w:rPr>
          <w:rFonts w:eastAsiaTheme="minorEastAsia"/>
          <w:bCs w:val="0"/>
          <w:kern w:val="2"/>
          <w:sz w:val="24"/>
          <w:szCs w:val="24"/>
          <w:lang w:eastAsia="en-AU"/>
          <w14:ligatures w14:val="standardContextual"/>
        </w:rPr>
      </w:pPr>
      <w:hyperlink w:anchor="_Toc197959429" w:history="1">
        <w:r w:rsidRPr="00E96103">
          <w:rPr>
            <w:rStyle w:val="Hyperlink"/>
          </w:rPr>
          <w:t>4.3.</w:t>
        </w:r>
        <w:r>
          <w:rPr>
            <w:rFonts w:eastAsiaTheme="minorEastAsia"/>
            <w:bCs w:val="0"/>
            <w:kern w:val="2"/>
            <w:sz w:val="24"/>
            <w:szCs w:val="24"/>
            <w:lang w:eastAsia="en-AU"/>
            <w14:ligatures w14:val="standardContextual"/>
          </w:rPr>
          <w:tab/>
        </w:r>
        <w:r w:rsidRPr="00E96103">
          <w:rPr>
            <w:rStyle w:val="Hyperlink"/>
          </w:rPr>
          <w:t>Other matters that were considered</w:t>
        </w:r>
        <w:r>
          <w:rPr>
            <w:webHidden/>
          </w:rPr>
          <w:tab/>
        </w:r>
        <w:r>
          <w:rPr>
            <w:webHidden/>
          </w:rPr>
          <w:fldChar w:fldCharType="begin"/>
        </w:r>
        <w:r>
          <w:rPr>
            <w:webHidden/>
          </w:rPr>
          <w:instrText xml:space="preserve"> PAGEREF _Toc197959429 \h </w:instrText>
        </w:r>
        <w:r>
          <w:rPr>
            <w:webHidden/>
          </w:rPr>
        </w:r>
        <w:r>
          <w:rPr>
            <w:webHidden/>
          </w:rPr>
          <w:fldChar w:fldCharType="separate"/>
        </w:r>
        <w:r w:rsidR="009A244B">
          <w:rPr>
            <w:webHidden/>
          </w:rPr>
          <w:t>43</w:t>
        </w:r>
        <w:r>
          <w:rPr>
            <w:webHidden/>
          </w:rPr>
          <w:fldChar w:fldCharType="end"/>
        </w:r>
      </w:hyperlink>
    </w:p>
    <w:p w14:paraId="69604F43" w14:textId="28B796C2" w:rsidR="008060DF" w:rsidRDefault="008060DF">
      <w:pPr>
        <w:pStyle w:val="TOC2"/>
        <w:rPr>
          <w:rFonts w:eastAsiaTheme="minorEastAsia"/>
          <w:bCs w:val="0"/>
          <w:kern w:val="2"/>
          <w:sz w:val="24"/>
          <w:szCs w:val="24"/>
          <w:lang w:eastAsia="en-AU"/>
          <w14:ligatures w14:val="standardContextual"/>
        </w:rPr>
      </w:pPr>
      <w:hyperlink w:anchor="_Toc197959430" w:history="1">
        <w:r w:rsidRPr="00E96103">
          <w:rPr>
            <w:rStyle w:val="Hyperlink"/>
          </w:rPr>
          <w:t>4.4.</w:t>
        </w:r>
        <w:r>
          <w:rPr>
            <w:rFonts w:eastAsiaTheme="minorEastAsia"/>
            <w:bCs w:val="0"/>
            <w:kern w:val="2"/>
            <w:sz w:val="24"/>
            <w:szCs w:val="24"/>
            <w:lang w:eastAsia="en-AU"/>
            <w14:ligatures w14:val="standardContextual"/>
          </w:rPr>
          <w:tab/>
        </w:r>
        <w:r w:rsidRPr="00E96103">
          <w:rPr>
            <w:rStyle w:val="Hyperlink"/>
          </w:rPr>
          <w:t>Summary of options for assessment</w:t>
        </w:r>
        <w:r>
          <w:rPr>
            <w:webHidden/>
          </w:rPr>
          <w:tab/>
        </w:r>
        <w:r>
          <w:rPr>
            <w:webHidden/>
          </w:rPr>
          <w:fldChar w:fldCharType="begin"/>
        </w:r>
        <w:r>
          <w:rPr>
            <w:webHidden/>
          </w:rPr>
          <w:instrText xml:space="preserve"> PAGEREF _Toc197959430 \h </w:instrText>
        </w:r>
        <w:r>
          <w:rPr>
            <w:webHidden/>
          </w:rPr>
        </w:r>
        <w:r>
          <w:rPr>
            <w:webHidden/>
          </w:rPr>
          <w:fldChar w:fldCharType="separate"/>
        </w:r>
        <w:r w:rsidR="009A244B">
          <w:rPr>
            <w:webHidden/>
          </w:rPr>
          <w:t>46</w:t>
        </w:r>
        <w:r>
          <w:rPr>
            <w:webHidden/>
          </w:rPr>
          <w:fldChar w:fldCharType="end"/>
        </w:r>
      </w:hyperlink>
    </w:p>
    <w:p w14:paraId="2ECDBD65" w14:textId="1BAF1496" w:rsidR="008060DF" w:rsidRDefault="008060DF">
      <w:pPr>
        <w:pStyle w:val="TOC2"/>
        <w:rPr>
          <w:rFonts w:eastAsiaTheme="minorEastAsia"/>
          <w:bCs w:val="0"/>
          <w:kern w:val="2"/>
          <w:sz w:val="24"/>
          <w:szCs w:val="24"/>
          <w:lang w:eastAsia="en-AU"/>
          <w14:ligatures w14:val="standardContextual"/>
        </w:rPr>
      </w:pPr>
      <w:hyperlink w:anchor="_Toc197959431" w:history="1">
        <w:r w:rsidRPr="00E96103">
          <w:rPr>
            <w:rStyle w:val="Hyperlink"/>
          </w:rPr>
          <w:t>4.5.</w:t>
        </w:r>
        <w:r>
          <w:rPr>
            <w:rFonts w:eastAsiaTheme="minorEastAsia"/>
            <w:bCs w:val="0"/>
            <w:kern w:val="2"/>
            <w:sz w:val="24"/>
            <w:szCs w:val="24"/>
            <w:lang w:eastAsia="en-AU"/>
            <w14:ligatures w14:val="standardContextual"/>
          </w:rPr>
          <w:tab/>
        </w:r>
        <w:r w:rsidRPr="00E96103">
          <w:rPr>
            <w:rStyle w:val="Hyperlink"/>
          </w:rPr>
          <w:t>Approach to impact analysis</w:t>
        </w:r>
        <w:r>
          <w:rPr>
            <w:webHidden/>
          </w:rPr>
          <w:tab/>
        </w:r>
        <w:r>
          <w:rPr>
            <w:webHidden/>
          </w:rPr>
          <w:fldChar w:fldCharType="begin"/>
        </w:r>
        <w:r>
          <w:rPr>
            <w:webHidden/>
          </w:rPr>
          <w:instrText xml:space="preserve"> PAGEREF _Toc197959431 \h </w:instrText>
        </w:r>
        <w:r>
          <w:rPr>
            <w:webHidden/>
          </w:rPr>
        </w:r>
        <w:r>
          <w:rPr>
            <w:webHidden/>
          </w:rPr>
          <w:fldChar w:fldCharType="separate"/>
        </w:r>
        <w:r w:rsidR="009A244B">
          <w:rPr>
            <w:webHidden/>
          </w:rPr>
          <w:t>48</w:t>
        </w:r>
        <w:r>
          <w:rPr>
            <w:webHidden/>
          </w:rPr>
          <w:fldChar w:fldCharType="end"/>
        </w:r>
      </w:hyperlink>
    </w:p>
    <w:p w14:paraId="25E78F6E" w14:textId="1CA528F4"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32" w:history="1">
        <w:r w:rsidRPr="00E96103">
          <w:rPr>
            <w:rStyle w:val="Hyperlink"/>
            <w:noProof/>
          </w:rPr>
          <w:t>5.</w:t>
        </w:r>
        <w:r>
          <w:rPr>
            <w:rFonts w:eastAsiaTheme="minorEastAsia"/>
            <w:b w:val="0"/>
            <w:noProof/>
            <w:kern w:val="2"/>
            <w:sz w:val="24"/>
            <w:szCs w:val="24"/>
            <w:lang w:eastAsia="en-AU"/>
            <w14:ligatures w14:val="standardContextual"/>
          </w:rPr>
          <w:tab/>
        </w:r>
        <w:r w:rsidRPr="00E96103">
          <w:rPr>
            <w:rStyle w:val="Hyperlink"/>
            <w:noProof/>
          </w:rPr>
          <w:t>Automatic best offer for customers experiencing payment difficulty</w:t>
        </w:r>
        <w:r>
          <w:rPr>
            <w:noProof/>
            <w:webHidden/>
          </w:rPr>
          <w:tab/>
        </w:r>
        <w:r>
          <w:rPr>
            <w:noProof/>
            <w:webHidden/>
          </w:rPr>
          <w:fldChar w:fldCharType="begin"/>
        </w:r>
        <w:r>
          <w:rPr>
            <w:noProof/>
            <w:webHidden/>
          </w:rPr>
          <w:instrText xml:space="preserve"> PAGEREF _Toc197959432 \h </w:instrText>
        </w:r>
        <w:r>
          <w:rPr>
            <w:noProof/>
            <w:webHidden/>
          </w:rPr>
        </w:r>
        <w:r>
          <w:rPr>
            <w:noProof/>
            <w:webHidden/>
          </w:rPr>
          <w:fldChar w:fldCharType="separate"/>
        </w:r>
        <w:r w:rsidR="009A244B">
          <w:rPr>
            <w:noProof/>
            <w:webHidden/>
          </w:rPr>
          <w:t>55</w:t>
        </w:r>
        <w:r>
          <w:rPr>
            <w:noProof/>
            <w:webHidden/>
          </w:rPr>
          <w:fldChar w:fldCharType="end"/>
        </w:r>
      </w:hyperlink>
    </w:p>
    <w:p w14:paraId="3F762A3B" w14:textId="137F4754" w:rsidR="008060DF" w:rsidRDefault="008060DF">
      <w:pPr>
        <w:pStyle w:val="TOC2"/>
        <w:rPr>
          <w:rFonts w:eastAsiaTheme="minorEastAsia"/>
          <w:bCs w:val="0"/>
          <w:kern w:val="2"/>
          <w:sz w:val="24"/>
          <w:szCs w:val="24"/>
          <w:lang w:eastAsia="en-AU"/>
          <w14:ligatures w14:val="standardContextual"/>
        </w:rPr>
      </w:pPr>
      <w:hyperlink w:anchor="_Toc197959433" w:history="1">
        <w:r w:rsidRPr="00E96103">
          <w:rPr>
            <w:rStyle w:val="Hyperlink"/>
          </w:rPr>
          <w:t>5.1.</w:t>
        </w:r>
        <w:r>
          <w:rPr>
            <w:rFonts w:eastAsiaTheme="minorEastAsia"/>
            <w:bCs w:val="0"/>
            <w:kern w:val="2"/>
            <w:sz w:val="24"/>
            <w:szCs w:val="24"/>
            <w:lang w:eastAsia="en-AU"/>
            <w14:ligatures w14:val="standardContextual"/>
          </w:rPr>
          <w:tab/>
        </w:r>
        <w:r w:rsidRPr="00E96103">
          <w:rPr>
            <w:rStyle w:val="Hyperlink"/>
          </w:rPr>
          <w:t>Scope of reform</w:t>
        </w:r>
        <w:r>
          <w:rPr>
            <w:webHidden/>
          </w:rPr>
          <w:tab/>
        </w:r>
        <w:r>
          <w:rPr>
            <w:webHidden/>
          </w:rPr>
          <w:fldChar w:fldCharType="begin"/>
        </w:r>
        <w:r>
          <w:rPr>
            <w:webHidden/>
          </w:rPr>
          <w:instrText xml:space="preserve"> PAGEREF _Toc197959433 \h </w:instrText>
        </w:r>
        <w:r>
          <w:rPr>
            <w:webHidden/>
          </w:rPr>
        </w:r>
        <w:r>
          <w:rPr>
            <w:webHidden/>
          </w:rPr>
          <w:fldChar w:fldCharType="separate"/>
        </w:r>
        <w:r w:rsidR="009A244B">
          <w:rPr>
            <w:webHidden/>
          </w:rPr>
          <w:t>55</w:t>
        </w:r>
        <w:r>
          <w:rPr>
            <w:webHidden/>
          </w:rPr>
          <w:fldChar w:fldCharType="end"/>
        </w:r>
      </w:hyperlink>
    </w:p>
    <w:p w14:paraId="333EE6E9" w14:textId="73DCE294" w:rsidR="008060DF" w:rsidRDefault="008060DF">
      <w:pPr>
        <w:pStyle w:val="TOC2"/>
        <w:rPr>
          <w:rFonts w:eastAsiaTheme="minorEastAsia"/>
          <w:bCs w:val="0"/>
          <w:kern w:val="2"/>
          <w:sz w:val="24"/>
          <w:szCs w:val="24"/>
          <w:lang w:eastAsia="en-AU"/>
          <w14:ligatures w14:val="standardContextual"/>
        </w:rPr>
      </w:pPr>
      <w:hyperlink w:anchor="_Toc197959434" w:history="1">
        <w:r w:rsidRPr="00E96103">
          <w:rPr>
            <w:rStyle w:val="Hyperlink"/>
          </w:rPr>
          <w:t>5.2.</w:t>
        </w:r>
        <w:r>
          <w:rPr>
            <w:rFonts w:eastAsiaTheme="minorEastAsia"/>
            <w:bCs w:val="0"/>
            <w:kern w:val="2"/>
            <w:sz w:val="24"/>
            <w:szCs w:val="24"/>
            <w:lang w:eastAsia="en-AU"/>
            <w14:ligatures w14:val="standardContextual"/>
          </w:rPr>
          <w:tab/>
        </w:r>
        <w:r w:rsidRPr="00E96103">
          <w:rPr>
            <w:rStyle w:val="Hyperlink"/>
          </w:rPr>
          <w:t>Options considered but not progressed to assessment</w:t>
        </w:r>
        <w:r>
          <w:rPr>
            <w:webHidden/>
          </w:rPr>
          <w:tab/>
        </w:r>
        <w:r>
          <w:rPr>
            <w:webHidden/>
          </w:rPr>
          <w:fldChar w:fldCharType="begin"/>
        </w:r>
        <w:r>
          <w:rPr>
            <w:webHidden/>
          </w:rPr>
          <w:instrText xml:space="preserve"> PAGEREF _Toc197959434 \h </w:instrText>
        </w:r>
        <w:r>
          <w:rPr>
            <w:webHidden/>
          </w:rPr>
        </w:r>
        <w:r>
          <w:rPr>
            <w:webHidden/>
          </w:rPr>
          <w:fldChar w:fldCharType="separate"/>
        </w:r>
        <w:r w:rsidR="009A244B">
          <w:rPr>
            <w:webHidden/>
          </w:rPr>
          <w:t>60</w:t>
        </w:r>
        <w:r>
          <w:rPr>
            <w:webHidden/>
          </w:rPr>
          <w:fldChar w:fldCharType="end"/>
        </w:r>
      </w:hyperlink>
    </w:p>
    <w:p w14:paraId="0F2D4B72" w14:textId="5A0E39E8" w:rsidR="008060DF" w:rsidRDefault="008060DF">
      <w:pPr>
        <w:pStyle w:val="TOC2"/>
        <w:rPr>
          <w:rFonts w:eastAsiaTheme="minorEastAsia"/>
          <w:bCs w:val="0"/>
          <w:kern w:val="2"/>
          <w:sz w:val="24"/>
          <w:szCs w:val="24"/>
          <w:lang w:eastAsia="en-AU"/>
          <w14:ligatures w14:val="standardContextual"/>
        </w:rPr>
      </w:pPr>
      <w:hyperlink w:anchor="_Toc197959435" w:history="1">
        <w:r w:rsidRPr="00E96103">
          <w:rPr>
            <w:rStyle w:val="Hyperlink"/>
          </w:rPr>
          <w:t>5.3.</w:t>
        </w:r>
        <w:r>
          <w:rPr>
            <w:rFonts w:eastAsiaTheme="minorEastAsia"/>
            <w:bCs w:val="0"/>
            <w:kern w:val="2"/>
            <w:sz w:val="24"/>
            <w:szCs w:val="24"/>
            <w:lang w:eastAsia="en-AU"/>
            <w14:ligatures w14:val="standardContextual"/>
          </w:rPr>
          <w:tab/>
        </w:r>
        <w:r w:rsidRPr="00E96103">
          <w:rPr>
            <w:rStyle w:val="Hyperlink"/>
          </w:rPr>
          <w:t>Options</w:t>
        </w:r>
        <w:r>
          <w:rPr>
            <w:webHidden/>
          </w:rPr>
          <w:tab/>
        </w:r>
        <w:r>
          <w:rPr>
            <w:webHidden/>
          </w:rPr>
          <w:fldChar w:fldCharType="begin"/>
        </w:r>
        <w:r>
          <w:rPr>
            <w:webHidden/>
          </w:rPr>
          <w:instrText xml:space="preserve"> PAGEREF _Toc197959435 \h </w:instrText>
        </w:r>
        <w:r>
          <w:rPr>
            <w:webHidden/>
          </w:rPr>
        </w:r>
        <w:r>
          <w:rPr>
            <w:webHidden/>
          </w:rPr>
          <w:fldChar w:fldCharType="separate"/>
        </w:r>
        <w:r w:rsidR="009A244B">
          <w:rPr>
            <w:webHidden/>
          </w:rPr>
          <w:t>61</w:t>
        </w:r>
        <w:r>
          <w:rPr>
            <w:webHidden/>
          </w:rPr>
          <w:fldChar w:fldCharType="end"/>
        </w:r>
      </w:hyperlink>
    </w:p>
    <w:p w14:paraId="57B3FCE0" w14:textId="4B8A017B" w:rsidR="008060DF" w:rsidRDefault="008060DF">
      <w:pPr>
        <w:pStyle w:val="TOC2"/>
        <w:rPr>
          <w:rFonts w:eastAsiaTheme="minorEastAsia"/>
          <w:bCs w:val="0"/>
          <w:kern w:val="2"/>
          <w:sz w:val="24"/>
          <w:szCs w:val="24"/>
          <w:lang w:eastAsia="en-AU"/>
          <w14:ligatures w14:val="standardContextual"/>
        </w:rPr>
      </w:pPr>
      <w:hyperlink w:anchor="_Toc197959436" w:history="1">
        <w:r w:rsidRPr="00E96103">
          <w:rPr>
            <w:rStyle w:val="Hyperlink"/>
          </w:rPr>
          <w:t>5.4.</w:t>
        </w:r>
        <w:r>
          <w:rPr>
            <w:rFonts w:eastAsiaTheme="minorEastAsia"/>
            <w:bCs w:val="0"/>
            <w:kern w:val="2"/>
            <w:sz w:val="24"/>
            <w:szCs w:val="24"/>
            <w:lang w:eastAsia="en-AU"/>
            <w14:ligatures w14:val="standardContextual"/>
          </w:rPr>
          <w:tab/>
        </w:r>
        <w:r w:rsidRPr="00E96103">
          <w:rPr>
            <w:rStyle w:val="Hyperlink"/>
          </w:rPr>
          <w:t>Summary and preferred options</w:t>
        </w:r>
        <w:r>
          <w:rPr>
            <w:webHidden/>
          </w:rPr>
          <w:tab/>
        </w:r>
        <w:r>
          <w:rPr>
            <w:webHidden/>
          </w:rPr>
          <w:fldChar w:fldCharType="begin"/>
        </w:r>
        <w:r>
          <w:rPr>
            <w:webHidden/>
          </w:rPr>
          <w:instrText xml:space="preserve"> PAGEREF _Toc197959436 \h </w:instrText>
        </w:r>
        <w:r>
          <w:rPr>
            <w:webHidden/>
          </w:rPr>
        </w:r>
        <w:r>
          <w:rPr>
            <w:webHidden/>
          </w:rPr>
          <w:fldChar w:fldCharType="separate"/>
        </w:r>
        <w:r w:rsidR="009A244B">
          <w:rPr>
            <w:webHidden/>
          </w:rPr>
          <w:t>83</w:t>
        </w:r>
        <w:r>
          <w:rPr>
            <w:webHidden/>
          </w:rPr>
          <w:fldChar w:fldCharType="end"/>
        </w:r>
      </w:hyperlink>
    </w:p>
    <w:p w14:paraId="2EF8FA83" w14:textId="0D56BF8F" w:rsidR="008060DF" w:rsidRDefault="008060DF">
      <w:pPr>
        <w:pStyle w:val="TOC2"/>
        <w:rPr>
          <w:rFonts w:eastAsiaTheme="minorEastAsia"/>
          <w:bCs w:val="0"/>
          <w:kern w:val="2"/>
          <w:sz w:val="24"/>
          <w:szCs w:val="24"/>
          <w:lang w:eastAsia="en-AU"/>
          <w14:ligatures w14:val="standardContextual"/>
        </w:rPr>
      </w:pPr>
      <w:hyperlink w:anchor="_Toc197959437" w:history="1">
        <w:r w:rsidRPr="00E96103">
          <w:rPr>
            <w:rStyle w:val="Hyperlink"/>
          </w:rPr>
          <w:t>5.5.</w:t>
        </w:r>
        <w:r>
          <w:rPr>
            <w:rFonts w:eastAsiaTheme="minorEastAsia"/>
            <w:bCs w:val="0"/>
            <w:kern w:val="2"/>
            <w:sz w:val="24"/>
            <w:szCs w:val="24"/>
            <w:lang w:eastAsia="en-AU"/>
            <w14:ligatures w14:val="standardContextual"/>
          </w:rPr>
          <w:tab/>
        </w:r>
        <w:r w:rsidRPr="00E96103">
          <w:rPr>
            <w:rStyle w:val="Hyperlink"/>
          </w:rPr>
          <w:t>Questions for stakeholders</w:t>
        </w:r>
        <w:r>
          <w:rPr>
            <w:webHidden/>
          </w:rPr>
          <w:tab/>
        </w:r>
        <w:r>
          <w:rPr>
            <w:webHidden/>
          </w:rPr>
          <w:fldChar w:fldCharType="begin"/>
        </w:r>
        <w:r>
          <w:rPr>
            <w:webHidden/>
          </w:rPr>
          <w:instrText xml:space="preserve"> PAGEREF _Toc197959437 \h </w:instrText>
        </w:r>
        <w:r>
          <w:rPr>
            <w:webHidden/>
          </w:rPr>
        </w:r>
        <w:r>
          <w:rPr>
            <w:webHidden/>
          </w:rPr>
          <w:fldChar w:fldCharType="separate"/>
        </w:r>
        <w:r w:rsidR="009A244B">
          <w:rPr>
            <w:webHidden/>
          </w:rPr>
          <w:t>84</w:t>
        </w:r>
        <w:r>
          <w:rPr>
            <w:webHidden/>
          </w:rPr>
          <w:fldChar w:fldCharType="end"/>
        </w:r>
      </w:hyperlink>
    </w:p>
    <w:p w14:paraId="20AF44F7" w14:textId="0DCFCC88"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38" w:history="1">
        <w:r w:rsidRPr="00E96103">
          <w:rPr>
            <w:rStyle w:val="Hyperlink"/>
            <w:noProof/>
          </w:rPr>
          <w:t>6.</w:t>
        </w:r>
        <w:r>
          <w:rPr>
            <w:rFonts w:eastAsiaTheme="minorEastAsia"/>
            <w:b w:val="0"/>
            <w:noProof/>
            <w:kern w:val="2"/>
            <w:sz w:val="24"/>
            <w:szCs w:val="24"/>
            <w:lang w:eastAsia="en-AU"/>
            <w14:ligatures w14:val="standardContextual"/>
          </w:rPr>
          <w:tab/>
        </w:r>
        <w:r w:rsidRPr="00E96103">
          <w:rPr>
            <w:rStyle w:val="Hyperlink"/>
            <w:noProof/>
          </w:rPr>
          <w:t>Improving access to cheaper offers</w:t>
        </w:r>
        <w:r>
          <w:rPr>
            <w:noProof/>
            <w:webHidden/>
          </w:rPr>
          <w:tab/>
        </w:r>
        <w:r>
          <w:rPr>
            <w:noProof/>
            <w:webHidden/>
          </w:rPr>
          <w:fldChar w:fldCharType="begin"/>
        </w:r>
        <w:r>
          <w:rPr>
            <w:noProof/>
            <w:webHidden/>
          </w:rPr>
          <w:instrText xml:space="preserve"> PAGEREF _Toc197959438 \h </w:instrText>
        </w:r>
        <w:r>
          <w:rPr>
            <w:noProof/>
            <w:webHidden/>
          </w:rPr>
        </w:r>
        <w:r>
          <w:rPr>
            <w:noProof/>
            <w:webHidden/>
          </w:rPr>
          <w:fldChar w:fldCharType="separate"/>
        </w:r>
        <w:r w:rsidR="009A244B">
          <w:rPr>
            <w:noProof/>
            <w:webHidden/>
          </w:rPr>
          <w:t>85</w:t>
        </w:r>
        <w:r>
          <w:rPr>
            <w:noProof/>
            <w:webHidden/>
          </w:rPr>
          <w:fldChar w:fldCharType="end"/>
        </w:r>
      </w:hyperlink>
    </w:p>
    <w:p w14:paraId="7EF5753E" w14:textId="5372B0D8" w:rsidR="008060DF" w:rsidRDefault="008060DF">
      <w:pPr>
        <w:pStyle w:val="TOC2"/>
        <w:rPr>
          <w:rFonts w:eastAsiaTheme="minorEastAsia"/>
          <w:bCs w:val="0"/>
          <w:kern w:val="2"/>
          <w:sz w:val="24"/>
          <w:szCs w:val="24"/>
          <w:lang w:eastAsia="en-AU"/>
          <w14:ligatures w14:val="standardContextual"/>
        </w:rPr>
      </w:pPr>
      <w:hyperlink w:anchor="_Toc197959439" w:history="1">
        <w:r w:rsidRPr="00E96103">
          <w:rPr>
            <w:rStyle w:val="Hyperlink"/>
          </w:rPr>
          <w:t>6.1.</w:t>
        </w:r>
        <w:r>
          <w:rPr>
            <w:rFonts w:eastAsiaTheme="minorEastAsia"/>
            <w:bCs w:val="0"/>
            <w:kern w:val="2"/>
            <w:sz w:val="24"/>
            <w:szCs w:val="24"/>
            <w:lang w:eastAsia="en-AU"/>
            <w14:ligatures w14:val="standardContextual"/>
          </w:rPr>
          <w:tab/>
        </w:r>
        <w:r w:rsidRPr="00E96103">
          <w:rPr>
            <w:rStyle w:val="Hyperlink"/>
          </w:rPr>
          <w:t>Scope of reform</w:t>
        </w:r>
        <w:r>
          <w:rPr>
            <w:webHidden/>
          </w:rPr>
          <w:tab/>
        </w:r>
        <w:r>
          <w:rPr>
            <w:webHidden/>
          </w:rPr>
          <w:fldChar w:fldCharType="begin"/>
        </w:r>
        <w:r>
          <w:rPr>
            <w:webHidden/>
          </w:rPr>
          <w:instrText xml:space="preserve"> PAGEREF _Toc197959439 \h </w:instrText>
        </w:r>
        <w:r>
          <w:rPr>
            <w:webHidden/>
          </w:rPr>
        </w:r>
        <w:r>
          <w:rPr>
            <w:webHidden/>
          </w:rPr>
          <w:fldChar w:fldCharType="separate"/>
        </w:r>
        <w:r w:rsidR="009A244B">
          <w:rPr>
            <w:webHidden/>
          </w:rPr>
          <w:t>85</w:t>
        </w:r>
        <w:r>
          <w:rPr>
            <w:webHidden/>
          </w:rPr>
          <w:fldChar w:fldCharType="end"/>
        </w:r>
      </w:hyperlink>
    </w:p>
    <w:p w14:paraId="299FD099" w14:textId="32CF24FE" w:rsidR="008060DF" w:rsidRDefault="008060DF">
      <w:pPr>
        <w:pStyle w:val="TOC2"/>
        <w:rPr>
          <w:rFonts w:eastAsiaTheme="minorEastAsia"/>
          <w:bCs w:val="0"/>
          <w:kern w:val="2"/>
          <w:sz w:val="24"/>
          <w:szCs w:val="24"/>
          <w:lang w:eastAsia="en-AU"/>
          <w14:ligatures w14:val="standardContextual"/>
        </w:rPr>
      </w:pPr>
      <w:hyperlink w:anchor="_Toc197959440" w:history="1">
        <w:r w:rsidRPr="00E96103">
          <w:rPr>
            <w:rStyle w:val="Hyperlink"/>
          </w:rPr>
          <w:t>6.2.</w:t>
        </w:r>
        <w:r>
          <w:rPr>
            <w:rFonts w:eastAsiaTheme="minorEastAsia"/>
            <w:bCs w:val="0"/>
            <w:kern w:val="2"/>
            <w:sz w:val="24"/>
            <w:szCs w:val="24"/>
            <w:lang w:eastAsia="en-AU"/>
            <w14:ligatures w14:val="standardContextual"/>
          </w:rPr>
          <w:tab/>
        </w:r>
        <w:r w:rsidRPr="00E96103">
          <w:rPr>
            <w:rStyle w:val="Hyperlink"/>
          </w:rPr>
          <w:t>Options considered but not progressed to assessment</w:t>
        </w:r>
        <w:r>
          <w:rPr>
            <w:webHidden/>
          </w:rPr>
          <w:tab/>
        </w:r>
        <w:r>
          <w:rPr>
            <w:webHidden/>
          </w:rPr>
          <w:fldChar w:fldCharType="begin"/>
        </w:r>
        <w:r>
          <w:rPr>
            <w:webHidden/>
          </w:rPr>
          <w:instrText xml:space="preserve"> PAGEREF _Toc197959440 \h </w:instrText>
        </w:r>
        <w:r>
          <w:rPr>
            <w:webHidden/>
          </w:rPr>
        </w:r>
        <w:r>
          <w:rPr>
            <w:webHidden/>
          </w:rPr>
          <w:fldChar w:fldCharType="separate"/>
        </w:r>
        <w:r w:rsidR="009A244B">
          <w:rPr>
            <w:webHidden/>
          </w:rPr>
          <w:t>87</w:t>
        </w:r>
        <w:r>
          <w:rPr>
            <w:webHidden/>
          </w:rPr>
          <w:fldChar w:fldCharType="end"/>
        </w:r>
      </w:hyperlink>
    </w:p>
    <w:p w14:paraId="731247D5" w14:textId="36DD0EBB" w:rsidR="008060DF" w:rsidRDefault="008060DF">
      <w:pPr>
        <w:pStyle w:val="TOC2"/>
        <w:rPr>
          <w:rFonts w:eastAsiaTheme="minorEastAsia"/>
          <w:bCs w:val="0"/>
          <w:kern w:val="2"/>
          <w:sz w:val="24"/>
          <w:szCs w:val="24"/>
          <w:lang w:eastAsia="en-AU"/>
          <w14:ligatures w14:val="standardContextual"/>
        </w:rPr>
      </w:pPr>
      <w:hyperlink w:anchor="_Toc197959441" w:history="1">
        <w:r w:rsidRPr="00E96103">
          <w:rPr>
            <w:rStyle w:val="Hyperlink"/>
          </w:rPr>
          <w:t>6.3.</w:t>
        </w:r>
        <w:r>
          <w:rPr>
            <w:rFonts w:eastAsiaTheme="minorEastAsia"/>
            <w:bCs w:val="0"/>
            <w:kern w:val="2"/>
            <w:sz w:val="24"/>
            <w:szCs w:val="24"/>
            <w:lang w:eastAsia="en-AU"/>
            <w14:ligatures w14:val="standardContextual"/>
          </w:rPr>
          <w:tab/>
        </w:r>
        <w:r w:rsidRPr="00E96103">
          <w:rPr>
            <w:rStyle w:val="Hyperlink"/>
          </w:rPr>
          <w:t>Options</w:t>
        </w:r>
        <w:r>
          <w:rPr>
            <w:webHidden/>
          </w:rPr>
          <w:tab/>
        </w:r>
        <w:r>
          <w:rPr>
            <w:webHidden/>
          </w:rPr>
          <w:fldChar w:fldCharType="begin"/>
        </w:r>
        <w:r>
          <w:rPr>
            <w:webHidden/>
          </w:rPr>
          <w:instrText xml:space="preserve"> PAGEREF _Toc197959441 \h </w:instrText>
        </w:r>
        <w:r>
          <w:rPr>
            <w:webHidden/>
          </w:rPr>
        </w:r>
        <w:r>
          <w:rPr>
            <w:webHidden/>
          </w:rPr>
          <w:fldChar w:fldCharType="separate"/>
        </w:r>
        <w:r w:rsidR="009A244B">
          <w:rPr>
            <w:webHidden/>
          </w:rPr>
          <w:t>88</w:t>
        </w:r>
        <w:r>
          <w:rPr>
            <w:webHidden/>
          </w:rPr>
          <w:fldChar w:fldCharType="end"/>
        </w:r>
      </w:hyperlink>
    </w:p>
    <w:p w14:paraId="1F5AB6CF" w14:textId="3F37EA50" w:rsidR="008060DF" w:rsidRDefault="008060DF">
      <w:pPr>
        <w:pStyle w:val="TOC2"/>
        <w:rPr>
          <w:rFonts w:eastAsiaTheme="minorEastAsia"/>
          <w:bCs w:val="0"/>
          <w:kern w:val="2"/>
          <w:sz w:val="24"/>
          <w:szCs w:val="24"/>
          <w:lang w:eastAsia="en-AU"/>
          <w14:ligatures w14:val="standardContextual"/>
        </w:rPr>
      </w:pPr>
      <w:hyperlink w:anchor="_Toc197959442" w:history="1">
        <w:r w:rsidRPr="00E96103">
          <w:rPr>
            <w:rStyle w:val="Hyperlink"/>
          </w:rPr>
          <w:t>6.4.</w:t>
        </w:r>
        <w:r>
          <w:rPr>
            <w:rFonts w:eastAsiaTheme="minorEastAsia"/>
            <w:bCs w:val="0"/>
            <w:kern w:val="2"/>
            <w:sz w:val="24"/>
            <w:szCs w:val="24"/>
            <w:lang w:eastAsia="en-AU"/>
            <w14:ligatures w14:val="standardContextual"/>
          </w:rPr>
          <w:tab/>
        </w:r>
        <w:r w:rsidRPr="00E96103">
          <w:rPr>
            <w:rStyle w:val="Hyperlink"/>
          </w:rPr>
          <w:t>Analysis</w:t>
        </w:r>
        <w:r>
          <w:rPr>
            <w:webHidden/>
          </w:rPr>
          <w:tab/>
        </w:r>
        <w:r>
          <w:rPr>
            <w:webHidden/>
          </w:rPr>
          <w:fldChar w:fldCharType="begin"/>
        </w:r>
        <w:r>
          <w:rPr>
            <w:webHidden/>
          </w:rPr>
          <w:instrText xml:space="preserve"> PAGEREF _Toc197959442 \h </w:instrText>
        </w:r>
        <w:r>
          <w:rPr>
            <w:webHidden/>
          </w:rPr>
        </w:r>
        <w:r>
          <w:rPr>
            <w:webHidden/>
          </w:rPr>
          <w:fldChar w:fldCharType="separate"/>
        </w:r>
        <w:r w:rsidR="009A244B">
          <w:rPr>
            <w:webHidden/>
          </w:rPr>
          <w:t>91</w:t>
        </w:r>
        <w:r>
          <w:rPr>
            <w:webHidden/>
          </w:rPr>
          <w:fldChar w:fldCharType="end"/>
        </w:r>
      </w:hyperlink>
    </w:p>
    <w:p w14:paraId="7623E38F" w14:textId="2556D3EF" w:rsidR="008060DF" w:rsidRDefault="008060DF">
      <w:pPr>
        <w:pStyle w:val="TOC2"/>
        <w:rPr>
          <w:rFonts w:eastAsiaTheme="minorEastAsia"/>
          <w:bCs w:val="0"/>
          <w:kern w:val="2"/>
          <w:sz w:val="24"/>
          <w:szCs w:val="24"/>
          <w:lang w:eastAsia="en-AU"/>
          <w14:ligatures w14:val="standardContextual"/>
        </w:rPr>
      </w:pPr>
      <w:hyperlink w:anchor="_Toc197959443" w:history="1">
        <w:r w:rsidRPr="00E96103">
          <w:rPr>
            <w:rStyle w:val="Hyperlink"/>
          </w:rPr>
          <w:t>6.5.</w:t>
        </w:r>
        <w:r>
          <w:rPr>
            <w:rFonts w:eastAsiaTheme="minorEastAsia"/>
            <w:bCs w:val="0"/>
            <w:kern w:val="2"/>
            <w:sz w:val="24"/>
            <w:szCs w:val="24"/>
            <w:lang w:eastAsia="en-AU"/>
            <w14:ligatures w14:val="standardContextual"/>
          </w:rPr>
          <w:tab/>
        </w:r>
        <w:r w:rsidRPr="00E96103">
          <w:rPr>
            <w:rStyle w:val="Hyperlink"/>
          </w:rPr>
          <w:t>Summary and preferred option</w:t>
        </w:r>
        <w:r>
          <w:rPr>
            <w:webHidden/>
          </w:rPr>
          <w:tab/>
        </w:r>
        <w:r>
          <w:rPr>
            <w:webHidden/>
          </w:rPr>
          <w:fldChar w:fldCharType="begin"/>
        </w:r>
        <w:r>
          <w:rPr>
            <w:webHidden/>
          </w:rPr>
          <w:instrText xml:space="preserve"> PAGEREF _Toc197959443 \h </w:instrText>
        </w:r>
        <w:r>
          <w:rPr>
            <w:webHidden/>
          </w:rPr>
        </w:r>
        <w:r>
          <w:rPr>
            <w:webHidden/>
          </w:rPr>
          <w:fldChar w:fldCharType="separate"/>
        </w:r>
        <w:r w:rsidR="009A244B">
          <w:rPr>
            <w:webHidden/>
          </w:rPr>
          <w:t>95</w:t>
        </w:r>
        <w:r>
          <w:rPr>
            <w:webHidden/>
          </w:rPr>
          <w:fldChar w:fldCharType="end"/>
        </w:r>
      </w:hyperlink>
    </w:p>
    <w:p w14:paraId="59DDE646" w14:textId="0B0E8EF0"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44" w:history="1">
        <w:r w:rsidRPr="00E96103">
          <w:rPr>
            <w:rStyle w:val="Hyperlink"/>
            <w:noProof/>
          </w:rPr>
          <w:t>7.</w:t>
        </w:r>
        <w:r>
          <w:rPr>
            <w:rFonts w:eastAsiaTheme="minorEastAsia"/>
            <w:b w:val="0"/>
            <w:noProof/>
            <w:kern w:val="2"/>
            <w:sz w:val="24"/>
            <w:szCs w:val="24"/>
            <w:lang w:eastAsia="en-AU"/>
            <w14:ligatures w14:val="standardContextual"/>
          </w:rPr>
          <w:tab/>
        </w:r>
        <w:r w:rsidRPr="00E96103">
          <w:rPr>
            <w:rStyle w:val="Hyperlink"/>
            <w:noProof/>
          </w:rPr>
          <w:t>Improving the ability to switch to the best offer</w:t>
        </w:r>
        <w:r>
          <w:rPr>
            <w:noProof/>
            <w:webHidden/>
          </w:rPr>
          <w:tab/>
        </w:r>
        <w:r>
          <w:rPr>
            <w:noProof/>
            <w:webHidden/>
          </w:rPr>
          <w:fldChar w:fldCharType="begin"/>
        </w:r>
        <w:r>
          <w:rPr>
            <w:noProof/>
            <w:webHidden/>
          </w:rPr>
          <w:instrText xml:space="preserve"> PAGEREF _Toc197959444 \h </w:instrText>
        </w:r>
        <w:r>
          <w:rPr>
            <w:noProof/>
            <w:webHidden/>
          </w:rPr>
        </w:r>
        <w:r>
          <w:rPr>
            <w:noProof/>
            <w:webHidden/>
          </w:rPr>
          <w:fldChar w:fldCharType="separate"/>
        </w:r>
        <w:r w:rsidR="009A244B">
          <w:rPr>
            <w:noProof/>
            <w:webHidden/>
          </w:rPr>
          <w:t>97</w:t>
        </w:r>
        <w:r>
          <w:rPr>
            <w:noProof/>
            <w:webHidden/>
          </w:rPr>
          <w:fldChar w:fldCharType="end"/>
        </w:r>
      </w:hyperlink>
    </w:p>
    <w:p w14:paraId="30D7F90D" w14:textId="127C20A4" w:rsidR="008060DF" w:rsidRDefault="008060DF">
      <w:pPr>
        <w:pStyle w:val="TOC2"/>
        <w:rPr>
          <w:rFonts w:eastAsiaTheme="minorEastAsia"/>
          <w:bCs w:val="0"/>
          <w:kern w:val="2"/>
          <w:sz w:val="24"/>
          <w:szCs w:val="24"/>
          <w:lang w:eastAsia="en-AU"/>
          <w14:ligatures w14:val="standardContextual"/>
        </w:rPr>
      </w:pPr>
      <w:hyperlink w:anchor="_Toc197959445" w:history="1">
        <w:r w:rsidRPr="00E96103">
          <w:rPr>
            <w:rStyle w:val="Hyperlink"/>
          </w:rPr>
          <w:t>7.1.</w:t>
        </w:r>
        <w:r>
          <w:rPr>
            <w:rFonts w:eastAsiaTheme="minorEastAsia"/>
            <w:bCs w:val="0"/>
            <w:kern w:val="2"/>
            <w:sz w:val="24"/>
            <w:szCs w:val="24"/>
            <w:lang w:eastAsia="en-AU"/>
            <w14:ligatures w14:val="standardContextual"/>
          </w:rPr>
          <w:tab/>
        </w:r>
        <w:r w:rsidRPr="00E96103">
          <w:rPr>
            <w:rStyle w:val="Hyperlink"/>
          </w:rPr>
          <w:t>Scope of reform</w:t>
        </w:r>
        <w:r>
          <w:rPr>
            <w:webHidden/>
          </w:rPr>
          <w:tab/>
        </w:r>
        <w:r>
          <w:rPr>
            <w:webHidden/>
          </w:rPr>
          <w:fldChar w:fldCharType="begin"/>
        </w:r>
        <w:r>
          <w:rPr>
            <w:webHidden/>
          </w:rPr>
          <w:instrText xml:space="preserve"> PAGEREF _Toc197959445 \h </w:instrText>
        </w:r>
        <w:r>
          <w:rPr>
            <w:webHidden/>
          </w:rPr>
        </w:r>
        <w:r>
          <w:rPr>
            <w:webHidden/>
          </w:rPr>
          <w:fldChar w:fldCharType="separate"/>
        </w:r>
        <w:r w:rsidR="009A244B">
          <w:rPr>
            <w:webHidden/>
          </w:rPr>
          <w:t>97</w:t>
        </w:r>
        <w:r>
          <w:rPr>
            <w:webHidden/>
          </w:rPr>
          <w:fldChar w:fldCharType="end"/>
        </w:r>
      </w:hyperlink>
    </w:p>
    <w:p w14:paraId="687A3798" w14:textId="0AB3EDAC" w:rsidR="008060DF" w:rsidRDefault="008060DF">
      <w:pPr>
        <w:pStyle w:val="TOC2"/>
        <w:rPr>
          <w:rFonts w:eastAsiaTheme="minorEastAsia"/>
          <w:bCs w:val="0"/>
          <w:kern w:val="2"/>
          <w:sz w:val="24"/>
          <w:szCs w:val="24"/>
          <w:lang w:eastAsia="en-AU"/>
          <w14:ligatures w14:val="standardContextual"/>
        </w:rPr>
      </w:pPr>
      <w:hyperlink w:anchor="_Toc197959446" w:history="1">
        <w:r w:rsidRPr="00E96103">
          <w:rPr>
            <w:rStyle w:val="Hyperlink"/>
          </w:rPr>
          <w:t>7.2.</w:t>
        </w:r>
        <w:r>
          <w:rPr>
            <w:rFonts w:eastAsiaTheme="minorEastAsia"/>
            <w:bCs w:val="0"/>
            <w:kern w:val="2"/>
            <w:sz w:val="24"/>
            <w:szCs w:val="24"/>
            <w:lang w:eastAsia="en-AU"/>
            <w14:ligatures w14:val="standardContextual"/>
          </w:rPr>
          <w:tab/>
        </w:r>
        <w:r w:rsidRPr="00E96103">
          <w:rPr>
            <w:rStyle w:val="Hyperlink"/>
          </w:rPr>
          <w:t>Options considered but not progressed to assessment</w:t>
        </w:r>
        <w:r>
          <w:rPr>
            <w:webHidden/>
          </w:rPr>
          <w:tab/>
        </w:r>
        <w:r>
          <w:rPr>
            <w:webHidden/>
          </w:rPr>
          <w:fldChar w:fldCharType="begin"/>
        </w:r>
        <w:r>
          <w:rPr>
            <w:webHidden/>
          </w:rPr>
          <w:instrText xml:space="preserve"> PAGEREF _Toc197959446 \h </w:instrText>
        </w:r>
        <w:r>
          <w:rPr>
            <w:webHidden/>
          </w:rPr>
        </w:r>
        <w:r>
          <w:rPr>
            <w:webHidden/>
          </w:rPr>
          <w:fldChar w:fldCharType="separate"/>
        </w:r>
        <w:r w:rsidR="009A244B">
          <w:rPr>
            <w:webHidden/>
          </w:rPr>
          <w:t>100</w:t>
        </w:r>
        <w:r>
          <w:rPr>
            <w:webHidden/>
          </w:rPr>
          <w:fldChar w:fldCharType="end"/>
        </w:r>
      </w:hyperlink>
    </w:p>
    <w:p w14:paraId="33B3B430" w14:textId="3C93CDBB" w:rsidR="008060DF" w:rsidRDefault="008060DF">
      <w:pPr>
        <w:pStyle w:val="TOC2"/>
        <w:rPr>
          <w:rFonts w:eastAsiaTheme="minorEastAsia"/>
          <w:bCs w:val="0"/>
          <w:kern w:val="2"/>
          <w:sz w:val="24"/>
          <w:szCs w:val="24"/>
          <w:lang w:eastAsia="en-AU"/>
          <w14:ligatures w14:val="standardContextual"/>
        </w:rPr>
      </w:pPr>
      <w:hyperlink w:anchor="_Toc197959447" w:history="1">
        <w:r w:rsidRPr="00E96103">
          <w:rPr>
            <w:rStyle w:val="Hyperlink"/>
          </w:rPr>
          <w:t>7.3.</w:t>
        </w:r>
        <w:r>
          <w:rPr>
            <w:rFonts w:eastAsiaTheme="minorEastAsia"/>
            <w:bCs w:val="0"/>
            <w:kern w:val="2"/>
            <w:sz w:val="24"/>
            <w:szCs w:val="24"/>
            <w:lang w:eastAsia="en-AU"/>
            <w14:ligatures w14:val="standardContextual"/>
          </w:rPr>
          <w:tab/>
        </w:r>
        <w:r w:rsidRPr="00E96103">
          <w:rPr>
            <w:rStyle w:val="Hyperlink"/>
          </w:rPr>
          <w:t>Options</w:t>
        </w:r>
        <w:r>
          <w:rPr>
            <w:webHidden/>
          </w:rPr>
          <w:tab/>
        </w:r>
        <w:r>
          <w:rPr>
            <w:webHidden/>
          </w:rPr>
          <w:fldChar w:fldCharType="begin"/>
        </w:r>
        <w:r>
          <w:rPr>
            <w:webHidden/>
          </w:rPr>
          <w:instrText xml:space="preserve"> PAGEREF _Toc197959447 \h </w:instrText>
        </w:r>
        <w:r>
          <w:rPr>
            <w:webHidden/>
          </w:rPr>
        </w:r>
        <w:r>
          <w:rPr>
            <w:webHidden/>
          </w:rPr>
          <w:fldChar w:fldCharType="separate"/>
        </w:r>
        <w:r w:rsidR="009A244B">
          <w:rPr>
            <w:webHidden/>
          </w:rPr>
          <w:t>100</w:t>
        </w:r>
        <w:r>
          <w:rPr>
            <w:webHidden/>
          </w:rPr>
          <w:fldChar w:fldCharType="end"/>
        </w:r>
      </w:hyperlink>
    </w:p>
    <w:p w14:paraId="1014537B" w14:textId="2C8529F7" w:rsidR="008060DF" w:rsidRDefault="008060DF">
      <w:pPr>
        <w:pStyle w:val="TOC2"/>
        <w:rPr>
          <w:rFonts w:eastAsiaTheme="minorEastAsia"/>
          <w:bCs w:val="0"/>
          <w:kern w:val="2"/>
          <w:sz w:val="24"/>
          <w:szCs w:val="24"/>
          <w:lang w:eastAsia="en-AU"/>
          <w14:ligatures w14:val="standardContextual"/>
        </w:rPr>
      </w:pPr>
      <w:hyperlink w:anchor="_Toc197959448" w:history="1">
        <w:r w:rsidRPr="00E96103">
          <w:rPr>
            <w:rStyle w:val="Hyperlink"/>
          </w:rPr>
          <w:t>7.4.</w:t>
        </w:r>
        <w:r>
          <w:rPr>
            <w:rFonts w:eastAsiaTheme="minorEastAsia"/>
            <w:bCs w:val="0"/>
            <w:kern w:val="2"/>
            <w:sz w:val="24"/>
            <w:szCs w:val="24"/>
            <w:lang w:eastAsia="en-AU"/>
            <w14:ligatures w14:val="standardContextual"/>
          </w:rPr>
          <w:tab/>
        </w:r>
        <w:r w:rsidRPr="00E96103">
          <w:rPr>
            <w:rStyle w:val="Hyperlink"/>
          </w:rPr>
          <w:t>Analysis</w:t>
        </w:r>
        <w:r>
          <w:rPr>
            <w:webHidden/>
          </w:rPr>
          <w:tab/>
        </w:r>
        <w:r>
          <w:rPr>
            <w:webHidden/>
          </w:rPr>
          <w:fldChar w:fldCharType="begin"/>
        </w:r>
        <w:r>
          <w:rPr>
            <w:webHidden/>
          </w:rPr>
          <w:instrText xml:space="preserve"> PAGEREF _Toc197959448 \h </w:instrText>
        </w:r>
        <w:r>
          <w:rPr>
            <w:webHidden/>
          </w:rPr>
        </w:r>
        <w:r>
          <w:rPr>
            <w:webHidden/>
          </w:rPr>
          <w:fldChar w:fldCharType="separate"/>
        </w:r>
        <w:r w:rsidR="009A244B">
          <w:rPr>
            <w:webHidden/>
          </w:rPr>
          <w:t>103</w:t>
        </w:r>
        <w:r>
          <w:rPr>
            <w:webHidden/>
          </w:rPr>
          <w:fldChar w:fldCharType="end"/>
        </w:r>
      </w:hyperlink>
    </w:p>
    <w:p w14:paraId="76D35871" w14:textId="39F7D9B8" w:rsidR="008060DF" w:rsidRDefault="008060DF">
      <w:pPr>
        <w:pStyle w:val="TOC2"/>
        <w:rPr>
          <w:rFonts w:eastAsiaTheme="minorEastAsia"/>
          <w:bCs w:val="0"/>
          <w:kern w:val="2"/>
          <w:sz w:val="24"/>
          <w:szCs w:val="24"/>
          <w:lang w:eastAsia="en-AU"/>
          <w14:ligatures w14:val="standardContextual"/>
        </w:rPr>
      </w:pPr>
      <w:hyperlink w:anchor="_Toc197959449" w:history="1">
        <w:r w:rsidRPr="00E96103">
          <w:rPr>
            <w:rStyle w:val="Hyperlink"/>
          </w:rPr>
          <w:t>7.5.</w:t>
        </w:r>
        <w:r>
          <w:rPr>
            <w:rFonts w:eastAsiaTheme="minorEastAsia"/>
            <w:bCs w:val="0"/>
            <w:kern w:val="2"/>
            <w:sz w:val="24"/>
            <w:szCs w:val="24"/>
            <w:lang w:eastAsia="en-AU"/>
            <w14:ligatures w14:val="standardContextual"/>
          </w:rPr>
          <w:tab/>
        </w:r>
        <w:r w:rsidRPr="00E96103">
          <w:rPr>
            <w:rStyle w:val="Hyperlink"/>
          </w:rPr>
          <w:t>Summary and preferred option</w:t>
        </w:r>
        <w:r>
          <w:rPr>
            <w:webHidden/>
          </w:rPr>
          <w:tab/>
        </w:r>
        <w:r>
          <w:rPr>
            <w:webHidden/>
          </w:rPr>
          <w:fldChar w:fldCharType="begin"/>
        </w:r>
        <w:r>
          <w:rPr>
            <w:webHidden/>
          </w:rPr>
          <w:instrText xml:space="preserve"> PAGEREF _Toc197959449 \h </w:instrText>
        </w:r>
        <w:r>
          <w:rPr>
            <w:webHidden/>
          </w:rPr>
        </w:r>
        <w:r>
          <w:rPr>
            <w:webHidden/>
          </w:rPr>
          <w:fldChar w:fldCharType="separate"/>
        </w:r>
        <w:r w:rsidR="009A244B">
          <w:rPr>
            <w:webHidden/>
          </w:rPr>
          <w:t>109</w:t>
        </w:r>
        <w:r>
          <w:rPr>
            <w:webHidden/>
          </w:rPr>
          <w:fldChar w:fldCharType="end"/>
        </w:r>
      </w:hyperlink>
    </w:p>
    <w:p w14:paraId="24F4E130" w14:textId="5B0F11E3" w:rsidR="008060DF" w:rsidRDefault="008060DF">
      <w:pPr>
        <w:pStyle w:val="TOC2"/>
        <w:rPr>
          <w:rFonts w:eastAsiaTheme="minorEastAsia"/>
          <w:bCs w:val="0"/>
          <w:kern w:val="2"/>
          <w:sz w:val="24"/>
          <w:szCs w:val="24"/>
          <w:lang w:eastAsia="en-AU"/>
          <w14:ligatures w14:val="standardContextual"/>
        </w:rPr>
      </w:pPr>
      <w:hyperlink w:anchor="_Toc197959450" w:history="1">
        <w:r w:rsidRPr="00E96103">
          <w:rPr>
            <w:rStyle w:val="Hyperlink"/>
          </w:rPr>
          <w:t>7.6.</w:t>
        </w:r>
        <w:r>
          <w:rPr>
            <w:rFonts w:eastAsiaTheme="minorEastAsia"/>
            <w:bCs w:val="0"/>
            <w:kern w:val="2"/>
            <w:sz w:val="24"/>
            <w:szCs w:val="24"/>
            <w:lang w:eastAsia="en-AU"/>
            <w14:ligatures w14:val="standardContextual"/>
          </w:rPr>
          <w:tab/>
        </w:r>
        <w:r w:rsidRPr="00E96103">
          <w:rPr>
            <w:rStyle w:val="Hyperlink"/>
          </w:rPr>
          <w:t>Questions for stakeholders</w:t>
        </w:r>
        <w:r>
          <w:rPr>
            <w:webHidden/>
          </w:rPr>
          <w:tab/>
        </w:r>
        <w:r>
          <w:rPr>
            <w:webHidden/>
          </w:rPr>
          <w:fldChar w:fldCharType="begin"/>
        </w:r>
        <w:r>
          <w:rPr>
            <w:webHidden/>
          </w:rPr>
          <w:instrText xml:space="preserve"> PAGEREF _Toc197959450 \h </w:instrText>
        </w:r>
        <w:r>
          <w:rPr>
            <w:webHidden/>
          </w:rPr>
        </w:r>
        <w:r>
          <w:rPr>
            <w:webHidden/>
          </w:rPr>
          <w:fldChar w:fldCharType="separate"/>
        </w:r>
        <w:r w:rsidR="009A244B">
          <w:rPr>
            <w:webHidden/>
          </w:rPr>
          <w:t>110</w:t>
        </w:r>
        <w:r>
          <w:rPr>
            <w:webHidden/>
          </w:rPr>
          <w:fldChar w:fldCharType="end"/>
        </w:r>
      </w:hyperlink>
    </w:p>
    <w:p w14:paraId="616FA4E9" w14:textId="40C75ABA"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51" w:history="1">
        <w:r w:rsidRPr="00E96103">
          <w:rPr>
            <w:rStyle w:val="Hyperlink"/>
            <w:noProof/>
          </w:rPr>
          <w:t>8.</w:t>
        </w:r>
        <w:r>
          <w:rPr>
            <w:rFonts w:eastAsiaTheme="minorEastAsia"/>
            <w:b w:val="0"/>
            <w:noProof/>
            <w:kern w:val="2"/>
            <w:sz w:val="24"/>
            <w:szCs w:val="24"/>
            <w:lang w:eastAsia="en-AU"/>
            <w14:ligatures w14:val="standardContextual"/>
          </w:rPr>
          <w:tab/>
        </w:r>
        <w:r w:rsidRPr="00E96103">
          <w:rPr>
            <w:rStyle w:val="Hyperlink"/>
            <w:noProof/>
          </w:rPr>
          <w:t>Protections for customers paying higher prices</w:t>
        </w:r>
        <w:r>
          <w:rPr>
            <w:noProof/>
            <w:webHidden/>
          </w:rPr>
          <w:tab/>
        </w:r>
        <w:r>
          <w:rPr>
            <w:noProof/>
            <w:webHidden/>
          </w:rPr>
          <w:fldChar w:fldCharType="begin"/>
        </w:r>
        <w:r>
          <w:rPr>
            <w:noProof/>
            <w:webHidden/>
          </w:rPr>
          <w:instrText xml:space="preserve"> PAGEREF _Toc197959451 \h </w:instrText>
        </w:r>
        <w:r>
          <w:rPr>
            <w:noProof/>
            <w:webHidden/>
          </w:rPr>
        </w:r>
        <w:r>
          <w:rPr>
            <w:noProof/>
            <w:webHidden/>
          </w:rPr>
          <w:fldChar w:fldCharType="separate"/>
        </w:r>
        <w:r w:rsidR="009A244B">
          <w:rPr>
            <w:noProof/>
            <w:webHidden/>
          </w:rPr>
          <w:t>111</w:t>
        </w:r>
        <w:r>
          <w:rPr>
            <w:noProof/>
            <w:webHidden/>
          </w:rPr>
          <w:fldChar w:fldCharType="end"/>
        </w:r>
      </w:hyperlink>
    </w:p>
    <w:p w14:paraId="13165A82" w14:textId="3574DFE2" w:rsidR="008060DF" w:rsidRDefault="008060DF">
      <w:pPr>
        <w:pStyle w:val="TOC2"/>
        <w:rPr>
          <w:rFonts w:eastAsiaTheme="minorEastAsia"/>
          <w:bCs w:val="0"/>
          <w:kern w:val="2"/>
          <w:sz w:val="24"/>
          <w:szCs w:val="24"/>
          <w:lang w:eastAsia="en-AU"/>
          <w14:ligatures w14:val="standardContextual"/>
        </w:rPr>
      </w:pPr>
      <w:hyperlink w:anchor="_Toc197959452" w:history="1">
        <w:r w:rsidRPr="00E96103">
          <w:rPr>
            <w:rStyle w:val="Hyperlink"/>
          </w:rPr>
          <w:t>8.1.</w:t>
        </w:r>
        <w:r>
          <w:rPr>
            <w:rFonts w:eastAsiaTheme="minorEastAsia"/>
            <w:bCs w:val="0"/>
            <w:kern w:val="2"/>
            <w:sz w:val="24"/>
            <w:szCs w:val="24"/>
            <w:lang w:eastAsia="en-AU"/>
            <w14:ligatures w14:val="standardContextual"/>
          </w:rPr>
          <w:tab/>
        </w:r>
        <w:r w:rsidRPr="00E96103">
          <w:rPr>
            <w:rStyle w:val="Hyperlink"/>
          </w:rPr>
          <w:t>Scope of reform</w:t>
        </w:r>
        <w:r>
          <w:rPr>
            <w:webHidden/>
          </w:rPr>
          <w:tab/>
        </w:r>
        <w:r>
          <w:rPr>
            <w:webHidden/>
          </w:rPr>
          <w:fldChar w:fldCharType="begin"/>
        </w:r>
        <w:r>
          <w:rPr>
            <w:webHidden/>
          </w:rPr>
          <w:instrText xml:space="preserve"> PAGEREF _Toc197959452 \h </w:instrText>
        </w:r>
        <w:r>
          <w:rPr>
            <w:webHidden/>
          </w:rPr>
        </w:r>
        <w:r>
          <w:rPr>
            <w:webHidden/>
          </w:rPr>
          <w:fldChar w:fldCharType="separate"/>
        </w:r>
        <w:r w:rsidR="009A244B">
          <w:rPr>
            <w:webHidden/>
          </w:rPr>
          <w:t>111</w:t>
        </w:r>
        <w:r>
          <w:rPr>
            <w:webHidden/>
          </w:rPr>
          <w:fldChar w:fldCharType="end"/>
        </w:r>
      </w:hyperlink>
    </w:p>
    <w:p w14:paraId="5B9AFB3A" w14:textId="0E23B0EE" w:rsidR="008060DF" w:rsidRDefault="008060DF">
      <w:pPr>
        <w:pStyle w:val="TOC2"/>
        <w:rPr>
          <w:rFonts w:eastAsiaTheme="minorEastAsia"/>
          <w:bCs w:val="0"/>
          <w:kern w:val="2"/>
          <w:sz w:val="24"/>
          <w:szCs w:val="24"/>
          <w:lang w:eastAsia="en-AU"/>
          <w14:ligatures w14:val="standardContextual"/>
        </w:rPr>
      </w:pPr>
      <w:hyperlink w:anchor="_Toc197959453" w:history="1">
        <w:r w:rsidRPr="00E96103">
          <w:rPr>
            <w:rStyle w:val="Hyperlink"/>
          </w:rPr>
          <w:t>8.2.</w:t>
        </w:r>
        <w:r>
          <w:rPr>
            <w:rFonts w:eastAsiaTheme="minorEastAsia"/>
            <w:bCs w:val="0"/>
            <w:kern w:val="2"/>
            <w:sz w:val="24"/>
            <w:szCs w:val="24"/>
            <w:lang w:eastAsia="en-AU"/>
            <w14:ligatures w14:val="standardContextual"/>
          </w:rPr>
          <w:tab/>
        </w:r>
        <w:r w:rsidRPr="00E96103">
          <w:rPr>
            <w:rStyle w:val="Hyperlink"/>
          </w:rPr>
          <w:t>Options considered but not progressed to assessment</w:t>
        </w:r>
        <w:r>
          <w:rPr>
            <w:webHidden/>
          </w:rPr>
          <w:tab/>
        </w:r>
        <w:r>
          <w:rPr>
            <w:webHidden/>
          </w:rPr>
          <w:fldChar w:fldCharType="begin"/>
        </w:r>
        <w:r>
          <w:rPr>
            <w:webHidden/>
          </w:rPr>
          <w:instrText xml:space="preserve"> PAGEREF _Toc197959453 \h </w:instrText>
        </w:r>
        <w:r>
          <w:rPr>
            <w:webHidden/>
          </w:rPr>
        </w:r>
        <w:r>
          <w:rPr>
            <w:webHidden/>
          </w:rPr>
          <w:fldChar w:fldCharType="separate"/>
        </w:r>
        <w:r w:rsidR="009A244B">
          <w:rPr>
            <w:webHidden/>
          </w:rPr>
          <w:t>113</w:t>
        </w:r>
        <w:r>
          <w:rPr>
            <w:webHidden/>
          </w:rPr>
          <w:fldChar w:fldCharType="end"/>
        </w:r>
      </w:hyperlink>
    </w:p>
    <w:p w14:paraId="63A4BD47" w14:textId="6F20A3DA" w:rsidR="008060DF" w:rsidRDefault="008060DF">
      <w:pPr>
        <w:pStyle w:val="TOC2"/>
        <w:rPr>
          <w:rFonts w:eastAsiaTheme="minorEastAsia"/>
          <w:bCs w:val="0"/>
          <w:kern w:val="2"/>
          <w:sz w:val="24"/>
          <w:szCs w:val="24"/>
          <w:lang w:eastAsia="en-AU"/>
          <w14:ligatures w14:val="standardContextual"/>
        </w:rPr>
      </w:pPr>
      <w:hyperlink w:anchor="_Toc197959454" w:history="1">
        <w:r w:rsidRPr="00E96103">
          <w:rPr>
            <w:rStyle w:val="Hyperlink"/>
          </w:rPr>
          <w:t>8.3.</w:t>
        </w:r>
        <w:r>
          <w:rPr>
            <w:rFonts w:eastAsiaTheme="minorEastAsia"/>
            <w:bCs w:val="0"/>
            <w:kern w:val="2"/>
            <w:sz w:val="24"/>
            <w:szCs w:val="24"/>
            <w:lang w:eastAsia="en-AU"/>
            <w14:ligatures w14:val="standardContextual"/>
          </w:rPr>
          <w:tab/>
        </w:r>
        <w:r w:rsidRPr="00E96103">
          <w:rPr>
            <w:rStyle w:val="Hyperlink"/>
          </w:rPr>
          <w:t>Options</w:t>
        </w:r>
        <w:r>
          <w:rPr>
            <w:webHidden/>
          </w:rPr>
          <w:tab/>
        </w:r>
        <w:r>
          <w:rPr>
            <w:webHidden/>
          </w:rPr>
          <w:fldChar w:fldCharType="begin"/>
        </w:r>
        <w:r>
          <w:rPr>
            <w:webHidden/>
          </w:rPr>
          <w:instrText xml:space="preserve"> PAGEREF _Toc197959454 \h </w:instrText>
        </w:r>
        <w:r>
          <w:rPr>
            <w:webHidden/>
          </w:rPr>
        </w:r>
        <w:r>
          <w:rPr>
            <w:webHidden/>
          </w:rPr>
          <w:fldChar w:fldCharType="separate"/>
        </w:r>
        <w:r w:rsidR="009A244B">
          <w:rPr>
            <w:webHidden/>
          </w:rPr>
          <w:t>114</w:t>
        </w:r>
        <w:r>
          <w:rPr>
            <w:webHidden/>
          </w:rPr>
          <w:fldChar w:fldCharType="end"/>
        </w:r>
      </w:hyperlink>
    </w:p>
    <w:p w14:paraId="41FE4B7F" w14:textId="386DF068" w:rsidR="008060DF" w:rsidRDefault="008060DF">
      <w:pPr>
        <w:pStyle w:val="TOC2"/>
        <w:rPr>
          <w:rFonts w:eastAsiaTheme="minorEastAsia"/>
          <w:bCs w:val="0"/>
          <w:kern w:val="2"/>
          <w:sz w:val="24"/>
          <w:szCs w:val="24"/>
          <w:lang w:eastAsia="en-AU"/>
          <w14:ligatures w14:val="standardContextual"/>
        </w:rPr>
      </w:pPr>
      <w:hyperlink w:anchor="_Toc197959455" w:history="1">
        <w:r w:rsidRPr="00E96103">
          <w:rPr>
            <w:rStyle w:val="Hyperlink"/>
          </w:rPr>
          <w:t>8.4.</w:t>
        </w:r>
        <w:r>
          <w:rPr>
            <w:rFonts w:eastAsiaTheme="minorEastAsia"/>
            <w:bCs w:val="0"/>
            <w:kern w:val="2"/>
            <w:sz w:val="24"/>
            <w:szCs w:val="24"/>
            <w:lang w:eastAsia="en-AU"/>
            <w14:ligatures w14:val="standardContextual"/>
          </w:rPr>
          <w:tab/>
        </w:r>
        <w:r w:rsidRPr="00E96103">
          <w:rPr>
            <w:rStyle w:val="Hyperlink"/>
          </w:rPr>
          <w:t>Analysis</w:t>
        </w:r>
        <w:r>
          <w:rPr>
            <w:webHidden/>
          </w:rPr>
          <w:tab/>
        </w:r>
        <w:r>
          <w:rPr>
            <w:webHidden/>
          </w:rPr>
          <w:fldChar w:fldCharType="begin"/>
        </w:r>
        <w:r>
          <w:rPr>
            <w:webHidden/>
          </w:rPr>
          <w:instrText xml:space="preserve"> PAGEREF _Toc197959455 \h </w:instrText>
        </w:r>
        <w:r>
          <w:rPr>
            <w:webHidden/>
          </w:rPr>
        </w:r>
        <w:r>
          <w:rPr>
            <w:webHidden/>
          </w:rPr>
          <w:fldChar w:fldCharType="separate"/>
        </w:r>
        <w:r w:rsidR="009A244B">
          <w:rPr>
            <w:webHidden/>
          </w:rPr>
          <w:t>117</w:t>
        </w:r>
        <w:r>
          <w:rPr>
            <w:webHidden/>
          </w:rPr>
          <w:fldChar w:fldCharType="end"/>
        </w:r>
      </w:hyperlink>
    </w:p>
    <w:p w14:paraId="53A326E5" w14:textId="32AE6861" w:rsidR="008060DF" w:rsidRDefault="008060DF">
      <w:pPr>
        <w:pStyle w:val="TOC2"/>
        <w:rPr>
          <w:rFonts w:eastAsiaTheme="minorEastAsia"/>
          <w:bCs w:val="0"/>
          <w:kern w:val="2"/>
          <w:sz w:val="24"/>
          <w:szCs w:val="24"/>
          <w:lang w:eastAsia="en-AU"/>
          <w14:ligatures w14:val="standardContextual"/>
        </w:rPr>
      </w:pPr>
      <w:hyperlink w:anchor="_Toc197959456" w:history="1">
        <w:r w:rsidRPr="00E96103">
          <w:rPr>
            <w:rStyle w:val="Hyperlink"/>
          </w:rPr>
          <w:t>8.5.</w:t>
        </w:r>
        <w:r>
          <w:rPr>
            <w:rFonts w:eastAsiaTheme="minorEastAsia"/>
            <w:bCs w:val="0"/>
            <w:kern w:val="2"/>
            <w:sz w:val="24"/>
            <w:szCs w:val="24"/>
            <w:lang w:eastAsia="en-AU"/>
            <w14:ligatures w14:val="standardContextual"/>
          </w:rPr>
          <w:tab/>
        </w:r>
        <w:r w:rsidRPr="00E96103">
          <w:rPr>
            <w:rStyle w:val="Hyperlink"/>
          </w:rPr>
          <w:t>Summary and preferred option</w:t>
        </w:r>
        <w:r>
          <w:rPr>
            <w:webHidden/>
          </w:rPr>
          <w:tab/>
        </w:r>
        <w:r>
          <w:rPr>
            <w:webHidden/>
          </w:rPr>
          <w:fldChar w:fldCharType="begin"/>
        </w:r>
        <w:r>
          <w:rPr>
            <w:webHidden/>
          </w:rPr>
          <w:instrText xml:space="preserve"> PAGEREF _Toc197959456 \h </w:instrText>
        </w:r>
        <w:r>
          <w:rPr>
            <w:webHidden/>
          </w:rPr>
        </w:r>
        <w:r>
          <w:rPr>
            <w:webHidden/>
          </w:rPr>
          <w:fldChar w:fldCharType="separate"/>
        </w:r>
        <w:r w:rsidR="009A244B">
          <w:rPr>
            <w:webHidden/>
          </w:rPr>
          <w:t>124</w:t>
        </w:r>
        <w:r>
          <w:rPr>
            <w:webHidden/>
          </w:rPr>
          <w:fldChar w:fldCharType="end"/>
        </w:r>
      </w:hyperlink>
    </w:p>
    <w:p w14:paraId="3517FE47" w14:textId="27AF0F7F" w:rsidR="008060DF" w:rsidRDefault="008060DF">
      <w:pPr>
        <w:pStyle w:val="TOC2"/>
        <w:rPr>
          <w:rFonts w:eastAsiaTheme="minorEastAsia"/>
          <w:bCs w:val="0"/>
          <w:kern w:val="2"/>
          <w:sz w:val="24"/>
          <w:szCs w:val="24"/>
          <w:lang w:eastAsia="en-AU"/>
          <w14:ligatures w14:val="standardContextual"/>
        </w:rPr>
      </w:pPr>
      <w:hyperlink w:anchor="_Toc197959457" w:history="1">
        <w:r w:rsidRPr="00E96103">
          <w:rPr>
            <w:rStyle w:val="Hyperlink"/>
          </w:rPr>
          <w:t>8.6.</w:t>
        </w:r>
        <w:r>
          <w:rPr>
            <w:rFonts w:eastAsiaTheme="minorEastAsia"/>
            <w:bCs w:val="0"/>
            <w:kern w:val="2"/>
            <w:sz w:val="24"/>
            <w:szCs w:val="24"/>
            <w:lang w:eastAsia="en-AU"/>
            <w14:ligatures w14:val="standardContextual"/>
          </w:rPr>
          <w:tab/>
        </w:r>
        <w:r w:rsidRPr="00E96103">
          <w:rPr>
            <w:rStyle w:val="Hyperlink"/>
          </w:rPr>
          <w:t>Question for stakeholders</w:t>
        </w:r>
        <w:r>
          <w:rPr>
            <w:webHidden/>
          </w:rPr>
          <w:tab/>
        </w:r>
        <w:r>
          <w:rPr>
            <w:webHidden/>
          </w:rPr>
          <w:fldChar w:fldCharType="begin"/>
        </w:r>
        <w:r>
          <w:rPr>
            <w:webHidden/>
          </w:rPr>
          <w:instrText xml:space="preserve"> PAGEREF _Toc197959457 \h </w:instrText>
        </w:r>
        <w:r>
          <w:rPr>
            <w:webHidden/>
          </w:rPr>
        </w:r>
        <w:r>
          <w:rPr>
            <w:webHidden/>
          </w:rPr>
          <w:fldChar w:fldCharType="separate"/>
        </w:r>
        <w:r w:rsidR="009A244B">
          <w:rPr>
            <w:webHidden/>
          </w:rPr>
          <w:t>125</w:t>
        </w:r>
        <w:r>
          <w:rPr>
            <w:webHidden/>
          </w:rPr>
          <w:fldChar w:fldCharType="end"/>
        </w:r>
      </w:hyperlink>
    </w:p>
    <w:p w14:paraId="7482B086" w14:textId="44184184"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58" w:history="1">
        <w:r w:rsidRPr="00E96103">
          <w:rPr>
            <w:rStyle w:val="Hyperlink"/>
            <w:noProof/>
          </w:rPr>
          <w:t>9.</w:t>
        </w:r>
        <w:r>
          <w:rPr>
            <w:rFonts w:eastAsiaTheme="minorEastAsia"/>
            <w:b w:val="0"/>
            <w:noProof/>
            <w:kern w:val="2"/>
            <w:sz w:val="24"/>
            <w:szCs w:val="24"/>
            <w:lang w:eastAsia="en-AU"/>
            <w14:ligatures w14:val="standardContextual"/>
          </w:rPr>
          <w:tab/>
        </w:r>
        <w:r w:rsidRPr="00E96103">
          <w:rPr>
            <w:rStyle w:val="Hyperlink"/>
            <w:noProof/>
          </w:rPr>
          <w:t>Improving the application of concessions on bills</w:t>
        </w:r>
        <w:r>
          <w:rPr>
            <w:noProof/>
            <w:webHidden/>
          </w:rPr>
          <w:tab/>
        </w:r>
        <w:r>
          <w:rPr>
            <w:noProof/>
            <w:webHidden/>
          </w:rPr>
          <w:fldChar w:fldCharType="begin"/>
        </w:r>
        <w:r>
          <w:rPr>
            <w:noProof/>
            <w:webHidden/>
          </w:rPr>
          <w:instrText xml:space="preserve"> PAGEREF _Toc197959458 \h </w:instrText>
        </w:r>
        <w:r>
          <w:rPr>
            <w:noProof/>
            <w:webHidden/>
          </w:rPr>
        </w:r>
        <w:r>
          <w:rPr>
            <w:noProof/>
            <w:webHidden/>
          </w:rPr>
          <w:fldChar w:fldCharType="separate"/>
        </w:r>
        <w:r w:rsidR="009A244B">
          <w:rPr>
            <w:noProof/>
            <w:webHidden/>
          </w:rPr>
          <w:t>126</w:t>
        </w:r>
        <w:r>
          <w:rPr>
            <w:noProof/>
            <w:webHidden/>
          </w:rPr>
          <w:fldChar w:fldCharType="end"/>
        </w:r>
      </w:hyperlink>
    </w:p>
    <w:p w14:paraId="54BAF080" w14:textId="2C21D85A" w:rsidR="008060DF" w:rsidRDefault="008060DF">
      <w:pPr>
        <w:pStyle w:val="TOC2"/>
        <w:rPr>
          <w:rFonts w:eastAsiaTheme="minorEastAsia"/>
          <w:bCs w:val="0"/>
          <w:kern w:val="2"/>
          <w:sz w:val="24"/>
          <w:szCs w:val="24"/>
          <w:lang w:eastAsia="en-AU"/>
          <w14:ligatures w14:val="standardContextual"/>
        </w:rPr>
      </w:pPr>
      <w:hyperlink w:anchor="_Toc197959459" w:history="1">
        <w:r w:rsidRPr="00E96103">
          <w:rPr>
            <w:rStyle w:val="Hyperlink"/>
          </w:rPr>
          <w:t>9.1.</w:t>
        </w:r>
        <w:r>
          <w:rPr>
            <w:rFonts w:eastAsiaTheme="minorEastAsia"/>
            <w:bCs w:val="0"/>
            <w:kern w:val="2"/>
            <w:sz w:val="24"/>
            <w:szCs w:val="24"/>
            <w:lang w:eastAsia="en-AU"/>
            <w14:ligatures w14:val="standardContextual"/>
          </w:rPr>
          <w:tab/>
        </w:r>
        <w:r w:rsidRPr="00E96103">
          <w:rPr>
            <w:rStyle w:val="Hyperlink"/>
          </w:rPr>
          <w:t>Scope of reform</w:t>
        </w:r>
        <w:r>
          <w:rPr>
            <w:webHidden/>
          </w:rPr>
          <w:tab/>
        </w:r>
        <w:r>
          <w:rPr>
            <w:webHidden/>
          </w:rPr>
          <w:fldChar w:fldCharType="begin"/>
        </w:r>
        <w:r>
          <w:rPr>
            <w:webHidden/>
          </w:rPr>
          <w:instrText xml:space="preserve"> PAGEREF _Toc197959459 \h </w:instrText>
        </w:r>
        <w:r>
          <w:rPr>
            <w:webHidden/>
          </w:rPr>
        </w:r>
        <w:r>
          <w:rPr>
            <w:webHidden/>
          </w:rPr>
          <w:fldChar w:fldCharType="separate"/>
        </w:r>
        <w:r w:rsidR="009A244B">
          <w:rPr>
            <w:webHidden/>
          </w:rPr>
          <w:t>126</w:t>
        </w:r>
        <w:r>
          <w:rPr>
            <w:webHidden/>
          </w:rPr>
          <w:fldChar w:fldCharType="end"/>
        </w:r>
      </w:hyperlink>
    </w:p>
    <w:p w14:paraId="22A94707" w14:textId="27B4ED1E" w:rsidR="008060DF" w:rsidRDefault="008060DF">
      <w:pPr>
        <w:pStyle w:val="TOC2"/>
        <w:rPr>
          <w:rFonts w:eastAsiaTheme="minorEastAsia"/>
          <w:bCs w:val="0"/>
          <w:kern w:val="2"/>
          <w:sz w:val="24"/>
          <w:szCs w:val="24"/>
          <w:lang w:eastAsia="en-AU"/>
          <w14:ligatures w14:val="standardContextual"/>
        </w:rPr>
      </w:pPr>
      <w:hyperlink w:anchor="_Toc197959460" w:history="1">
        <w:r w:rsidRPr="00E96103">
          <w:rPr>
            <w:rStyle w:val="Hyperlink"/>
          </w:rPr>
          <w:t>9.2.</w:t>
        </w:r>
        <w:r>
          <w:rPr>
            <w:rFonts w:eastAsiaTheme="minorEastAsia"/>
            <w:bCs w:val="0"/>
            <w:kern w:val="2"/>
            <w:sz w:val="24"/>
            <w:szCs w:val="24"/>
            <w:lang w:eastAsia="en-AU"/>
            <w14:ligatures w14:val="standardContextual"/>
          </w:rPr>
          <w:tab/>
        </w:r>
        <w:r w:rsidRPr="00E96103">
          <w:rPr>
            <w:rStyle w:val="Hyperlink"/>
          </w:rPr>
          <w:t>Options considered but not progressed to assessment</w:t>
        </w:r>
        <w:r>
          <w:rPr>
            <w:webHidden/>
          </w:rPr>
          <w:tab/>
        </w:r>
        <w:r>
          <w:rPr>
            <w:webHidden/>
          </w:rPr>
          <w:fldChar w:fldCharType="begin"/>
        </w:r>
        <w:r>
          <w:rPr>
            <w:webHidden/>
          </w:rPr>
          <w:instrText xml:space="preserve"> PAGEREF _Toc197959460 \h </w:instrText>
        </w:r>
        <w:r>
          <w:rPr>
            <w:webHidden/>
          </w:rPr>
        </w:r>
        <w:r>
          <w:rPr>
            <w:webHidden/>
          </w:rPr>
          <w:fldChar w:fldCharType="separate"/>
        </w:r>
        <w:r w:rsidR="009A244B">
          <w:rPr>
            <w:webHidden/>
          </w:rPr>
          <w:t>129</w:t>
        </w:r>
        <w:r>
          <w:rPr>
            <w:webHidden/>
          </w:rPr>
          <w:fldChar w:fldCharType="end"/>
        </w:r>
      </w:hyperlink>
    </w:p>
    <w:p w14:paraId="531699EE" w14:textId="111DEFEE" w:rsidR="008060DF" w:rsidRDefault="008060DF">
      <w:pPr>
        <w:pStyle w:val="TOC2"/>
        <w:rPr>
          <w:rFonts w:eastAsiaTheme="minorEastAsia"/>
          <w:bCs w:val="0"/>
          <w:kern w:val="2"/>
          <w:sz w:val="24"/>
          <w:szCs w:val="24"/>
          <w:lang w:eastAsia="en-AU"/>
          <w14:ligatures w14:val="standardContextual"/>
        </w:rPr>
      </w:pPr>
      <w:hyperlink w:anchor="_Toc197959461" w:history="1">
        <w:r w:rsidRPr="00E96103">
          <w:rPr>
            <w:rStyle w:val="Hyperlink"/>
          </w:rPr>
          <w:t>9.3.</w:t>
        </w:r>
        <w:r>
          <w:rPr>
            <w:rFonts w:eastAsiaTheme="minorEastAsia"/>
            <w:bCs w:val="0"/>
            <w:kern w:val="2"/>
            <w:sz w:val="24"/>
            <w:szCs w:val="24"/>
            <w:lang w:eastAsia="en-AU"/>
            <w14:ligatures w14:val="standardContextual"/>
          </w:rPr>
          <w:tab/>
        </w:r>
        <w:r w:rsidRPr="00E96103">
          <w:rPr>
            <w:rStyle w:val="Hyperlink"/>
          </w:rPr>
          <w:t>Options</w:t>
        </w:r>
        <w:r>
          <w:rPr>
            <w:webHidden/>
          </w:rPr>
          <w:tab/>
        </w:r>
        <w:r>
          <w:rPr>
            <w:webHidden/>
          </w:rPr>
          <w:fldChar w:fldCharType="begin"/>
        </w:r>
        <w:r>
          <w:rPr>
            <w:webHidden/>
          </w:rPr>
          <w:instrText xml:space="preserve"> PAGEREF _Toc197959461 \h </w:instrText>
        </w:r>
        <w:r>
          <w:rPr>
            <w:webHidden/>
          </w:rPr>
        </w:r>
        <w:r>
          <w:rPr>
            <w:webHidden/>
          </w:rPr>
          <w:fldChar w:fldCharType="separate"/>
        </w:r>
        <w:r w:rsidR="009A244B">
          <w:rPr>
            <w:webHidden/>
          </w:rPr>
          <w:t>129</w:t>
        </w:r>
        <w:r>
          <w:rPr>
            <w:webHidden/>
          </w:rPr>
          <w:fldChar w:fldCharType="end"/>
        </w:r>
      </w:hyperlink>
    </w:p>
    <w:p w14:paraId="251C16C1" w14:textId="04677A28" w:rsidR="008060DF" w:rsidRDefault="008060DF">
      <w:pPr>
        <w:pStyle w:val="TOC2"/>
        <w:rPr>
          <w:rFonts w:eastAsiaTheme="minorEastAsia"/>
          <w:bCs w:val="0"/>
          <w:kern w:val="2"/>
          <w:sz w:val="24"/>
          <w:szCs w:val="24"/>
          <w:lang w:eastAsia="en-AU"/>
          <w14:ligatures w14:val="standardContextual"/>
        </w:rPr>
      </w:pPr>
      <w:hyperlink w:anchor="_Toc197959462" w:history="1">
        <w:r w:rsidRPr="00E96103">
          <w:rPr>
            <w:rStyle w:val="Hyperlink"/>
          </w:rPr>
          <w:t>9.4.</w:t>
        </w:r>
        <w:r>
          <w:rPr>
            <w:rFonts w:eastAsiaTheme="minorEastAsia"/>
            <w:bCs w:val="0"/>
            <w:kern w:val="2"/>
            <w:sz w:val="24"/>
            <w:szCs w:val="24"/>
            <w:lang w:eastAsia="en-AU"/>
            <w14:ligatures w14:val="standardContextual"/>
          </w:rPr>
          <w:tab/>
        </w:r>
        <w:r w:rsidRPr="00E96103">
          <w:rPr>
            <w:rStyle w:val="Hyperlink"/>
          </w:rPr>
          <w:t>Analysis</w:t>
        </w:r>
        <w:r>
          <w:rPr>
            <w:webHidden/>
          </w:rPr>
          <w:tab/>
        </w:r>
        <w:r>
          <w:rPr>
            <w:webHidden/>
          </w:rPr>
          <w:fldChar w:fldCharType="begin"/>
        </w:r>
        <w:r>
          <w:rPr>
            <w:webHidden/>
          </w:rPr>
          <w:instrText xml:space="preserve"> PAGEREF _Toc197959462 \h </w:instrText>
        </w:r>
        <w:r>
          <w:rPr>
            <w:webHidden/>
          </w:rPr>
        </w:r>
        <w:r>
          <w:rPr>
            <w:webHidden/>
          </w:rPr>
          <w:fldChar w:fldCharType="separate"/>
        </w:r>
        <w:r w:rsidR="009A244B">
          <w:rPr>
            <w:webHidden/>
          </w:rPr>
          <w:t>131</w:t>
        </w:r>
        <w:r>
          <w:rPr>
            <w:webHidden/>
          </w:rPr>
          <w:fldChar w:fldCharType="end"/>
        </w:r>
      </w:hyperlink>
    </w:p>
    <w:p w14:paraId="41A1B50B" w14:textId="17F08E43" w:rsidR="008060DF" w:rsidRDefault="008060DF">
      <w:pPr>
        <w:pStyle w:val="TOC2"/>
        <w:rPr>
          <w:rFonts w:eastAsiaTheme="minorEastAsia"/>
          <w:bCs w:val="0"/>
          <w:kern w:val="2"/>
          <w:sz w:val="24"/>
          <w:szCs w:val="24"/>
          <w:lang w:eastAsia="en-AU"/>
          <w14:ligatures w14:val="standardContextual"/>
        </w:rPr>
      </w:pPr>
      <w:hyperlink w:anchor="_Toc197959463" w:history="1">
        <w:r w:rsidRPr="00E96103">
          <w:rPr>
            <w:rStyle w:val="Hyperlink"/>
          </w:rPr>
          <w:t>9.5.</w:t>
        </w:r>
        <w:r>
          <w:rPr>
            <w:rFonts w:eastAsiaTheme="minorEastAsia"/>
            <w:bCs w:val="0"/>
            <w:kern w:val="2"/>
            <w:sz w:val="24"/>
            <w:szCs w:val="24"/>
            <w:lang w:eastAsia="en-AU"/>
            <w14:ligatures w14:val="standardContextual"/>
          </w:rPr>
          <w:tab/>
        </w:r>
        <w:r w:rsidRPr="00E96103">
          <w:rPr>
            <w:rStyle w:val="Hyperlink"/>
          </w:rPr>
          <w:t>Summary and preferred option</w:t>
        </w:r>
        <w:r>
          <w:rPr>
            <w:webHidden/>
          </w:rPr>
          <w:tab/>
        </w:r>
        <w:r>
          <w:rPr>
            <w:webHidden/>
          </w:rPr>
          <w:fldChar w:fldCharType="begin"/>
        </w:r>
        <w:r>
          <w:rPr>
            <w:webHidden/>
          </w:rPr>
          <w:instrText xml:space="preserve"> PAGEREF _Toc197959463 \h </w:instrText>
        </w:r>
        <w:r>
          <w:rPr>
            <w:webHidden/>
          </w:rPr>
        </w:r>
        <w:r>
          <w:rPr>
            <w:webHidden/>
          </w:rPr>
          <w:fldChar w:fldCharType="separate"/>
        </w:r>
        <w:r w:rsidR="009A244B">
          <w:rPr>
            <w:webHidden/>
          </w:rPr>
          <w:t>137</w:t>
        </w:r>
        <w:r>
          <w:rPr>
            <w:webHidden/>
          </w:rPr>
          <w:fldChar w:fldCharType="end"/>
        </w:r>
      </w:hyperlink>
    </w:p>
    <w:p w14:paraId="73AB330C" w14:textId="2C5CE621"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64" w:history="1">
        <w:r w:rsidRPr="00E96103">
          <w:rPr>
            <w:rStyle w:val="Hyperlink"/>
            <w:noProof/>
          </w:rPr>
          <w:t>10.</w:t>
        </w:r>
        <w:r>
          <w:rPr>
            <w:rFonts w:eastAsiaTheme="minorEastAsia"/>
            <w:b w:val="0"/>
            <w:noProof/>
            <w:kern w:val="2"/>
            <w:sz w:val="24"/>
            <w:szCs w:val="24"/>
            <w:lang w:eastAsia="en-AU"/>
            <w14:ligatures w14:val="standardContextual"/>
          </w:rPr>
          <w:tab/>
        </w:r>
        <w:r w:rsidRPr="00E96103">
          <w:rPr>
            <w:rStyle w:val="Hyperlink"/>
            <w:noProof/>
          </w:rPr>
          <w:t>Extending protections for customers on legacy contracts</w:t>
        </w:r>
        <w:r>
          <w:rPr>
            <w:noProof/>
            <w:webHidden/>
          </w:rPr>
          <w:tab/>
        </w:r>
        <w:r>
          <w:rPr>
            <w:noProof/>
            <w:webHidden/>
          </w:rPr>
          <w:fldChar w:fldCharType="begin"/>
        </w:r>
        <w:r>
          <w:rPr>
            <w:noProof/>
            <w:webHidden/>
          </w:rPr>
          <w:instrText xml:space="preserve"> PAGEREF _Toc197959464 \h </w:instrText>
        </w:r>
        <w:r>
          <w:rPr>
            <w:noProof/>
            <w:webHidden/>
          </w:rPr>
        </w:r>
        <w:r>
          <w:rPr>
            <w:noProof/>
            <w:webHidden/>
          </w:rPr>
          <w:fldChar w:fldCharType="separate"/>
        </w:r>
        <w:r w:rsidR="009A244B">
          <w:rPr>
            <w:noProof/>
            <w:webHidden/>
          </w:rPr>
          <w:t>138</w:t>
        </w:r>
        <w:r>
          <w:rPr>
            <w:noProof/>
            <w:webHidden/>
          </w:rPr>
          <w:fldChar w:fldCharType="end"/>
        </w:r>
      </w:hyperlink>
    </w:p>
    <w:p w14:paraId="09D23B37" w14:textId="17C396DE" w:rsidR="008060DF" w:rsidRDefault="008060DF">
      <w:pPr>
        <w:pStyle w:val="TOC2"/>
        <w:rPr>
          <w:rFonts w:eastAsiaTheme="minorEastAsia"/>
          <w:bCs w:val="0"/>
          <w:kern w:val="2"/>
          <w:sz w:val="24"/>
          <w:szCs w:val="24"/>
          <w:lang w:eastAsia="en-AU"/>
          <w14:ligatures w14:val="standardContextual"/>
        </w:rPr>
      </w:pPr>
      <w:hyperlink w:anchor="_Toc197959465" w:history="1">
        <w:r w:rsidRPr="00E96103">
          <w:rPr>
            <w:rStyle w:val="Hyperlink"/>
          </w:rPr>
          <w:t>10.1.</w:t>
        </w:r>
        <w:r>
          <w:rPr>
            <w:rFonts w:eastAsiaTheme="minorEastAsia"/>
            <w:bCs w:val="0"/>
            <w:kern w:val="2"/>
            <w:sz w:val="24"/>
            <w:szCs w:val="24"/>
            <w:lang w:eastAsia="en-AU"/>
            <w14:ligatures w14:val="standardContextual"/>
          </w:rPr>
          <w:tab/>
        </w:r>
        <w:r w:rsidRPr="00E96103">
          <w:rPr>
            <w:rStyle w:val="Hyperlink"/>
          </w:rPr>
          <w:t>Scope of reform</w:t>
        </w:r>
        <w:r>
          <w:rPr>
            <w:webHidden/>
          </w:rPr>
          <w:tab/>
        </w:r>
        <w:r>
          <w:rPr>
            <w:webHidden/>
          </w:rPr>
          <w:fldChar w:fldCharType="begin"/>
        </w:r>
        <w:r>
          <w:rPr>
            <w:webHidden/>
          </w:rPr>
          <w:instrText xml:space="preserve"> PAGEREF _Toc197959465 \h </w:instrText>
        </w:r>
        <w:r>
          <w:rPr>
            <w:webHidden/>
          </w:rPr>
        </w:r>
        <w:r>
          <w:rPr>
            <w:webHidden/>
          </w:rPr>
          <w:fldChar w:fldCharType="separate"/>
        </w:r>
        <w:r w:rsidR="009A244B">
          <w:rPr>
            <w:webHidden/>
          </w:rPr>
          <w:t>138</w:t>
        </w:r>
        <w:r>
          <w:rPr>
            <w:webHidden/>
          </w:rPr>
          <w:fldChar w:fldCharType="end"/>
        </w:r>
      </w:hyperlink>
    </w:p>
    <w:p w14:paraId="6136572A" w14:textId="48D1D08C" w:rsidR="008060DF" w:rsidRDefault="008060DF">
      <w:pPr>
        <w:pStyle w:val="TOC2"/>
        <w:rPr>
          <w:rFonts w:eastAsiaTheme="minorEastAsia"/>
          <w:bCs w:val="0"/>
          <w:kern w:val="2"/>
          <w:sz w:val="24"/>
          <w:szCs w:val="24"/>
          <w:lang w:eastAsia="en-AU"/>
          <w14:ligatures w14:val="standardContextual"/>
        </w:rPr>
      </w:pPr>
      <w:hyperlink w:anchor="_Toc197959466" w:history="1">
        <w:r w:rsidRPr="00E96103">
          <w:rPr>
            <w:rStyle w:val="Hyperlink"/>
          </w:rPr>
          <w:t>10.2.</w:t>
        </w:r>
        <w:r>
          <w:rPr>
            <w:rFonts w:eastAsiaTheme="minorEastAsia"/>
            <w:bCs w:val="0"/>
            <w:kern w:val="2"/>
            <w:sz w:val="24"/>
            <w:szCs w:val="24"/>
            <w:lang w:eastAsia="en-AU"/>
            <w14:ligatures w14:val="standardContextual"/>
          </w:rPr>
          <w:tab/>
        </w:r>
        <w:r w:rsidRPr="00E96103">
          <w:rPr>
            <w:rStyle w:val="Hyperlink"/>
          </w:rPr>
          <w:t>Options considered but not progressed to assessment</w:t>
        </w:r>
        <w:r>
          <w:rPr>
            <w:webHidden/>
          </w:rPr>
          <w:tab/>
        </w:r>
        <w:r>
          <w:rPr>
            <w:webHidden/>
          </w:rPr>
          <w:fldChar w:fldCharType="begin"/>
        </w:r>
        <w:r>
          <w:rPr>
            <w:webHidden/>
          </w:rPr>
          <w:instrText xml:space="preserve"> PAGEREF _Toc197959466 \h </w:instrText>
        </w:r>
        <w:r>
          <w:rPr>
            <w:webHidden/>
          </w:rPr>
        </w:r>
        <w:r>
          <w:rPr>
            <w:webHidden/>
          </w:rPr>
          <w:fldChar w:fldCharType="separate"/>
        </w:r>
        <w:r w:rsidR="009A244B">
          <w:rPr>
            <w:webHidden/>
          </w:rPr>
          <w:t>141</w:t>
        </w:r>
        <w:r>
          <w:rPr>
            <w:webHidden/>
          </w:rPr>
          <w:fldChar w:fldCharType="end"/>
        </w:r>
      </w:hyperlink>
    </w:p>
    <w:p w14:paraId="7CBACA35" w14:textId="3D924B95" w:rsidR="008060DF" w:rsidRDefault="008060DF">
      <w:pPr>
        <w:pStyle w:val="TOC2"/>
        <w:rPr>
          <w:rFonts w:eastAsiaTheme="minorEastAsia"/>
          <w:bCs w:val="0"/>
          <w:kern w:val="2"/>
          <w:sz w:val="24"/>
          <w:szCs w:val="24"/>
          <w:lang w:eastAsia="en-AU"/>
          <w14:ligatures w14:val="standardContextual"/>
        </w:rPr>
      </w:pPr>
      <w:hyperlink w:anchor="_Toc197959467" w:history="1">
        <w:r w:rsidRPr="00E96103">
          <w:rPr>
            <w:rStyle w:val="Hyperlink"/>
          </w:rPr>
          <w:t>10.3.</w:t>
        </w:r>
        <w:r>
          <w:rPr>
            <w:rFonts w:eastAsiaTheme="minorEastAsia"/>
            <w:bCs w:val="0"/>
            <w:kern w:val="2"/>
            <w:sz w:val="24"/>
            <w:szCs w:val="24"/>
            <w:lang w:eastAsia="en-AU"/>
            <w14:ligatures w14:val="standardContextual"/>
          </w:rPr>
          <w:tab/>
        </w:r>
        <w:r w:rsidRPr="00E96103">
          <w:rPr>
            <w:rStyle w:val="Hyperlink"/>
          </w:rPr>
          <w:t>Options</w:t>
        </w:r>
        <w:r>
          <w:rPr>
            <w:webHidden/>
          </w:rPr>
          <w:tab/>
        </w:r>
        <w:r>
          <w:rPr>
            <w:webHidden/>
          </w:rPr>
          <w:fldChar w:fldCharType="begin"/>
        </w:r>
        <w:r>
          <w:rPr>
            <w:webHidden/>
          </w:rPr>
          <w:instrText xml:space="preserve"> PAGEREF _Toc197959467 \h </w:instrText>
        </w:r>
        <w:r>
          <w:rPr>
            <w:webHidden/>
          </w:rPr>
        </w:r>
        <w:r>
          <w:rPr>
            <w:webHidden/>
          </w:rPr>
          <w:fldChar w:fldCharType="separate"/>
        </w:r>
        <w:r w:rsidR="009A244B">
          <w:rPr>
            <w:webHidden/>
          </w:rPr>
          <w:t>142</w:t>
        </w:r>
        <w:r>
          <w:rPr>
            <w:webHidden/>
          </w:rPr>
          <w:fldChar w:fldCharType="end"/>
        </w:r>
      </w:hyperlink>
    </w:p>
    <w:p w14:paraId="24EC5F4C" w14:textId="7C004D7D" w:rsidR="008060DF" w:rsidRDefault="008060DF">
      <w:pPr>
        <w:pStyle w:val="TOC2"/>
        <w:rPr>
          <w:rFonts w:eastAsiaTheme="minorEastAsia"/>
          <w:bCs w:val="0"/>
          <w:kern w:val="2"/>
          <w:sz w:val="24"/>
          <w:szCs w:val="24"/>
          <w:lang w:eastAsia="en-AU"/>
          <w14:ligatures w14:val="standardContextual"/>
        </w:rPr>
      </w:pPr>
      <w:hyperlink w:anchor="_Toc197959468" w:history="1">
        <w:r w:rsidRPr="00E96103">
          <w:rPr>
            <w:rStyle w:val="Hyperlink"/>
          </w:rPr>
          <w:t>10.4.</w:t>
        </w:r>
        <w:r>
          <w:rPr>
            <w:rFonts w:eastAsiaTheme="minorEastAsia"/>
            <w:bCs w:val="0"/>
            <w:kern w:val="2"/>
            <w:sz w:val="24"/>
            <w:szCs w:val="24"/>
            <w:lang w:eastAsia="en-AU"/>
            <w14:ligatures w14:val="standardContextual"/>
          </w:rPr>
          <w:tab/>
        </w:r>
        <w:r w:rsidRPr="00E96103">
          <w:rPr>
            <w:rStyle w:val="Hyperlink"/>
          </w:rPr>
          <w:t>Analysis</w:t>
        </w:r>
        <w:r>
          <w:rPr>
            <w:webHidden/>
          </w:rPr>
          <w:tab/>
        </w:r>
        <w:r>
          <w:rPr>
            <w:webHidden/>
          </w:rPr>
          <w:fldChar w:fldCharType="begin"/>
        </w:r>
        <w:r>
          <w:rPr>
            <w:webHidden/>
          </w:rPr>
          <w:instrText xml:space="preserve"> PAGEREF _Toc197959468 \h </w:instrText>
        </w:r>
        <w:r>
          <w:rPr>
            <w:webHidden/>
          </w:rPr>
        </w:r>
        <w:r>
          <w:rPr>
            <w:webHidden/>
          </w:rPr>
          <w:fldChar w:fldCharType="separate"/>
        </w:r>
        <w:r w:rsidR="009A244B">
          <w:rPr>
            <w:webHidden/>
          </w:rPr>
          <w:t>144</w:t>
        </w:r>
        <w:r>
          <w:rPr>
            <w:webHidden/>
          </w:rPr>
          <w:fldChar w:fldCharType="end"/>
        </w:r>
      </w:hyperlink>
    </w:p>
    <w:p w14:paraId="1B10ACD2" w14:textId="33B67A75" w:rsidR="008060DF" w:rsidRDefault="008060DF">
      <w:pPr>
        <w:pStyle w:val="TOC2"/>
        <w:rPr>
          <w:rFonts w:eastAsiaTheme="minorEastAsia"/>
          <w:bCs w:val="0"/>
          <w:kern w:val="2"/>
          <w:sz w:val="24"/>
          <w:szCs w:val="24"/>
          <w:lang w:eastAsia="en-AU"/>
          <w14:ligatures w14:val="standardContextual"/>
        </w:rPr>
      </w:pPr>
      <w:hyperlink w:anchor="_Toc197959469" w:history="1">
        <w:r w:rsidRPr="00E96103">
          <w:rPr>
            <w:rStyle w:val="Hyperlink"/>
          </w:rPr>
          <w:t>10.5.</w:t>
        </w:r>
        <w:r>
          <w:rPr>
            <w:rFonts w:eastAsiaTheme="minorEastAsia"/>
            <w:bCs w:val="0"/>
            <w:kern w:val="2"/>
            <w:sz w:val="24"/>
            <w:szCs w:val="24"/>
            <w:lang w:eastAsia="en-AU"/>
            <w14:ligatures w14:val="standardContextual"/>
          </w:rPr>
          <w:tab/>
        </w:r>
        <w:r w:rsidRPr="00E96103">
          <w:rPr>
            <w:rStyle w:val="Hyperlink"/>
          </w:rPr>
          <w:t>Summary and preferred option</w:t>
        </w:r>
        <w:r>
          <w:rPr>
            <w:webHidden/>
          </w:rPr>
          <w:tab/>
        </w:r>
        <w:r>
          <w:rPr>
            <w:webHidden/>
          </w:rPr>
          <w:fldChar w:fldCharType="begin"/>
        </w:r>
        <w:r>
          <w:rPr>
            <w:webHidden/>
          </w:rPr>
          <w:instrText xml:space="preserve"> PAGEREF _Toc197959469 \h </w:instrText>
        </w:r>
        <w:r>
          <w:rPr>
            <w:webHidden/>
          </w:rPr>
        </w:r>
        <w:r>
          <w:rPr>
            <w:webHidden/>
          </w:rPr>
          <w:fldChar w:fldCharType="separate"/>
        </w:r>
        <w:r w:rsidR="009A244B">
          <w:rPr>
            <w:webHidden/>
          </w:rPr>
          <w:t>147</w:t>
        </w:r>
        <w:r>
          <w:rPr>
            <w:webHidden/>
          </w:rPr>
          <w:fldChar w:fldCharType="end"/>
        </w:r>
      </w:hyperlink>
    </w:p>
    <w:p w14:paraId="69C2AF55" w14:textId="4BA37835"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70" w:history="1">
        <w:r w:rsidRPr="00E96103">
          <w:rPr>
            <w:rStyle w:val="Hyperlink"/>
            <w:noProof/>
          </w:rPr>
          <w:t>11.</w:t>
        </w:r>
        <w:r>
          <w:rPr>
            <w:rFonts w:eastAsiaTheme="minorEastAsia"/>
            <w:b w:val="0"/>
            <w:noProof/>
            <w:kern w:val="2"/>
            <w:sz w:val="24"/>
            <w:szCs w:val="24"/>
            <w:lang w:eastAsia="en-AU"/>
            <w14:ligatures w14:val="standardContextual"/>
          </w:rPr>
          <w:tab/>
        </w:r>
        <w:r w:rsidRPr="00E96103">
          <w:rPr>
            <w:rStyle w:val="Hyperlink"/>
            <w:noProof/>
          </w:rPr>
          <w:t>Improving awareness of independent dispute resolution services</w:t>
        </w:r>
        <w:r>
          <w:rPr>
            <w:noProof/>
            <w:webHidden/>
          </w:rPr>
          <w:tab/>
        </w:r>
        <w:r>
          <w:rPr>
            <w:noProof/>
            <w:webHidden/>
          </w:rPr>
          <w:fldChar w:fldCharType="begin"/>
        </w:r>
        <w:r>
          <w:rPr>
            <w:noProof/>
            <w:webHidden/>
          </w:rPr>
          <w:instrText xml:space="preserve"> PAGEREF _Toc197959470 \h </w:instrText>
        </w:r>
        <w:r>
          <w:rPr>
            <w:noProof/>
            <w:webHidden/>
          </w:rPr>
        </w:r>
        <w:r>
          <w:rPr>
            <w:noProof/>
            <w:webHidden/>
          </w:rPr>
          <w:fldChar w:fldCharType="separate"/>
        </w:r>
        <w:r w:rsidR="009A244B">
          <w:rPr>
            <w:noProof/>
            <w:webHidden/>
          </w:rPr>
          <w:t>149</w:t>
        </w:r>
        <w:r>
          <w:rPr>
            <w:noProof/>
            <w:webHidden/>
          </w:rPr>
          <w:fldChar w:fldCharType="end"/>
        </w:r>
      </w:hyperlink>
    </w:p>
    <w:p w14:paraId="6CCD2ED0" w14:textId="22A5E1E9" w:rsidR="008060DF" w:rsidRDefault="008060DF">
      <w:pPr>
        <w:pStyle w:val="TOC2"/>
        <w:rPr>
          <w:rFonts w:eastAsiaTheme="minorEastAsia"/>
          <w:bCs w:val="0"/>
          <w:kern w:val="2"/>
          <w:sz w:val="24"/>
          <w:szCs w:val="24"/>
          <w:lang w:eastAsia="en-AU"/>
          <w14:ligatures w14:val="standardContextual"/>
        </w:rPr>
      </w:pPr>
      <w:hyperlink w:anchor="_Toc197959471" w:history="1">
        <w:r w:rsidRPr="00E96103">
          <w:rPr>
            <w:rStyle w:val="Hyperlink"/>
          </w:rPr>
          <w:t>11.1.</w:t>
        </w:r>
        <w:r>
          <w:rPr>
            <w:rFonts w:eastAsiaTheme="minorEastAsia"/>
            <w:bCs w:val="0"/>
            <w:kern w:val="2"/>
            <w:sz w:val="24"/>
            <w:szCs w:val="24"/>
            <w:lang w:eastAsia="en-AU"/>
            <w14:ligatures w14:val="standardContextual"/>
          </w:rPr>
          <w:tab/>
        </w:r>
        <w:r w:rsidRPr="00E96103">
          <w:rPr>
            <w:rStyle w:val="Hyperlink"/>
          </w:rPr>
          <w:t>Scope of reform</w:t>
        </w:r>
        <w:r>
          <w:rPr>
            <w:webHidden/>
          </w:rPr>
          <w:tab/>
        </w:r>
        <w:r>
          <w:rPr>
            <w:webHidden/>
          </w:rPr>
          <w:fldChar w:fldCharType="begin"/>
        </w:r>
        <w:r>
          <w:rPr>
            <w:webHidden/>
          </w:rPr>
          <w:instrText xml:space="preserve"> PAGEREF _Toc197959471 \h </w:instrText>
        </w:r>
        <w:r>
          <w:rPr>
            <w:webHidden/>
          </w:rPr>
        </w:r>
        <w:r>
          <w:rPr>
            <w:webHidden/>
          </w:rPr>
          <w:fldChar w:fldCharType="separate"/>
        </w:r>
        <w:r w:rsidR="009A244B">
          <w:rPr>
            <w:webHidden/>
          </w:rPr>
          <w:t>149</w:t>
        </w:r>
        <w:r>
          <w:rPr>
            <w:webHidden/>
          </w:rPr>
          <w:fldChar w:fldCharType="end"/>
        </w:r>
      </w:hyperlink>
    </w:p>
    <w:p w14:paraId="1689C0B9" w14:textId="1993AA43" w:rsidR="008060DF" w:rsidRDefault="008060DF">
      <w:pPr>
        <w:pStyle w:val="TOC2"/>
        <w:rPr>
          <w:rFonts w:eastAsiaTheme="minorEastAsia"/>
          <w:bCs w:val="0"/>
          <w:kern w:val="2"/>
          <w:sz w:val="24"/>
          <w:szCs w:val="24"/>
          <w:lang w:eastAsia="en-AU"/>
          <w14:ligatures w14:val="standardContextual"/>
        </w:rPr>
      </w:pPr>
      <w:hyperlink w:anchor="_Toc197959472" w:history="1">
        <w:r w:rsidRPr="00E96103">
          <w:rPr>
            <w:rStyle w:val="Hyperlink"/>
          </w:rPr>
          <w:t>11.2.</w:t>
        </w:r>
        <w:r>
          <w:rPr>
            <w:rFonts w:eastAsiaTheme="minorEastAsia"/>
            <w:bCs w:val="0"/>
            <w:kern w:val="2"/>
            <w:sz w:val="24"/>
            <w:szCs w:val="24"/>
            <w:lang w:eastAsia="en-AU"/>
            <w14:ligatures w14:val="standardContextual"/>
          </w:rPr>
          <w:tab/>
        </w:r>
        <w:r w:rsidRPr="00E96103">
          <w:rPr>
            <w:rStyle w:val="Hyperlink"/>
          </w:rPr>
          <w:t>Options considered but not progressed to assessment</w:t>
        </w:r>
        <w:r>
          <w:rPr>
            <w:webHidden/>
          </w:rPr>
          <w:tab/>
        </w:r>
        <w:r>
          <w:rPr>
            <w:webHidden/>
          </w:rPr>
          <w:fldChar w:fldCharType="begin"/>
        </w:r>
        <w:r>
          <w:rPr>
            <w:webHidden/>
          </w:rPr>
          <w:instrText xml:space="preserve"> PAGEREF _Toc197959472 \h </w:instrText>
        </w:r>
        <w:r>
          <w:rPr>
            <w:webHidden/>
          </w:rPr>
        </w:r>
        <w:r>
          <w:rPr>
            <w:webHidden/>
          </w:rPr>
          <w:fldChar w:fldCharType="separate"/>
        </w:r>
        <w:r w:rsidR="009A244B">
          <w:rPr>
            <w:webHidden/>
          </w:rPr>
          <w:t>151</w:t>
        </w:r>
        <w:r>
          <w:rPr>
            <w:webHidden/>
          </w:rPr>
          <w:fldChar w:fldCharType="end"/>
        </w:r>
      </w:hyperlink>
    </w:p>
    <w:p w14:paraId="3DB3470F" w14:textId="41EF4699" w:rsidR="008060DF" w:rsidRDefault="008060DF">
      <w:pPr>
        <w:pStyle w:val="TOC2"/>
        <w:rPr>
          <w:rFonts w:eastAsiaTheme="minorEastAsia"/>
          <w:bCs w:val="0"/>
          <w:kern w:val="2"/>
          <w:sz w:val="24"/>
          <w:szCs w:val="24"/>
          <w:lang w:eastAsia="en-AU"/>
          <w14:ligatures w14:val="standardContextual"/>
        </w:rPr>
      </w:pPr>
      <w:hyperlink w:anchor="_Toc197959473" w:history="1">
        <w:r w:rsidRPr="00E96103">
          <w:rPr>
            <w:rStyle w:val="Hyperlink"/>
          </w:rPr>
          <w:t>11.3.</w:t>
        </w:r>
        <w:r>
          <w:rPr>
            <w:rFonts w:eastAsiaTheme="minorEastAsia"/>
            <w:bCs w:val="0"/>
            <w:kern w:val="2"/>
            <w:sz w:val="24"/>
            <w:szCs w:val="24"/>
            <w:lang w:eastAsia="en-AU"/>
            <w14:ligatures w14:val="standardContextual"/>
          </w:rPr>
          <w:tab/>
        </w:r>
        <w:r w:rsidRPr="00E96103">
          <w:rPr>
            <w:rStyle w:val="Hyperlink"/>
          </w:rPr>
          <w:t>Options</w:t>
        </w:r>
        <w:r>
          <w:rPr>
            <w:webHidden/>
          </w:rPr>
          <w:tab/>
        </w:r>
        <w:r>
          <w:rPr>
            <w:webHidden/>
          </w:rPr>
          <w:fldChar w:fldCharType="begin"/>
        </w:r>
        <w:r>
          <w:rPr>
            <w:webHidden/>
          </w:rPr>
          <w:instrText xml:space="preserve"> PAGEREF _Toc197959473 \h </w:instrText>
        </w:r>
        <w:r>
          <w:rPr>
            <w:webHidden/>
          </w:rPr>
        </w:r>
        <w:r>
          <w:rPr>
            <w:webHidden/>
          </w:rPr>
          <w:fldChar w:fldCharType="separate"/>
        </w:r>
        <w:r w:rsidR="009A244B">
          <w:rPr>
            <w:webHidden/>
          </w:rPr>
          <w:t>152</w:t>
        </w:r>
        <w:r>
          <w:rPr>
            <w:webHidden/>
          </w:rPr>
          <w:fldChar w:fldCharType="end"/>
        </w:r>
      </w:hyperlink>
    </w:p>
    <w:p w14:paraId="21B9D9BA" w14:textId="6C2102AE" w:rsidR="008060DF" w:rsidRDefault="008060DF">
      <w:pPr>
        <w:pStyle w:val="TOC2"/>
        <w:rPr>
          <w:rFonts w:eastAsiaTheme="minorEastAsia"/>
          <w:bCs w:val="0"/>
          <w:kern w:val="2"/>
          <w:sz w:val="24"/>
          <w:szCs w:val="24"/>
          <w:lang w:eastAsia="en-AU"/>
          <w14:ligatures w14:val="standardContextual"/>
        </w:rPr>
      </w:pPr>
      <w:hyperlink w:anchor="_Toc197959474" w:history="1">
        <w:r w:rsidRPr="00E96103">
          <w:rPr>
            <w:rStyle w:val="Hyperlink"/>
          </w:rPr>
          <w:t>11.4.</w:t>
        </w:r>
        <w:r>
          <w:rPr>
            <w:rFonts w:eastAsiaTheme="minorEastAsia"/>
            <w:bCs w:val="0"/>
            <w:kern w:val="2"/>
            <w:sz w:val="24"/>
            <w:szCs w:val="24"/>
            <w:lang w:eastAsia="en-AU"/>
            <w14:ligatures w14:val="standardContextual"/>
          </w:rPr>
          <w:tab/>
        </w:r>
        <w:r w:rsidRPr="00E96103">
          <w:rPr>
            <w:rStyle w:val="Hyperlink"/>
          </w:rPr>
          <w:t>Analysis</w:t>
        </w:r>
        <w:r>
          <w:rPr>
            <w:webHidden/>
          </w:rPr>
          <w:tab/>
        </w:r>
        <w:r>
          <w:rPr>
            <w:webHidden/>
          </w:rPr>
          <w:fldChar w:fldCharType="begin"/>
        </w:r>
        <w:r>
          <w:rPr>
            <w:webHidden/>
          </w:rPr>
          <w:instrText xml:space="preserve"> PAGEREF _Toc197959474 \h </w:instrText>
        </w:r>
        <w:r>
          <w:rPr>
            <w:webHidden/>
          </w:rPr>
        </w:r>
        <w:r>
          <w:rPr>
            <w:webHidden/>
          </w:rPr>
          <w:fldChar w:fldCharType="separate"/>
        </w:r>
        <w:r w:rsidR="009A244B">
          <w:rPr>
            <w:webHidden/>
          </w:rPr>
          <w:t>153</w:t>
        </w:r>
        <w:r>
          <w:rPr>
            <w:webHidden/>
          </w:rPr>
          <w:fldChar w:fldCharType="end"/>
        </w:r>
      </w:hyperlink>
    </w:p>
    <w:p w14:paraId="71E26EC9" w14:textId="0568C592" w:rsidR="008060DF" w:rsidRDefault="008060DF">
      <w:pPr>
        <w:pStyle w:val="TOC2"/>
        <w:rPr>
          <w:rFonts w:eastAsiaTheme="minorEastAsia"/>
          <w:bCs w:val="0"/>
          <w:kern w:val="2"/>
          <w:sz w:val="24"/>
          <w:szCs w:val="24"/>
          <w:lang w:eastAsia="en-AU"/>
          <w14:ligatures w14:val="standardContextual"/>
        </w:rPr>
      </w:pPr>
      <w:hyperlink w:anchor="_Toc197959475" w:history="1">
        <w:r w:rsidRPr="00E96103">
          <w:rPr>
            <w:rStyle w:val="Hyperlink"/>
          </w:rPr>
          <w:t>11.5.</w:t>
        </w:r>
        <w:r>
          <w:rPr>
            <w:rFonts w:eastAsiaTheme="minorEastAsia"/>
            <w:bCs w:val="0"/>
            <w:kern w:val="2"/>
            <w:sz w:val="24"/>
            <w:szCs w:val="24"/>
            <w:lang w:eastAsia="en-AU"/>
            <w14:ligatures w14:val="standardContextual"/>
          </w:rPr>
          <w:tab/>
        </w:r>
        <w:r w:rsidRPr="00E96103">
          <w:rPr>
            <w:rStyle w:val="Hyperlink"/>
          </w:rPr>
          <w:t>Summary and preferred option</w:t>
        </w:r>
        <w:r>
          <w:rPr>
            <w:webHidden/>
          </w:rPr>
          <w:tab/>
        </w:r>
        <w:r>
          <w:rPr>
            <w:webHidden/>
          </w:rPr>
          <w:fldChar w:fldCharType="begin"/>
        </w:r>
        <w:r>
          <w:rPr>
            <w:webHidden/>
          </w:rPr>
          <w:instrText xml:space="preserve"> PAGEREF _Toc197959475 \h </w:instrText>
        </w:r>
        <w:r>
          <w:rPr>
            <w:webHidden/>
          </w:rPr>
        </w:r>
        <w:r>
          <w:rPr>
            <w:webHidden/>
          </w:rPr>
          <w:fldChar w:fldCharType="separate"/>
        </w:r>
        <w:r w:rsidR="009A244B">
          <w:rPr>
            <w:webHidden/>
          </w:rPr>
          <w:t>155</w:t>
        </w:r>
        <w:r>
          <w:rPr>
            <w:webHidden/>
          </w:rPr>
          <w:fldChar w:fldCharType="end"/>
        </w:r>
      </w:hyperlink>
    </w:p>
    <w:p w14:paraId="16C11A65" w14:textId="2E759271"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76" w:history="1">
        <w:r w:rsidRPr="00E96103">
          <w:rPr>
            <w:rStyle w:val="Hyperlink"/>
            <w:noProof/>
          </w:rPr>
          <w:t>12.</w:t>
        </w:r>
        <w:r>
          <w:rPr>
            <w:rFonts w:eastAsiaTheme="minorEastAsia"/>
            <w:b w:val="0"/>
            <w:noProof/>
            <w:kern w:val="2"/>
            <w:sz w:val="24"/>
            <w:szCs w:val="24"/>
            <w:lang w:eastAsia="en-AU"/>
            <w14:ligatures w14:val="standardContextual"/>
          </w:rPr>
          <w:tab/>
        </w:r>
        <w:r w:rsidRPr="00E96103">
          <w:rPr>
            <w:rStyle w:val="Hyperlink"/>
            <w:noProof/>
          </w:rPr>
          <w:t>Impact of preferred options</w:t>
        </w:r>
        <w:r>
          <w:rPr>
            <w:noProof/>
            <w:webHidden/>
          </w:rPr>
          <w:tab/>
        </w:r>
        <w:r>
          <w:rPr>
            <w:noProof/>
            <w:webHidden/>
          </w:rPr>
          <w:fldChar w:fldCharType="begin"/>
        </w:r>
        <w:r>
          <w:rPr>
            <w:noProof/>
            <w:webHidden/>
          </w:rPr>
          <w:instrText xml:space="preserve"> PAGEREF _Toc197959476 \h </w:instrText>
        </w:r>
        <w:r>
          <w:rPr>
            <w:noProof/>
            <w:webHidden/>
          </w:rPr>
        </w:r>
        <w:r>
          <w:rPr>
            <w:noProof/>
            <w:webHidden/>
          </w:rPr>
          <w:fldChar w:fldCharType="separate"/>
        </w:r>
        <w:r w:rsidR="009A244B">
          <w:rPr>
            <w:noProof/>
            <w:webHidden/>
          </w:rPr>
          <w:t>156</w:t>
        </w:r>
        <w:r>
          <w:rPr>
            <w:noProof/>
            <w:webHidden/>
          </w:rPr>
          <w:fldChar w:fldCharType="end"/>
        </w:r>
      </w:hyperlink>
    </w:p>
    <w:p w14:paraId="091E5476" w14:textId="1537AD19" w:rsidR="008060DF" w:rsidRDefault="008060DF">
      <w:pPr>
        <w:pStyle w:val="TOC2"/>
        <w:rPr>
          <w:rFonts w:eastAsiaTheme="minorEastAsia"/>
          <w:bCs w:val="0"/>
          <w:kern w:val="2"/>
          <w:sz w:val="24"/>
          <w:szCs w:val="24"/>
          <w:lang w:eastAsia="en-AU"/>
          <w14:ligatures w14:val="standardContextual"/>
        </w:rPr>
      </w:pPr>
      <w:hyperlink w:anchor="_Toc197959477" w:history="1">
        <w:r w:rsidRPr="00E96103">
          <w:rPr>
            <w:rStyle w:val="Hyperlink"/>
          </w:rPr>
          <w:t>12.1.</w:t>
        </w:r>
        <w:r>
          <w:rPr>
            <w:rFonts w:eastAsiaTheme="minorEastAsia"/>
            <w:bCs w:val="0"/>
            <w:kern w:val="2"/>
            <w:sz w:val="24"/>
            <w:szCs w:val="24"/>
            <w:lang w:eastAsia="en-AU"/>
            <w14:ligatures w14:val="standardContextual"/>
          </w:rPr>
          <w:tab/>
        </w:r>
        <w:r w:rsidRPr="00E96103">
          <w:rPr>
            <w:rStyle w:val="Hyperlink"/>
          </w:rPr>
          <w:t>Summary of preferred options</w:t>
        </w:r>
        <w:r>
          <w:rPr>
            <w:webHidden/>
          </w:rPr>
          <w:tab/>
        </w:r>
        <w:r>
          <w:rPr>
            <w:webHidden/>
          </w:rPr>
          <w:fldChar w:fldCharType="begin"/>
        </w:r>
        <w:r>
          <w:rPr>
            <w:webHidden/>
          </w:rPr>
          <w:instrText xml:space="preserve"> PAGEREF _Toc197959477 \h </w:instrText>
        </w:r>
        <w:r>
          <w:rPr>
            <w:webHidden/>
          </w:rPr>
        </w:r>
        <w:r>
          <w:rPr>
            <w:webHidden/>
          </w:rPr>
          <w:fldChar w:fldCharType="separate"/>
        </w:r>
        <w:r w:rsidR="009A244B">
          <w:rPr>
            <w:webHidden/>
          </w:rPr>
          <w:t>156</w:t>
        </w:r>
        <w:r>
          <w:rPr>
            <w:webHidden/>
          </w:rPr>
          <w:fldChar w:fldCharType="end"/>
        </w:r>
      </w:hyperlink>
    </w:p>
    <w:p w14:paraId="6B9AD615" w14:textId="3A295F95" w:rsidR="008060DF" w:rsidRDefault="008060DF">
      <w:pPr>
        <w:pStyle w:val="TOC2"/>
        <w:rPr>
          <w:rFonts w:eastAsiaTheme="minorEastAsia"/>
          <w:bCs w:val="0"/>
          <w:kern w:val="2"/>
          <w:sz w:val="24"/>
          <w:szCs w:val="24"/>
          <w:lang w:eastAsia="en-AU"/>
          <w14:ligatures w14:val="standardContextual"/>
        </w:rPr>
      </w:pPr>
      <w:hyperlink w:anchor="_Toc197959478" w:history="1">
        <w:r w:rsidRPr="00E96103">
          <w:rPr>
            <w:rStyle w:val="Hyperlink"/>
          </w:rPr>
          <w:t>12.2.</w:t>
        </w:r>
        <w:r>
          <w:rPr>
            <w:rFonts w:eastAsiaTheme="minorEastAsia"/>
            <w:bCs w:val="0"/>
            <w:kern w:val="2"/>
            <w:sz w:val="24"/>
            <w:szCs w:val="24"/>
            <w:lang w:eastAsia="en-AU"/>
            <w14:ligatures w14:val="standardContextual"/>
          </w:rPr>
          <w:tab/>
        </w:r>
        <w:r w:rsidRPr="00E96103">
          <w:rPr>
            <w:rStyle w:val="Hyperlink"/>
          </w:rPr>
          <w:t>Impact on consumers</w:t>
        </w:r>
        <w:r>
          <w:rPr>
            <w:webHidden/>
          </w:rPr>
          <w:tab/>
        </w:r>
        <w:r>
          <w:rPr>
            <w:webHidden/>
          </w:rPr>
          <w:fldChar w:fldCharType="begin"/>
        </w:r>
        <w:r>
          <w:rPr>
            <w:webHidden/>
          </w:rPr>
          <w:instrText xml:space="preserve"> PAGEREF _Toc197959478 \h </w:instrText>
        </w:r>
        <w:r>
          <w:rPr>
            <w:webHidden/>
          </w:rPr>
        </w:r>
        <w:r>
          <w:rPr>
            <w:webHidden/>
          </w:rPr>
          <w:fldChar w:fldCharType="separate"/>
        </w:r>
        <w:r w:rsidR="009A244B">
          <w:rPr>
            <w:webHidden/>
          </w:rPr>
          <w:t>157</w:t>
        </w:r>
        <w:r>
          <w:rPr>
            <w:webHidden/>
          </w:rPr>
          <w:fldChar w:fldCharType="end"/>
        </w:r>
      </w:hyperlink>
    </w:p>
    <w:p w14:paraId="2E13CBB5" w14:textId="47769E0F" w:rsidR="008060DF" w:rsidRDefault="008060DF">
      <w:pPr>
        <w:pStyle w:val="TOC2"/>
        <w:rPr>
          <w:rFonts w:eastAsiaTheme="minorEastAsia"/>
          <w:bCs w:val="0"/>
          <w:kern w:val="2"/>
          <w:sz w:val="24"/>
          <w:szCs w:val="24"/>
          <w:lang w:eastAsia="en-AU"/>
          <w14:ligatures w14:val="standardContextual"/>
        </w:rPr>
      </w:pPr>
      <w:hyperlink w:anchor="_Toc197959479" w:history="1">
        <w:r w:rsidRPr="00E96103">
          <w:rPr>
            <w:rStyle w:val="Hyperlink"/>
          </w:rPr>
          <w:t>12.3.</w:t>
        </w:r>
        <w:r>
          <w:rPr>
            <w:rFonts w:eastAsiaTheme="minorEastAsia"/>
            <w:bCs w:val="0"/>
            <w:kern w:val="2"/>
            <w:sz w:val="24"/>
            <w:szCs w:val="24"/>
            <w:lang w:eastAsia="en-AU"/>
            <w14:ligatures w14:val="standardContextual"/>
          </w:rPr>
          <w:tab/>
        </w:r>
        <w:r w:rsidRPr="00E96103">
          <w:rPr>
            <w:rStyle w:val="Hyperlink"/>
          </w:rPr>
          <w:t>Impact on energy retailers</w:t>
        </w:r>
        <w:r>
          <w:rPr>
            <w:webHidden/>
          </w:rPr>
          <w:tab/>
        </w:r>
        <w:r>
          <w:rPr>
            <w:webHidden/>
          </w:rPr>
          <w:fldChar w:fldCharType="begin"/>
        </w:r>
        <w:r>
          <w:rPr>
            <w:webHidden/>
          </w:rPr>
          <w:instrText xml:space="preserve"> PAGEREF _Toc197959479 \h </w:instrText>
        </w:r>
        <w:r>
          <w:rPr>
            <w:webHidden/>
          </w:rPr>
        </w:r>
        <w:r>
          <w:rPr>
            <w:webHidden/>
          </w:rPr>
          <w:fldChar w:fldCharType="separate"/>
        </w:r>
        <w:r w:rsidR="009A244B">
          <w:rPr>
            <w:webHidden/>
          </w:rPr>
          <w:t>159</w:t>
        </w:r>
        <w:r>
          <w:rPr>
            <w:webHidden/>
          </w:rPr>
          <w:fldChar w:fldCharType="end"/>
        </w:r>
      </w:hyperlink>
    </w:p>
    <w:p w14:paraId="487A9DC5" w14:textId="3BC7A5F0" w:rsidR="008060DF" w:rsidRDefault="008060DF">
      <w:pPr>
        <w:pStyle w:val="TOC2"/>
        <w:rPr>
          <w:rFonts w:eastAsiaTheme="minorEastAsia"/>
          <w:bCs w:val="0"/>
          <w:kern w:val="2"/>
          <w:sz w:val="24"/>
          <w:szCs w:val="24"/>
          <w:lang w:eastAsia="en-AU"/>
          <w14:ligatures w14:val="standardContextual"/>
        </w:rPr>
      </w:pPr>
      <w:hyperlink w:anchor="_Toc197959480" w:history="1">
        <w:r w:rsidRPr="00E96103">
          <w:rPr>
            <w:rStyle w:val="Hyperlink"/>
          </w:rPr>
          <w:t>12.4.</w:t>
        </w:r>
        <w:r>
          <w:rPr>
            <w:rFonts w:eastAsiaTheme="minorEastAsia"/>
            <w:bCs w:val="0"/>
            <w:kern w:val="2"/>
            <w:sz w:val="24"/>
            <w:szCs w:val="24"/>
            <w:lang w:eastAsia="en-AU"/>
            <w14:ligatures w14:val="standardContextual"/>
          </w:rPr>
          <w:tab/>
        </w:r>
        <w:r w:rsidRPr="00E96103">
          <w:rPr>
            <w:rStyle w:val="Hyperlink"/>
          </w:rPr>
          <w:t>Competition impacts</w:t>
        </w:r>
        <w:r>
          <w:rPr>
            <w:webHidden/>
          </w:rPr>
          <w:tab/>
        </w:r>
        <w:r>
          <w:rPr>
            <w:webHidden/>
          </w:rPr>
          <w:fldChar w:fldCharType="begin"/>
        </w:r>
        <w:r>
          <w:rPr>
            <w:webHidden/>
          </w:rPr>
          <w:instrText xml:space="preserve"> PAGEREF _Toc197959480 \h </w:instrText>
        </w:r>
        <w:r>
          <w:rPr>
            <w:webHidden/>
          </w:rPr>
        </w:r>
        <w:r>
          <w:rPr>
            <w:webHidden/>
          </w:rPr>
          <w:fldChar w:fldCharType="separate"/>
        </w:r>
        <w:r w:rsidR="009A244B">
          <w:rPr>
            <w:webHidden/>
          </w:rPr>
          <w:t>161</w:t>
        </w:r>
        <w:r>
          <w:rPr>
            <w:webHidden/>
          </w:rPr>
          <w:fldChar w:fldCharType="end"/>
        </w:r>
      </w:hyperlink>
    </w:p>
    <w:p w14:paraId="23035F31" w14:textId="29D19EAF"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81" w:history="1">
        <w:r w:rsidRPr="00E96103">
          <w:rPr>
            <w:rStyle w:val="Hyperlink"/>
            <w:noProof/>
          </w:rPr>
          <w:t>13.</w:t>
        </w:r>
        <w:r>
          <w:rPr>
            <w:rFonts w:eastAsiaTheme="minorEastAsia"/>
            <w:b w:val="0"/>
            <w:noProof/>
            <w:kern w:val="2"/>
            <w:sz w:val="24"/>
            <w:szCs w:val="24"/>
            <w:lang w:eastAsia="en-AU"/>
            <w14:ligatures w14:val="standardContextual"/>
          </w:rPr>
          <w:tab/>
        </w:r>
        <w:r w:rsidRPr="00E96103">
          <w:rPr>
            <w:rStyle w:val="Hyperlink"/>
            <w:noProof/>
          </w:rPr>
          <w:t>Implementation and evaluation</w:t>
        </w:r>
        <w:r>
          <w:rPr>
            <w:noProof/>
            <w:webHidden/>
          </w:rPr>
          <w:tab/>
        </w:r>
        <w:r>
          <w:rPr>
            <w:noProof/>
            <w:webHidden/>
          </w:rPr>
          <w:fldChar w:fldCharType="begin"/>
        </w:r>
        <w:r>
          <w:rPr>
            <w:noProof/>
            <w:webHidden/>
          </w:rPr>
          <w:instrText xml:space="preserve"> PAGEREF _Toc197959481 \h </w:instrText>
        </w:r>
        <w:r>
          <w:rPr>
            <w:noProof/>
            <w:webHidden/>
          </w:rPr>
        </w:r>
        <w:r>
          <w:rPr>
            <w:noProof/>
            <w:webHidden/>
          </w:rPr>
          <w:fldChar w:fldCharType="separate"/>
        </w:r>
        <w:r w:rsidR="009A244B">
          <w:rPr>
            <w:noProof/>
            <w:webHidden/>
          </w:rPr>
          <w:t>165</w:t>
        </w:r>
        <w:r>
          <w:rPr>
            <w:noProof/>
            <w:webHidden/>
          </w:rPr>
          <w:fldChar w:fldCharType="end"/>
        </w:r>
      </w:hyperlink>
    </w:p>
    <w:p w14:paraId="53679F5C" w14:textId="3AACD399" w:rsidR="008060DF" w:rsidRDefault="008060DF">
      <w:pPr>
        <w:pStyle w:val="TOC2"/>
        <w:rPr>
          <w:rFonts w:eastAsiaTheme="minorEastAsia"/>
          <w:bCs w:val="0"/>
          <w:kern w:val="2"/>
          <w:sz w:val="24"/>
          <w:szCs w:val="24"/>
          <w:lang w:eastAsia="en-AU"/>
          <w14:ligatures w14:val="standardContextual"/>
        </w:rPr>
      </w:pPr>
      <w:hyperlink w:anchor="_Toc197959482" w:history="1">
        <w:r w:rsidRPr="00E96103">
          <w:rPr>
            <w:rStyle w:val="Hyperlink"/>
          </w:rPr>
          <w:t>13.1.</w:t>
        </w:r>
        <w:r>
          <w:rPr>
            <w:rFonts w:eastAsiaTheme="minorEastAsia"/>
            <w:bCs w:val="0"/>
            <w:kern w:val="2"/>
            <w:sz w:val="24"/>
            <w:szCs w:val="24"/>
            <w:lang w:eastAsia="en-AU"/>
            <w14:ligatures w14:val="standardContextual"/>
          </w:rPr>
          <w:tab/>
        </w:r>
        <w:r w:rsidRPr="00E96103">
          <w:rPr>
            <w:rStyle w:val="Hyperlink"/>
          </w:rPr>
          <w:t>Implementation</w:t>
        </w:r>
        <w:r>
          <w:rPr>
            <w:webHidden/>
          </w:rPr>
          <w:tab/>
        </w:r>
        <w:r>
          <w:rPr>
            <w:webHidden/>
          </w:rPr>
          <w:fldChar w:fldCharType="begin"/>
        </w:r>
        <w:r>
          <w:rPr>
            <w:webHidden/>
          </w:rPr>
          <w:instrText xml:space="preserve"> PAGEREF _Toc197959482 \h </w:instrText>
        </w:r>
        <w:r>
          <w:rPr>
            <w:webHidden/>
          </w:rPr>
        </w:r>
        <w:r>
          <w:rPr>
            <w:webHidden/>
          </w:rPr>
          <w:fldChar w:fldCharType="separate"/>
        </w:r>
        <w:r w:rsidR="009A244B">
          <w:rPr>
            <w:webHidden/>
          </w:rPr>
          <w:t>165</w:t>
        </w:r>
        <w:r>
          <w:rPr>
            <w:webHidden/>
          </w:rPr>
          <w:fldChar w:fldCharType="end"/>
        </w:r>
      </w:hyperlink>
    </w:p>
    <w:p w14:paraId="49596DFA" w14:textId="5E66A829" w:rsidR="008060DF" w:rsidRDefault="008060DF">
      <w:pPr>
        <w:pStyle w:val="TOC2"/>
        <w:rPr>
          <w:rFonts w:eastAsiaTheme="minorEastAsia"/>
          <w:bCs w:val="0"/>
          <w:kern w:val="2"/>
          <w:sz w:val="24"/>
          <w:szCs w:val="24"/>
          <w:lang w:eastAsia="en-AU"/>
          <w14:ligatures w14:val="standardContextual"/>
        </w:rPr>
      </w:pPr>
      <w:hyperlink w:anchor="_Toc197959483" w:history="1">
        <w:r w:rsidRPr="00E96103">
          <w:rPr>
            <w:rStyle w:val="Hyperlink"/>
          </w:rPr>
          <w:t>13.2.</w:t>
        </w:r>
        <w:r>
          <w:rPr>
            <w:rFonts w:eastAsiaTheme="minorEastAsia"/>
            <w:bCs w:val="0"/>
            <w:kern w:val="2"/>
            <w:sz w:val="24"/>
            <w:szCs w:val="24"/>
            <w:lang w:eastAsia="en-AU"/>
            <w14:ligatures w14:val="standardContextual"/>
          </w:rPr>
          <w:tab/>
        </w:r>
        <w:r w:rsidRPr="00E96103">
          <w:rPr>
            <w:rStyle w:val="Hyperlink"/>
          </w:rPr>
          <w:t>Compliance with the new rules</w:t>
        </w:r>
        <w:r>
          <w:rPr>
            <w:webHidden/>
          </w:rPr>
          <w:tab/>
        </w:r>
        <w:r>
          <w:rPr>
            <w:webHidden/>
          </w:rPr>
          <w:fldChar w:fldCharType="begin"/>
        </w:r>
        <w:r>
          <w:rPr>
            <w:webHidden/>
          </w:rPr>
          <w:instrText xml:space="preserve"> PAGEREF _Toc197959483 \h </w:instrText>
        </w:r>
        <w:r>
          <w:rPr>
            <w:webHidden/>
          </w:rPr>
        </w:r>
        <w:r>
          <w:rPr>
            <w:webHidden/>
          </w:rPr>
          <w:fldChar w:fldCharType="separate"/>
        </w:r>
        <w:r w:rsidR="009A244B">
          <w:rPr>
            <w:webHidden/>
          </w:rPr>
          <w:t>166</w:t>
        </w:r>
        <w:r>
          <w:rPr>
            <w:webHidden/>
          </w:rPr>
          <w:fldChar w:fldCharType="end"/>
        </w:r>
      </w:hyperlink>
    </w:p>
    <w:p w14:paraId="06DCFCB2" w14:textId="07A97AD4" w:rsidR="008060DF" w:rsidRDefault="008060DF">
      <w:pPr>
        <w:pStyle w:val="TOC2"/>
        <w:rPr>
          <w:rFonts w:eastAsiaTheme="minorEastAsia"/>
          <w:bCs w:val="0"/>
          <w:kern w:val="2"/>
          <w:sz w:val="24"/>
          <w:szCs w:val="24"/>
          <w:lang w:eastAsia="en-AU"/>
          <w14:ligatures w14:val="standardContextual"/>
        </w:rPr>
      </w:pPr>
      <w:hyperlink w:anchor="_Toc197959484" w:history="1">
        <w:r w:rsidRPr="00E96103">
          <w:rPr>
            <w:rStyle w:val="Hyperlink"/>
          </w:rPr>
          <w:t>13.3.</w:t>
        </w:r>
        <w:r>
          <w:rPr>
            <w:rFonts w:eastAsiaTheme="minorEastAsia"/>
            <w:bCs w:val="0"/>
            <w:kern w:val="2"/>
            <w:sz w:val="24"/>
            <w:szCs w:val="24"/>
            <w:lang w:eastAsia="en-AU"/>
            <w14:ligatures w14:val="standardContextual"/>
          </w:rPr>
          <w:tab/>
        </w:r>
        <w:r w:rsidRPr="00E96103">
          <w:rPr>
            <w:rStyle w:val="Hyperlink"/>
          </w:rPr>
          <w:t>Evaluation strategy</w:t>
        </w:r>
        <w:r>
          <w:rPr>
            <w:webHidden/>
          </w:rPr>
          <w:tab/>
        </w:r>
        <w:r>
          <w:rPr>
            <w:webHidden/>
          </w:rPr>
          <w:fldChar w:fldCharType="begin"/>
        </w:r>
        <w:r>
          <w:rPr>
            <w:webHidden/>
          </w:rPr>
          <w:instrText xml:space="preserve"> PAGEREF _Toc197959484 \h </w:instrText>
        </w:r>
        <w:r>
          <w:rPr>
            <w:webHidden/>
          </w:rPr>
        </w:r>
        <w:r>
          <w:rPr>
            <w:webHidden/>
          </w:rPr>
          <w:fldChar w:fldCharType="separate"/>
        </w:r>
        <w:r w:rsidR="009A244B">
          <w:rPr>
            <w:webHidden/>
          </w:rPr>
          <w:t>168</w:t>
        </w:r>
        <w:r>
          <w:rPr>
            <w:webHidden/>
          </w:rPr>
          <w:fldChar w:fldCharType="end"/>
        </w:r>
      </w:hyperlink>
    </w:p>
    <w:p w14:paraId="66D6E937" w14:textId="3E314A53" w:rsidR="008060DF" w:rsidRDefault="008060DF">
      <w:pPr>
        <w:pStyle w:val="TOC1"/>
        <w:tabs>
          <w:tab w:val="left" w:pos="567"/>
        </w:tabs>
        <w:rPr>
          <w:rFonts w:eastAsiaTheme="minorEastAsia"/>
          <w:b w:val="0"/>
          <w:noProof/>
          <w:kern w:val="2"/>
          <w:sz w:val="24"/>
          <w:szCs w:val="24"/>
          <w:lang w:eastAsia="en-AU"/>
          <w14:ligatures w14:val="standardContextual"/>
        </w:rPr>
      </w:pPr>
      <w:hyperlink w:anchor="_Toc197959485" w:history="1">
        <w:r w:rsidRPr="00E96103">
          <w:rPr>
            <w:rStyle w:val="Hyperlink"/>
            <w:noProof/>
          </w:rPr>
          <w:t>14.</w:t>
        </w:r>
        <w:r>
          <w:rPr>
            <w:rFonts w:eastAsiaTheme="minorEastAsia"/>
            <w:b w:val="0"/>
            <w:noProof/>
            <w:kern w:val="2"/>
            <w:sz w:val="24"/>
            <w:szCs w:val="24"/>
            <w:lang w:eastAsia="en-AU"/>
            <w14:ligatures w14:val="standardContextual"/>
          </w:rPr>
          <w:tab/>
        </w:r>
        <w:r w:rsidRPr="00E96103">
          <w:rPr>
            <w:rStyle w:val="Hyperlink"/>
            <w:noProof/>
          </w:rPr>
          <w:t>Review and consultation</w:t>
        </w:r>
        <w:r>
          <w:rPr>
            <w:noProof/>
            <w:webHidden/>
          </w:rPr>
          <w:tab/>
        </w:r>
        <w:r>
          <w:rPr>
            <w:noProof/>
            <w:webHidden/>
          </w:rPr>
          <w:fldChar w:fldCharType="begin"/>
        </w:r>
        <w:r>
          <w:rPr>
            <w:noProof/>
            <w:webHidden/>
          </w:rPr>
          <w:instrText xml:space="preserve"> PAGEREF _Toc197959485 \h </w:instrText>
        </w:r>
        <w:r>
          <w:rPr>
            <w:noProof/>
            <w:webHidden/>
          </w:rPr>
        </w:r>
        <w:r>
          <w:rPr>
            <w:noProof/>
            <w:webHidden/>
          </w:rPr>
          <w:fldChar w:fldCharType="separate"/>
        </w:r>
        <w:r w:rsidR="009A244B">
          <w:rPr>
            <w:noProof/>
            <w:webHidden/>
          </w:rPr>
          <w:t>170</w:t>
        </w:r>
        <w:r>
          <w:rPr>
            <w:noProof/>
            <w:webHidden/>
          </w:rPr>
          <w:fldChar w:fldCharType="end"/>
        </w:r>
      </w:hyperlink>
    </w:p>
    <w:p w14:paraId="257E6FE2" w14:textId="5DBDD7CB" w:rsidR="00D3670C" w:rsidRDefault="00547B9B" w:rsidP="00D3670C">
      <w:r>
        <w:rPr>
          <w:b/>
          <w:bCs/>
          <w:noProof/>
        </w:rPr>
        <w:fldChar w:fldCharType="end"/>
      </w:r>
    </w:p>
    <w:p w14:paraId="7F4FE1FA" w14:textId="77777777" w:rsidR="003A30F3" w:rsidRPr="003A30F3" w:rsidRDefault="003A30F3" w:rsidP="003A30F3">
      <w:pPr>
        <w:sectPr w:rsidR="003A30F3" w:rsidRPr="003A30F3" w:rsidSect="00A236AB">
          <w:headerReference w:type="even" r:id="rId16"/>
          <w:headerReference w:type="default" r:id="rId17"/>
          <w:footerReference w:type="default" r:id="rId18"/>
          <w:headerReference w:type="first" r:id="rId19"/>
          <w:type w:val="continuous"/>
          <w:pgSz w:w="11906" w:h="16838" w:code="9"/>
          <w:pgMar w:top="1134" w:right="1558" w:bottom="1134" w:left="1134" w:header="709" w:footer="692" w:gutter="0"/>
          <w:pgNumType w:fmt="lowerRoman"/>
          <w:cols w:space="708"/>
          <w:docGrid w:linePitch="360"/>
        </w:sectPr>
      </w:pPr>
    </w:p>
    <w:p w14:paraId="369D2064" w14:textId="1E56B46C" w:rsidR="00710792" w:rsidRDefault="0098581A" w:rsidP="00710792">
      <w:pPr>
        <w:pStyle w:val="Heading1"/>
      </w:pPr>
      <w:bookmarkStart w:id="10" w:name="_Toc197959418"/>
      <w:r>
        <w:lastRenderedPageBreak/>
        <w:t>Abbreviations</w:t>
      </w:r>
      <w:bookmarkEnd w:id="10"/>
    </w:p>
    <w:tbl>
      <w:tblPr>
        <w:tblW w:w="8505" w:type="dxa"/>
        <w:tblCellMar>
          <w:left w:w="0" w:type="dxa"/>
          <w:right w:w="0" w:type="dxa"/>
        </w:tblCellMar>
        <w:tblLook w:val="04A0" w:firstRow="1" w:lastRow="0" w:firstColumn="1" w:lastColumn="0" w:noHBand="0" w:noVBand="1"/>
      </w:tblPr>
      <w:tblGrid>
        <w:gridCol w:w="2135"/>
        <w:gridCol w:w="6370"/>
      </w:tblGrid>
      <w:tr w:rsidR="00AB2A76" w14:paraId="2994594C" w14:textId="77777777" w:rsidTr="00351990">
        <w:trPr>
          <w:trHeight w:val="567"/>
        </w:trPr>
        <w:tc>
          <w:tcPr>
            <w:tcW w:w="2135" w:type="dxa"/>
            <w:tcBorders>
              <w:top w:val="single" w:sz="4" w:space="0" w:color="auto"/>
              <w:left w:val="single" w:sz="4" w:space="0" w:color="auto"/>
            </w:tcBorders>
            <w:shd w:val="clear" w:color="auto" w:fill="4986A0" w:themeFill="accent3"/>
            <w:tcMar>
              <w:top w:w="85" w:type="dxa"/>
              <w:left w:w="90" w:type="dxa"/>
              <w:bottom w:w="85" w:type="dxa"/>
              <w:right w:w="62" w:type="dxa"/>
            </w:tcMar>
            <w:vAlign w:val="center"/>
            <w:hideMark/>
          </w:tcPr>
          <w:p w14:paraId="1BE8F428" w14:textId="77777777" w:rsidR="00AB2A76" w:rsidRDefault="00AB2A76" w:rsidP="00351990">
            <w:pPr>
              <w:spacing w:before="0" w:after="0" w:line="240" w:lineRule="auto"/>
              <w:rPr>
                <w:color w:val="000000"/>
              </w:rPr>
            </w:pPr>
            <w:r>
              <w:rPr>
                <w:b/>
                <w:bCs/>
                <w:color w:val="FFFFFF"/>
              </w:rPr>
              <w:t>Term</w:t>
            </w:r>
          </w:p>
        </w:tc>
        <w:tc>
          <w:tcPr>
            <w:tcW w:w="6370" w:type="dxa"/>
            <w:tcBorders>
              <w:top w:val="single" w:sz="4" w:space="0" w:color="auto"/>
              <w:right w:val="single" w:sz="4" w:space="0" w:color="auto"/>
            </w:tcBorders>
            <w:shd w:val="clear" w:color="auto" w:fill="4986A0" w:themeFill="accent3"/>
            <w:tcMar>
              <w:top w:w="85" w:type="dxa"/>
              <w:left w:w="90" w:type="dxa"/>
              <w:bottom w:w="85" w:type="dxa"/>
              <w:right w:w="62" w:type="dxa"/>
            </w:tcMar>
            <w:vAlign w:val="center"/>
            <w:hideMark/>
          </w:tcPr>
          <w:p w14:paraId="52EB57CE" w14:textId="77777777" w:rsidR="00AB2A76" w:rsidRDefault="00AB2A76" w:rsidP="00351990">
            <w:pPr>
              <w:spacing w:before="0" w:after="0" w:line="240" w:lineRule="auto"/>
              <w:rPr>
                <w:color w:val="000000"/>
              </w:rPr>
            </w:pPr>
            <w:r>
              <w:rPr>
                <w:b/>
                <w:bCs/>
                <w:color w:val="FFFFFF"/>
              </w:rPr>
              <w:t>Definition</w:t>
            </w:r>
          </w:p>
        </w:tc>
      </w:tr>
      <w:tr w:rsidR="00AB2A76" w14:paraId="12648531" w14:textId="77777777" w:rsidTr="00351990">
        <w:trPr>
          <w:trHeight w:val="567"/>
        </w:trPr>
        <w:tc>
          <w:tcPr>
            <w:tcW w:w="2135" w:type="dxa"/>
            <w:tcBorders>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3B327BD2" w14:textId="77777777" w:rsidR="00AB2A76" w:rsidRDefault="00AB2A76" w:rsidP="00351990">
            <w:pPr>
              <w:spacing w:before="0" w:after="0" w:line="240" w:lineRule="auto"/>
              <w:rPr>
                <w:color w:val="000000"/>
              </w:rPr>
            </w:pPr>
            <w:r>
              <w:rPr>
                <w:color w:val="000000"/>
              </w:rPr>
              <w:t>ACCC</w:t>
            </w:r>
          </w:p>
        </w:tc>
        <w:tc>
          <w:tcPr>
            <w:tcW w:w="6370" w:type="dxa"/>
            <w:tcBorders>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1AC4FE82" w14:textId="77777777" w:rsidR="00AB2A76" w:rsidRDefault="00AB2A76" w:rsidP="00351990">
            <w:pPr>
              <w:spacing w:before="0" w:after="0" w:line="240" w:lineRule="auto"/>
              <w:rPr>
                <w:color w:val="000000"/>
              </w:rPr>
            </w:pPr>
            <w:r>
              <w:rPr>
                <w:color w:val="000000"/>
              </w:rPr>
              <w:t>Australian Competition and Consumer Commission</w:t>
            </w:r>
          </w:p>
        </w:tc>
      </w:tr>
      <w:tr w:rsidR="00AB2A76" w14:paraId="23410FBA" w14:textId="77777777" w:rsidTr="00351990">
        <w:trPr>
          <w:trHeight w:val="567"/>
        </w:trPr>
        <w:tc>
          <w:tcPr>
            <w:tcW w:w="2135" w:type="dxa"/>
            <w:tcBorders>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3556529D" w14:textId="77777777" w:rsidR="00AB2A76" w:rsidRDefault="00AB2A76" w:rsidP="00351990">
            <w:pPr>
              <w:spacing w:before="0" w:after="0" w:line="240" w:lineRule="auto"/>
              <w:rPr>
                <w:color w:val="000000"/>
              </w:rPr>
            </w:pPr>
            <w:r>
              <w:rPr>
                <w:color w:val="000000"/>
              </w:rPr>
              <w:t>AEMC</w:t>
            </w:r>
          </w:p>
        </w:tc>
        <w:tc>
          <w:tcPr>
            <w:tcW w:w="6370" w:type="dxa"/>
            <w:tcBorders>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4BAC1226" w14:textId="77777777" w:rsidR="00AB2A76" w:rsidRDefault="00AB2A76" w:rsidP="00351990">
            <w:pPr>
              <w:spacing w:before="0" w:after="0" w:line="240" w:lineRule="auto"/>
              <w:rPr>
                <w:color w:val="000000"/>
              </w:rPr>
            </w:pPr>
            <w:r>
              <w:rPr>
                <w:color w:val="000000"/>
              </w:rPr>
              <w:t>Australian Energy Market Commission</w:t>
            </w:r>
          </w:p>
        </w:tc>
      </w:tr>
      <w:tr w:rsidR="00AB2A76" w14:paraId="6DCDCFCD" w14:textId="77777777" w:rsidTr="00351990">
        <w:trPr>
          <w:trHeight w:val="567"/>
        </w:trPr>
        <w:tc>
          <w:tcPr>
            <w:tcW w:w="2135" w:type="dxa"/>
            <w:tcBorders>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120516D5" w14:textId="77777777" w:rsidR="00AB2A76" w:rsidRDefault="00AB2A76" w:rsidP="00351990">
            <w:pPr>
              <w:spacing w:before="0" w:after="0" w:line="240" w:lineRule="auto"/>
              <w:rPr>
                <w:color w:val="000000"/>
              </w:rPr>
            </w:pPr>
            <w:r>
              <w:rPr>
                <w:color w:val="000000"/>
              </w:rPr>
              <w:t>AER</w:t>
            </w:r>
          </w:p>
        </w:tc>
        <w:tc>
          <w:tcPr>
            <w:tcW w:w="6370" w:type="dxa"/>
            <w:tcBorders>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6849AF0F" w14:textId="77777777" w:rsidR="00AB2A76" w:rsidRDefault="00AB2A76" w:rsidP="00351990">
            <w:pPr>
              <w:spacing w:before="0" w:after="0" w:line="240" w:lineRule="auto"/>
              <w:rPr>
                <w:color w:val="000000"/>
              </w:rPr>
            </w:pPr>
            <w:r>
              <w:rPr>
                <w:color w:val="000000"/>
              </w:rPr>
              <w:t>Australian Energy Regulator</w:t>
            </w:r>
          </w:p>
        </w:tc>
      </w:tr>
      <w:tr w:rsidR="00AB2A76" w14:paraId="3E15E928" w14:textId="77777777" w:rsidTr="00351990">
        <w:trPr>
          <w:trHeight w:val="567"/>
        </w:trPr>
        <w:tc>
          <w:tcPr>
            <w:tcW w:w="2135" w:type="dxa"/>
            <w:tcBorders>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0BA9E742" w14:textId="77777777" w:rsidR="00AB2A76" w:rsidRDefault="00AB2A76" w:rsidP="00351990">
            <w:pPr>
              <w:spacing w:before="0" w:after="0" w:line="240" w:lineRule="auto"/>
              <w:rPr>
                <w:color w:val="000000"/>
              </w:rPr>
            </w:pPr>
            <w:r>
              <w:rPr>
                <w:color w:val="000000"/>
              </w:rPr>
              <w:t>BRV</w:t>
            </w:r>
          </w:p>
        </w:tc>
        <w:tc>
          <w:tcPr>
            <w:tcW w:w="6370" w:type="dxa"/>
            <w:tcBorders>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10198527" w14:textId="77777777" w:rsidR="00AB2A76" w:rsidRDefault="00AB2A76" w:rsidP="00351990">
            <w:pPr>
              <w:spacing w:before="0" w:after="0" w:line="240" w:lineRule="auto"/>
              <w:rPr>
                <w:color w:val="000000"/>
              </w:rPr>
            </w:pPr>
            <w:r>
              <w:rPr>
                <w:color w:val="000000"/>
              </w:rPr>
              <w:t xml:space="preserve">Better Regulation Victoria </w:t>
            </w:r>
          </w:p>
        </w:tc>
      </w:tr>
      <w:tr w:rsidR="00C67CC7" w14:paraId="576A1535" w14:textId="77777777" w:rsidTr="00351990">
        <w:trPr>
          <w:trHeight w:val="567"/>
        </w:trPr>
        <w:tc>
          <w:tcPr>
            <w:tcW w:w="2135" w:type="dxa"/>
            <w:tcBorders>
              <w:top w:val="single" w:sz="4" w:space="0" w:color="75787B" w:themeColor="background2"/>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tcPr>
          <w:p w14:paraId="3F2739C5" w14:textId="09EE648E" w:rsidR="00C67CC7" w:rsidRDefault="00D33AE9" w:rsidP="00351990">
            <w:pPr>
              <w:spacing w:before="0" w:after="0" w:line="240" w:lineRule="auto"/>
              <w:rPr>
                <w:color w:val="000000"/>
              </w:rPr>
            </w:pPr>
            <w:r>
              <w:rPr>
                <w:color w:val="000000"/>
              </w:rPr>
              <w:t>C</w:t>
            </w:r>
            <w:r w:rsidR="00C67CC7">
              <w:rPr>
                <w:color w:val="000000"/>
              </w:rPr>
              <w:t>ode</w:t>
            </w:r>
          </w:p>
        </w:tc>
        <w:tc>
          <w:tcPr>
            <w:tcW w:w="6370" w:type="dxa"/>
            <w:tcBorders>
              <w:top w:val="single" w:sz="4" w:space="0" w:color="75787B" w:themeColor="background2"/>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tcPr>
          <w:p w14:paraId="5EE0214B" w14:textId="19944F4A" w:rsidR="00C67CC7" w:rsidRDefault="00C67CC7" w:rsidP="00351990">
            <w:pPr>
              <w:spacing w:before="0" w:after="0" w:line="240" w:lineRule="auto"/>
              <w:rPr>
                <w:color w:val="000000"/>
              </w:rPr>
            </w:pPr>
            <w:r>
              <w:rPr>
                <w:color w:val="000000"/>
              </w:rPr>
              <w:t xml:space="preserve">where used in this document, refers to the Energy Retail Code of Practice </w:t>
            </w:r>
          </w:p>
        </w:tc>
      </w:tr>
      <w:tr w:rsidR="00AB2A76" w14:paraId="5FC2C4AF" w14:textId="77777777" w:rsidTr="00351990">
        <w:trPr>
          <w:trHeight w:val="567"/>
        </w:trPr>
        <w:tc>
          <w:tcPr>
            <w:tcW w:w="2135" w:type="dxa"/>
            <w:tcBorders>
              <w:top w:val="single" w:sz="4" w:space="0" w:color="75787B" w:themeColor="background2"/>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699E8203" w14:textId="3891DA9F" w:rsidR="00AB2A76" w:rsidRDefault="00AB2A76" w:rsidP="00351990">
            <w:pPr>
              <w:spacing w:before="0" w:after="0" w:line="240" w:lineRule="auto"/>
              <w:rPr>
                <w:color w:val="000000"/>
              </w:rPr>
            </w:pPr>
            <w:r>
              <w:rPr>
                <w:color w:val="000000"/>
              </w:rPr>
              <w:t>Commission</w:t>
            </w:r>
          </w:p>
        </w:tc>
        <w:tc>
          <w:tcPr>
            <w:tcW w:w="6370" w:type="dxa"/>
            <w:tcBorders>
              <w:top w:val="single" w:sz="4" w:space="0" w:color="75787B" w:themeColor="background2"/>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00EEAF2B" w14:textId="77777777" w:rsidR="00AB2A76" w:rsidRDefault="00AB2A76" w:rsidP="00351990">
            <w:pPr>
              <w:spacing w:before="0" w:after="0" w:line="240" w:lineRule="auto"/>
              <w:rPr>
                <w:color w:val="000000"/>
              </w:rPr>
            </w:pPr>
            <w:r>
              <w:rPr>
                <w:color w:val="000000"/>
              </w:rPr>
              <w:t>Essential Services Commission Victoria</w:t>
            </w:r>
          </w:p>
        </w:tc>
      </w:tr>
      <w:tr w:rsidR="00AB2A76" w14:paraId="6935CA5D" w14:textId="77777777" w:rsidTr="00351990">
        <w:trPr>
          <w:trHeight w:val="567"/>
        </w:trPr>
        <w:tc>
          <w:tcPr>
            <w:tcW w:w="2135" w:type="dxa"/>
            <w:tcBorders>
              <w:top w:val="single" w:sz="4" w:space="0" w:color="75787B" w:themeColor="background2"/>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4E005307" w14:textId="77777777" w:rsidR="00AB2A76" w:rsidRDefault="00AB2A76" w:rsidP="00351990">
            <w:pPr>
              <w:spacing w:before="0" w:after="0" w:line="240" w:lineRule="auto"/>
              <w:rPr>
                <w:color w:val="000000"/>
              </w:rPr>
            </w:pPr>
            <w:r>
              <w:rPr>
                <w:color w:val="000000"/>
              </w:rPr>
              <w:t>DEECA</w:t>
            </w:r>
          </w:p>
        </w:tc>
        <w:tc>
          <w:tcPr>
            <w:tcW w:w="6370" w:type="dxa"/>
            <w:tcBorders>
              <w:top w:val="single" w:sz="4" w:space="0" w:color="75787B" w:themeColor="background2"/>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7D7E1698" w14:textId="77777777" w:rsidR="00AB2A76" w:rsidRDefault="00AB2A76" w:rsidP="00351990">
            <w:pPr>
              <w:spacing w:before="0" w:after="0" w:line="240" w:lineRule="auto"/>
              <w:rPr>
                <w:color w:val="000000"/>
              </w:rPr>
            </w:pPr>
            <w:r>
              <w:rPr>
                <w:color w:val="000000"/>
              </w:rPr>
              <w:t>Department of Energy, Environment and Climate Action (Victoria)</w:t>
            </w:r>
          </w:p>
        </w:tc>
      </w:tr>
      <w:tr w:rsidR="00AB2A76" w14:paraId="766D8DFB" w14:textId="77777777" w:rsidTr="00351990">
        <w:trPr>
          <w:trHeight w:val="567"/>
        </w:trPr>
        <w:tc>
          <w:tcPr>
            <w:tcW w:w="2135" w:type="dxa"/>
            <w:tcBorders>
              <w:top w:val="single" w:sz="4" w:space="0" w:color="75787B" w:themeColor="background2"/>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4FA14972" w14:textId="77777777" w:rsidR="00AB2A76" w:rsidRDefault="00AB2A76" w:rsidP="00351990">
            <w:pPr>
              <w:spacing w:before="0" w:after="0" w:line="240" w:lineRule="auto"/>
              <w:rPr>
                <w:color w:val="000000"/>
              </w:rPr>
            </w:pPr>
            <w:r>
              <w:rPr>
                <w:color w:val="000000"/>
              </w:rPr>
              <w:t>ECMC</w:t>
            </w:r>
          </w:p>
        </w:tc>
        <w:tc>
          <w:tcPr>
            <w:tcW w:w="6370" w:type="dxa"/>
            <w:tcBorders>
              <w:top w:val="single" w:sz="4" w:space="0" w:color="75787B" w:themeColor="background2"/>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798B7752" w14:textId="77777777" w:rsidR="00AB2A76" w:rsidRDefault="00AB2A76" w:rsidP="00351990">
            <w:pPr>
              <w:spacing w:before="0" w:after="0" w:line="240" w:lineRule="auto"/>
              <w:rPr>
                <w:color w:val="000000"/>
              </w:rPr>
            </w:pPr>
            <w:r>
              <w:rPr>
                <w:color w:val="000000"/>
              </w:rPr>
              <w:t>Energy and Climate Change Ministerial Council</w:t>
            </w:r>
          </w:p>
        </w:tc>
      </w:tr>
      <w:tr w:rsidR="00AB2A76" w14:paraId="7ECA16D1" w14:textId="77777777" w:rsidTr="00351990">
        <w:trPr>
          <w:trHeight w:val="567"/>
        </w:trPr>
        <w:tc>
          <w:tcPr>
            <w:tcW w:w="2135" w:type="dxa"/>
            <w:tcBorders>
              <w:top w:val="single" w:sz="4" w:space="0" w:color="75787B" w:themeColor="background2"/>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09E93BE7" w14:textId="77777777" w:rsidR="00AB2A76" w:rsidRDefault="00AB2A76" w:rsidP="00351990">
            <w:pPr>
              <w:spacing w:before="0" w:after="0" w:line="240" w:lineRule="auto"/>
              <w:rPr>
                <w:color w:val="000000"/>
              </w:rPr>
            </w:pPr>
            <w:r>
              <w:rPr>
                <w:color w:val="000000"/>
              </w:rPr>
              <w:t>EWOV</w:t>
            </w:r>
          </w:p>
        </w:tc>
        <w:tc>
          <w:tcPr>
            <w:tcW w:w="6370" w:type="dxa"/>
            <w:tcBorders>
              <w:top w:val="single" w:sz="4" w:space="0" w:color="75787B" w:themeColor="background2"/>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53ABBEF8" w14:textId="77777777" w:rsidR="00AB2A76" w:rsidRDefault="00AB2A76" w:rsidP="00351990">
            <w:pPr>
              <w:spacing w:before="0" w:after="0" w:line="240" w:lineRule="auto"/>
              <w:rPr>
                <w:color w:val="000000"/>
              </w:rPr>
            </w:pPr>
            <w:r>
              <w:rPr>
                <w:color w:val="000000"/>
              </w:rPr>
              <w:t>Energy and Water Ombudsman Victoria</w:t>
            </w:r>
          </w:p>
        </w:tc>
      </w:tr>
      <w:tr w:rsidR="00AB2A76" w14:paraId="11FDF9E5" w14:textId="77777777" w:rsidTr="00351990">
        <w:trPr>
          <w:trHeight w:val="567"/>
        </w:trPr>
        <w:tc>
          <w:tcPr>
            <w:tcW w:w="2135" w:type="dxa"/>
            <w:tcBorders>
              <w:top w:val="single" w:sz="4" w:space="0" w:color="75787B" w:themeColor="background2"/>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5B431B11" w14:textId="77777777" w:rsidR="00AB2A76" w:rsidRDefault="00AB2A76" w:rsidP="00351990">
            <w:pPr>
              <w:spacing w:before="0" w:after="0" w:line="240" w:lineRule="auto"/>
              <w:rPr>
                <w:color w:val="000000"/>
              </w:rPr>
            </w:pPr>
            <w:r>
              <w:rPr>
                <w:color w:val="000000"/>
              </w:rPr>
              <w:t>MCA</w:t>
            </w:r>
          </w:p>
        </w:tc>
        <w:tc>
          <w:tcPr>
            <w:tcW w:w="6370" w:type="dxa"/>
            <w:tcBorders>
              <w:top w:val="single" w:sz="4" w:space="0" w:color="75787B" w:themeColor="background2"/>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38723F95" w14:textId="77777777" w:rsidR="00AB2A76" w:rsidRDefault="00AB2A76" w:rsidP="00351990">
            <w:pPr>
              <w:spacing w:before="0" w:after="0" w:line="240" w:lineRule="auto"/>
              <w:rPr>
                <w:color w:val="000000"/>
              </w:rPr>
            </w:pPr>
            <w:r>
              <w:rPr>
                <w:color w:val="000000"/>
              </w:rPr>
              <w:t xml:space="preserve">Multi-Criteria Analysis </w:t>
            </w:r>
          </w:p>
        </w:tc>
      </w:tr>
      <w:tr w:rsidR="00AB2A76" w14:paraId="51FCD1FE" w14:textId="77777777" w:rsidTr="00351990">
        <w:trPr>
          <w:trHeight w:val="567"/>
        </w:trPr>
        <w:tc>
          <w:tcPr>
            <w:tcW w:w="2135" w:type="dxa"/>
            <w:tcBorders>
              <w:top w:val="single" w:sz="4" w:space="0" w:color="75787B" w:themeColor="background2"/>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57687399" w14:textId="77777777" w:rsidR="00AB2A76" w:rsidRDefault="00AB2A76" w:rsidP="00351990">
            <w:pPr>
              <w:spacing w:before="0" w:after="0" w:line="240" w:lineRule="auto"/>
              <w:rPr>
                <w:color w:val="000000"/>
              </w:rPr>
            </w:pPr>
            <w:r>
              <w:rPr>
                <w:color w:val="000000"/>
              </w:rPr>
              <w:t>NECF</w:t>
            </w:r>
          </w:p>
        </w:tc>
        <w:tc>
          <w:tcPr>
            <w:tcW w:w="6370" w:type="dxa"/>
            <w:tcBorders>
              <w:top w:val="single" w:sz="4" w:space="0" w:color="75787B" w:themeColor="background2"/>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5D279144" w14:textId="77777777" w:rsidR="00AB2A76" w:rsidRDefault="00AB2A76" w:rsidP="00351990">
            <w:pPr>
              <w:spacing w:before="0" w:after="0" w:line="240" w:lineRule="auto"/>
              <w:rPr>
                <w:color w:val="000000"/>
              </w:rPr>
            </w:pPr>
            <w:r>
              <w:rPr>
                <w:color w:val="000000"/>
              </w:rPr>
              <w:t>National Energy Consumer Framework</w:t>
            </w:r>
          </w:p>
        </w:tc>
      </w:tr>
      <w:tr w:rsidR="00AB2A76" w14:paraId="374D010B" w14:textId="77777777" w:rsidTr="00351990">
        <w:trPr>
          <w:trHeight w:val="567"/>
        </w:trPr>
        <w:tc>
          <w:tcPr>
            <w:tcW w:w="2135" w:type="dxa"/>
            <w:tcBorders>
              <w:top w:val="single" w:sz="4" w:space="0" w:color="75787B" w:themeColor="background2"/>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6B10D383" w14:textId="77777777" w:rsidR="00AB2A76" w:rsidRDefault="00AB2A76" w:rsidP="00351990">
            <w:pPr>
              <w:spacing w:before="0" w:after="0" w:line="240" w:lineRule="auto"/>
              <w:rPr>
                <w:color w:val="000000"/>
              </w:rPr>
            </w:pPr>
            <w:r>
              <w:rPr>
                <w:color w:val="000000"/>
              </w:rPr>
              <w:t>NERR</w:t>
            </w:r>
          </w:p>
        </w:tc>
        <w:tc>
          <w:tcPr>
            <w:tcW w:w="6370" w:type="dxa"/>
            <w:tcBorders>
              <w:top w:val="single" w:sz="4" w:space="0" w:color="75787B" w:themeColor="background2"/>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7F8F4B69" w14:textId="77777777" w:rsidR="00AB2A76" w:rsidRDefault="00AB2A76" w:rsidP="00351990">
            <w:pPr>
              <w:spacing w:before="0" w:after="0" w:line="240" w:lineRule="auto"/>
              <w:rPr>
                <w:color w:val="000000"/>
              </w:rPr>
            </w:pPr>
            <w:r>
              <w:rPr>
                <w:color w:val="000000"/>
              </w:rPr>
              <w:t xml:space="preserve">National Energy Retail Rules </w:t>
            </w:r>
          </w:p>
        </w:tc>
      </w:tr>
      <w:tr w:rsidR="00AB2A76" w14:paraId="725C3294" w14:textId="77777777" w:rsidTr="00351990">
        <w:trPr>
          <w:trHeight w:val="567"/>
        </w:trPr>
        <w:tc>
          <w:tcPr>
            <w:tcW w:w="2135" w:type="dxa"/>
            <w:tcBorders>
              <w:top w:val="single" w:sz="4" w:space="0" w:color="75787B" w:themeColor="background2"/>
              <w:left w:val="single" w:sz="4" w:space="0" w:color="auto"/>
              <w:bottom w:val="single" w:sz="4" w:space="0" w:color="75787B" w:themeColor="background2"/>
            </w:tcBorders>
            <w:shd w:val="clear" w:color="auto" w:fill="D8E7ED" w:themeFill="accent3" w:themeFillTint="33"/>
            <w:tcMar>
              <w:top w:w="85" w:type="dxa"/>
              <w:left w:w="90" w:type="dxa"/>
              <w:bottom w:w="85" w:type="dxa"/>
              <w:right w:w="62" w:type="dxa"/>
            </w:tcMar>
            <w:vAlign w:val="center"/>
            <w:hideMark/>
          </w:tcPr>
          <w:p w14:paraId="29FA919B" w14:textId="77777777" w:rsidR="00AB2A76" w:rsidRDefault="00AB2A76" w:rsidP="00351990">
            <w:pPr>
              <w:spacing w:before="0" w:after="0" w:line="240" w:lineRule="auto"/>
              <w:rPr>
                <w:color w:val="000000"/>
              </w:rPr>
            </w:pPr>
            <w:r>
              <w:rPr>
                <w:color w:val="000000"/>
              </w:rPr>
              <w:t>RIS</w:t>
            </w:r>
          </w:p>
        </w:tc>
        <w:tc>
          <w:tcPr>
            <w:tcW w:w="6370" w:type="dxa"/>
            <w:tcBorders>
              <w:top w:val="single" w:sz="4" w:space="0" w:color="75787B" w:themeColor="background2"/>
              <w:bottom w:val="single" w:sz="4" w:space="0" w:color="75787B" w:themeColor="background2"/>
              <w:right w:val="single" w:sz="4" w:space="0" w:color="auto"/>
            </w:tcBorders>
            <w:shd w:val="clear" w:color="auto" w:fill="FFFFFF" w:themeFill="background1"/>
            <w:tcMar>
              <w:top w:w="85" w:type="dxa"/>
              <w:left w:w="90" w:type="dxa"/>
              <w:bottom w:w="85" w:type="dxa"/>
              <w:right w:w="62" w:type="dxa"/>
            </w:tcMar>
            <w:vAlign w:val="center"/>
            <w:hideMark/>
          </w:tcPr>
          <w:p w14:paraId="0CB0B6A9" w14:textId="77777777" w:rsidR="00AB2A76" w:rsidRDefault="00AB2A76" w:rsidP="00351990">
            <w:pPr>
              <w:spacing w:before="0" w:after="0" w:line="240" w:lineRule="auto"/>
              <w:rPr>
                <w:color w:val="000000"/>
              </w:rPr>
            </w:pPr>
            <w:r>
              <w:rPr>
                <w:color w:val="000000"/>
              </w:rPr>
              <w:t>Regulatory Impact Statement</w:t>
            </w:r>
          </w:p>
        </w:tc>
      </w:tr>
      <w:tr w:rsidR="00AB2A76" w14:paraId="0C04957D" w14:textId="77777777" w:rsidTr="00351990">
        <w:trPr>
          <w:trHeight w:val="567"/>
        </w:trPr>
        <w:tc>
          <w:tcPr>
            <w:tcW w:w="2135" w:type="dxa"/>
            <w:tcBorders>
              <w:top w:val="single" w:sz="4" w:space="0" w:color="75787B" w:themeColor="background2"/>
              <w:left w:val="single" w:sz="4" w:space="0" w:color="auto"/>
              <w:bottom w:val="single" w:sz="4" w:space="0" w:color="auto"/>
            </w:tcBorders>
            <w:shd w:val="clear" w:color="auto" w:fill="D8E7ED" w:themeFill="accent3" w:themeFillTint="33"/>
            <w:tcMar>
              <w:top w:w="85" w:type="dxa"/>
              <w:left w:w="90" w:type="dxa"/>
              <w:bottom w:w="85" w:type="dxa"/>
              <w:right w:w="62" w:type="dxa"/>
            </w:tcMar>
            <w:vAlign w:val="center"/>
            <w:hideMark/>
          </w:tcPr>
          <w:p w14:paraId="41FAE489" w14:textId="77777777" w:rsidR="00AB2A76" w:rsidRDefault="00AB2A76" w:rsidP="00351990">
            <w:pPr>
              <w:spacing w:before="0" w:after="0" w:line="240" w:lineRule="auto"/>
              <w:rPr>
                <w:color w:val="000000"/>
              </w:rPr>
            </w:pPr>
            <w:r>
              <w:rPr>
                <w:color w:val="000000"/>
              </w:rPr>
              <w:t>VDO</w:t>
            </w:r>
          </w:p>
        </w:tc>
        <w:tc>
          <w:tcPr>
            <w:tcW w:w="6370" w:type="dxa"/>
            <w:tcBorders>
              <w:top w:val="single" w:sz="4" w:space="0" w:color="75787B" w:themeColor="background2"/>
              <w:bottom w:val="single" w:sz="4" w:space="0" w:color="auto"/>
              <w:right w:val="single" w:sz="4" w:space="0" w:color="auto"/>
            </w:tcBorders>
            <w:shd w:val="clear" w:color="auto" w:fill="FFFFFF" w:themeFill="background1"/>
            <w:tcMar>
              <w:top w:w="85" w:type="dxa"/>
              <w:left w:w="90" w:type="dxa"/>
              <w:bottom w:w="85" w:type="dxa"/>
              <w:right w:w="62" w:type="dxa"/>
            </w:tcMar>
            <w:vAlign w:val="center"/>
            <w:hideMark/>
          </w:tcPr>
          <w:p w14:paraId="511E21D4" w14:textId="77777777" w:rsidR="00AB2A76" w:rsidRDefault="00AB2A76" w:rsidP="00351990">
            <w:pPr>
              <w:spacing w:before="0" w:after="0" w:line="240" w:lineRule="auto"/>
              <w:rPr>
                <w:color w:val="000000"/>
              </w:rPr>
            </w:pPr>
            <w:r>
              <w:rPr>
                <w:color w:val="000000"/>
              </w:rPr>
              <w:t>Victorian Default Offer</w:t>
            </w:r>
          </w:p>
        </w:tc>
      </w:tr>
    </w:tbl>
    <w:p w14:paraId="6F02447B" w14:textId="77777777" w:rsidR="00B503C2" w:rsidRDefault="00B503C2" w:rsidP="004855CE"/>
    <w:p w14:paraId="450A171F" w14:textId="77777777" w:rsidR="008F7087" w:rsidRDefault="008F7087" w:rsidP="00B503C2"/>
    <w:p w14:paraId="2F25E498" w14:textId="77777777" w:rsidR="00B503C2" w:rsidRDefault="00B503C2" w:rsidP="00B503C2">
      <w:pPr>
        <w:sectPr w:rsidR="00B503C2" w:rsidSect="008F7087">
          <w:headerReference w:type="even" r:id="rId20"/>
          <w:headerReference w:type="default" r:id="rId21"/>
          <w:footerReference w:type="default" r:id="rId22"/>
          <w:headerReference w:type="first" r:id="rId23"/>
          <w:type w:val="continuous"/>
          <w:pgSz w:w="11906" w:h="16838" w:code="9"/>
          <w:pgMar w:top="1134" w:right="1134" w:bottom="1134" w:left="1134" w:header="709" w:footer="692" w:gutter="0"/>
          <w:pgNumType w:fmt="lowerRoman"/>
          <w:cols w:space="708"/>
          <w:docGrid w:linePitch="360"/>
        </w:sectPr>
      </w:pPr>
    </w:p>
    <w:p w14:paraId="5BBF5703" w14:textId="77777777" w:rsidR="00B503C2" w:rsidRDefault="00B503C2" w:rsidP="001839F4">
      <w:pPr>
        <w:ind w:firstLine="720"/>
      </w:pPr>
    </w:p>
    <w:p w14:paraId="5679E5FB" w14:textId="743F83EC" w:rsidR="00710792" w:rsidRPr="00D21FD2" w:rsidRDefault="004C01FB" w:rsidP="00196E34">
      <w:pPr>
        <w:pStyle w:val="Heading1"/>
      </w:pPr>
      <w:bookmarkStart w:id="11" w:name="_Toc197959419"/>
      <w:r>
        <w:rPr>
          <w:rFonts w:eastAsia="Tahoma" w:cs="Tahoma"/>
        </w:rPr>
        <w:lastRenderedPageBreak/>
        <w:t>Executive s</w:t>
      </w:r>
      <w:r w:rsidR="598FC9CA" w:rsidRPr="042333EC">
        <w:rPr>
          <w:rFonts w:eastAsia="Tahoma" w:cs="Tahoma"/>
        </w:rPr>
        <w:t>ummary</w:t>
      </w:r>
      <w:r w:rsidR="598FC9CA" w:rsidRPr="54B66A19">
        <w:t xml:space="preserve"> </w:t>
      </w:r>
      <w:bookmarkEnd w:id="11"/>
    </w:p>
    <w:p w14:paraId="5E09D97C" w14:textId="77777777" w:rsidR="005873DC" w:rsidRDefault="005873DC" w:rsidP="005873DC">
      <w:bookmarkStart w:id="12" w:name="_Toc480988882"/>
      <w:bookmarkStart w:id="13" w:name="_Toc481138193"/>
      <w:bookmarkStart w:id="14" w:name="_Toc481138401"/>
      <w:r>
        <w:rPr>
          <w:rFonts w:ascii="Arial" w:hAnsi="Arial" w:cs="Arial"/>
        </w:rPr>
        <w:t xml:space="preserve">Many Victorian energy consumers are experiencing financial stress. Consumers are facing rising energy prices and higher </w:t>
      </w:r>
      <w:r w:rsidRPr="004431D6">
        <w:rPr>
          <w:rFonts w:ascii="Arial" w:hAnsi="Arial" w:cs="Arial"/>
        </w:rPr>
        <w:t>cost</w:t>
      </w:r>
      <w:r>
        <w:rPr>
          <w:rFonts w:ascii="Arial" w:hAnsi="Arial" w:cs="Arial"/>
        </w:rPr>
        <w:t>s</w:t>
      </w:r>
      <w:r w:rsidRPr="004431D6">
        <w:rPr>
          <w:rFonts w:ascii="Arial" w:hAnsi="Arial" w:cs="Arial"/>
        </w:rPr>
        <w:t xml:space="preserve"> of living</w:t>
      </w:r>
      <w:r>
        <w:rPr>
          <w:rFonts w:ascii="Arial" w:hAnsi="Arial" w:cs="Arial"/>
        </w:rPr>
        <w:t xml:space="preserve">, which increases their risk of </w:t>
      </w:r>
      <w:r>
        <w:t xml:space="preserve">missing bill payments, entering into debt and being disconnected. </w:t>
      </w:r>
    </w:p>
    <w:p w14:paraId="3AE9623C" w14:textId="77777777" w:rsidR="005873DC" w:rsidRDefault="005873DC" w:rsidP="005873DC">
      <w:r>
        <w:rPr>
          <w:rFonts w:ascii="Arial" w:hAnsi="Arial" w:cs="Arial"/>
        </w:rPr>
        <w:t xml:space="preserve">The Essential Services Commission aims </w:t>
      </w:r>
      <w:r w:rsidRPr="00DF1E3D">
        <w:rPr>
          <w:rFonts w:ascii="Arial" w:hAnsi="Arial" w:cs="Arial"/>
        </w:rPr>
        <w:t>to promote the long-term interests of Victorian consumers</w:t>
      </w:r>
      <w:r>
        <w:rPr>
          <w:rFonts w:ascii="Arial" w:hAnsi="Arial" w:cs="Arial"/>
        </w:rPr>
        <w:t xml:space="preserve">. </w:t>
      </w:r>
      <w:r>
        <w:t>Since the start of 2024, we have been reviewing the Energy Retail Code of Practice, to strengthen protections, reduce unreasonably high prices, and help lower energy bills.</w:t>
      </w:r>
    </w:p>
    <w:p w14:paraId="266A58C3" w14:textId="77777777" w:rsidR="005873DC" w:rsidRDefault="005873DC" w:rsidP="005873DC">
      <w:r>
        <w:t>We expect our proposed reforms will achieve those aims.</w:t>
      </w:r>
    </w:p>
    <w:p w14:paraId="58DBF6D2" w14:textId="77777777" w:rsidR="005873DC" w:rsidRPr="00A521AA" w:rsidRDefault="005873DC" w:rsidP="005873DC">
      <w:r>
        <w:t>Customers experiencing payment difficulty and vulnerability will benefit from the reforms to lower energy prices. Other customers will be better able to access concessions, switch to their retailer’s best offer and resolve complaints more efficiently.</w:t>
      </w:r>
    </w:p>
    <w:p w14:paraId="0998C928" w14:textId="77777777" w:rsidR="005873DC" w:rsidRDefault="005873DC" w:rsidP="005873DC">
      <w:r>
        <w:t xml:space="preserve">Our key reforms can also improve the effectiveness of competition in the retail energy market. Currently, a few retailers are extracting more revenue </w:t>
      </w:r>
      <w:r w:rsidRPr="001D3D11">
        <w:t xml:space="preserve">from </w:t>
      </w:r>
      <w:r>
        <w:t xml:space="preserve">some </w:t>
      </w:r>
      <w:r w:rsidRPr="001D3D11">
        <w:t xml:space="preserve">customers, particularly those who cannot </w:t>
      </w:r>
      <w:r>
        <w:t xml:space="preserve">or are unwilling to </w:t>
      </w:r>
      <w:r w:rsidRPr="001D3D11">
        <w:t xml:space="preserve">engage with the </w:t>
      </w:r>
      <w:r>
        <w:t xml:space="preserve">energy </w:t>
      </w:r>
      <w:r w:rsidRPr="001D3D11">
        <w:t>market</w:t>
      </w:r>
      <w:r>
        <w:t xml:space="preserve">. </w:t>
      </w:r>
      <w:r w:rsidRPr="001D3D11">
        <w:t xml:space="preserve">At the extreme, some retailers may leverage customers’ disengagement to extract </w:t>
      </w:r>
      <w:r>
        <w:t>more</w:t>
      </w:r>
      <w:r w:rsidRPr="001D3D11">
        <w:t xml:space="preserve"> money from these customers</w:t>
      </w:r>
      <w:r>
        <w:t>, who end up paying a ‘loyalty penalty’</w:t>
      </w:r>
      <w:r w:rsidRPr="001D3D11">
        <w:t>.</w:t>
      </w:r>
      <w:r>
        <w:t xml:space="preserve"> We propose to reduce </w:t>
      </w:r>
      <w:r w:rsidRPr="001D3D11">
        <w:t>the extent of these practices.</w:t>
      </w:r>
      <w:r w:rsidRPr="00D1459F">
        <w:t xml:space="preserve"> </w:t>
      </w:r>
    </w:p>
    <w:p w14:paraId="4569C877" w14:textId="77777777" w:rsidR="005873DC" w:rsidRDefault="005873DC" w:rsidP="005873DC">
      <w:r w:rsidRPr="001D3D11">
        <w:t>The proposed rules will require all retailers to compete more fairly.</w:t>
      </w:r>
      <w:r>
        <w:t xml:space="preserve"> Improving the effectiveness of competition will also help build</w:t>
      </w:r>
      <w:r w:rsidRPr="001D3D11">
        <w:t xml:space="preserve"> consumer trust </w:t>
      </w:r>
      <w:r>
        <w:t>in the</w:t>
      </w:r>
      <w:r w:rsidRPr="001D3D11">
        <w:t xml:space="preserve"> energy </w:t>
      </w:r>
      <w:r>
        <w:t>market</w:t>
      </w:r>
      <w:r w:rsidRPr="001D3D11">
        <w:t xml:space="preserve">. </w:t>
      </w:r>
    </w:p>
    <w:p w14:paraId="367A7A28" w14:textId="411BF320" w:rsidR="00554B88" w:rsidRPr="00463F9C" w:rsidRDefault="004E6BEC" w:rsidP="00463F9C">
      <w:pPr>
        <w:spacing w:before="240"/>
        <w:rPr>
          <w:rFonts w:ascii="Tahoma" w:hAnsi="Tahoma" w:cs="Tahoma"/>
          <w:b/>
          <w:sz w:val="26"/>
          <w:szCs w:val="26"/>
        </w:rPr>
      </w:pPr>
      <w:r w:rsidRPr="00463F9C">
        <w:rPr>
          <w:rFonts w:ascii="Tahoma" w:hAnsi="Tahoma" w:cs="Tahoma"/>
          <w:b/>
          <w:sz w:val="26"/>
          <w:szCs w:val="26"/>
        </w:rPr>
        <w:t xml:space="preserve">Purpose of </w:t>
      </w:r>
      <w:r w:rsidR="00547679" w:rsidRPr="00463F9C">
        <w:rPr>
          <w:rFonts w:ascii="Tahoma" w:hAnsi="Tahoma" w:cs="Tahoma"/>
          <w:b/>
          <w:sz w:val="26"/>
          <w:szCs w:val="26"/>
        </w:rPr>
        <w:t xml:space="preserve">our </w:t>
      </w:r>
      <w:r w:rsidRPr="00463F9C">
        <w:rPr>
          <w:rFonts w:ascii="Tahoma" w:hAnsi="Tahoma" w:cs="Tahoma"/>
          <w:b/>
          <w:sz w:val="26"/>
          <w:szCs w:val="26"/>
        </w:rPr>
        <w:t>review</w:t>
      </w:r>
    </w:p>
    <w:p w14:paraId="0AF49BC9" w14:textId="77777777" w:rsidR="0067044D" w:rsidRPr="00F6382B" w:rsidRDefault="0067044D" w:rsidP="0067044D">
      <w:r>
        <w:rPr>
          <w:rFonts w:ascii="Arial" w:hAnsi="Arial" w:cs="Arial"/>
        </w:rPr>
        <w:t xml:space="preserve">We are reviewing the Energy Retail Code of Practice to enhance protections for Victorian energy customers during this critical time. </w:t>
      </w:r>
      <w:r>
        <w:t xml:space="preserve">The code sets important energy consumer protections, requiring </w:t>
      </w:r>
      <w:r w:rsidRPr="000E6B47">
        <w:t xml:space="preserve">retailers </w:t>
      </w:r>
      <w:r>
        <w:t>to</w:t>
      </w:r>
      <w:r w:rsidRPr="000E6B47">
        <w:t xml:space="preserve"> </w:t>
      </w:r>
      <w:r>
        <w:t>help customers in payment</w:t>
      </w:r>
      <w:r w:rsidRPr="000E6B47">
        <w:t xml:space="preserve"> difficulty</w:t>
      </w:r>
      <w:r>
        <w:t>. The code also regulates terms and conditions of energy contracts, the marketing of energy offers, and billing practices.</w:t>
      </w:r>
    </w:p>
    <w:p w14:paraId="75A82A84" w14:textId="3CBF6032" w:rsidR="00FD11EB" w:rsidRPr="00FD11EB" w:rsidRDefault="00FD11EB" w:rsidP="00C96120">
      <w:r>
        <w:t xml:space="preserve">We began a review of the code in </w:t>
      </w:r>
      <w:r w:rsidR="00B108C6">
        <w:t xml:space="preserve">early </w:t>
      </w:r>
      <w:r>
        <w:t xml:space="preserve">2024. </w:t>
      </w:r>
      <w:r w:rsidR="00F73441">
        <w:t>W</w:t>
      </w:r>
      <w:r>
        <w:t xml:space="preserve">e released an issues paper </w:t>
      </w:r>
      <w:r w:rsidR="00150ED4">
        <w:t>on 6</w:t>
      </w:r>
      <w:r>
        <w:t xml:space="preserve"> June 2024 and a discussion paper </w:t>
      </w:r>
      <w:r w:rsidR="00150ED4">
        <w:t>on 24</w:t>
      </w:r>
      <w:r>
        <w:t xml:space="preserve"> October 2024. </w:t>
      </w:r>
    </w:p>
    <w:p w14:paraId="670A3519" w14:textId="77777777" w:rsidR="006F3D0C" w:rsidRPr="00FD11EB" w:rsidRDefault="006F3D0C" w:rsidP="006F3D0C">
      <w:r>
        <w:t xml:space="preserve">This document is a Regulatory Impact Statement (RIS), which assesses potential reforms to the code, and is required for this review. This RIS also forms an important part of our public consultation process. </w:t>
      </w:r>
    </w:p>
    <w:p w14:paraId="05734610" w14:textId="77777777" w:rsidR="0035072F" w:rsidRDefault="0035072F" w:rsidP="0035072F">
      <w:r>
        <w:t>The primary objectives of the proposed energy consumer reforms assessed in this RIS are to:</w:t>
      </w:r>
    </w:p>
    <w:p w14:paraId="325378FA" w14:textId="77777777" w:rsidR="0035072F" w:rsidRDefault="0035072F" w:rsidP="0035072F">
      <w:pPr>
        <w:pStyle w:val="ListBullet"/>
      </w:pPr>
      <w:r>
        <w:t>help households pay less for energy</w:t>
      </w:r>
    </w:p>
    <w:p w14:paraId="4754EC41" w14:textId="77777777" w:rsidR="0035072F" w:rsidRDefault="0035072F" w:rsidP="0035072F">
      <w:pPr>
        <w:pStyle w:val="ListBullet"/>
      </w:pPr>
      <w:r>
        <w:t>enhance protections for energy consumers.</w:t>
      </w:r>
    </w:p>
    <w:p w14:paraId="1FF866DC" w14:textId="77777777" w:rsidR="0035072F" w:rsidRDefault="0035072F" w:rsidP="0035072F">
      <w:r>
        <w:lastRenderedPageBreak/>
        <w:t>These are supported by three sub-objectives that addresses specific problems and also helps achieve the primary reform objectives. The sub-objectives are to:</w:t>
      </w:r>
    </w:p>
    <w:p w14:paraId="178ED952" w14:textId="77777777" w:rsidR="0035072F" w:rsidRDefault="0035072F" w:rsidP="0035072F">
      <w:pPr>
        <w:pStyle w:val="ListBullet"/>
      </w:pPr>
      <w:r>
        <w:t>increase support for people experiencing payment difficulty</w:t>
      </w:r>
    </w:p>
    <w:p w14:paraId="5E33D8A2" w14:textId="77777777" w:rsidR="0035072F" w:rsidRDefault="0035072F" w:rsidP="0035072F">
      <w:pPr>
        <w:pStyle w:val="ListBullet"/>
      </w:pPr>
      <w:r>
        <w:t>support eligible people to access concessions</w:t>
      </w:r>
    </w:p>
    <w:p w14:paraId="060AA163" w14:textId="77777777" w:rsidR="0035072F" w:rsidRDefault="0035072F" w:rsidP="0035072F">
      <w:pPr>
        <w:pStyle w:val="ListBullet"/>
      </w:pPr>
      <w:r>
        <w:t>improve awareness of independent dispute resolution services.</w:t>
      </w:r>
    </w:p>
    <w:p w14:paraId="2B124BB7" w14:textId="679F094E" w:rsidR="00FE227D" w:rsidRPr="00463F9C" w:rsidRDefault="00FE227D" w:rsidP="00463F9C">
      <w:pPr>
        <w:spacing w:before="240"/>
        <w:rPr>
          <w:rFonts w:ascii="Tahoma" w:hAnsi="Tahoma" w:cs="Tahoma"/>
          <w:b/>
          <w:sz w:val="26"/>
          <w:szCs w:val="26"/>
        </w:rPr>
      </w:pPr>
      <w:r w:rsidRPr="00463F9C">
        <w:rPr>
          <w:rFonts w:ascii="Tahoma" w:hAnsi="Tahoma" w:cs="Tahoma"/>
          <w:b/>
          <w:sz w:val="26"/>
          <w:szCs w:val="26"/>
        </w:rPr>
        <w:t>Our approach</w:t>
      </w:r>
    </w:p>
    <w:p w14:paraId="452E5BE5" w14:textId="14DA39CE" w:rsidR="00445B64" w:rsidRDefault="00445B64" w:rsidP="00445B64">
      <w:r>
        <w:t xml:space="preserve">For each of the proposed reforms, we describe the reform’s purpose, stakeholder feedback received to date and </w:t>
      </w:r>
      <w:r w:rsidR="00695CA7">
        <w:t xml:space="preserve">the </w:t>
      </w:r>
      <w:r>
        <w:t>different options we have considered.</w:t>
      </w:r>
    </w:p>
    <w:p w14:paraId="1E882847" w14:textId="77777777" w:rsidR="00445B64" w:rsidRDefault="00445B64" w:rsidP="00445B64">
      <w:pPr>
        <w:rPr>
          <w:rFonts w:ascii="Arial" w:hAnsi="Arial" w:cs="Arial"/>
        </w:rPr>
      </w:pPr>
      <w:r>
        <w:rPr>
          <w:rFonts w:ascii="Arial" w:hAnsi="Arial" w:cs="Arial"/>
        </w:rPr>
        <w:t>We</w:t>
      </w:r>
      <w:r w:rsidRPr="004431D6">
        <w:rPr>
          <w:rFonts w:ascii="Arial" w:hAnsi="Arial" w:cs="Arial"/>
        </w:rPr>
        <w:t xml:space="preserve"> assessed </w:t>
      </w:r>
      <w:r>
        <w:rPr>
          <w:rFonts w:ascii="Arial" w:hAnsi="Arial" w:cs="Arial"/>
        </w:rPr>
        <w:t xml:space="preserve">these </w:t>
      </w:r>
      <w:r w:rsidRPr="004431D6">
        <w:rPr>
          <w:rFonts w:ascii="Arial" w:hAnsi="Arial" w:cs="Arial"/>
        </w:rPr>
        <w:t xml:space="preserve">options against </w:t>
      </w:r>
      <w:r>
        <w:rPr>
          <w:rFonts w:ascii="Arial" w:hAnsi="Arial" w:cs="Arial"/>
        </w:rPr>
        <w:t xml:space="preserve">a base-case that assumes </w:t>
      </w:r>
      <w:r w:rsidRPr="004431D6">
        <w:rPr>
          <w:rFonts w:ascii="Arial" w:hAnsi="Arial" w:cs="Arial"/>
        </w:rPr>
        <w:t>no chang</w:t>
      </w:r>
      <w:r>
        <w:rPr>
          <w:rFonts w:ascii="Arial" w:hAnsi="Arial" w:cs="Arial"/>
        </w:rPr>
        <w:t>es to existing rules. We used</w:t>
      </w:r>
      <w:r w:rsidRPr="004431D6">
        <w:rPr>
          <w:rFonts w:ascii="Arial" w:hAnsi="Arial" w:cs="Arial"/>
        </w:rPr>
        <w:t xml:space="preserve"> a multi-criteria analysis (MCA) </w:t>
      </w:r>
      <w:r>
        <w:rPr>
          <w:rFonts w:ascii="Arial" w:hAnsi="Arial" w:cs="Arial"/>
        </w:rPr>
        <w:t xml:space="preserve">to decide our preferred option – assessing each option against the criteria of effectiveness, cost to industry, and cost to government. </w:t>
      </w:r>
    </w:p>
    <w:p w14:paraId="7DA985D2" w14:textId="12E84CEF" w:rsidR="0096383D" w:rsidRDefault="00445B64" w:rsidP="00445B64">
      <w:pPr>
        <w:rPr>
          <w:rFonts w:ascii="Arial" w:hAnsi="Arial" w:cs="Arial"/>
        </w:rPr>
      </w:pPr>
      <w:r w:rsidRPr="1E4427A6">
        <w:rPr>
          <w:rFonts w:ascii="Arial" w:hAnsi="Arial" w:cs="Arial"/>
        </w:rPr>
        <w:t xml:space="preserve">We </w:t>
      </w:r>
      <w:r>
        <w:rPr>
          <w:rFonts w:ascii="Arial" w:hAnsi="Arial" w:cs="Arial"/>
        </w:rPr>
        <w:t xml:space="preserve">believe </w:t>
      </w:r>
      <w:r w:rsidRPr="1E4427A6">
        <w:rPr>
          <w:rFonts w:ascii="Arial" w:hAnsi="Arial" w:cs="Arial"/>
        </w:rPr>
        <w:t xml:space="preserve">that </w:t>
      </w:r>
      <w:r>
        <w:rPr>
          <w:rFonts w:ascii="Arial" w:hAnsi="Arial" w:cs="Arial"/>
        </w:rPr>
        <w:t xml:space="preserve">our proposed reforms will </w:t>
      </w:r>
      <w:r w:rsidRPr="1E4427A6">
        <w:rPr>
          <w:rFonts w:ascii="Arial" w:hAnsi="Arial" w:cs="Arial"/>
        </w:rPr>
        <w:t>significantly benefit Victorian consumers and impose a reasonable and proportionate regulatory burden on energy businesses.</w:t>
      </w:r>
    </w:p>
    <w:p w14:paraId="426F98C2" w14:textId="4874B752" w:rsidR="00A024F5" w:rsidRPr="00463F9C" w:rsidRDefault="00BB5936" w:rsidP="00463F9C">
      <w:pPr>
        <w:spacing w:before="240"/>
        <w:rPr>
          <w:rFonts w:ascii="Tahoma" w:hAnsi="Tahoma" w:cs="Tahoma"/>
          <w:b/>
          <w:sz w:val="26"/>
          <w:szCs w:val="26"/>
        </w:rPr>
      </w:pPr>
      <w:r w:rsidRPr="00463F9C">
        <w:rPr>
          <w:rFonts w:ascii="Tahoma" w:hAnsi="Tahoma" w:cs="Tahoma"/>
          <w:b/>
          <w:sz w:val="26"/>
          <w:szCs w:val="26"/>
        </w:rPr>
        <w:t>Our proposed reforms</w:t>
      </w:r>
    </w:p>
    <w:p w14:paraId="4C518B2B" w14:textId="2DA50DCB" w:rsidR="00BB5936" w:rsidRDefault="00BB5936" w:rsidP="00BB5936">
      <w:pPr>
        <w:pStyle w:val="Heading3numbered"/>
        <w:numPr>
          <w:ilvl w:val="0"/>
          <w:numId w:val="0"/>
        </w:numPr>
        <w:ind w:left="1134" w:hanging="1134"/>
      </w:pPr>
      <w:r>
        <w:t>Automatic best offer for customers experiencing payment difficulty</w:t>
      </w:r>
    </w:p>
    <w:p w14:paraId="2D399AD6" w14:textId="60C89D11" w:rsidR="007C5A47" w:rsidRDefault="007C5A47" w:rsidP="007C5A47">
      <w:r>
        <w:t xml:space="preserve">It is important for customers experiencing payment difficulty to be paying competitive prices for energy. This will help these customers afford their ongoing energy use and reduce the risk of falling into debt with their retailer. </w:t>
      </w:r>
    </w:p>
    <w:p w14:paraId="15F5BE7D" w14:textId="77777777" w:rsidR="007C5A47" w:rsidRDefault="007C5A47" w:rsidP="007C5A47">
      <w:r>
        <w:t>Currently, retailers must provide customers with payment assistance if they miss a bill payment. One form of assistance is advising customers of the best tariff for them. Despite these rules, customers face several barriers to actively take up their retailer’s best energy offer. Many customers are still leaving money on the table.</w:t>
      </w:r>
    </w:p>
    <w:p w14:paraId="769E5974" w14:textId="77777777" w:rsidR="005D3FC9" w:rsidRDefault="005D3FC9" w:rsidP="005D3FC9">
      <w:pPr>
        <w:pStyle w:val="Pull-out"/>
      </w:pPr>
      <w:r>
        <w:t>To address these barriers, we propose that retailers must automatically switch the following customers onto their best offer:</w:t>
      </w:r>
    </w:p>
    <w:p w14:paraId="33DAB2D9" w14:textId="77777777" w:rsidR="005D3FC9" w:rsidRPr="00903806" w:rsidRDefault="005D3FC9" w:rsidP="005D3FC9">
      <w:pPr>
        <w:pStyle w:val="Pull-outBullet1"/>
        <w:ind w:left="482"/>
      </w:pPr>
      <w:r w:rsidRPr="00903806">
        <w:t>Customers receiving tailored assistance</w:t>
      </w:r>
      <w:r>
        <w:t>,</w:t>
      </w:r>
      <w:r w:rsidRPr="00903806">
        <w:t xml:space="preserve"> and</w:t>
      </w:r>
    </w:p>
    <w:p w14:paraId="680C0479" w14:textId="77777777" w:rsidR="005D3FC9" w:rsidRDefault="005D3FC9" w:rsidP="005D3FC9">
      <w:pPr>
        <w:pStyle w:val="Pull-outBullet1"/>
        <w:ind w:left="482"/>
      </w:pPr>
      <w:r w:rsidRPr="00903806">
        <w:t>Customers in arrears for at least three months and with arrears of $1,000 or more (who are not receiving tailored assistance).</w:t>
      </w:r>
    </w:p>
    <w:p w14:paraId="30148766" w14:textId="77777777" w:rsidR="005D3FC9" w:rsidRDefault="005D3FC9" w:rsidP="005D3FC9">
      <w:pPr>
        <w:pStyle w:val="Pull-out"/>
      </w:pPr>
      <w:r>
        <w:t>To reduce the key barriers for these customers to access the cheapest price, retailers would not need to seek explicit informed consent from the customer to switch. Customers will still be able to opt-out or request a switch back to their earlier contract.</w:t>
      </w:r>
    </w:p>
    <w:p w14:paraId="45D612CE" w14:textId="77777777" w:rsidR="00A81698" w:rsidRDefault="00A81698" w:rsidP="00A81698">
      <w:r>
        <w:lastRenderedPageBreak/>
        <w:t xml:space="preserve">This provides support to customers who are most likely to be experiencing payment difficulty, regardless of whether they have been able to engage with their retailer. </w:t>
      </w:r>
    </w:p>
    <w:p w14:paraId="409C4872" w14:textId="1A174AA5" w:rsidR="00A81698" w:rsidRDefault="00A81698" w:rsidP="00A81698">
      <w:r>
        <w:t xml:space="preserve">We estimate that retailers would switch up to </w:t>
      </w:r>
      <w:r w:rsidR="00FF1AE6">
        <w:t>75</w:t>
      </w:r>
      <w:r>
        <w:t xml:space="preserve">,000 electricity and </w:t>
      </w:r>
      <w:r w:rsidR="00FF1AE6">
        <w:t>60</w:t>
      </w:r>
      <w:r>
        <w:t>,</w:t>
      </w:r>
      <w:r w:rsidR="00FF1AE6">
        <w:t>0</w:t>
      </w:r>
      <w:r>
        <w:t>00 gas customers to their best offer. This could result in total average annual savings of up to $1</w:t>
      </w:r>
      <w:r w:rsidR="00FF1AE6">
        <w:t>6</w:t>
      </w:r>
      <w:r>
        <w:t>.</w:t>
      </w:r>
      <w:r w:rsidR="00FF1AE6">
        <w:t>8</w:t>
      </w:r>
      <w:r>
        <w:t xml:space="preserve"> million for affected electricity customers and $11.</w:t>
      </w:r>
      <w:r w:rsidR="00FF1AE6">
        <w:t>0</w:t>
      </w:r>
      <w:r>
        <w:t xml:space="preserve"> million for affected gas customers.</w:t>
      </w:r>
    </w:p>
    <w:p w14:paraId="1EC0659F" w14:textId="46940E90" w:rsidR="00BB5936" w:rsidRPr="00BB5936" w:rsidRDefault="00A81698" w:rsidP="00BB5936">
      <w:r>
        <w:t>We also recognise that retailers will need to make major changes to their IT systems and processes to enable these automated processes, resulting in costs for the industry. However, we consider the effectiveness of the proposed approach outweighs the costs to implement it.</w:t>
      </w:r>
    </w:p>
    <w:p w14:paraId="16994F61" w14:textId="0AEC0078" w:rsidR="001462E8" w:rsidRPr="00BB5936" w:rsidRDefault="001462E8" w:rsidP="001462E8">
      <w:pPr>
        <w:pStyle w:val="Heading3numbered"/>
        <w:numPr>
          <w:ilvl w:val="0"/>
          <w:numId w:val="0"/>
        </w:numPr>
        <w:ind w:left="1134" w:hanging="1134"/>
      </w:pPr>
      <w:r>
        <w:t>Improving access to cheaper offers</w:t>
      </w:r>
    </w:p>
    <w:p w14:paraId="6A8E12EB" w14:textId="57502659" w:rsidR="00A54575" w:rsidRDefault="00A54575" w:rsidP="00A54575">
      <w:r>
        <w:t>Some retailers’ cheapest offers require customers to pay by direct debit or only receive electronic bills (known as e-billing). However, we heard that some customers cannot access these affordable offers</w:t>
      </w:r>
      <w:r w:rsidRPr="008B0221">
        <w:t xml:space="preserve"> </w:t>
      </w:r>
      <w:r>
        <w:t xml:space="preserve">due to these restrictions. Customers most affected are </w:t>
      </w:r>
      <w:r w:rsidRPr="00DF0066">
        <w:t xml:space="preserve">the elderly, First Nations </w:t>
      </w:r>
      <w:r>
        <w:t>p</w:t>
      </w:r>
      <w:r w:rsidRPr="00DF0066">
        <w:t>eoples and culturally and linguistically diverse Victorians</w:t>
      </w:r>
      <w:r>
        <w:t>.</w:t>
      </w:r>
      <w:r w:rsidRPr="00B939AD">
        <w:t xml:space="preserve"> </w:t>
      </w:r>
    </w:p>
    <w:p w14:paraId="6778B37C" w14:textId="77777777" w:rsidR="00A54575" w:rsidRDefault="00A54575" w:rsidP="00A54575">
      <w:r>
        <w:t xml:space="preserve">We are proposing changes to improve access to these cheaper plans. </w:t>
      </w:r>
    </w:p>
    <w:p w14:paraId="1C8A8E64" w14:textId="72816428" w:rsidR="00A54575" w:rsidRDefault="00A54575" w:rsidP="00A54575">
      <w:pPr>
        <w:pStyle w:val="Pull-out"/>
      </w:pPr>
      <w:r>
        <w:t xml:space="preserve">We propose that retailers must offer alternative payment methods for all contracts and offer paper bills and e-billing options for all contracts. </w:t>
      </w:r>
    </w:p>
    <w:p w14:paraId="0A854CDA" w14:textId="77777777" w:rsidR="00A54575" w:rsidRDefault="00A54575" w:rsidP="00A54575">
      <w:pPr>
        <w:pStyle w:val="Pull-out"/>
      </w:pPr>
      <w:r>
        <w:t>Retailers could still charge a fee or provide a conditional discount for these options. However, any fees or discounts must be set at reasonable costs.</w:t>
      </w:r>
    </w:p>
    <w:p w14:paraId="36E1F55A" w14:textId="77777777" w:rsidR="00A54575" w:rsidRDefault="00A54575" w:rsidP="00A54575">
      <w:r>
        <w:t>This proposed reform will also improve competition across all Victorian retailers by preventing practices that unfairly segment customers. Retailers would no longer be able to apply different conditions or restrictions based on a customer’s payment method or billing type – practices that can create barriers to accessing competitive offers. Retailers that already offer plans without these restrictions may benefit and gain further market share because of the reforms.</w:t>
      </w:r>
    </w:p>
    <w:p w14:paraId="2BCA3F37" w14:textId="0A990110" w:rsidR="00FE227D" w:rsidRDefault="00A54575" w:rsidP="00A54575">
      <w:pPr>
        <w:pStyle w:val="Heading3numbered"/>
        <w:numPr>
          <w:ilvl w:val="0"/>
          <w:numId w:val="0"/>
        </w:numPr>
        <w:ind w:left="1134" w:hanging="1134"/>
      </w:pPr>
      <w:r>
        <w:t>Improving the ability to switch to the best offer</w:t>
      </w:r>
    </w:p>
    <w:p w14:paraId="2B0A23D0" w14:textId="77777777" w:rsidR="0045082B" w:rsidRDefault="0045082B" w:rsidP="0045082B">
      <w:r>
        <w:t>In the last financial year, over 60 per cent of electricity and gas customers were not on their retailer’s best offer.</w:t>
      </w:r>
      <w:r w:rsidRPr="006C6C4B">
        <w:t xml:space="preserve"> </w:t>
      </w:r>
      <w:r>
        <w:t>This is despite rules requiring retailers to place a best offer message on customers’ bills.</w:t>
      </w:r>
    </w:p>
    <w:p w14:paraId="3F0CA5A0" w14:textId="77777777" w:rsidR="0045082B" w:rsidRPr="0019489C" w:rsidRDefault="0045082B" w:rsidP="0045082B">
      <w:pPr>
        <w:pStyle w:val="Pull-outHeading"/>
        <w:ind w:left="0"/>
        <w:rPr>
          <w:b w:val="0"/>
          <w:bCs w:val="0"/>
        </w:rPr>
      </w:pPr>
      <w:r>
        <w:rPr>
          <w:b w:val="0"/>
          <w:bCs w:val="0"/>
        </w:rPr>
        <w:t xml:space="preserve">We propose an outcomes-based rule that requires a retailer to have effective processes for a </w:t>
      </w:r>
      <w:r w:rsidRPr="0019489C">
        <w:rPr>
          <w:b w:val="0"/>
          <w:bCs w:val="0"/>
        </w:rPr>
        <w:t xml:space="preserve">customer to switch to their best offer. The process must be simple and accessible. </w:t>
      </w:r>
    </w:p>
    <w:p w14:paraId="633AB467" w14:textId="7111E993" w:rsidR="0045082B" w:rsidRPr="0019489C" w:rsidRDefault="0045082B" w:rsidP="0045082B">
      <w:pPr>
        <w:pStyle w:val="Pull-outHeading"/>
        <w:ind w:left="0"/>
        <w:rPr>
          <w:b w:val="0"/>
          <w:bCs w:val="0"/>
        </w:rPr>
      </w:pPr>
      <w:r w:rsidRPr="0019489C">
        <w:rPr>
          <w:b w:val="0"/>
          <w:bCs w:val="0"/>
        </w:rPr>
        <w:lastRenderedPageBreak/>
        <w:t xml:space="preserve">As a minimum, </w:t>
      </w:r>
      <w:r w:rsidR="0090362B">
        <w:rPr>
          <w:b w:val="0"/>
          <w:bCs w:val="0"/>
        </w:rPr>
        <w:t xml:space="preserve">a </w:t>
      </w:r>
      <w:r w:rsidRPr="0019489C">
        <w:rPr>
          <w:b w:val="0"/>
          <w:bCs w:val="0"/>
        </w:rPr>
        <w:t xml:space="preserve">retailer must have a switching process through its website and telephone. </w:t>
      </w:r>
      <w:r>
        <w:rPr>
          <w:b w:val="0"/>
          <w:bCs w:val="0"/>
        </w:rPr>
        <w:t>Retailers’</w:t>
      </w:r>
      <w:r w:rsidRPr="0019489C">
        <w:rPr>
          <w:b w:val="0"/>
          <w:bCs w:val="0"/>
        </w:rPr>
        <w:t xml:space="preserve"> website</w:t>
      </w:r>
      <w:r>
        <w:rPr>
          <w:b w:val="0"/>
          <w:bCs w:val="0"/>
        </w:rPr>
        <w:t>s</w:t>
      </w:r>
      <w:r w:rsidRPr="0019489C">
        <w:rPr>
          <w:b w:val="0"/>
          <w:bCs w:val="0"/>
        </w:rPr>
        <w:t xml:space="preserve"> must </w:t>
      </w:r>
      <w:r>
        <w:rPr>
          <w:b w:val="0"/>
          <w:bCs w:val="0"/>
        </w:rPr>
        <w:t xml:space="preserve">also </w:t>
      </w:r>
      <w:r w:rsidRPr="0019489C">
        <w:rPr>
          <w:b w:val="0"/>
          <w:bCs w:val="0"/>
        </w:rPr>
        <w:t xml:space="preserve">have clear and simple instructions on how to switch, and </w:t>
      </w:r>
      <w:r>
        <w:rPr>
          <w:b w:val="0"/>
          <w:bCs w:val="0"/>
        </w:rPr>
        <w:t xml:space="preserve">the ability for </w:t>
      </w:r>
      <w:r w:rsidRPr="0019489C">
        <w:rPr>
          <w:b w:val="0"/>
          <w:bCs w:val="0"/>
        </w:rPr>
        <w:t>a customer to compare their current plan to the best offer.</w:t>
      </w:r>
    </w:p>
    <w:p w14:paraId="2A293155" w14:textId="11BF86F2" w:rsidR="00A54575" w:rsidRDefault="0045082B" w:rsidP="00445B64">
      <w:r>
        <w:t>We believe these changes will help customers access cheaper plans. We have previously found that twenty-eight per cent of Victorian residential electricity consumers could have saved over $100 per year from being on their retailer’s current best offer.</w:t>
      </w:r>
    </w:p>
    <w:p w14:paraId="40561FA1" w14:textId="0463D0CF" w:rsidR="0045082B" w:rsidRDefault="00720DC4" w:rsidP="0045082B">
      <w:pPr>
        <w:rPr>
          <w:rFonts w:ascii="Arial" w:hAnsi="Arial" w:cs="Arial"/>
        </w:rPr>
      </w:pPr>
      <w:r w:rsidRPr="00720DC4">
        <w:rPr>
          <w:rFonts w:ascii="Arial" w:hAnsi="Arial" w:cs="Arial"/>
        </w:rPr>
        <w:t xml:space="preserve">These requirements may require costly system upgrades for retailers (particularly smaller retailers without limited existing processes or IT systems to support this change). However, we consider that these costs are outweighed by the need </w:t>
      </w:r>
      <w:r w:rsidR="00E60550">
        <w:rPr>
          <w:rFonts w:ascii="Arial" w:hAnsi="Arial" w:cs="Arial"/>
        </w:rPr>
        <w:t>to</w:t>
      </w:r>
      <w:r w:rsidRPr="00720DC4">
        <w:rPr>
          <w:rFonts w:ascii="Arial" w:hAnsi="Arial" w:cs="Arial"/>
        </w:rPr>
        <w:t xml:space="preserve"> help customers access competitive energy plans from their own retailers.</w:t>
      </w:r>
    </w:p>
    <w:p w14:paraId="64DD89C5" w14:textId="327E9B9B" w:rsidR="00EA142D" w:rsidRDefault="00EA142D" w:rsidP="00B62E1A">
      <w:pPr>
        <w:pStyle w:val="Heading3numbered"/>
        <w:numPr>
          <w:ilvl w:val="0"/>
          <w:numId w:val="0"/>
        </w:numPr>
        <w:ind w:left="1134" w:hanging="1134"/>
      </w:pPr>
      <w:r>
        <w:t>Protections for customers paying higher prices</w:t>
      </w:r>
    </w:p>
    <w:p w14:paraId="48805338" w14:textId="77777777" w:rsidR="00B761EE" w:rsidRDefault="00B761EE" w:rsidP="00B761EE">
      <w:r>
        <w:t>Although most Victorian customers have switched to a new, lower-priced plan in the last two years, there are many customers on older contracts with prices above standing offers (above the VDO for electricity).</w:t>
      </w:r>
      <w:r>
        <w:rPr>
          <w:rStyle w:val="FootnoteReference"/>
        </w:rPr>
        <w:footnoteReference w:id="2"/>
      </w:r>
      <w:r>
        <w:t xml:space="preserve"> </w:t>
      </w:r>
      <w:r w:rsidRPr="00A6601F">
        <w:t>This problem is commonly known as a ‘loyalty penalty’</w:t>
      </w:r>
      <w:r>
        <w:t>.</w:t>
      </w:r>
      <w:r w:rsidRPr="00A6601F">
        <w:t xml:space="preserve"> </w:t>
      </w:r>
    </w:p>
    <w:p w14:paraId="7E055D3D" w14:textId="77777777" w:rsidR="00B761EE" w:rsidRDefault="00B761EE" w:rsidP="00B761EE">
      <w:r>
        <w:t>In Victoria, our analysis shows that a customer is more likely to face higher prices after being with the same retailer and contract for four years. Four per cent of Victorians are on contracts older than four years, and paying at least 10 per cent above the Victorian Default Offer.</w:t>
      </w:r>
    </w:p>
    <w:p w14:paraId="2ED6DB75" w14:textId="259EAE6A" w:rsidR="00B761EE" w:rsidRDefault="00B761EE" w:rsidP="00B761EE">
      <w:pPr>
        <w:pStyle w:val="Pull-outHeading"/>
        <w:rPr>
          <w:b w:val="0"/>
          <w:bCs w:val="0"/>
        </w:rPr>
      </w:pPr>
      <w:r>
        <w:rPr>
          <w:b w:val="0"/>
          <w:bCs w:val="0"/>
        </w:rPr>
        <w:t xml:space="preserve">We propose that </w:t>
      </w:r>
      <w:r w:rsidR="00913453">
        <w:rPr>
          <w:b w:val="0"/>
          <w:bCs w:val="0"/>
        </w:rPr>
        <w:t xml:space="preserve">a </w:t>
      </w:r>
      <w:r>
        <w:rPr>
          <w:b w:val="0"/>
          <w:bCs w:val="0"/>
        </w:rPr>
        <w:t>retailer must review its customers’ prices annually, and ensure that a customer on a contract four years or older is paying a reasonable price for their energy.</w:t>
      </w:r>
    </w:p>
    <w:p w14:paraId="03ADD95F" w14:textId="0A976034" w:rsidR="00B761EE" w:rsidRPr="002F34B8" w:rsidRDefault="00B761EE" w:rsidP="00B761EE">
      <w:pPr>
        <w:pStyle w:val="Pull-outHeading"/>
      </w:pPr>
      <w:r>
        <w:rPr>
          <w:b w:val="0"/>
          <w:bCs w:val="0"/>
        </w:rPr>
        <w:t>Retailers could reduce the tariffs paid by an affected customer. Retailers could also switch that customer to a cheaper plan (and would not need a customer’s explicit informed consent, but the customer would be able to opt-out or reverse the switch after receiving their first bill).</w:t>
      </w:r>
    </w:p>
    <w:p w14:paraId="67D56675" w14:textId="6C527092" w:rsidR="00A54575" w:rsidRDefault="00B761EE" w:rsidP="00445B64">
      <w:r w:rsidRPr="008B4170">
        <w:t>This reform could conservatively help between 27,000 and 53,000 electricity customers</w:t>
      </w:r>
      <w:r>
        <w:t xml:space="preserve">, with total estimated </w:t>
      </w:r>
      <w:r w:rsidRPr="008B4170">
        <w:t>savings of between $10.1 million and $12.2 million in a year.</w:t>
      </w:r>
      <w:r w:rsidR="00BA1812">
        <w:t xml:space="preserve"> </w:t>
      </w:r>
      <w:r w:rsidR="00BA1812" w:rsidRPr="00BA1812">
        <w:t xml:space="preserve">Retailers would need to invest in new processes (and potentially its systems) to identify affected customers and actively switch a customer to a cheaper plan, or lower energy tariffs. On balance, </w:t>
      </w:r>
      <w:r w:rsidR="00E14F4C">
        <w:t>the benefits of</w:t>
      </w:r>
      <w:r w:rsidR="00BA1812" w:rsidRPr="00BA1812">
        <w:t xml:space="preserve"> protecting affected customers from acutely high prices outweigh the costs to industry.</w:t>
      </w:r>
    </w:p>
    <w:p w14:paraId="5BD56966" w14:textId="55BB1F25" w:rsidR="00BA1812" w:rsidRDefault="00BA1812" w:rsidP="00BA1812">
      <w:pPr>
        <w:pStyle w:val="Heading3numbered"/>
        <w:numPr>
          <w:ilvl w:val="0"/>
          <w:numId w:val="0"/>
        </w:numPr>
        <w:ind w:left="1134" w:hanging="1134"/>
      </w:pPr>
      <w:r>
        <w:lastRenderedPageBreak/>
        <w:t>Improving the application of concessions on bills</w:t>
      </w:r>
    </w:p>
    <w:p w14:paraId="73AB00BD" w14:textId="77777777" w:rsidR="00384555" w:rsidRDefault="00384555" w:rsidP="00384555">
      <w:r>
        <w:t>Victoria has the lowest rate of eligible households not receiving energy concessions in the National Electricity Market. However, recent reports suggest that 7 to 14 per cent of eligible Victorian households are missing out.</w:t>
      </w:r>
      <w:r>
        <w:rPr>
          <w:rStyle w:val="FootnoteReference"/>
        </w:rPr>
        <w:footnoteReference w:id="3"/>
      </w:r>
      <w:r>
        <w:t xml:space="preserve"> Many energy retailers ask customers of their concessions eligibility when signing up for a new plan, moving house, or when receiving assistance for payment difficulty. However, not all retailers undertake these actions, or to the same extent as each other. </w:t>
      </w:r>
    </w:p>
    <w:p w14:paraId="02483F16" w14:textId="77777777" w:rsidR="00384555" w:rsidRPr="00EB6C61" w:rsidRDefault="00384555" w:rsidP="00384555">
      <w:pPr>
        <w:pStyle w:val="Pull-outHeading"/>
        <w:ind w:left="0"/>
        <w:rPr>
          <w:b w:val="0"/>
          <w:bCs w:val="0"/>
        </w:rPr>
      </w:pPr>
      <w:r>
        <w:rPr>
          <w:b w:val="0"/>
          <w:bCs w:val="0"/>
        </w:rPr>
        <w:t>We propose that retailers request concession eligibility information from a customer when a retailer considers it is relevant. In addition, a retailer must request this information:</w:t>
      </w:r>
    </w:p>
    <w:p w14:paraId="28A8DC2D" w14:textId="77777777" w:rsidR="00384555" w:rsidRDefault="00384555" w:rsidP="00384555">
      <w:pPr>
        <w:pStyle w:val="Pull-outBullet1"/>
      </w:pPr>
      <w:r>
        <w:t>when entering into a new contract with a customer</w:t>
      </w:r>
    </w:p>
    <w:p w14:paraId="71137221" w14:textId="77777777" w:rsidR="00384555" w:rsidRPr="00EB6C61" w:rsidRDefault="00384555" w:rsidP="00384555">
      <w:pPr>
        <w:pStyle w:val="Pull-outBullet1"/>
      </w:pPr>
      <w:r>
        <w:t xml:space="preserve">when a customer requests to switch to another plan </w:t>
      </w:r>
    </w:p>
    <w:p w14:paraId="120E4D48" w14:textId="77777777" w:rsidR="00384555" w:rsidRDefault="00384555" w:rsidP="00384555">
      <w:pPr>
        <w:pStyle w:val="Pull-outBullet1"/>
      </w:pPr>
      <w:r>
        <w:t>when a customer contacts the retailer requesting payment difficulty assistance</w:t>
      </w:r>
    </w:p>
    <w:p w14:paraId="49B78F35" w14:textId="77777777" w:rsidR="00384555" w:rsidRPr="00EB6C61" w:rsidRDefault="00384555" w:rsidP="00384555">
      <w:pPr>
        <w:pStyle w:val="Pull-outBullet1"/>
      </w:pPr>
      <w:r>
        <w:t>as soon as practicable, if a customer may be affected by family violence.</w:t>
      </w:r>
    </w:p>
    <w:p w14:paraId="21FDCC1B" w14:textId="708CCC35" w:rsidR="00384555" w:rsidRPr="000919B8" w:rsidRDefault="00384555" w:rsidP="00384555">
      <w:r>
        <w:t xml:space="preserve">We expect these reforms will </w:t>
      </w:r>
      <w:r w:rsidR="001D3A23">
        <w:t>reduce</w:t>
      </w:r>
      <w:r>
        <w:t xml:space="preserve"> the number of eligible customers currently missing out on energy concessions. While m</w:t>
      </w:r>
      <w:r w:rsidRPr="000919B8">
        <w:t xml:space="preserve">any Victorian retailers already have systems </w:t>
      </w:r>
      <w:r>
        <w:t xml:space="preserve">to </w:t>
      </w:r>
      <w:r w:rsidRPr="000919B8">
        <w:t>undertake these checks</w:t>
      </w:r>
      <w:r>
        <w:t xml:space="preserve">, other retailers could </w:t>
      </w:r>
      <w:r w:rsidRPr="000919B8">
        <w:t>face higher implementation costs.</w:t>
      </w:r>
    </w:p>
    <w:p w14:paraId="4F17BB37" w14:textId="1D0276BF" w:rsidR="00384555" w:rsidRPr="00384555" w:rsidRDefault="00427D7D" w:rsidP="00384555">
      <w:r w:rsidRPr="00427D7D">
        <w:t>We also recognise that broader initiatives to automate concessions based on eligibility information depend on system upgrades and new agreements between Services Australia, state governments and energy retailers. We support any work in this area to improve Victorians’ access to concessions in the long term.</w:t>
      </w:r>
    </w:p>
    <w:p w14:paraId="2F514E76" w14:textId="67A6603C" w:rsidR="00427D7D" w:rsidRPr="00384555" w:rsidRDefault="00756CDC" w:rsidP="00756CDC">
      <w:pPr>
        <w:pStyle w:val="Heading3numbered"/>
        <w:numPr>
          <w:ilvl w:val="0"/>
          <w:numId w:val="0"/>
        </w:numPr>
      </w:pPr>
      <w:r>
        <w:t>Extending protections for customers on legacy contracts</w:t>
      </w:r>
    </w:p>
    <w:p w14:paraId="4B3B459A" w14:textId="3196A11A" w:rsidR="008D1E7C" w:rsidRDefault="008D1E7C" w:rsidP="008D1E7C">
      <w:r>
        <w:t>In 2020, we introduced a suite of reforms to ensure that contracts were</w:t>
      </w:r>
      <w:r w:rsidRPr="005944E7">
        <w:t xml:space="preserve"> clear and fair</w:t>
      </w:r>
      <w:r>
        <w:t>.</w:t>
      </w:r>
      <w:r w:rsidRPr="004B2BD6">
        <w:t xml:space="preserve"> </w:t>
      </w:r>
      <w:r>
        <w:t xml:space="preserve">The rules required any benefits on an energy contract to last the length of the contract. We have also capped the level of pay-on-time discounts. However, these protections only applied to contracts entered </w:t>
      </w:r>
      <w:r w:rsidR="00C4230A">
        <w:t xml:space="preserve">into </w:t>
      </w:r>
      <w:r>
        <w:t>from 1 July 2020. While the number of Victorian customers on older contacts have decreased over time, many still do not receive the same protections.</w:t>
      </w:r>
    </w:p>
    <w:p w14:paraId="3BEA0DC5" w14:textId="5D36EFF3" w:rsidR="008D1E7C" w:rsidRPr="00BB77FB" w:rsidRDefault="008D1E7C" w:rsidP="008D1E7C">
      <w:pPr>
        <w:pStyle w:val="Pull-out"/>
      </w:pPr>
      <w:r>
        <w:t>We propose that all fees and discounts relating to a payment condition (such as pay-on-time discounts) are limited to reasonable costs. I</w:t>
      </w:r>
      <w:r w:rsidRPr="001954FD">
        <w:t>f the scale of these conditional discounts exceeds this reasonable estimate</w:t>
      </w:r>
      <w:r>
        <w:t xml:space="preserve"> (for example high pay-on-time discounts)</w:t>
      </w:r>
      <w:r w:rsidRPr="001954FD">
        <w:t xml:space="preserve">, retailers </w:t>
      </w:r>
      <w:r>
        <w:t xml:space="preserve">must </w:t>
      </w:r>
      <w:r w:rsidRPr="001954FD">
        <w:t xml:space="preserve">apply these </w:t>
      </w:r>
      <w:r w:rsidRPr="001954FD">
        <w:lastRenderedPageBreak/>
        <w:t>discounts unconditionally.</w:t>
      </w:r>
      <w:r>
        <w:t xml:space="preserve"> This would apply to all contracts, including those that customers have entered </w:t>
      </w:r>
      <w:r w:rsidR="00214272">
        <w:t xml:space="preserve">into </w:t>
      </w:r>
      <w:r>
        <w:t>before 1 July 2020.</w:t>
      </w:r>
    </w:p>
    <w:p w14:paraId="1D1F1CD4" w14:textId="77777777" w:rsidR="008D1E7C" w:rsidRPr="00BB77FB" w:rsidRDefault="008D1E7C" w:rsidP="008D1E7C">
      <w:pPr>
        <w:pStyle w:val="Pull-out"/>
      </w:pPr>
      <w:r>
        <w:t>A retailer must also provide any discount, rebate or credit in a contract entered into before 1 July 2020 for the entire duration of the contract, if the benefit has not already expired.</w:t>
      </w:r>
    </w:p>
    <w:p w14:paraId="4DA1B7D3" w14:textId="77777777" w:rsidR="008D1E7C" w:rsidRDefault="008D1E7C" w:rsidP="008D1E7C">
      <w:r>
        <w:t xml:space="preserve">We believe this is a targeted reform to remove the exposure of customers on older contracts to price shocks. This is especially when a customer does not meet payment conditions and faces a much higher energy cost. </w:t>
      </w:r>
    </w:p>
    <w:p w14:paraId="5015E614" w14:textId="1EE550D5" w:rsidR="008D1E7C" w:rsidRPr="0026103E" w:rsidRDefault="008D1E7C" w:rsidP="008D1E7C">
      <w:r>
        <w:t>We estimate that these reforms will protect 13,855 Victorian customers on old contracts who face a cost for not meeting their pay-on-time discounts. However, the number of these affected customers have been steadily decreasing since 2020 (with around five per cent of Victorian customers on these types of contracts</w:t>
      </w:r>
      <w:r w:rsidR="00DD2572">
        <w:t xml:space="preserve"> as of 2023</w:t>
      </w:r>
      <w:r>
        <w:t>).</w:t>
      </w:r>
    </w:p>
    <w:p w14:paraId="7E29D12C" w14:textId="44D52EC6" w:rsidR="00B761EE" w:rsidRDefault="008D1E7C" w:rsidP="008D1E7C">
      <w:pPr>
        <w:pStyle w:val="Heading3numbered"/>
        <w:numPr>
          <w:ilvl w:val="0"/>
          <w:numId w:val="0"/>
        </w:numPr>
        <w:ind w:left="1134" w:hanging="1134"/>
      </w:pPr>
      <w:r>
        <w:t>Improving awareness of independent dispute resolution services</w:t>
      </w:r>
    </w:p>
    <w:p w14:paraId="162D4703" w14:textId="77777777" w:rsidR="00EA1323" w:rsidRDefault="00EA1323" w:rsidP="00EA1323">
      <w:r>
        <w:t xml:space="preserve">The Energy and Water Ombudsman of Victoria (EWOV) </w:t>
      </w:r>
      <w:r w:rsidRPr="00E600BA">
        <w:t xml:space="preserve">is </w:t>
      </w:r>
      <w:r>
        <w:t xml:space="preserve">an </w:t>
      </w:r>
      <w:r w:rsidRPr="00E600BA">
        <w:t>independent dispute resolution service for energy</w:t>
      </w:r>
      <w:r>
        <w:t xml:space="preserve"> customers. EWOV </w:t>
      </w:r>
      <w:r w:rsidRPr="00E600BA">
        <w:t xml:space="preserve">helps resolve complaints between </w:t>
      </w:r>
      <w:r>
        <w:t>a</w:t>
      </w:r>
      <w:r w:rsidRPr="00E600BA">
        <w:t xml:space="preserve"> consumer and their retailer</w:t>
      </w:r>
      <w:r>
        <w:t xml:space="preserve"> </w:t>
      </w:r>
      <w:r w:rsidRPr="00E600BA">
        <w:t>impartially</w:t>
      </w:r>
      <w:r>
        <w:t>, efficiently and fairly. Despite this free service, recent reports found that 66 per cent of Victorian consumers were not aware of EWOV</w:t>
      </w:r>
      <w:r w:rsidRPr="006A01FC">
        <w:t>.</w:t>
      </w:r>
      <w:r w:rsidRPr="006A01FC">
        <w:rPr>
          <w:color w:val="000000"/>
          <w:vertAlign w:val="superscript"/>
        </w:rPr>
        <w:footnoteReference w:id="4"/>
      </w:r>
      <w:r>
        <w:t xml:space="preserve"> </w:t>
      </w:r>
    </w:p>
    <w:p w14:paraId="6209FFCD" w14:textId="77777777" w:rsidR="00EA1323" w:rsidRPr="002D0585" w:rsidRDefault="00EA1323" w:rsidP="00EA1323">
      <w:pPr>
        <w:pStyle w:val="Pull-out"/>
      </w:pPr>
      <w:r>
        <w:t>To help increase Victorian consumers’ awareness of EWOV, we propose that retailers include the telephone number of the Energy and Water Ombudsman Victoria on the front page of a customer’s energy bill.</w:t>
      </w:r>
    </w:p>
    <w:p w14:paraId="34A740C7" w14:textId="31B58E65" w:rsidR="00EA1323" w:rsidRDefault="00EA1323" w:rsidP="00EA1323">
      <w:r>
        <w:t>R</w:t>
      </w:r>
      <w:r w:rsidRPr="00311718">
        <w:t xml:space="preserve">esearch </w:t>
      </w:r>
      <w:r>
        <w:t xml:space="preserve">indicates that customers </w:t>
      </w:r>
      <w:r w:rsidRPr="00311718">
        <w:t>benefit from clear information about dispute resolution services available to them. Consumers experiencing vulnerability stand to benefit the most</w:t>
      </w:r>
      <w:r>
        <w:t xml:space="preserve">, as access to these services could help them when they need it most. </w:t>
      </w:r>
    </w:p>
    <w:p w14:paraId="0F6CDBF3" w14:textId="77777777" w:rsidR="00EA1323" w:rsidRDefault="00EA1323" w:rsidP="00EA1323">
      <w:r>
        <w:t>While retailers will incur some costs to change customers’ energy bills, w</w:t>
      </w:r>
      <w:r w:rsidRPr="00995249">
        <w:t xml:space="preserve">e note that some retailers already voluntarily </w:t>
      </w:r>
      <w:r>
        <w:t xml:space="preserve">include </w:t>
      </w:r>
      <w:r w:rsidRPr="00995249">
        <w:t xml:space="preserve">EWOV details on </w:t>
      </w:r>
      <w:r>
        <w:t xml:space="preserve">its </w:t>
      </w:r>
      <w:r w:rsidRPr="00995249">
        <w:t>bills</w:t>
      </w:r>
      <w:r>
        <w:t xml:space="preserve">. </w:t>
      </w:r>
      <w:r w:rsidRPr="003555CF">
        <w:t xml:space="preserve">Some retailers also include this information </w:t>
      </w:r>
      <w:r>
        <w:t xml:space="preserve">on energy </w:t>
      </w:r>
      <w:r w:rsidRPr="003555CF">
        <w:t xml:space="preserve">bills </w:t>
      </w:r>
      <w:r>
        <w:t xml:space="preserve">in </w:t>
      </w:r>
      <w:r w:rsidRPr="003555CF">
        <w:t>other jurisdictions where these rules already exist.</w:t>
      </w:r>
    </w:p>
    <w:p w14:paraId="48CBED4B" w14:textId="0546A44B" w:rsidR="00B761EE" w:rsidRDefault="00EA1323" w:rsidP="00EA1323">
      <w:pPr>
        <w:pStyle w:val="Heading3numbered"/>
        <w:numPr>
          <w:ilvl w:val="0"/>
          <w:numId w:val="0"/>
        </w:numPr>
        <w:ind w:left="1134" w:hanging="1134"/>
      </w:pPr>
      <w:r>
        <w:t>Increasing best offer and debt-disconnection thresholds</w:t>
      </w:r>
    </w:p>
    <w:p w14:paraId="3D67ECC8" w14:textId="77777777" w:rsidR="00340854" w:rsidRDefault="00340854" w:rsidP="00340854">
      <w:r>
        <w:t>We are also proposing changes to two thresholds, which complement our key reforms.</w:t>
      </w:r>
    </w:p>
    <w:p w14:paraId="56F3947D" w14:textId="77777777" w:rsidR="00340854" w:rsidRDefault="00340854" w:rsidP="00340854">
      <w:r>
        <w:lastRenderedPageBreak/>
        <w:t>We propose to increase the threshold for a customer to receive a ‘best offer’ message from $22 to $50 in estimated annual savings. This change will support the implementation of the proposed automatic best offer reform. On balance, we believe this change will give customers enough benefit, while limiting the additional regulatory and process burden on retailers. We also note that in 2018, our consumer behavioural testing found that 90 per cent of customers would need to save at least $50 in order to switch.</w:t>
      </w:r>
      <w:r>
        <w:rPr>
          <w:rStyle w:val="FootnoteReference"/>
        </w:rPr>
        <w:footnoteReference w:id="5"/>
      </w:r>
    </w:p>
    <w:p w14:paraId="59946576" w14:textId="77777777" w:rsidR="00340854" w:rsidRDefault="00340854" w:rsidP="00340854">
      <w:r>
        <w:t>We also propose to increase the minimum debt amount that a retailer can disconnect a customer, from $300 to $500. The current threshold was set in 2017 and has not been updated. We have proposed protections for customers in arrears but are not receiving assistance from their retailers – these customers face a greater risk of disconnection. On balance, increasing the debt-disconnection threshold would increase protections for some customers, with marginal additional burden on retailers. In practice, most retailers only disconnect customers with much higher levels of arrears.</w:t>
      </w:r>
    </w:p>
    <w:p w14:paraId="78D60B97" w14:textId="20A53ADE" w:rsidR="00036553" w:rsidRPr="00463F9C" w:rsidRDefault="008278B0" w:rsidP="00463F9C">
      <w:pPr>
        <w:spacing w:before="240"/>
        <w:rPr>
          <w:rFonts w:ascii="Tahoma" w:hAnsi="Tahoma" w:cs="Tahoma"/>
          <w:b/>
          <w:sz w:val="26"/>
          <w:szCs w:val="26"/>
        </w:rPr>
      </w:pPr>
      <w:r w:rsidRPr="00463F9C">
        <w:rPr>
          <w:rFonts w:ascii="Tahoma" w:hAnsi="Tahoma" w:cs="Tahoma"/>
          <w:b/>
          <w:sz w:val="26"/>
          <w:szCs w:val="26"/>
        </w:rPr>
        <w:t>Summary of proposed reforms and impacts</w:t>
      </w:r>
    </w:p>
    <w:p w14:paraId="7C72D616" w14:textId="10A13169" w:rsidR="00CE142C" w:rsidRPr="00617073" w:rsidRDefault="00CE142C" w:rsidP="00617073">
      <w:pPr>
        <w:pStyle w:val="Figure-Table-BoxSubtitle"/>
        <w:ind w:left="0"/>
      </w:pPr>
      <w:r w:rsidRPr="00617073">
        <w:rPr>
          <w:rStyle w:val="Figure-Table-BoxHeadingChar"/>
        </w:rPr>
        <w:t>Table 1</w:t>
      </w:r>
      <w:r w:rsidR="00BC4159" w:rsidRPr="00617073">
        <w:rPr>
          <w:rStyle w:val="Figure-Table-BoxHeadingChar"/>
        </w:rPr>
        <w:t>:</w:t>
      </w:r>
      <w:r w:rsidR="00BC4159" w:rsidRPr="00617073">
        <w:rPr>
          <w:rStyle w:val="Figure-Table-BoxHeadingChar"/>
          <w:b w:val="0"/>
        </w:rPr>
        <w:t xml:space="preserve"> </w:t>
      </w:r>
      <w:r w:rsidRPr="00617073">
        <w:t xml:space="preserve">Summary of </w:t>
      </w:r>
      <w:r w:rsidR="00705C0E" w:rsidRPr="00617073">
        <w:t xml:space="preserve">preferred options and </w:t>
      </w:r>
      <w:r w:rsidRPr="00617073">
        <w:t>proposed amendments</w:t>
      </w:r>
    </w:p>
    <w:tbl>
      <w:tblPr>
        <w:tblStyle w:val="TableGrid"/>
        <w:tblW w:w="9639" w:type="dxa"/>
        <w:tblLook w:val="04A0" w:firstRow="1" w:lastRow="0" w:firstColumn="1" w:lastColumn="0" w:noHBand="0" w:noVBand="1"/>
      </w:tblPr>
      <w:tblGrid>
        <w:gridCol w:w="2268"/>
        <w:gridCol w:w="5245"/>
        <w:gridCol w:w="2126"/>
      </w:tblGrid>
      <w:tr w:rsidR="00A06BBB" w:rsidRPr="00A06BBB" w14:paraId="2C1B0F22" w14:textId="7A893F8C" w:rsidTr="00705C0E">
        <w:trPr>
          <w:cnfStyle w:val="100000000000" w:firstRow="1" w:lastRow="0" w:firstColumn="0" w:lastColumn="0" w:oddVBand="0" w:evenVBand="0" w:oddHBand="0" w:evenHBand="0" w:firstRowFirstColumn="0" w:firstRowLastColumn="0" w:lastRowFirstColumn="0" w:lastRowLastColumn="0"/>
        </w:trPr>
        <w:tc>
          <w:tcPr>
            <w:tcW w:w="2268" w:type="dxa"/>
          </w:tcPr>
          <w:p w14:paraId="0D2A9834" w14:textId="77777777" w:rsidR="00A06BBB" w:rsidRPr="00FC5634" w:rsidRDefault="00A06BBB" w:rsidP="00800122">
            <w:pPr>
              <w:spacing w:before="0" w:after="120" w:line="240" w:lineRule="auto"/>
              <w:rPr>
                <w:sz w:val="20"/>
                <w:szCs w:val="20"/>
              </w:rPr>
            </w:pPr>
            <w:r w:rsidRPr="00FC5634">
              <w:rPr>
                <w:sz w:val="20"/>
                <w:szCs w:val="20"/>
              </w:rPr>
              <w:t>Reform topic</w:t>
            </w:r>
          </w:p>
        </w:tc>
        <w:tc>
          <w:tcPr>
            <w:tcW w:w="5245" w:type="dxa"/>
          </w:tcPr>
          <w:p w14:paraId="361DB0F9" w14:textId="12F1453D" w:rsidR="00A06BBB" w:rsidRPr="00FC5634" w:rsidRDefault="00E9464F" w:rsidP="00800122">
            <w:pPr>
              <w:spacing w:before="0" w:after="120" w:line="240" w:lineRule="auto"/>
              <w:rPr>
                <w:sz w:val="20"/>
                <w:szCs w:val="20"/>
              </w:rPr>
            </w:pPr>
            <w:r w:rsidRPr="00FC5634">
              <w:rPr>
                <w:sz w:val="20"/>
                <w:szCs w:val="20"/>
              </w:rPr>
              <w:t xml:space="preserve">Preferred option </w:t>
            </w:r>
          </w:p>
        </w:tc>
        <w:tc>
          <w:tcPr>
            <w:tcW w:w="2126" w:type="dxa"/>
          </w:tcPr>
          <w:p w14:paraId="73538837" w14:textId="3ED560CD" w:rsidR="00715D4F" w:rsidRDefault="00715D4F" w:rsidP="00F568B0">
            <w:pPr>
              <w:spacing w:before="0" w:after="120" w:line="240" w:lineRule="auto"/>
              <w:rPr>
                <w:sz w:val="20"/>
                <w:szCs w:val="20"/>
              </w:rPr>
            </w:pPr>
            <w:r>
              <w:rPr>
                <w:sz w:val="20"/>
                <w:szCs w:val="20"/>
              </w:rPr>
              <w:t xml:space="preserve">Relevant </w:t>
            </w:r>
            <w:r w:rsidR="00A273E9">
              <w:rPr>
                <w:sz w:val="20"/>
                <w:szCs w:val="20"/>
              </w:rPr>
              <w:t xml:space="preserve">proposed </w:t>
            </w:r>
            <w:r w:rsidR="002266F0">
              <w:rPr>
                <w:sz w:val="20"/>
                <w:szCs w:val="20"/>
              </w:rPr>
              <w:t>amendments</w:t>
            </w:r>
            <w:r w:rsidR="007A2240">
              <w:rPr>
                <w:sz w:val="20"/>
                <w:szCs w:val="20"/>
              </w:rPr>
              <w:t xml:space="preserve"> (Draf</w:t>
            </w:r>
            <w:r w:rsidR="00F907BF">
              <w:rPr>
                <w:sz w:val="20"/>
                <w:szCs w:val="20"/>
              </w:rPr>
              <w:t>t</w:t>
            </w:r>
            <w:r w:rsidR="007A2240">
              <w:rPr>
                <w:sz w:val="20"/>
                <w:szCs w:val="20"/>
              </w:rPr>
              <w:t xml:space="preserve"> </w:t>
            </w:r>
            <w:r w:rsidR="00234512">
              <w:rPr>
                <w:sz w:val="20"/>
                <w:szCs w:val="20"/>
              </w:rPr>
              <w:t>code</w:t>
            </w:r>
            <w:r w:rsidR="007A2240">
              <w:rPr>
                <w:sz w:val="20"/>
                <w:szCs w:val="20"/>
              </w:rPr>
              <w:t xml:space="preserve"> v4)</w:t>
            </w:r>
          </w:p>
        </w:tc>
      </w:tr>
      <w:tr w:rsidR="00A06BBB" w:rsidRPr="00A06BBB" w14:paraId="307970E0" w14:textId="5B1A2D33" w:rsidTr="00705C0E">
        <w:trPr>
          <w:cnfStyle w:val="000000100000" w:firstRow="0" w:lastRow="0" w:firstColumn="0" w:lastColumn="0" w:oddVBand="0" w:evenVBand="0" w:oddHBand="1" w:evenHBand="0" w:firstRowFirstColumn="0" w:firstRowLastColumn="0" w:lastRowFirstColumn="0" w:lastRowLastColumn="0"/>
        </w:trPr>
        <w:tc>
          <w:tcPr>
            <w:tcW w:w="2268" w:type="dxa"/>
            <w:vMerge w:val="restart"/>
            <w:shd w:val="clear" w:color="auto" w:fill="E3E3E4" w:themeFill="background2" w:themeFillTint="33"/>
          </w:tcPr>
          <w:p w14:paraId="25205A8D" w14:textId="77777777" w:rsidR="00A06BBB" w:rsidRPr="00FC5634" w:rsidRDefault="00A06BBB" w:rsidP="00D409D4">
            <w:pPr>
              <w:numPr>
                <w:ilvl w:val="0"/>
                <w:numId w:val="10"/>
              </w:numPr>
              <w:spacing w:before="0" w:after="120" w:line="240" w:lineRule="auto"/>
              <w:ind w:left="482"/>
              <w:rPr>
                <w:b/>
                <w:sz w:val="20"/>
                <w:szCs w:val="20"/>
              </w:rPr>
            </w:pPr>
            <w:r w:rsidRPr="00FC5634">
              <w:rPr>
                <w:b/>
                <w:sz w:val="20"/>
                <w:szCs w:val="20"/>
              </w:rPr>
              <w:t xml:space="preserve">Automatic best offer for customers experiencing payment difficulty </w:t>
            </w:r>
          </w:p>
        </w:tc>
        <w:tc>
          <w:tcPr>
            <w:tcW w:w="5245" w:type="dxa"/>
            <w:shd w:val="clear" w:color="auto" w:fill="E3E3E4" w:themeFill="background2" w:themeFillTint="33"/>
          </w:tcPr>
          <w:p w14:paraId="653EACD6" w14:textId="2E411A24" w:rsidR="00A06BBB" w:rsidRPr="00FC5634" w:rsidRDefault="002372F9" w:rsidP="00800122">
            <w:pPr>
              <w:spacing w:before="0" w:after="120" w:line="240" w:lineRule="auto"/>
              <w:rPr>
                <w:b/>
                <w:i/>
                <w:sz w:val="20"/>
                <w:szCs w:val="20"/>
              </w:rPr>
            </w:pPr>
            <w:r w:rsidRPr="00FC5634">
              <w:rPr>
                <w:b/>
                <w:i/>
                <w:sz w:val="20"/>
                <w:szCs w:val="20"/>
              </w:rPr>
              <w:t xml:space="preserve">Eligibility – </w:t>
            </w:r>
            <w:r w:rsidR="00010EC7" w:rsidRPr="00FC5634">
              <w:rPr>
                <w:b/>
                <w:sz w:val="20"/>
                <w:szCs w:val="20"/>
              </w:rPr>
              <w:t xml:space="preserve">Option AA.2 </w:t>
            </w:r>
            <w:r w:rsidR="00B5778D" w:rsidRPr="00FC5634">
              <w:rPr>
                <w:bCs/>
                <w:sz w:val="20"/>
                <w:szCs w:val="20"/>
              </w:rPr>
              <w:t>–</w:t>
            </w:r>
            <w:r w:rsidR="00010EC7" w:rsidRPr="00FC5634">
              <w:rPr>
                <w:sz w:val="20"/>
                <w:szCs w:val="20"/>
              </w:rPr>
              <w:t xml:space="preserve"> </w:t>
            </w:r>
            <w:r w:rsidR="004B0ECD">
              <w:rPr>
                <w:sz w:val="20"/>
                <w:szCs w:val="20"/>
              </w:rPr>
              <w:t>C</w:t>
            </w:r>
            <w:r w:rsidRPr="00FC5634">
              <w:rPr>
                <w:sz w:val="20"/>
                <w:szCs w:val="20"/>
              </w:rPr>
              <w:t xml:space="preserve">ustomers receiving tailored assistance and customers in arrears </w:t>
            </w:r>
            <w:r w:rsidR="00A701DB">
              <w:rPr>
                <w:sz w:val="20"/>
                <w:szCs w:val="20"/>
              </w:rPr>
              <w:t xml:space="preserve">for </w:t>
            </w:r>
            <w:r w:rsidR="008107F9">
              <w:rPr>
                <w:sz w:val="20"/>
                <w:szCs w:val="20"/>
              </w:rPr>
              <w:t>at least</w:t>
            </w:r>
            <w:r w:rsidR="00A701DB">
              <w:rPr>
                <w:sz w:val="20"/>
                <w:szCs w:val="20"/>
              </w:rPr>
              <w:t xml:space="preserve"> </w:t>
            </w:r>
            <w:r w:rsidR="009D2D18">
              <w:rPr>
                <w:sz w:val="20"/>
                <w:szCs w:val="20"/>
              </w:rPr>
              <w:t xml:space="preserve">three </w:t>
            </w:r>
            <w:r w:rsidR="00A701DB">
              <w:rPr>
                <w:sz w:val="20"/>
                <w:szCs w:val="20"/>
              </w:rPr>
              <w:t xml:space="preserve">months and </w:t>
            </w:r>
            <w:r w:rsidR="00B36A61">
              <w:rPr>
                <w:sz w:val="20"/>
                <w:szCs w:val="20"/>
              </w:rPr>
              <w:t>with arrears of</w:t>
            </w:r>
            <w:r w:rsidRPr="00FC5634">
              <w:rPr>
                <w:sz w:val="20"/>
                <w:szCs w:val="20"/>
              </w:rPr>
              <w:t xml:space="preserve"> </w:t>
            </w:r>
            <w:r w:rsidR="00160815">
              <w:rPr>
                <w:sz w:val="20"/>
                <w:szCs w:val="20"/>
              </w:rPr>
              <w:t>$1,000</w:t>
            </w:r>
            <w:r w:rsidR="00B36A61">
              <w:rPr>
                <w:sz w:val="20"/>
                <w:szCs w:val="20"/>
              </w:rPr>
              <w:t xml:space="preserve"> or more</w:t>
            </w:r>
            <w:r w:rsidR="004B0ECD">
              <w:rPr>
                <w:sz w:val="20"/>
                <w:szCs w:val="20"/>
              </w:rPr>
              <w:t>.</w:t>
            </w:r>
          </w:p>
        </w:tc>
        <w:tc>
          <w:tcPr>
            <w:tcW w:w="2126" w:type="dxa"/>
            <w:vMerge w:val="restart"/>
            <w:shd w:val="clear" w:color="auto" w:fill="E3E3E4" w:themeFill="background2" w:themeFillTint="33"/>
          </w:tcPr>
          <w:p w14:paraId="04338FB4" w14:textId="50C17324" w:rsidR="00715D4F" w:rsidRPr="00AB2DDB" w:rsidRDefault="000136D9" w:rsidP="00F568B0">
            <w:pPr>
              <w:spacing w:before="0" w:after="120" w:line="240" w:lineRule="auto"/>
              <w:rPr>
                <w:sz w:val="20"/>
                <w:szCs w:val="20"/>
              </w:rPr>
            </w:pPr>
            <w:r>
              <w:rPr>
                <w:bCs/>
                <w:iCs/>
                <w:sz w:val="20"/>
                <w:szCs w:val="20"/>
              </w:rPr>
              <w:t xml:space="preserve">Clauses </w:t>
            </w:r>
            <w:r w:rsidR="00370A83">
              <w:rPr>
                <w:bCs/>
                <w:iCs/>
                <w:sz w:val="20"/>
                <w:szCs w:val="20"/>
              </w:rPr>
              <w:t>12</w:t>
            </w:r>
            <w:r w:rsidR="007A7439">
              <w:rPr>
                <w:bCs/>
                <w:iCs/>
                <w:sz w:val="20"/>
                <w:szCs w:val="20"/>
              </w:rPr>
              <w:t>8(1)(a1)</w:t>
            </w:r>
            <w:r w:rsidR="00C501BF">
              <w:rPr>
                <w:bCs/>
                <w:iCs/>
                <w:sz w:val="20"/>
                <w:szCs w:val="20"/>
              </w:rPr>
              <w:t xml:space="preserve">, 128(2), </w:t>
            </w:r>
            <w:r w:rsidR="009D0D7D">
              <w:rPr>
                <w:bCs/>
                <w:iCs/>
                <w:sz w:val="20"/>
                <w:szCs w:val="20"/>
              </w:rPr>
              <w:t>132A, 132B, 132C, 132D, 132E, 132F</w:t>
            </w:r>
            <w:r w:rsidR="002266F0">
              <w:rPr>
                <w:bCs/>
                <w:iCs/>
                <w:sz w:val="20"/>
                <w:szCs w:val="20"/>
              </w:rPr>
              <w:t xml:space="preserve"> and</w:t>
            </w:r>
            <w:r w:rsidR="009D0D7D">
              <w:rPr>
                <w:bCs/>
                <w:iCs/>
                <w:sz w:val="20"/>
                <w:szCs w:val="20"/>
              </w:rPr>
              <w:t xml:space="preserve"> 132G</w:t>
            </w:r>
          </w:p>
        </w:tc>
      </w:tr>
      <w:tr w:rsidR="00A06BBB" w:rsidRPr="00A06BBB" w14:paraId="241D0BCA" w14:textId="662FB3DF" w:rsidTr="00705C0E">
        <w:trPr>
          <w:cnfStyle w:val="000000010000" w:firstRow="0" w:lastRow="0" w:firstColumn="0" w:lastColumn="0" w:oddVBand="0" w:evenVBand="0" w:oddHBand="0" w:evenHBand="1" w:firstRowFirstColumn="0" w:firstRowLastColumn="0" w:lastRowFirstColumn="0" w:lastRowLastColumn="0"/>
        </w:trPr>
        <w:tc>
          <w:tcPr>
            <w:tcW w:w="2268" w:type="dxa"/>
            <w:vMerge/>
          </w:tcPr>
          <w:p w14:paraId="4DFA29D6" w14:textId="77777777" w:rsidR="00A06BBB" w:rsidRPr="00FC5634" w:rsidRDefault="00A06BBB" w:rsidP="00800122">
            <w:pPr>
              <w:spacing w:before="0" w:after="120" w:line="240" w:lineRule="auto"/>
              <w:ind w:left="482"/>
              <w:rPr>
                <w:sz w:val="20"/>
                <w:szCs w:val="20"/>
              </w:rPr>
            </w:pPr>
          </w:p>
        </w:tc>
        <w:tc>
          <w:tcPr>
            <w:tcW w:w="5245" w:type="dxa"/>
          </w:tcPr>
          <w:p w14:paraId="1123C3D9" w14:textId="22057FD6" w:rsidR="00A06BBB" w:rsidRPr="00FC5634" w:rsidRDefault="00A06BBB" w:rsidP="00800122">
            <w:pPr>
              <w:spacing w:before="0" w:after="120" w:line="240" w:lineRule="auto"/>
              <w:rPr>
                <w:b/>
                <w:i/>
                <w:sz w:val="20"/>
                <w:szCs w:val="20"/>
              </w:rPr>
            </w:pPr>
            <w:r w:rsidRPr="00FC5634">
              <w:rPr>
                <w:b/>
                <w:i/>
                <w:sz w:val="20"/>
                <w:szCs w:val="20"/>
              </w:rPr>
              <w:t xml:space="preserve">Implementation </w:t>
            </w:r>
            <w:r w:rsidR="00872861" w:rsidRPr="00FC5634">
              <w:rPr>
                <w:b/>
                <w:i/>
                <w:sz w:val="20"/>
                <w:szCs w:val="20"/>
              </w:rPr>
              <w:t>–</w:t>
            </w:r>
            <w:r w:rsidR="002372F9" w:rsidRPr="00FC5634">
              <w:rPr>
                <w:b/>
                <w:i/>
                <w:sz w:val="20"/>
                <w:szCs w:val="20"/>
              </w:rPr>
              <w:t xml:space="preserve"> </w:t>
            </w:r>
            <w:r w:rsidR="00010EC7" w:rsidRPr="00FC5634">
              <w:rPr>
                <w:b/>
                <w:sz w:val="20"/>
                <w:szCs w:val="20"/>
              </w:rPr>
              <w:t xml:space="preserve">Option A.1 </w:t>
            </w:r>
            <w:r w:rsidR="00010EC7" w:rsidRPr="00FC5634">
              <w:rPr>
                <w:sz w:val="20"/>
                <w:szCs w:val="20"/>
              </w:rPr>
              <w:t>–</w:t>
            </w:r>
            <w:r w:rsidR="00010EC7" w:rsidRPr="00FC5634">
              <w:rPr>
                <w:b/>
                <w:i/>
                <w:sz w:val="20"/>
                <w:szCs w:val="20"/>
              </w:rPr>
              <w:t xml:space="preserve"> </w:t>
            </w:r>
            <w:r w:rsidR="002372F9" w:rsidRPr="00FC5634">
              <w:rPr>
                <w:sz w:val="20"/>
                <w:szCs w:val="20"/>
              </w:rPr>
              <w:t xml:space="preserve">Automatic switch to best offer for all customers experiencing payment difficulty who meet the chosen eligibility </w:t>
            </w:r>
            <w:r w:rsidR="002372F9" w:rsidRPr="00FC5634">
              <w:rPr>
                <w:bCs/>
                <w:iCs/>
                <w:sz w:val="20"/>
                <w:szCs w:val="20"/>
              </w:rPr>
              <w:t>criteria</w:t>
            </w:r>
            <w:r w:rsidR="004B0ECD">
              <w:rPr>
                <w:bCs/>
                <w:iCs/>
                <w:sz w:val="20"/>
                <w:szCs w:val="20"/>
              </w:rPr>
              <w:t>.</w:t>
            </w:r>
          </w:p>
        </w:tc>
        <w:tc>
          <w:tcPr>
            <w:tcW w:w="2126" w:type="dxa"/>
            <w:vMerge/>
          </w:tcPr>
          <w:p w14:paraId="18A23844" w14:textId="77777777" w:rsidR="00715D4F" w:rsidRPr="00FC5634" w:rsidRDefault="00715D4F" w:rsidP="00F568B0">
            <w:pPr>
              <w:spacing w:before="0" w:after="120" w:line="240" w:lineRule="auto"/>
              <w:rPr>
                <w:b/>
                <w:i/>
                <w:sz w:val="20"/>
                <w:szCs w:val="20"/>
              </w:rPr>
            </w:pPr>
          </w:p>
        </w:tc>
      </w:tr>
      <w:tr w:rsidR="00A06BBB" w:rsidRPr="00A06BBB" w14:paraId="5523E2C2" w14:textId="4C23D6FC" w:rsidTr="00705C0E">
        <w:trPr>
          <w:cnfStyle w:val="000000100000" w:firstRow="0" w:lastRow="0" w:firstColumn="0" w:lastColumn="0" w:oddVBand="0" w:evenVBand="0" w:oddHBand="1" w:evenHBand="0" w:firstRowFirstColumn="0" w:firstRowLastColumn="0" w:lastRowFirstColumn="0" w:lastRowLastColumn="0"/>
        </w:trPr>
        <w:tc>
          <w:tcPr>
            <w:tcW w:w="2268" w:type="dxa"/>
          </w:tcPr>
          <w:p w14:paraId="1F9137F4" w14:textId="77777777" w:rsidR="00A06BBB" w:rsidRPr="00FC5634" w:rsidRDefault="00A06BBB" w:rsidP="00D409D4">
            <w:pPr>
              <w:numPr>
                <w:ilvl w:val="0"/>
                <w:numId w:val="10"/>
              </w:numPr>
              <w:spacing w:before="0" w:after="120" w:line="240" w:lineRule="auto"/>
              <w:ind w:left="482"/>
              <w:rPr>
                <w:b/>
                <w:sz w:val="20"/>
                <w:szCs w:val="20"/>
              </w:rPr>
            </w:pPr>
            <w:r w:rsidRPr="00FC5634">
              <w:rPr>
                <w:b/>
                <w:sz w:val="20"/>
                <w:szCs w:val="20"/>
              </w:rPr>
              <w:t>Improving access to cheaper offers</w:t>
            </w:r>
          </w:p>
        </w:tc>
        <w:tc>
          <w:tcPr>
            <w:tcW w:w="5245" w:type="dxa"/>
          </w:tcPr>
          <w:p w14:paraId="211C48DC" w14:textId="691A0599" w:rsidR="00A06BBB" w:rsidRPr="00FC5634" w:rsidRDefault="00010EC7" w:rsidP="00800122">
            <w:pPr>
              <w:spacing w:before="0" w:after="120" w:line="240" w:lineRule="auto"/>
              <w:rPr>
                <w:sz w:val="20"/>
                <w:szCs w:val="20"/>
              </w:rPr>
            </w:pPr>
            <w:r w:rsidRPr="00FC5634">
              <w:rPr>
                <w:b/>
                <w:sz w:val="20"/>
                <w:szCs w:val="20"/>
              </w:rPr>
              <w:t xml:space="preserve">Option B.2 </w:t>
            </w:r>
            <w:r w:rsidRPr="00FC5634">
              <w:rPr>
                <w:sz w:val="20"/>
                <w:szCs w:val="20"/>
              </w:rPr>
              <w:t>–</w:t>
            </w:r>
            <w:r w:rsidRPr="00FC5634">
              <w:rPr>
                <w:b/>
                <w:sz w:val="20"/>
                <w:szCs w:val="20"/>
              </w:rPr>
              <w:t xml:space="preserve"> </w:t>
            </w:r>
            <w:r w:rsidRPr="00FC5634">
              <w:rPr>
                <w:sz w:val="20"/>
                <w:szCs w:val="20"/>
              </w:rPr>
              <w:t>Requir</w:t>
            </w:r>
            <w:r w:rsidR="00F917ED">
              <w:rPr>
                <w:sz w:val="20"/>
                <w:szCs w:val="20"/>
              </w:rPr>
              <w:t>e</w:t>
            </w:r>
            <w:r w:rsidRPr="00FC5634">
              <w:rPr>
                <w:sz w:val="20"/>
                <w:szCs w:val="20"/>
              </w:rPr>
              <w:t xml:space="preserve"> retailers to ensure plans are not restricted based on payment method (e.g. direct debit) or communication method (e.g. e-billing</w:t>
            </w:r>
            <w:r w:rsidR="00F917ED" w:rsidRPr="00FC5634">
              <w:rPr>
                <w:sz w:val="20"/>
                <w:szCs w:val="20"/>
              </w:rPr>
              <w:t>) and</w:t>
            </w:r>
            <w:r w:rsidRPr="00FC5634">
              <w:rPr>
                <w:sz w:val="20"/>
                <w:szCs w:val="20"/>
              </w:rPr>
              <w:t xml:space="preserve"> limiting </w:t>
            </w:r>
            <w:r w:rsidR="006C761A">
              <w:rPr>
                <w:sz w:val="20"/>
                <w:szCs w:val="20"/>
              </w:rPr>
              <w:t xml:space="preserve">conditional </w:t>
            </w:r>
            <w:r w:rsidRPr="00FC5634">
              <w:rPr>
                <w:sz w:val="20"/>
                <w:szCs w:val="20"/>
              </w:rPr>
              <w:t>fees and discounts to reasonable costs</w:t>
            </w:r>
            <w:r w:rsidR="004B0ECD">
              <w:rPr>
                <w:sz w:val="20"/>
                <w:szCs w:val="20"/>
              </w:rPr>
              <w:t>.</w:t>
            </w:r>
          </w:p>
        </w:tc>
        <w:tc>
          <w:tcPr>
            <w:tcW w:w="2126" w:type="dxa"/>
          </w:tcPr>
          <w:p w14:paraId="08264AC5" w14:textId="6F3C254A" w:rsidR="00715D4F" w:rsidRPr="0070788C" w:rsidRDefault="00B35E0B" w:rsidP="00F568B0">
            <w:pPr>
              <w:spacing w:before="0" w:after="120" w:line="240" w:lineRule="auto"/>
              <w:rPr>
                <w:sz w:val="20"/>
                <w:szCs w:val="20"/>
              </w:rPr>
            </w:pPr>
            <w:r>
              <w:rPr>
                <w:sz w:val="20"/>
                <w:szCs w:val="20"/>
              </w:rPr>
              <w:t xml:space="preserve">Clauses </w:t>
            </w:r>
            <w:r w:rsidR="00F14DF9">
              <w:rPr>
                <w:sz w:val="20"/>
                <w:szCs w:val="20"/>
              </w:rPr>
              <w:t>54A</w:t>
            </w:r>
            <w:r w:rsidR="00EA0ED7">
              <w:rPr>
                <w:sz w:val="20"/>
                <w:szCs w:val="20"/>
              </w:rPr>
              <w:t xml:space="preserve">, 72(2A), </w:t>
            </w:r>
            <w:r w:rsidR="002266F0">
              <w:rPr>
                <w:sz w:val="20"/>
                <w:szCs w:val="20"/>
              </w:rPr>
              <w:t xml:space="preserve">72(7) and </w:t>
            </w:r>
            <w:r w:rsidR="00EA0ED7">
              <w:rPr>
                <w:sz w:val="20"/>
                <w:szCs w:val="20"/>
              </w:rPr>
              <w:t xml:space="preserve">77A </w:t>
            </w:r>
          </w:p>
        </w:tc>
      </w:tr>
      <w:tr w:rsidR="00A06BBB" w:rsidRPr="00A06BBB" w14:paraId="43B16CDF" w14:textId="4894A31B" w:rsidTr="00705C0E">
        <w:trPr>
          <w:cnfStyle w:val="000000010000" w:firstRow="0" w:lastRow="0" w:firstColumn="0" w:lastColumn="0" w:oddVBand="0" w:evenVBand="0" w:oddHBand="0" w:evenHBand="1" w:firstRowFirstColumn="0" w:firstRowLastColumn="0" w:lastRowFirstColumn="0" w:lastRowLastColumn="0"/>
        </w:trPr>
        <w:tc>
          <w:tcPr>
            <w:tcW w:w="2268" w:type="dxa"/>
          </w:tcPr>
          <w:p w14:paraId="0B2E659E" w14:textId="77777777" w:rsidR="00A06BBB" w:rsidRPr="00FC5634" w:rsidRDefault="00A06BBB" w:rsidP="00D409D4">
            <w:pPr>
              <w:numPr>
                <w:ilvl w:val="0"/>
                <w:numId w:val="10"/>
              </w:numPr>
              <w:spacing w:before="0" w:after="120" w:line="240" w:lineRule="auto"/>
              <w:ind w:left="482"/>
              <w:rPr>
                <w:b/>
                <w:sz w:val="20"/>
                <w:szCs w:val="20"/>
              </w:rPr>
            </w:pPr>
            <w:r w:rsidRPr="00FC5634">
              <w:rPr>
                <w:b/>
                <w:sz w:val="20"/>
                <w:szCs w:val="20"/>
              </w:rPr>
              <w:t>Improved ability to switch to best offer</w:t>
            </w:r>
          </w:p>
        </w:tc>
        <w:tc>
          <w:tcPr>
            <w:tcW w:w="5245" w:type="dxa"/>
          </w:tcPr>
          <w:p w14:paraId="0DFD2642" w14:textId="35BB1062" w:rsidR="00A06BBB" w:rsidRPr="00FC5634" w:rsidRDefault="00222B09" w:rsidP="00800122">
            <w:pPr>
              <w:spacing w:before="0" w:after="120" w:line="240" w:lineRule="auto"/>
              <w:rPr>
                <w:sz w:val="20"/>
                <w:szCs w:val="20"/>
              </w:rPr>
            </w:pPr>
            <w:r w:rsidRPr="00FC5634">
              <w:rPr>
                <w:b/>
                <w:sz w:val="20"/>
                <w:szCs w:val="20"/>
              </w:rPr>
              <w:t xml:space="preserve">Option C.2 </w:t>
            </w:r>
            <w:r w:rsidRPr="00FC5634">
              <w:rPr>
                <w:sz w:val="20"/>
                <w:szCs w:val="20"/>
              </w:rPr>
              <w:t>–</w:t>
            </w:r>
            <w:r w:rsidRPr="00FC5634">
              <w:rPr>
                <w:b/>
                <w:sz w:val="20"/>
                <w:szCs w:val="20"/>
              </w:rPr>
              <w:t xml:space="preserve"> </w:t>
            </w:r>
            <w:r w:rsidRPr="00FC5634">
              <w:rPr>
                <w:sz w:val="20"/>
                <w:szCs w:val="20"/>
              </w:rPr>
              <w:t xml:space="preserve">Outcomes-based approach </w:t>
            </w:r>
            <w:r w:rsidR="00ED0764" w:rsidRPr="1AE38612">
              <w:rPr>
                <w:sz w:val="20"/>
                <w:szCs w:val="20"/>
              </w:rPr>
              <w:t>requiring</w:t>
            </w:r>
            <w:r w:rsidR="00ED0764" w:rsidRPr="00ED0764">
              <w:rPr>
                <w:bCs/>
                <w:sz w:val="20"/>
                <w:szCs w:val="20"/>
              </w:rPr>
              <w:t xml:space="preserve"> a retailer to have effective processes for customers to switch to the best offer, with minimum requirements for a retailer’s processes (e.g. having a website and a telephone process; allowing customers to compare plans).</w:t>
            </w:r>
          </w:p>
        </w:tc>
        <w:tc>
          <w:tcPr>
            <w:tcW w:w="2126" w:type="dxa"/>
          </w:tcPr>
          <w:p w14:paraId="7AD9772E" w14:textId="7DE48101" w:rsidR="00715D4F" w:rsidRPr="0070788C" w:rsidRDefault="00FB3EBA" w:rsidP="00F568B0">
            <w:pPr>
              <w:spacing w:before="0" w:after="120" w:line="240" w:lineRule="auto"/>
              <w:rPr>
                <w:sz w:val="20"/>
                <w:szCs w:val="20"/>
              </w:rPr>
            </w:pPr>
            <w:r w:rsidRPr="00800122">
              <w:rPr>
                <w:sz w:val="20"/>
                <w:szCs w:val="20"/>
              </w:rPr>
              <w:t xml:space="preserve">Clause </w:t>
            </w:r>
            <w:r>
              <w:rPr>
                <w:sz w:val="20"/>
                <w:szCs w:val="20"/>
              </w:rPr>
              <w:t>111A</w:t>
            </w:r>
          </w:p>
        </w:tc>
      </w:tr>
      <w:tr w:rsidR="00A06BBB" w:rsidRPr="00A06BBB" w14:paraId="34F5D188" w14:textId="25A05358" w:rsidTr="00705C0E">
        <w:trPr>
          <w:cnfStyle w:val="000000100000" w:firstRow="0" w:lastRow="0" w:firstColumn="0" w:lastColumn="0" w:oddVBand="0" w:evenVBand="0" w:oddHBand="1" w:evenHBand="0" w:firstRowFirstColumn="0" w:firstRowLastColumn="0" w:lastRowFirstColumn="0" w:lastRowLastColumn="0"/>
        </w:trPr>
        <w:tc>
          <w:tcPr>
            <w:tcW w:w="2268" w:type="dxa"/>
          </w:tcPr>
          <w:p w14:paraId="7ADC2B4E" w14:textId="77777777" w:rsidR="00A06BBB" w:rsidRPr="00FC5634" w:rsidRDefault="00A06BBB" w:rsidP="00D409D4">
            <w:pPr>
              <w:numPr>
                <w:ilvl w:val="0"/>
                <w:numId w:val="10"/>
              </w:numPr>
              <w:spacing w:before="0" w:after="120" w:line="240" w:lineRule="auto"/>
              <w:ind w:left="482"/>
              <w:rPr>
                <w:b/>
                <w:sz w:val="20"/>
                <w:szCs w:val="20"/>
              </w:rPr>
            </w:pPr>
            <w:r w:rsidRPr="00FC5634">
              <w:rPr>
                <w:b/>
                <w:sz w:val="20"/>
                <w:szCs w:val="20"/>
              </w:rPr>
              <w:lastRenderedPageBreak/>
              <w:t>Protections for customers paying high prices</w:t>
            </w:r>
          </w:p>
        </w:tc>
        <w:tc>
          <w:tcPr>
            <w:tcW w:w="5245" w:type="dxa"/>
          </w:tcPr>
          <w:p w14:paraId="6B76505C" w14:textId="1F1828EE" w:rsidR="00A06BBB" w:rsidRPr="00FC5634" w:rsidRDefault="00D3126A" w:rsidP="00800122">
            <w:pPr>
              <w:spacing w:before="0" w:after="120" w:line="240" w:lineRule="auto"/>
              <w:rPr>
                <w:sz w:val="20"/>
                <w:szCs w:val="20"/>
              </w:rPr>
            </w:pPr>
            <w:r w:rsidRPr="00FC5634">
              <w:rPr>
                <w:b/>
                <w:sz w:val="20"/>
                <w:szCs w:val="20"/>
              </w:rPr>
              <w:t xml:space="preserve">Option D.2 </w:t>
            </w:r>
            <w:r w:rsidRPr="00FC5634">
              <w:rPr>
                <w:sz w:val="20"/>
                <w:szCs w:val="20"/>
              </w:rPr>
              <w:t>–</w:t>
            </w:r>
            <w:r w:rsidRPr="00FC5634">
              <w:rPr>
                <w:b/>
                <w:sz w:val="20"/>
                <w:szCs w:val="20"/>
              </w:rPr>
              <w:t xml:space="preserve"> </w:t>
            </w:r>
            <w:r w:rsidRPr="00FC5634">
              <w:rPr>
                <w:sz w:val="20"/>
                <w:szCs w:val="20"/>
              </w:rPr>
              <w:t>Principles-based approach requiring retailers to take reasonable steps to ensure customers on older contracts are paying a reasonable price, including a flexible definition of reasonable price</w:t>
            </w:r>
            <w:r w:rsidR="004B0ECD">
              <w:rPr>
                <w:sz w:val="20"/>
                <w:szCs w:val="20"/>
              </w:rPr>
              <w:t>.</w:t>
            </w:r>
          </w:p>
        </w:tc>
        <w:tc>
          <w:tcPr>
            <w:tcW w:w="2126" w:type="dxa"/>
          </w:tcPr>
          <w:p w14:paraId="6154B8B6" w14:textId="4C9A834B" w:rsidR="00715D4F" w:rsidRPr="0070788C" w:rsidRDefault="00FB3EBA" w:rsidP="00F568B0">
            <w:pPr>
              <w:spacing w:before="0" w:after="120" w:line="240" w:lineRule="auto"/>
              <w:rPr>
                <w:sz w:val="20"/>
                <w:szCs w:val="20"/>
              </w:rPr>
            </w:pPr>
            <w:r w:rsidRPr="00800122">
              <w:rPr>
                <w:sz w:val="20"/>
                <w:szCs w:val="20"/>
              </w:rPr>
              <w:t>Clauses 121A</w:t>
            </w:r>
            <w:r>
              <w:rPr>
                <w:sz w:val="20"/>
                <w:szCs w:val="20"/>
              </w:rPr>
              <w:t xml:space="preserve">, </w:t>
            </w:r>
            <w:r w:rsidRPr="00C022A6">
              <w:rPr>
                <w:sz w:val="20"/>
                <w:szCs w:val="20"/>
              </w:rPr>
              <w:t>121</w:t>
            </w:r>
            <w:r>
              <w:rPr>
                <w:sz w:val="20"/>
                <w:szCs w:val="20"/>
              </w:rPr>
              <w:t xml:space="preserve">B, </w:t>
            </w:r>
            <w:r w:rsidRPr="00C022A6">
              <w:rPr>
                <w:sz w:val="20"/>
                <w:szCs w:val="20"/>
              </w:rPr>
              <w:t>121</w:t>
            </w:r>
            <w:r>
              <w:rPr>
                <w:sz w:val="20"/>
                <w:szCs w:val="20"/>
              </w:rPr>
              <w:t xml:space="preserve">C, </w:t>
            </w:r>
            <w:r w:rsidRPr="00C022A6">
              <w:rPr>
                <w:sz w:val="20"/>
                <w:szCs w:val="20"/>
              </w:rPr>
              <w:t>121</w:t>
            </w:r>
            <w:r>
              <w:rPr>
                <w:sz w:val="20"/>
                <w:szCs w:val="20"/>
              </w:rPr>
              <w:t xml:space="preserve">D, </w:t>
            </w:r>
            <w:r w:rsidRPr="00C022A6">
              <w:rPr>
                <w:sz w:val="20"/>
                <w:szCs w:val="20"/>
              </w:rPr>
              <w:t>121</w:t>
            </w:r>
            <w:r>
              <w:rPr>
                <w:sz w:val="20"/>
                <w:szCs w:val="20"/>
              </w:rPr>
              <w:t xml:space="preserve">E, </w:t>
            </w:r>
            <w:r w:rsidRPr="00C022A6">
              <w:rPr>
                <w:sz w:val="20"/>
                <w:szCs w:val="20"/>
              </w:rPr>
              <w:t>121</w:t>
            </w:r>
            <w:r>
              <w:rPr>
                <w:sz w:val="20"/>
                <w:szCs w:val="20"/>
              </w:rPr>
              <w:t xml:space="preserve">F and </w:t>
            </w:r>
            <w:r w:rsidRPr="00C022A6">
              <w:rPr>
                <w:sz w:val="20"/>
                <w:szCs w:val="20"/>
              </w:rPr>
              <w:t>121</w:t>
            </w:r>
            <w:r>
              <w:rPr>
                <w:sz w:val="20"/>
                <w:szCs w:val="20"/>
              </w:rPr>
              <w:t>G</w:t>
            </w:r>
          </w:p>
        </w:tc>
      </w:tr>
      <w:tr w:rsidR="00A06BBB" w:rsidRPr="00A06BBB" w14:paraId="599AA094" w14:textId="72CF5C41" w:rsidTr="00705C0E">
        <w:trPr>
          <w:cnfStyle w:val="000000010000" w:firstRow="0" w:lastRow="0" w:firstColumn="0" w:lastColumn="0" w:oddVBand="0" w:evenVBand="0" w:oddHBand="0" w:evenHBand="1" w:firstRowFirstColumn="0" w:firstRowLastColumn="0" w:lastRowFirstColumn="0" w:lastRowLastColumn="0"/>
        </w:trPr>
        <w:tc>
          <w:tcPr>
            <w:tcW w:w="2268" w:type="dxa"/>
          </w:tcPr>
          <w:p w14:paraId="50BB4B11" w14:textId="77777777" w:rsidR="00A06BBB" w:rsidRPr="00FC5634" w:rsidRDefault="00A06BBB" w:rsidP="00D409D4">
            <w:pPr>
              <w:numPr>
                <w:ilvl w:val="0"/>
                <w:numId w:val="10"/>
              </w:numPr>
              <w:spacing w:before="0" w:after="120" w:line="240" w:lineRule="auto"/>
              <w:ind w:left="482"/>
              <w:rPr>
                <w:b/>
                <w:sz w:val="20"/>
                <w:szCs w:val="20"/>
              </w:rPr>
            </w:pPr>
            <w:r w:rsidRPr="00FC5634">
              <w:rPr>
                <w:b/>
                <w:sz w:val="20"/>
                <w:szCs w:val="20"/>
              </w:rPr>
              <w:t>Improving the application of concessions on bills</w:t>
            </w:r>
          </w:p>
        </w:tc>
        <w:tc>
          <w:tcPr>
            <w:tcW w:w="5245" w:type="dxa"/>
          </w:tcPr>
          <w:p w14:paraId="3C3BB4FA" w14:textId="43DC6477" w:rsidR="00A06BBB" w:rsidRPr="00FC5634" w:rsidRDefault="00D3126A" w:rsidP="00800122">
            <w:pPr>
              <w:spacing w:before="0" w:after="120" w:line="240" w:lineRule="auto"/>
              <w:rPr>
                <w:sz w:val="20"/>
                <w:szCs w:val="20"/>
              </w:rPr>
            </w:pPr>
            <w:r w:rsidRPr="00FC5634">
              <w:rPr>
                <w:b/>
                <w:sz w:val="20"/>
                <w:szCs w:val="20"/>
              </w:rPr>
              <w:t xml:space="preserve">Option E.2 – </w:t>
            </w:r>
            <w:r w:rsidRPr="00FC5634">
              <w:rPr>
                <w:sz w:val="20"/>
                <w:szCs w:val="20"/>
              </w:rPr>
              <w:t>Principles-based requirement for retailers to request concession eligibility information from customers at all times when it is relevant to do so and minimum requirements to request this information at specific contact points (</w:t>
            </w:r>
            <w:r w:rsidR="004B0ECD">
              <w:rPr>
                <w:sz w:val="20"/>
                <w:szCs w:val="20"/>
              </w:rPr>
              <w:t>e.g.</w:t>
            </w:r>
            <w:r w:rsidRPr="00FC5634">
              <w:rPr>
                <w:sz w:val="20"/>
                <w:szCs w:val="20"/>
              </w:rPr>
              <w:t xml:space="preserve"> at sign up)</w:t>
            </w:r>
            <w:r w:rsidR="004B0ECD">
              <w:rPr>
                <w:sz w:val="20"/>
                <w:szCs w:val="20"/>
              </w:rPr>
              <w:t>.</w:t>
            </w:r>
          </w:p>
        </w:tc>
        <w:tc>
          <w:tcPr>
            <w:tcW w:w="2126" w:type="dxa"/>
          </w:tcPr>
          <w:p w14:paraId="0590EA60" w14:textId="056E465F" w:rsidR="00715D4F" w:rsidRPr="0070788C" w:rsidRDefault="00533D2D" w:rsidP="00F568B0">
            <w:pPr>
              <w:spacing w:before="0" w:after="120" w:line="240" w:lineRule="auto"/>
              <w:rPr>
                <w:sz w:val="20"/>
                <w:szCs w:val="20"/>
              </w:rPr>
            </w:pPr>
            <w:r>
              <w:rPr>
                <w:sz w:val="20"/>
                <w:szCs w:val="20"/>
              </w:rPr>
              <w:t>Clause 16A</w:t>
            </w:r>
          </w:p>
        </w:tc>
      </w:tr>
      <w:tr w:rsidR="00A06BBB" w:rsidRPr="00A06BBB" w14:paraId="42781EE1" w14:textId="4F069F37" w:rsidTr="00705C0E">
        <w:trPr>
          <w:cnfStyle w:val="000000100000" w:firstRow="0" w:lastRow="0" w:firstColumn="0" w:lastColumn="0" w:oddVBand="0" w:evenVBand="0" w:oddHBand="1" w:evenHBand="0" w:firstRowFirstColumn="0" w:firstRowLastColumn="0" w:lastRowFirstColumn="0" w:lastRowLastColumn="0"/>
          <w:trHeight w:val="1100"/>
        </w:trPr>
        <w:tc>
          <w:tcPr>
            <w:tcW w:w="2268" w:type="dxa"/>
          </w:tcPr>
          <w:p w14:paraId="579054C7" w14:textId="77777777" w:rsidR="00A06BBB" w:rsidRPr="00FC5634" w:rsidRDefault="00A06BBB" w:rsidP="00D409D4">
            <w:pPr>
              <w:numPr>
                <w:ilvl w:val="0"/>
                <w:numId w:val="10"/>
              </w:numPr>
              <w:spacing w:before="0" w:after="120" w:line="240" w:lineRule="auto"/>
              <w:ind w:left="482"/>
              <w:rPr>
                <w:b/>
                <w:sz w:val="20"/>
                <w:szCs w:val="20"/>
              </w:rPr>
            </w:pPr>
            <w:r w:rsidRPr="00FC5634">
              <w:rPr>
                <w:b/>
                <w:sz w:val="20"/>
                <w:szCs w:val="20"/>
              </w:rPr>
              <w:t>Extending protections for customers on legacy contracts</w:t>
            </w:r>
          </w:p>
        </w:tc>
        <w:tc>
          <w:tcPr>
            <w:tcW w:w="5245" w:type="dxa"/>
          </w:tcPr>
          <w:p w14:paraId="4CCBD35B" w14:textId="79070C0F" w:rsidR="00A06BBB" w:rsidRPr="00FC5634" w:rsidRDefault="00A06BBB" w:rsidP="00800122">
            <w:pPr>
              <w:spacing w:before="0" w:after="120" w:line="240" w:lineRule="auto"/>
              <w:rPr>
                <w:b/>
                <w:sz w:val="20"/>
                <w:szCs w:val="20"/>
              </w:rPr>
            </w:pPr>
            <w:r w:rsidRPr="00FC5634">
              <w:rPr>
                <w:b/>
                <w:sz w:val="20"/>
                <w:szCs w:val="20"/>
              </w:rPr>
              <w:t xml:space="preserve">Option F.1 </w:t>
            </w:r>
            <w:r w:rsidRPr="00FC5634">
              <w:rPr>
                <w:sz w:val="20"/>
                <w:szCs w:val="20"/>
              </w:rPr>
              <w:t>–</w:t>
            </w:r>
            <w:r w:rsidRPr="00FC5634">
              <w:rPr>
                <w:b/>
                <w:sz w:val="20"/>
                <w:szCs w:val="20"/>
              </w:rPr>
              <w:t xml:space="preserve"> </w:t>
            </w:r>
            <w:r w:rsidRPr="00FC5634">
              <w:rPr>
                <w:sz w:val="20"/>
                <w:szCs w:val="20"/>
              </w:rPr>
              <w:t>Extend protections to all contracts (extending to contracts into before 1 July 2020)</w:t>
            </w:r>
            <w:r w:rsidR="00F917ED">
              <w:rPr>
                <w:sz w:val="20"/>
                <w:szCs w:val="20"/>
              </w:rPr>
              <w:t>.</w:t>
            </w:r>
          </w:p>
        </w:tc>
        <w:tc>
          <w:tcPr>
            <w:tcW w:w="2126" w:type="dxa"/>
          </w:tcPr>
          <w:p w14:paraId="631D0F2A" w14:textId="6F8D4D44" w:rsidR="00715D4F" w:rsidRPr="0070788C" w:rsidRDefault="00F677B5" w:rsidP="00F568B0">
            <w:pPr>
              <w:spacing w:before="0" w:after="120" w:line="240" w:lineRule="auto"/>
              <w:rPr>
                <w:sz w:val="20"/>
                <w:szCs w:val="20"/>
              </w:rPr>
            </w:pPr>
            <w:r>
              <w:rPr>
                <w:sz w:val="20"/>
                <w:szCs w:val="20"/>
              </w:rPr>
              <w:t>Clause 77A and 96(1A)</w:t>
            </w:r>
          </w:p>
        </w:tc>
      </w:tr>
      <w:tr w:rsidR="00A06BBB" w:rsidRPr="00A06BBB" w14:paraId="7E82C9BF" w14:textId="660DD87A" w:rsidTr="00705C0E">
        <w:trPr>
          <w:cnfStyle w:val="000000010000" w:firstRow="0" w:lastRow="0" w:firstColumn="0" w:lastColumn="0" w:oddVBand="0" w:evenVBand="0" w:oddHBand="0" w:evenHBand="1" w:firstRowFirstColumn="0" w:firstRowLastColumn="0" w:lastRowFirstColumn="0" w:lastRowLastColumn="0"/>
          <w:trHeight w:val="1100"/>
        </w:trPr>
        <w:tc>
          <w:tcPr>
            <w:tcW w:w="2268" w:type="dxa"/>
          </w:tcPr>
          <w:p w14:paraId="154568E5" w14:textId="77777777" w:rsidR="00A06BBB" w:rsidRPr="00FC5634" w:rsidRDefault="00A06BBB" w:rsidP="00D409D4">
            <w:pPr>
              <w:numPr>
                <w:ilvl w:val="0"/>
                <w:numId w:val="10"/>
              </w:numPr>
              <w:spacing w:before="0" w:after="120" w:line="240" w:lineRule="auto"/>
              <w:ind w:left="482"/>
              <w:rPr>
                <w:b/>
                <w:sz w:val="20"/>
                <w:szCs w:val="20"/>
              </w:rPr>
            </w:pPr>
            <w:r w:rsidRPr="00FC5634">
              <w:rPr>
                <w:b/>
                <w:sz w:val="20"/>
                <w:szCs w:val="20"/>
              </w:rPr>
              <w:t>Improving awareness of independent dispute resolution services</w:t>
            </w:r>
          </w:p>
        </w:tc>
        <w:tc>
          <w:tcPr>
            <w:tcW w:w="5245" w:type="dxa"/>
          </w:tcPr>
          <w:p w14:paraId="002AA183" w14:textId="5F09E309" w:rsidR="00A06BBB" w:rsidRPr="00FC5634" w:rsidRDefault="00A06BBB" w:rsidP="00800122">
            <w:pPr>
              <w:spacing w:before="0" w:after="120" w:line="240" w:lineRule="auto"/>
              <w:rPr>
                <w:sz w:val="20"/>
                <w:szCs w:val="20"/>
              </w:rPr>
            </w:pPr>
            <w:r w:rsidRPr="00FC5634">
              <w:rPr>
                <w:b/>
                <w:sz w:val="20"/>
                <w:szCs w:val="20"/>
              </w:rPr>
              <w:t>Option G.</w:t>
            </w:r>
            <w:r w:rsidRPr="00800122">
              <w:rPr>
                <w:b/>
                <w:sz w:val="20"/>
                <w:szCs w:val="20"/>
              </w:rPr>
              <w:t>1</w:t>
            </w:r>
            <w:r w:rsidRPr="00FC5634">
              <w:rPr>
                <w:sz w:val="20"/>
                <w:szCs w:val="20"/>
              </w:rPr>
              <w:t xml:space="preserve"> –</w:t>
            </w:r>
            <w:r w:rsidRPr="00FC5634">
              <w:rPr>
                <w:b/>
                <w:sz w:val="20"/>
                <w:szCs w:val="20"/>
              </w:rPr>
              <w:t xml:space="preserve"> </w:t>
            </w:r>
            <w:r w:rsidR="004B0ECD">
              <w:rPr>
                <w:sz w:val="20"/>
                <w:szCs w:val="20"/>
              </w:rPr>
              <w:t>R</w:t>
            </w:r>
            <w:r w:rsidRPr="00FC5634">
              <w:rPr>
                <w:sz w:val="20"/>
                <w:szCs w:val="20"/>
              </w:rPr>
              <w:t>equir</w:t>
            </w:r>
            <w:r w:rsidR="00F917ED">
              <w:rPr>
                <w:sz w:val="20"/>
                <w:szCs w:val="20"/>
              </w:rPr>
              <w:t>e</w:t>
            </w:r>
            <w:r w:rsidRPr="00FC5634">
              <w:rPr>
                <w:sz w:val="20"/>
                <w:szCs w:val="20"/>
              </w:rPr>
              <w:t xml:space="preserve"> the inclusion of EWOV’s phone number on the front page of bills</w:t>
            </w:r>
            <w:r w:rsidR="00F917ED">
              <w:rPr>
                <w:sz w:val="20"/>
                <w:szCs w:val="20"/>
              </w:rPr>
              <w:t>.</w:t>
            </w:r>
          </w:p>
        </w:tc>
        <w:tc>
          <w:tcPr>
            <w:tcW w:w="2126" w:type="dxa"/>
          </w:tcPr>
          <w:p w14:paraId="3F361656" w14:textId="194E27E0" w:rsidR="00715D4F" w:rsidRPr="0070788C" w:rsidRDefault="001E4622" w:rsidP="00F568B0">
            <w:pPr>
              <w:spacing w:before="0" w:after="120" w:line="240" w:lineRule="auto"/>
              <w:rPr>
                <w:sz w:val="20"/>
                <w:szCs w:val="20"/>
              </w:rPr>
            </w:pPr>
            <w:r>
              <w:rPr>
                <w:sz w:val="20"/>
                <w:szCs w:val="20"/>
              </w:rPr>
              <w:t>Clause 63(1)(v1)</w:t>
            </w:r>
          </w:p>
        </w:tc>
      </w:tr>
      <w:tr w:rsidR="000D1795" w:rsidRPr="00A06BBB" w14:paraId="3BB87E4F" w14:textId="77777777" w:rsidTr="1AE38612">
        <w:trPr>
          <w:cnfStyle w:val="000000100000" w:firstRow="0" w:lastRow="0" w:firstColumn="0" w:lastColumn="0" w:oddVBand="0" w:evenVBand="0" w:oddHBand="1" w:evenHBand="0" w:firstRowFirstColumn="0" w:firstRowLastColumn="0" w:lastRowFirstColumn="0" w:lastRowLastColumn="0"/>
          <w:trHeight w:val="192"/>
        </w:trPr>
        <w:tc>
          <w:tcPr>
            <w:tcW w:w="7513" w:type="dxa"/>
            <w:gridSpan w:val="2"/>
            <w:shd w:val="clear" w:color="auto" w:fill="4986A0" w:themeFill="accent3"/>
          </w:tcPr>
          <w:p w14:paraId="75EA701D" w14:textId="3621336F" w:rsidR="000D1795" w:rsidRPr="00800122" w:rsidRDefault="00C75DCC" w:rsidP="00800122">
            <w:pPr>
              <w:spacing w:before="0" w:after="120" w:line="240" w:lineRule="auto"/>
              <w:rPr>
                <w:b/>
                <w:color w:val="FFFFFF" w:themeColor="background1"/>
                <w:sz w:val="20"/>
                <w:szCs w:val="20"/>
              </w:rPr>
            </w:pPr>
            <w:r>
              <w:rPr>
                <w:b/>
                <w:bCs/>
                <w:color w:val="FFFFFF" w:themeColor="background1"/>
                <w:sz w:val="20"/>
                <w:szCs w:val="20"/>
              </w:rPr>
              <w:t>Other proposed changes</w:t>
            </w:r>
          </w:p>
        </w:tc>
        <w:tc>
          <w:tcPr>
            <w:tcW w:w="2126" w:type="dxa"/>
            <w:shd w:val="clear" w:color="auto" w:fill="4986A0" w:themeFill="accent3"/>
          </w:tcPr>
          <w:p w14:paraId="3DDBFE53" w14:textId="77777777" w:rsidR="000D1795" w:rsidRPr="00800122" w:rsidRDefault="000D1795" w:rsidP="00800122">
            <w:pPr>
              <w:spacing w:before="0" w:after="120" w:line="240" w:lineRule="auto"/>
              <w:rPr>
                <w:b/>
                <w:color w:val="FFFFFF" w:themeColor="background1"/>
                <w:sz w:val="20"/>
                <w:szCs w:val="20"/>
              </w:rPr>
            </w:pPr>
          </w:p>
        </w:tc>
      </w:tr>
      <w:tr w:rsidR="006634EB" w:rsidRPr="00A06BBB" w14:paraId="03196CB3" w14:textId="77777777" w:rsidTr="00705C0E">
        <w:trPr>
          <w:cnfStyle w:val="000000010000" w:firstRow="0" w:lastRow="0" w:firstColumn="0" w:lastColumn="0" w:oddVBand="0" w:evenVBand="0" w:oddHBand="0" w:evenHBand="1" w:firstRowFirstColumn="0" w:firstRowLastColumn="0" w:lastRowFirstColumn="0" w:lastRowLastColumn="0"/>
          <w:trHeight w:val="1100"/>
        </w:trPr>
        <w:tc>
          <w:tcPr>
            <w:tcW w:w="2268" w:type="dxa"/>
          </w:tcPr>
          <w:p w14:paraId="723CEAE9" w14:textId="25EF41F1" w:rsidR="006634EB" w:rsidRDefault="006634EB" w:rsidP="00D409D4">
            <w:pPr>
              <w:numPr>
                <w:ilvl w:val="0"/>
                <w:numId w:val="10"/>
              </w:numPr>
              <w:spacing w:before="0" w:after="120" w:line="240" w:lineRule="auto"/>
              <w:ind w:left="482"/>
              <w:rPr>
                <w:b/>
                <w:sz w:val="20"/>
                <w:szCs w:val="20"/>
              </w:rPr>
            </w:pPr>
            <w:r>
              <w:rPr>
                <w:b/>
                <w:sz w:val="20"/>
                <w:szCs w:val="20"/>
              </w:rPr>
              <w:t>Increasing the best offer threshold</w:t>
            </w:r>
          </w:p>
        </w:tc>
        <w:tc>
          <w:tcPr>
            <w:tcW w:w="5245" w:type="dxa"/>
          </w:tcPr>
          <w:p w14:paraId="260CD53F" w14:textId="5BB36787" w:rsidR="006634EB" w:rsidRPr="00FC5634" w:rsidRDefault="006634EB" w:rsidP="00800122">
            <w:pPr>
              <w:spacing w:before="0" w:after="120" w:line="240" w:lineRule="auto"/>
              <w:rPr>
                <w:sz w:val="20"/>
                <w:szCs w:val="20"/>
              </w:rPr>
            </w:pPr>
            <w:r w:rsidRPr="000D1795">
              <w:rPr>
                <w:sz w:val="20"/>
                <w:szCs w:val="20"/>
              </w:rPr>
              <w:t>Increas</w:t>
            </w:r>
            <w:r>
              <w:rPr>
                <w:sz w:val="20"/>
                <w:szCs w:val="20"/>
              </w:rPr>
              <w:t>e</w:t>
            </w:r>
            <w:r w:rsidRPr="000D1795">
              <w:rPr>
                <w:sz w:val="20"/>
                <w:szCs w:val="20"/>
              </w:rPr>
              <w:t xml:space="preserve"> the minimum </w:t>
            </w:r>
            <w:r>
              <w:rPr>
                <w:sz w:val="20"/>
                <w:szCs w:val="20"/>
              </w:rPr>
              <w:t>potential savings for a negative best offer check from $22 per year to $50 per year.</w:t>
            </w:r>
          </w:p>
        </w:tc>
        <w:tc>
          <w:tcPr>
            <w:tcW w:w="2126" w:type="dxa"/>
          </w:tcPr>
          <w:p w14:paraId="555D9B3E" w14:textId="0C7AC59E" w:rsidR="006634EB" w:rsidRPr="00800122" w:rsidRDefault="006634EB" w:rsidP="00F568B0">
            <w:pPr>
              <w:spacing w:before="0" w:after="120" w:line="240" w:lineRule="auto"/>
              <w:rPr>
                <w:sz w:val="20"/>
                <w:szCs w:val="20"/>
              </w:rPr>
            </w:pPr>
            <w:r w:rsidRPr="00800122">
              <w:rPr>
                <w:sz w:val="20"/>
                <w:szCs w:val="20"/>
              </w:rPr>
              <w:t>Clause 109(1) and (2)</w:t>
            </w:r>
          </w:p>
        </w:tc>
      </w:tr>
      <w:tr w:rsidR="006C761A" w:rsidRPr="00A06BBB" w14:paraId="27378470" w14:textId="2A3A2889" w:rsidTr="00705C0E">
        <w:trPr>
          <w:cnfStyle w:val="000000100000" w:firstRow="0" w:lastRow="0" w:firstColumn="0" w:lastColumn="0" w:oddVBand="0" w:evenVBand="0" w:oddHBand="1" w:evenHBand="0" w:firstRowFirstColumn="0" w:firstRowLastColumn="0" w:lastRowFirstColumn="0" w:lastRowLastColumn="0"/>
          <w:trHeight w:val="1100"/>
        </w:trPr>
        <w:tc>
          <w:tcPr>
            <w:tcW w:w="2268" w:type="dxa"/>
          </w:tcPr>
          <w:p w14:paraId="41674B7A" w14:textId="7A266F5B" w:rsidR="006C761A" w:rsidRPr="006C761A" w:rsidRDefault="006C761A" w:rsidP="00D409D4">
            <w:pPr>
              <w:numPr>
                <w:ilvl w:val="0"/>
                <w:numId w:val="10"/>
              </w:numPr>
              <w:spacing w:before="0" w:after="120" w:line="240" w:lineRule="auto"/>
              <w:ind w:left="482"/>
              <w:rPr>
                <w:b/>
                <w:sz w:val="20"/>
                <w:szCs w:val="20"/>
              </w:rPr>
            </w:pPr>
            <w:r>
              <w:rPr>
                <w:b/>
                <w:sz w:val="20"/>
                <w:szCs w:val="20"/>
              </w:rPr>
              <w:t>Increasing the minimum disconnection amount</w:t>
            </w:r>
          </w:p>
        </w:tc>
        <w:tc>
          <w:tcPr>
            <w:tcW w:w="5245" w:type="dxa"/>
          </w:tcPr>
          <w:p w14:paraId="32C769ED" w14:textId="5F56B646" w:rsidR="006C761A" w:rsidRPr="00315696" w:rsidRDefault="00C138EA" w:rsidP="00800122">
            <w:pPr>
              <w:spacing w:before="0" w:after="120" w:line="240" w:lineRule="auto"/>
              <w:rPr>
                <w:sz w:val="20"/>
                <w:szCs w:val="20"/>
              </w:rPr>
            </w:pPr>
            <w:r w:rsidRPr="00FC5634">
              <w:rPr>
                <w:sz w:val="20"/>
                <w:szCs w:val="20"/>
              </w:rPr>
              <w:t>Increas</w:t>
            </w:r>
            <w:r w:rsidR="00F917ED">
              <w:rPr>
                <w:sz w:val="20"/>
                <w:szCs w:val="20"/>
              </w:rPr>
              <w:t>e</w:t>
            </w:r>
            <w:r w:rsidRPr="00FC5634">
              <w:rPr>
                <w:sz w:val="20"/>
                <w:szCs w:val="20"/>
              </w:rPr>
              <w:t xml:space="preserve"> the minimum debt threshold for disconnections from $300 to $500</w:t>
            </w:r>
            <w:r w:rsidR="00F917ED">
              <w:rPr>
                <w:sz w:val="20"/>
                <w:szCs w:val="20"/>
              </w:rPr>
              <w:t>.</w:t>
            </w:r>
          </w:p>
        </w:tc>
        <w:tc>
          <w:tcPr>
            <w:tcW w:w="2126" w:type="dxa"/>
          </w:tcPr>
          <w:p w14:paraId="302E6EB3" w14:textId="655BF2C9" w:rsidR="00715D4F" w:rsidRPr="0070788C" w:rsidRDefault="000446D5" w:rsidP="00F568B0">
            <w:pPr>
              <w:spacing w:before="0" w:after="120" w:line="240" w:lineRule="auto"/>
              <w:rPr>
                <w:sz w:val="20"/>
                <w:szCs w:val="20"/>
              </w:rPr>
            </w:pPr>
            <w:r w:rsidRPr="00800122">
              <w:rPr>
                <w:sz w:val="20"/>
                <w:szCs w:val="20"/>
              </w:rPr>
              <w:t>Clause 187(2)</w:t>
            </w:r>
          </w:p>
        </w:tc>
      </w:tr>
    </w:tbl>
    <w:p w14:paraId="4CCD1907" w14:textId="0007CC23" w:rsidR="00B36CA5" w:rsidRDefault="00B36CA5" w:rsidP="00B36CA5">
      <w:r>
        <w:t>Our proposed reforms will reduce prices</w:t>
      </w:r>
      <w:r w:rsidR="00230856">
        <w:t>,</w:t>
      </w:r>
      <w:r>
        <w:t xml:space="preserve"> especially for customers experiencing vulnerability. We recognise that every extra dollar saved by these customers is likely to be worth more to them than the average customer or the industry.</w:t>
      </w:r>
    </w:p>
    <w:p w14:paraId="73460B6A" w14:textId="77777777" w:rsidR="00B36CA5" w:rsidRDefault="00B36CA5" w:rsidP="00B36CA5">
      <w:r>
        <w:t>We note that retailers currently price their existing customers differently. Some retailers may respond to the new rules by raising prices for other customers to offset lower revenue from customers experiencing vulnerability, depending on how they adjust their pricing strategies. Retailers’ ability to recover these costs is constrained by the effectiveness of competition. Revenue that is competed away in this context is not necessarily an economic cost, but a normal feature of effective and efficient market competition.</w:t>
      </w:r>
    </w:p>
    <w:p w14:paraId="6130D499" w14:textId="77777777" w:rsidR="00B36CA5" w:rsidRDefault="00B36CA5" w:rsidP="00B36CA5">
      <w:r>
        <w:t xml:space="preserve">We recognise that retailers will face additional costs to implement the reforms, including the need to update systems and processes. This will depend on each retailer’s individual billing systems and internal practices. </w:t>
      </w:r>
    </w:p>
    <w:p w14:paraId="6E6C4486" w14:textId="1262FEFF" w:rsidR="000E101C" w:rsidRDefault="00B36CA5" w:rsidP="00A521AA">
      <w:r>
        <w:lastRenderedPageBreak/>
        <w:t>We look forward to working with stakeholders on how best to implement the reforms and limit implementation costs.</w:t>
      </w:r>
    </w:p>
    <w:p w14:paraId="2E27508C" w14:textId="7ADD3F65" w:rsidR="000E101C" w:rsidRDefault="000E101C" w:rsidP="000E101C">
      <w:r>
        <w:t xml:space="preserve">We propose a two-stage commencement process to give time for retailers to prepare for the new reforms, </w:t>
      </w:r>
      <w:r w:rsidR="00B00E6F">
        <w:t>with the following timings</w:t>
      </w:r>
      <w:r w:rsidR="002D5595">
        <w:t xml:space="preserve"> for </w:t>
      </w:r>
      <w:r w:rsidR="00B00E6F">
        <w:t>specific reforms</w:t>
      </w:r>
      <w:r w:rsidR="00AD6343">
        <w:t>:</w:t>
      </w:r>
    </w:p>
    <w:p w14:paraId="0A579B36" w14:textId="2517B232" w:rsidR="002D5595" w:rsidRPr="00B00E6F" w:rsidRDefault="002D5595" w:rsidP="002D5595">
      <w:pPr>
        <w:pStyle w:val="ListBullet"/>
        <w:rPr>
          <w:b/>
        </w:rPr>
      </w:pPr>
      <w:r w:rsidRPr="00B00E6F">
        <w:rPr>
          <w:b/>
        </w:rPr>
        <w:t>1 January 2026:</w:t>
      </w:r>
    </w:p>
    <w:p w14:paraId="31A77126" w14:textId="77777777" w:rsidR="002D5595" w:rsidRDefault="002D5595" w:rsidP="002D5595">
      <w:pPr>
        <w:pStyle w:val="TableBullet2"/>
      </w:pPr>
      <w:r>
        <w:t>Protections for customers paying higher prices</w:t>
      </w:r>
    </w:p>
    <w:p w14:paraId="7FAC9A4A" w14:textId="77777777" w:rsidR="002D5595" w:rsidRDefault="002D5595" w:rsidP="002D5595">
      <w:pPr>
        <w:pStyle w:val="TableBullet2"/>
      </w:pPr>
      <w:r>
        <w:t>Improving the application of concessions on bills</w:t>
      </w:r>
    </w:p>
    <w:p w14:paraId="1BA800C5" w14:textId="77777777" w:rsidR="002D5595" w:rsidRDefault="002D5595" w:rsidP="002D5595">
      <w:pPr>
        <w:pStyle w:val="TableBullet2"/>
      </w:pPr>
      <w:r>
        <w:t>Extending protections for customers on legacy contracts</w:t>
      </w:r>
    </w:p>
    <w:p w14:paraId="17325106" w14:textId="77777777" w:rsidR="002D5595" w:rsidRDefault="002D5595" w:rsidP="002D5595">
      <w:pPr>
        <w:pStyle w:val="TableBullet2"/>
      </w:pPr>
      <w:r>
        <w:t>Improving awareness of independent dispute resolution services</w:t>
      </w:r>
    </w:p>
    <w:p w14:paraId="5E1C04DC" w14:textId="005B034A" w:rsidR="002D5595" w:rsidRDefault="002D5595" w:rsidP="002D5595">
      <w:pPr>
        <w:pStyle w:val="TableBullet2"/>
      </w:pPr>
      <w:r>
        <w:t>Increasing best offer check and debt-disconnection thresholds</w:t>
      </w:r>
    </w:p>
    <w:p w14:paraId="422F91A4" w14:textId="782D8723" w:rsidR="002D5595" w:rsidRPr="00B00E6F" w:rsidRDefault="002D5595" w:rsidP="002D5595">
      <w:pPr>
        <w:pStyle w:val="TableBullet"/>
        <w:rPr>
          <w:b/>
        </w:rPr>
      </w:pPr>
      <w:r w:rsidRPr="00B00E6F">
        <w:rPr>
          <w:b/>
        </w:rPr>
        <w:t>1 July 2026:</w:t>
      </w:r>
    </w:p>
    <w:p w14:paraId="76AEAB7C" w14:textId="77777777" w:rsidR="002D5595" w:rsidRDefault="002D5595" w:rsidP="002D5595">
      <w:pPr>
        <w:pStyle w:val="TableBullet2"/>
      </w:pPr>
      <w:r>
        <w:t xml:space="preserve">Automatic best offer for customers experiencing payment difficulty </w:t>
      </w:r>
    </w:p>
    <w:p w14:paraId="25F5BD8B" w14:textId="77777777" w:rsidR="002D5595" w:rsidRDefault="002D5595" w:rsidP="002D5595">
      <w:pPr>
        <w:pStyle w:val="TableBullet2"/>
      </w:pPr>
      <w:r>
        <w:t>Improving access to cheaper offers</w:t>
      </w:r>
    </w:p>
    <w:p w14:paraId="1521AD3E" w14:textId="6B00F004" w:rsidR="002D5595" w:rsidRDefault="002D5595" w:rsidP="002D5595">
      <w:pPr>
        <w:pStyle w:val="TableBullet2"/>
      </w:pPr>
      <w:r>
        <w:t>Improving the ability to switch to the best offer</w:t>
      </w:r>
    </w:p>
    <w:p w14:paraId="3947EC7F" w14:textId="32DE4C4B" w:rsidR="00BD59A1" w:rsidRDefault="00BD59A1" w:rsidP="00BD59A1">
      <w:r w:rsidRPr="00373456">
        <w:t>We propose that the reforms are implemented through amendments to the Energy Retail Code of Practice. We are working with the Victorian Government to assess if any subordinate legislation or legislative amendments are required to support the proposed reforms (or subsequent suggestions from stakeholders).</w:t>
      </w:r>
    </w:p>
    <w:p w14:paraId="36242C0A" w14:textId="48D894B0" w:rsidR="003F0F0E" w:rsidRPr="00463F9C" w:rsidRDefault="00E5723B" w:rsidP="000E101C">
      <w:pPr>
        <w:rPr>
          <w:rFonts w:ascii="Tahoma" w:hAnsi="Tahoma" w:cs="Tahoma"/>
          <w:b/>
          <w:sz w:val="26"/>
          <w:szCs w:val="26"/>
        </w:rPr>
      </w:pPr>
      <w:r w:rsidRPr="00463F9C">
        <w:rPr>
          <w:rFonts w:ascii="Tahoma" w:hAnsi="Tahoma" w:cs="Tahoma"/>
          <w:b/>
          <w:sz w:val="26"/>
          <w:szCs w:val="26"/>
        </w:rPr>
        <w:t>C</w:t>
      </w:r>
      <w:r w:rsidR="003F0F0E" w:rsidRPr="00463F9C">
        <w:rPr>
          <w:rFonts w:ascii="Tahoma" w:hAnsi="Tahoma" w:cs="Tahoma"/>
          <w:b/>
          <w:sz w:val="26"/>
          <w:szCs w:val="26"/>
        </w:rPr>
        <w:t>onsultation questions</w:t>
      </w:r>
    </w:p>
    <w:p w14:paraId="1E613802" w14:textId="4A9B4A27" w:rsidR="00C4643B" w:rsidRDefault="00C4643B" w:rsidP="00C4643B">
      <w:r>
        <w:t xml:space="preserve">We welcome stakeholder views and feedback on the </w:t>
      </w:r>
      <w:r w:rsidR="00927268">
        <w:t>proposed reforms presented in this RIS</w:t>
      </w:r>
      <w:r w:rsidR="00E85F2E">
        <w:t xml:space="preserve"> </w:t>
      </w:r>
      <w:r w:rsidR="002449C1">
        <w:t>and on</w:t>
      </w:r>
      <w:r w:rsidR="002449C1" w:rsidRPr="00E85F2E">
        <w:t xml:space="preserve"> </w:t>
      </w:r>
      <w:r w:rsidR="00E85F2E" w:rsidRPr="00E85F2E">
        <w:t xml:space="preserve">the proposed amendments to the draft </w:t>
      </w:r>
      <w:r w:rsidR="003E7575">
        <w:t>code</w:t>
      </w:r>
      <w:r w:rsidR="00927268">
        <w:t xml:space="preserve">. Table 2 presents </w:t>
      </w:r>
      <w:r w:rsidR="00E85F2E">
        <w:t xml:space="preserve">our consultation questions. </w:t>
      </w:r>
    </w:p>
    <w:p w14:paraId="57E138DB" w14:textId="2CCED423" w:rsidR="00E60608" w:rsidRPr="00617073" w:rsidRDefault="00E85F2E" w:rsidP="00617073">
      <w:pPr>
        <w:pStyle w:val="Figure-Table-BoxSubtitle"/>
        <w:ind w:left="0"/>
      </w:pPr>
      <w:r w:rsidRPr="00617073">
        <w:rPr>
          <w:rStyle w:val="Figure-Table-BoxHeadingChar"/>
        </w:rPr>
        <w:t>Table 2</w:t>
      </w:r>
      <w:r w:rsidR="00BC4159" w:rsidRPr="00617073">
        <w:rPr>
          <w:rStyle w:val="Figure-Table-BoxHeadingChar"/>
        </w:rPr>
        <w:t xml:space="preserve">: </w:t>
      </w:r>
      <w:r w:rsidRPr="00617073">
        <w:t>Consultation questions</w:t>
      </w:r>
    </w:p>
    <w:tbl>
      <w:tblPr>
        <w:tblStyle w:val="TableGrid"/>
        <w:tblW w:w="0" w:type="auto"/>
        <w:tblLook w:val="04A0" w:firstRow="1" w:lastRow="0" w:firstColumn="1" w:lastColumn="0" w:noHBand="0" w:noVBand="1"/>
      </w:tblPr>
      <w:tblGrid>
        <w:gridCol w:w="2127"/>
        <w:gridCol w:w="7511"/>
      </w:tblGrid>
      <w:tr w:rsidR="00E60608" w14:paraId="29574A99" w14:textId="77777777" w:rsidTr="00FC5634">
        <w:trPr>
          <w:cnfStyle w:val="100000000000" w:firstRow="1" w:lastRow="0" w:firstColumn="0" w:lastColumn="0" w:oddVBand="0" w:evenVBand="0" w:oddHBand="0" w:evenHBand="0" w:firstRowFirstColumn="0" w:firstRowLastColumn="0" w:lastRowFirstColumn="0" w:lastRowLastColumn="0"/>
        </w:trPr>
        <w:tc>
          <w:tcPr>
            <w:tcW w:w="2127" w:type="dxa"/>
          </w:tcPr>
          <w:p w14:paraId="3E0A7BFA" w14:textId="24C9EC34" w:rsidR="00E60608" w:rsidRPr="00FC5634" w:rsidRDefault="00B74907" w:rsidP="00C4643B">
            <w:pPr>
              <w:rPr>
                <w:sz w:val="20"/>
                <w:szCs w:val="20"/>
              </w:rPr>
            </w:pPr>
            <w:r w:rsidRPr="00FC5634">
              <w:rPr>
                <w:sz w:val="20"/>
                <w:szCs w:val="20"/>
              </w:rPr>
              <w:t>Topic</w:t>
            </w:r>
          </w:p>
        </w:tc>
        <w:tc>
          <w:tcPr>
            <w:tcW w:w="7511" w:type="dxa"/>
          </w:tcPr>
          <w:p w14:paraId="3342EBA8" w14:textId="560847A3" w:rsidR="00E60608" w:rsidRPr="00FC5634" w:rsidRDefault="00B74907" w:rsidP="00C4643B">
            <w:pPr>
              <w:rPr>
                <w:sz w:val="20"/>
                <w:szCs w:val="20"/>
              </w:rPr>
            </w:pPr>
            <w:r w:rsidRPr="00FC5634">
              <w:rPr>
                <w:sz w:val="20"/>
                <w:szCs w:val="20"/>
              </w:rPr>
              <w:t>Question</w:t>
            </w:r>
          </w:p>
        </w:tc>
      </w:tr>
      <w:tr w:rsidR="00E60608" w14:paraId="26C36727" w14:textId="77777777" w:rsidTr="00FC5634">
        <w:trPr>
          <w:cnfStyle w:val="000000100000" w:firstRow="0" w:lastRow="0" w:firstColumn="0" w:lastColumn="0" w:oddVBand="0" w:evenVBand="0" w:oddHBand="1" w:evenHBand="0" w:firstRowFirstColumn="0" w:firstRowLastColumn="0" w:lastRowFirstColumn="0" w:lastRowLastColumn="0"/>
        </w:trPr>
        <w:tc>
          <w:tcPr>
            <w:tcW w:w="2127" w:type="dxa"/>
          </w:tcPr>
          <w:p w14:paraId="14D59CC3" w14:textId="5D18F393" w:rsidR="00E60608" w:rsidRPr="00FC5634" w:rsidRDefault="00690C4A" w:rsidP="00C4643B">
            <w:pPr>
              <w:rPr>
                <w:b/>
                <w:sz w:val="20"/>
                <w:szCs w:val="20"/>
              </w:rPr>
            </w:pPr>
            <w:r w:rsidRPr="00FC5634">
              <w:rPr>
                <w:b/>
                <w:sz w:val="20"/>
                <w:szCs w:val="20"/>
              </w:rPr>
              <w:t>General questions</w:t>
            </w:r>
          </w:p>
        </w:tc>
        <w:tc>
          <w:tcPr>
            <w:tcW w:w="7511" w:type="dxa"/>
          </w:tcPr>
          <w:p w14:paraId="0D09FAEB" w14:textId="75439031" w:rsidR="00096A34" w:rsidRPr="003A0878" w:rsidRDefault="00096A34" w:rsidP="003A0878">
            <w:pPr>
              <w:pStyle w:val="TableListNumber"/>
              <w:rPr>
                <w:sz w:val="20"/>
                <w:szCs w:val="20"/>
              </w:rPr>
            </w:pPr>
            <w:r w:rsidRPr="003A0878">
              <w:rPr>
                <w:sz w:val="20"/>
                <w:szCs w:val="20"/>
              </w:rPr>
              <w:t>Are there any additional costs and benefits that we should consider for the proposed reforms?</w:t>
            </w:r>
          </w:p>
          <w:p w14:paraId="52EBBC3F" w14:textId="3BFF9BDE" w:rsidR="00096A34" w:rsidRPr="003A0878" w:rsidRDefault="00096A34" w:rsidP="003A0878">
            <w:pPr>
              <w:pStyle w:val="TableListNumber"/>
              <w:rPr>
                <w:sz w:val="20"/>
                <w:szCs w:val="20"/>
              </w:rPr>
            </w:pPr>
            <w:r w:rsidRPr="003A0878">
              <w:rPr>
                <w:sz w:val="20"/>
                <w:szCs w:val="20"/>
              </w:rPr>
              <w:t>Are there any additional implementation requirements we should consider for this package of reforms and each individual reform?</w:t>
            </w:r>
          </w:p>
          <w:p w14:paraId="38A1A38A" w14:textId="580B550F" w:rsidR="00096A34" w:rsidRPr="003A0878" w:rsidRDefault="00096A34" w:rsidP="003A0878">
            <w:pPr>
              <w:pStyle w:val="TableListNumber"/>
              <w:rPr>
                <w:sz w:val="20"/>
                <w:szCs w:val="20"/>
              </w:rPr>
            </w:pPr>
            <w:r w:rsidRPr="003A0878">
              <w:rPr>
                <w:sz w:val="20"/>
                <w:szCs w:val="20"/>
              </w:rPr>
              <w:t xml:space="preserve">Do you have any feedback on the proposed implementation timeframes for the proposed reforms? </w:t>
            </w:r>
          </w:p>
          <w:p w14:paraId="2C0BB921" w14:textId="45CB103E" w:rsidR="00096A34" w:rsidRPr="003A0878" w:rsidRDefault="00096A34" w:rsidP="003A0878">
            <w:pPr>
              <w:pStyle w:val="TableListNumber"/>
              <w:rPr>
                <w:sz w:val="20"/>
                <w:szCs w:val="20"/>
              </w:rPr>
            </w:pPr>
            <w:r w:rsidRPr="003A0878">
              <w:rPr>
                <w:sz w:val="20"/>
                <w:szCs w:val="20"/>
              </w:rPr>
              <w:t>Are there any further considerations required for how each reform will interact with one another?</w:t>
            </w:r>
          </w:p>
          <w:p w14:paraId="61EB9BC3" w14:textId="1A3AF4AA" w:rsidR="00E60608" w:rsidRPr="003A0878" w:rsidRDefault="00096A34" w:rsidP="003A0878">
            <w:pPr>
              <w:pStyle w:val="TableListNumber"/>
              <w:rPr>
                <w:sz w:val="20"/>
                <w:szCs w:val="20"/>
              </w:rPr>
            </w:pPr>
            <w:r w:rsidRPr="003A0878">
              <w:rPr>
                <w:sz w:val="20"/>
                <w:szCs w:val="20"/>
              </w:rPr>
              <w:lastRenderedPageBreak/>
              <w:t>If your preferred option differs from that identified in the MCA, could you please explain why?</w:t>
            </w:r>
          </w:p>
        </w:tc>
      </w:tr>
      <w:tr w:rsidR="002C7FF0" w14:paraId="476B188F" w14:textId="77777777" w:rsidTr="00FC5634">
        <w:trPr>
          <w:cnfStyle w:val="000000010000" w:firstRow="0" w:lastRow="0" w:firstColumn="0" w:lastColumn="0" w:oddVBand="0" w:evenVBand="0" w:oddHBand="0" w:evenHBand="1" w:firstRowFirstColumn="0" w:firstRowLastColumn="0" w:lastRowFirstColumn="0" w:lastRowLastColumn="0"/>
        </w:trPr>
        <w:tc>
          <w:tcPr>
            <w:tcW w:w="2127" w:type="dxa"/>
          </w:tcPr>
          <w:p w14:paraId="279620B9" w14:textId="4E6A114F" w:rsidR="002C7FF0" w:rsidRPr="00FC5634" w:rsidRDefault="002C7FF0" w:rsidP="00C4643B">
            <w:pPr>
              <w:rPr>
                <w:b/>
                <w:bCs/>
                <w:sz w:val="20"/>
                <w:szCs w:val="20"/>
              </w:rPr>
            </w:pPr>
            <w:r>
              <w:rPr>
                <w:b/>
                <w:bCs/>
                <w:sz w:val="20"/>
                <w:szCs w:val="20"/>
              </w:rPr>
              <w:lastRenderedPageBreak/>
              <w:t>Other matters considered</w:t>
            </w:r>
          </w:p>
        </w:tc>
        <w:tc>
          <w:tcPr>
            <w:tcW w:w="7511" w:type="dxa"/>
          </w:tcPr>
          <w:p w14:paraId="0861E901" w14:textId="62C8E4F0" w:rsidR="00DD10FE" w:rsidRPr="003A0878" w:rsidRDefault="0023468F" w:rsidP="003A0878">
            <w:pPr>
              <w:pStyle w:val="TableListNumber"/>
              <w:rPr>
                <w:sz w:val="20"/>
                <w:szCs w:val="20"/>
              </w:rPr>
            </w:pPr>
            <w:r w:rsidRPr="003A0878">
              <w:rPr>
                <w:sz w:val="20"/>
                <w:szCs w:val="20"/>
              </w:rPr>
              <w:t xml:space="preserve">Do you agree with increasing the threshold for the best offer check results from $22 to $50? If not, what amount would be more appropriate, and why? </w:t>
            </w:r>
          </w:p>
          <w:p w14:paraId="457227BB" w14:textId="5003BA75" w:rsidR="002C7FF0" w:rsidRPr="003A0878" w:rsidRDefault="0023468F" w:rsidP="003A0878">
            <w:pPr>
              <w:pStyle w:val="TableListNumber"/>
              <w:rPr>
                <w:sz w:val="20"/>
                <w:szCs w:val="20"/>
              </w:rPr>
            </w:pPr>
            <w:r w:rsidRPr="003A0878">
              <w:rPr>
                <w:sz w:val="20"/>
                <w:szCs w:val="20"/>
              </w:rPr>
              <w:t>Do you agree with increasing the minimum disconnection amount to $500? If not, what amount would be more appropriate, and why? Should this amount be indexed to account for inflation or increases in energy prices?</w:t>
            </w:r>
          </w:p>
        </w:tc>
      </w:tr>
      <w:tr w:rsidR="00E60608" w14:paraId="577AF2CD" w14:textId="77777777" w:rsidTr="00FC5634">
        <w:trPr>
          <w:cnfStyle w:val="000000100000" w:firstRow="0" w:lastRow="0" w:firstColumn="0" w:lastColumn="0" w:oddVBand="0" w:evenVBand="0" w:oddHBand="1" w:evenHBand="0" w:firstRowFirstColumn="0" w:firstRowLastColumn="0" w:lastRowFirstColumn="0" w:lastRowLastColumn="0"/>
        </w:trPr>
        <w:tc>
          <w:tcPr>
            <w:tcW w:w="2127" w:type="dxa"/>
          </w:tcPr>
          <w:p w14:paraId="3158F871" w14:textId="3ED8486F" w:rsidR="00E60608" w:rsidRPr="00FC5634" w:rsidRDefault="00262FE7" w:rsidP="00C4643B">
            <w:pPr>
              <w:rPr>
                <w:b/>
                <w:sz w:val="20"/>
                <w:szCs w:val="20"/>
              </w:rPr>
            </w:pPr>
            <w:r w:rsidRPr="00FC5634">
              <w:rPr>
                <w:b/>
                <w:sz w:val="20"/>
                <w:szCs w:val="20"/>
              </w:rPr>
              <w:t>Automatic best offer for customers experiencing payment difficulty</w:t>
            </w:r>
          </w:p>
        </w:tc>
        <w:tc>
          <w:tcPr>
            <w:tcW w:w="7511" w:type="dxa"/>
          </w:tcPr>
          <w:p w14:paraId="4B7EE67A" w14:textId="4F6A9719" w:rsidR="00096A34" w:rsidRPr="003A0878" w:rsidRDefault="00096A34" w:rsidP="003A0878">
            <w:pPr>
              <w:pStyle w:val="TableListNumber"/>
              <w:rPr>
                <w:sz w:val="20"/>
                <w:szCs w:val="20"/>
              </w:rPr>
            </w:pPr>
            <w:r w:rsidRPr="003A0878">
              <w:rPr>
                <w:sz w:val="20"/>
                <w:szCs w:val="20"/>
              </w:rPr>
              <w:t xml:space="preserve">Are there other mechanisms we should consider in the design of the automatic best offer to protect consumer choice and agency (in addition to the proposed opt-out and post switch reversal periods)? </w:t>
            </w:r>
          </w:p>
          <w:p w14:paraId="5E5CC4D7" w14:textId="1EC475F3" w:rsidR="00096A34" w:rsidRPr="003A0878" w:rsidRDefault="00096A34" w:rsidP="003A0878">
            <w:pPr>
              <w:pStyle w:val="TableListNumber"/>
              <w:rPr>
                <w:sz w:val="20"/>
                <w:szCs w:val="20"/>
              </w:rPr>
            </w:pPr>
            <w:r w:rsidRPr="003A0878">
              <w:rPr>
                <w:sz w:val="20"/>
                <w:szCs w:val="20"/>
              </w:rPr>
              <w:t>Could the proposed amendments for the automatic best offer be enhanced to further reduce implementation costs and maximise benefits to customers experiencing payment difficulty?</w:t>
            </w:r>
          </w:p>
          <w:p w14:paraId="3D3FE683" w14:textId="4415821B" w:rsidR="00E60608" w:rsidRPr="003A0878" w:rsidRDefault="00096A34" w:rsidP="003A0878">
            <w:pPr>
              <w:pStyle w:val="TableListNumber"/>
              <w:rPr>
                <w:sz w:val="20"/>
                <w:szCs w:val="20"/>
              </w:rPr>
            </w:pPr>
            <w:r w:rsidRPr="003A0878">
              <w:rPr>
                <w:sz w:val="20"/>
                <w:szCs w:val="20"/>
              </w:rPr>
              <w:t xml:space="preserve">Do you have any feedback on the proposed process and implementation timeframes for the automatic best offer? </w:t>
            </w:r>
          </w:p>
        </w:tc>
      </w:tr>
      <w:tr w:rsidR="00E60608" w14:paraId="3495BD84" w14:textId="77777777" w:rsidTr="00FC5634">
        <w:trPr>
          <w:cnfStyle w:val="000000010000" w:firstRow="0" w:lastRow="0" w:firstColumn="0" w:lastColumn="0" w:oddVBand="0" w:evenVBand="0" w:oddHBand="0" w:evenHBand="1" w:firstRowFirstColumn="0" w:firstRowLastColumn="0" w:lastRowFirstColumn="0" w:lastRowLastColumn="0"/>
        </w:trPr>
        <w:tc>
          <w:tcPr>
            <w:tcW w:w="2127" w:type="dxa"/>
          </w:tcPr>
          <w:p w14:paraId="22C179B1" w14:textId="1E30EB0A" w:rsidR="00E60608" w:rsidRPr="00FC5634" w:rsidRDefault="00B26945" w:rsidP="00C4643B">
            <w:pPr>
              <w:rPr>
                <w:b/>
                <w:sz w:val="20"/>
                <w:szCs w:val="20"/>
              </w:rPr>
            </w:pPr>
            <w:r w:rsidRPr="00FC5634">
              <w:rPr>
                <w:b/>
                <w:sz w:val="20"/>
                <w:szCs w:val="20"/>
              </w:rPr>
              <w:t xml:space="preserve">Improving the ability to switch to the best offer </w:t>
            </w:r>
          </w:p>
        </w:tc>
        <w:tc>
          <w:tcPr>
            <w:tcW w:w="7511" w:type="dxa"/>
          </w:tcPr>
          <w:p w14:paraId="3B68D9C9" w14:textId="77777777" w:rsidR="003A0878" w:rsidRPr="003A0878" w:rsidRDefault="0047135C" w:rsidP="003A0878">
            <w:pPr>
              <w:pStyle w:val="TableListNumber"/>
              <w:rPr>
                <w:sz w:val="20"/>
                <w:szCs w:val="20"/>
              </w:rPr>
            </w:pPr>
            <w:r w:rsidRPr="003A0878">
              <w:rPr>
                <w:sz w:val="20"/>
                <w:szCs w:val="20"/>
              </w:rPr>
              <w:t xml:space="preserve">What metrics do you think could help assess the effectiveness of the process to switch to the best offer? </w:t>
            </w:r>
          </w:p>
          <w:p w14:paraId="73663F42" w14:textId="4CF1E9E8" w:rsidR="00E60608" w:rsidRPr="003A0878" w:rsidRDefault="0047135C" w:rsidP="003A0878">
            <w:pPr>
              <w:pStyle w:val="TableListNumber"/>
              <w:rPr>
                <w:sz w:val="20"/>
                <w:szCs w:val="20"/>
              </w:rPr>
            </w:pPr>
            <w:r w:rsidRPr="003A0878">
              <w:rPr>
                <w:sz w:val="20"/>
                <w:szCs w:val="20"/>
              </w:rPr>
              <w:t>Are there any implementation issues for small retailers that we should consider regarding effective processes to switch to the best offer?</w:t>
            </w:r>
          </w:p>
        </w:tc>
      </w:tr>
      <w:tr w:rsidR="00E60608" w14:paraId="66B87945" w14:textId="77777777" w:rsidTr="00FC5634">
        <w:trPr>
          <w:cnfStyle w:val="000000100000" w:firstRow="0" w:lastRow="0" w:firstColumn="0" w:lastColumn="0" w:oddVBand="0" w:evenVBand="0" w:oddHBand="1" w:evenHBand="0" w:firstRowFirstColumn="0" w:firstRowLastColumn="0" w:lastRowFirstColumn="0" w:lastRowLastColumn="0"/>
        </w:trPr>
        <w:tc>
          <w:tcPr>
            <w:tcW w:w="2127" w:type="dxa"/>
          </w:tcPr>
          <w:p w14:paraId="6F943237" w14:textId="54AA1811" w:rsidR="00E60608" w:rsidRPr="00FC5634" w:rsidRDefault="00735A99" w:rsidP="00C4643B">
            <w:pPr>
              <w:rPr>
                <w:b/>
                <w:sz w:val="20"/>
                <w:szCs w:val="20"/>
              </w:rPr>
            </w:pPr>
            <w:r w:rsidRPr="00FC5634">
              <w:rPr>
                <w:b/>
                <w:sz w:val="20"/>
                <w:szCs w:val="20"/>
              </w:rPr>
              <w:t>Protections for customers paying higher prices</w:t>
            </w:r>
          </w:p>
        </w:tc>
        <w:tc>
          <w:tcPr>
            <w:tcW w:w="7511" w:type="dxa"/>
          </w:tcPr>
          <w:p w14:paraId="235749D7" w14:textId="6F6DC9A0" w:rsidR="00E60608" w:rsidRPr="003A0878" w:rsidRDefault="00690C4A" w:rsidP="003A0878">
            <w:pPr>
              <w:pStyle w:val="TableListNumber"/>
              <w:rPr>
                <w:sz w:val="20"/>
                <w:szCs w:val="20"/>
              </w:rPr>
            </w:pPr>
            <w:r w:rsidRPr="003A0878">
              <w:rPr>
                <w:sz w:val="20"/>
                <w:szCs w:val="20"/>
              </w:rPr>
              <w:t>What would you consider to be a suitable benchmark to determine a reasonable price for gas?</w:t>
            </w:r>
          </w:p>
        </w:tc>
      </w:tr>
    </w:tbl>
    <w:p w14:paraId="234F9713" w14:textId="0F90B86C" w:rsidR="000F27D5" w:rsidRPr="00463F9C" w:rsidRDefault="000F27D5" w:rsidP="00463F9C">
      <w:pPr>
        <w:spacing w:before="240"/>
        <w:rPr>
          <w:rFonts w:ascii="Tahoma" w:hAnsi="Tahoma" w:cs="Tahoma"/>
          <w:b/>
          <w:sz w:val="26"/>
          <w:szCs w:val="26"/>
        </w:rPr>
      </w:pPr>
      <w:r w:rsidRPr="00463F9C">
        <w:rPr>
          <w:rFonts w:ascii="Tahoma" w:hAnsi="Tahoma" w:cs="Tahoma"/>
          <w:b/>
          <w:sz w:val="26"/>
          <w:szCs w:val="26"/>
        </w:rPr>
        <w:t>How to give us your feedback</w:t>
      </w:r>
    </w:p>
    <w:p w14:paraId="64FD34D6" w14:textId="61DCE660" w:rsidR="000F27D5" w:rsidRDefault="000F27D5" w:rsidP="000F27D5">
      <w:r>
        <w:t xml:space="preserve">We want to hear your views on the </w:t>
      </w:r>
      <w:r w:rsidR="00F90690">
        <w:t xml:space="preserve">Energy </w:t>
      </w:r>
      <w:r w:rsidR="00AB599D">
        <w:t xml:space="preserve">Consumer Reforms: </w:t>
      </w:r>
      <w:r w:rsidR="00F90690">
        <w:t>Regulatory Impact Statement</w:t>
      </w:r>
      <w:r>
        <w:t xml:space="preserve">. Submissions should be made by </w:t>
      </w:r>
      <w:r w:rsidRPr="002A6AFA">
        <w:rPr>
          <w:b/>
        </w:rPr>
        <w:t xml:space="preserve">5pm </w:t>
      </w:r>
      <w:r w:rsidR="002A6AFA" w:rsidRPr="002A6AFA">
        <w:rPr>
          <w:b/>
          <w:bCs/>
        </w:rPr>
        <w:t>on</w:t>
      </w:r>
      <w:r w:rsidRPr="002A6AFA">
        <w:rPr>
          <w:b/>
          <w:bCs/>
        </w:rPr>
        <w:t xml:space="preserve"> </w:t>
      </w:r>
      <w:r w:rsidR="002A6AFA" w:rsidRPr="00A54A21">
        <w:rPr>
          <w:b/>
        </w:rPr>
        <w:t>2</w:t>
      </w:r>
      <w:r w:rsidR="00EE64CB" w:rsidRPr="00A54A21">
        <w:rPr>
          <w:b/>
        </w:rPr>
        <w:t>6</w:t>
      </w:r>
      <w:r w:rsidR="002A6AFA" w:rsidRPr="00A54A21">
        <w:rPr>
          <w:b/>
        </w:rPr>
        <w:t xml:space="preserve"> </w:t>
      </w:r>
      <w:r w:rsidR="00EE64CB" w:rsidRPr="00A54A21">
        <w:rPr>
          <w:b/>
        </w:rPr>
        <w:t>June</w:t>
      </w:r>
      <w:r>
        <w:rPr>
          <w:b/>
        </w:rPr>
        <w:t xml:space="preserve"> </w:t>
      </w:r>
      <w:r w:rsidR="00A54A21">
        <w:rPr>
          <w:b/>
          <w:bCs/>
        </w:rPr>
        <w:t>2025</w:t>
      </w:r>
      <w:r w:rsidRPr="00A54A21">
        <w:t xml:space="preserve"> </w:t>
      </w:r>
      <w:r>
        <w:t xml:space="preserve">via </w:t>
      </w:r>
      <w:hyperlink r:id="rId24" w:history="1">
        <w:r w:rsidRPr="00AB690D">
          <w:rPr>
            <w:rStyle w:val="Hyperlink"/>
          </w:rPr>
          <w:t>Engage Victoria</w:t>
        </w:r>
      </w:hyperlink>
      <w:r>
        <w:t>.</w:t>
      </w:r>
    </w:p>
    <w:p w14:paraId="45F66575" w14:textId="4214D243" w:rsidR="000F27D5" w:rsidRDefault="000F27D5" w:rsidP="000F27D5">
      <w:r>
        <w:t xml:space="preserve">Submissions will be published on the commission’s website, except for any information that is commercially sensitive or confidential, in accordance with our </w:t>
      </w:r>
      <w:hyperlink r:id="rId25" w:history="1">
        <w:r w:rsidRPr="00CD492C">
          <w:rPr>
            <w:rStyle w:val="Hyperlink"/>
          </w:rPr>
          <w:t>Submissions Policy</w:t>
        </w:r>
      </w:hyperlink>
      <w:r>
        <w:t>. Submissions should clearly identify which information you consider to be sensitive or confidential, and the basis for your claim.</w:t>
      </w:r>
    </w:p>
    <w:p w14:paraId="279980F5" w14:textId="1BE594BC" w:rsidR="000F27D5" w:rsidRDefault="000F27D5" w:rsidP="000F27D5">
      <w:r>
        <w:t xml:space="preserve">We will continue to proactively engage with </w:t>
      </w:r>
      <w:r w:rsidR="00F90690">
        <w:t>key stakeholders</w:t>
      </w:r>
      <w:r>
        <w:t xml:space="preserve"> as this review progresses.</w:t>
      </w:r>
    </w:p>
    <w:p w14:paraId="29EBA8C6" w14:textId="2B8D5992" w:rsidR="00B503C2" w:rsidRDefault="000F27D5" w:rsidP="00B503C2">
      <w:r>
        <w:t xml:space="preserve">If you have any questions or would like to arrange a meeting, please contact us at </w:t>
      </w:r>
      <w:hyperlink r:id="rId26" w:history="1">
        <w:r w:rsidR="00F90690" w:rsidRPr="000F6E15">
          <w:rPr>
            <w:rStyle w:val="Hyperlink"/>
          </w:rPr>
          <w:t>energyreform@esc.vic.gov.au</w:t>
        </w:r>
      </w:hyperlink>
      <w:r w:rsidR="00F90690">
        <w:t xml:space="preserve">. </w:t>
      </w:r>
    </w:p>
    <w:p w14:paraId="01B341E4" w14:textId="77777777" w:rsidR="00B075E9" w:rsidRDefault="00B075E9" w:rsidP="00B503C2">
      <w:pPr>
        <w:sectPr w:rsidR="00B075E9" w:rsidSect="00891714">
          <w:headerReference w:type="even" r:id="rId27"/>
          <w:headerReference w:type="default" r:id="rId28"/>
          <w:footerReference w:type="default" r:id="rId29"/>
          <w:headerReference w:type="first" r:id="rId30"/>
          <w:type w:val="continuous"/>
          <w:pgSz w:w="11906" w:h="16838" w:code="9"/>
          <w:pgMar w:top="1134" w:right="1134" w:bottom="1134" w:left="1134" w:header="709" w:footer="692" w:gutter="0"/>
          <w:pgNumType w:start="0"/>
          <w:cols w:space="708"/>
          <w:docGrid w:linePitch="360"/>
        </w:sectPr>
      </w:pPr>
    </w:p>
    <w:p w14:paraId="50B68A79" w14:textId="6D8100BB" w:rsidR="00563AD8" w:rsidRDefault="00AB2A76" w:rsidP="002743B0">
      <w:pPr>
        <w:pStyle w:val="Heading1numbered"/>
      </w:pPr>
      <w:bookmarkStart w:id="15" w:name="_Toc195617141"/>
      <w:bookmarkStart w:id="16" w:name="_Toc195642826"/>
      <w:bookmarkStart w:id="17" w:name="_Toc195692538"/>
      <w:bookmarkStart w:id="18" w:name="_Toc195701830"/>
      <w:bookmarkStart w:id="19" w:name="_Toc195184810"/>
      <w:bookmarkStart w:id="20" w:name="_Toc195261857"/>
      <w:bookmarkStart w:id="21" w:name="_Toc195617142"/>
      <w:bookmarkStart w:id="22" w:name="_Toc195642827"/>
      <w:bookmarkStart w:id="23" w:name="_Toc195692539"/>
      <w:bookmarkStart w:id="24" w:name="_Toc195701831"/>
      <w:bookmarkStart w:id="25" w:name="_Toc197959420"/>
      <w:bookmarkEnd w:id="15"/>
      <w:bookmarkEnd w:id="16"/>
      <w:bookmarkEnd w:id="17"/>
      <w:bookmarkEnd w:id="18"/>
      <w:bookmarkEnd w:id="19"/>
      <w:bookmarkEnd w:id="20"/>
      <w:bookmarkEnd w:id="21"/>
      <w:bookmarkEnd w:id="22"/>
      <w:bookmarkEnd w:id="23"/>
      <w:bookmarkEnd w:id="24"/>
      <w:r>
        <w:lastRenderedPageBreak/>
        <w:t>Background</w:t>
      </w:r>
      <w:bookmarkEnd w:id="25"/>
    </w:p>
    <w:p w14:paraId="3E96F746" w14:textId="15A80525" w:rsidR="00C85380" w:rsidRDefault="00A578EC" w:rsidP="00A578EC">
      <w:pPr>
        <w:pStyle w:val="Heading2numbered"/>
      </w:pPr>
      <w:bookmarkStart w:id="26" w:name="_Toc197959421"/>
      <w:r>
        <w:t>Introduction and purpose of this Regulatory Impact Statement</w:t>
      </w:r>
      <w:bookmarkEnd w:id="26"/>
    </w:p>
    <w:p w14:paraId="52141305" w14:textId="65D236EA" w:rsidR="000877A5" w:rsidRDefault="00916A5C" w:rsidP="000877A5">
      <w:pPr>
        <w:pStyle w:val="Heading3numbered"/>
      </w:pPr>
      <w:r>
        <w:t>Victorian energy consumers are experiencing increasing financial stress</w:t>
      </w:r>
    </w:p>
    <w:p w14:paraId="6141EAA7" w14:textId="77777777" w:rsidR="00C931D4" w:rsidRDefault="00697BE3" w:rsidP="00697BE3">
      <w:r>
        <w:t>Energy is an essential service for Victorians. The energy retail market is a dynamic and competitive sector, with almost 30 active retailers servicing residential and small business customers.</w:t>
      </w:r>
      <w:r w:rsidRPr="00617870">
        <w:rPr>
          <w:rStyle w:val="FootnoteReference"/>
          <w:sz w:val="18"/>
          <w:szCs w:val="18"/>
        </w:rPr>
        <w:footnoteReference w:id="6"/>
      </w:r>
      <w:r>
        <w:t xml:space="preserve"> Victoria’s energy retail market is comprised of a wide range of different plans to meet the various needs of consumers.</w:t>
      </w:r>
    </w:p>
    <w:p w14:paraId="3DC68DF2" w14:textId="588B050C" w:rsidR="00B967A8" w:rsidRDefault="00A90120" w:rsidP="00A90120">
      <w:r>
        <w:t>In recent years, the retail market has faced several challenges, including rising energy prices and increasing financial stress among consumers.</w:t>
      </w:r>
      <w:r w:rsidR="00923A53">
        <w:t xml:space="preserve"> </w:t>
      </w:r>
      <w:r w:rsidR="00E26983">
        <w:t xml:space="preserve">As a result, </w:t>
      </w:r>
      <w:r w:rsidR="00BB7EE3">
        <w:t>data suggests that</w:t>
      </w:r>
      <w:r w:rsidR="00E26983">
        <w:t xml:space="preserve"> </w:t>
      </w:r>
      <w:r w:rsidR="00B2285E">
        <w:t xml:space="preserve">Victorian energy </w:t>
      </w:r>
      <w:r w:rsidR="002F2C39">
        <w:t>consumers</w:t>
      </w:r>
      <w:r w:rsidR="00564310">
        <w:t xml:space="preserve"> are</w:t>
      </w:r>
      <w:r w:rsidR="00E26983">
        <w:t xml:space="preserve"> </w:t>
      </w:r>
      <w:r w:rsidR="007A0D65">
        <w:t xml:space="preserve">at </w:t>
      </w:r>
      <w:r w:rsidR="00BB7EE3">
        <w:t>increasing</w:t>
      </w:r>
      <w:r w:rsidR="007A0D65">
        <w:t xml:space="preserve"> risk of</w:t>
      </w:r>
      <w:r w:rsidR="00BD7E90">
        <w:t xml:space="preserve"> missing bill payments, </w:t>
      </w:r>
      <w:r w:rsidR="007A0D65">
        <w:t>entering into</w:t>
      </w:r>
      <w:r w:rsidR="00BD7E90">
        <w:t xml:space="preserve"> debt and </w:t>
      </w:r>
      <w:r w:rsidR="007A0D65">
        <w:t xml:space="preserve">being </w:t>
      </w:r>
      <w:r w:rsidR="00BB7EE3">
        <w:t>disconnected.</w:t>
      </w:r>
      <w:r w:rsidR="00BD7E90">
        <w:t xml:space="preserve"> </w:t>
      </w:r>
    </w:p>
    <w:p w14:paraId="36EDDA52" w14:textId="026388DB" w:rsidR="00532BC3" w:rsidRDefault="007E719E" w:rsidP="00A90120">
      <w:r>
        <w:t xml:space="preserve">In Victoria, retailers must provide customers with tailored assistance if they are </w:t>
      </w:r>
      <w:r w:rsidR="00706B0A">
        <w:t xml:space="preserve">having trouble </w:t>
      </w:r>
      <w:r w:rsidR="00274644">
        <w:t>paying their bills.</w:t>
      </w:r>
      <w:r w:rsidR="00185E29">
        <w:t xml:space="preserve"> </w:t>
      </w:r>
      <w:r w:rsidR="00274644">
        <w:t>T</w:t>
      </w:r>
      <w:r w:rsidR="00DA059A">
        <w:t xml:space="preserve">he number of customers accessing </w:t>
      </w:r>
      <w:r w:rsidR="00274644">
        <w:t>this</w:t>
      </w:r>
      <w:r w:rsidR="00DA059A">
        <w:t xml:space="preserve"> tailored assistance has increased </w:t>
      </w:r>
      <w:r w:rsidR="00185E29">
        <w:t xml:space="preserve">substantially </w:t>
      </w:r>
      <w:r w:rsidR="007F31FF">
        <w:t>since</w:t>
      </w:r>
      <w:r w:rsidR="00206E9F">
        <w:t xml:space="preserve"> 20</w:t>
      </w:r>
      <w:r w:rsidR="00881099">
        <w:t>20</w:t>
      </w:r>
      <w:r w:rsidR="00A9110F">
        <w:t>.</w:t>
      </w:r>
      <w:r w:rsidR="00A9110F">
        <w:rPr>
          <w:rStyle w:val="FootnoteReference"/>
        </w:rPr>
        <w:footnoteReference w:id="7"/>
      </w:r>
      <w:r w:rsidR="00E06707">
        <w:t xml:space="preserve"> </w:t>
      </w:r>
      <w:r w:rsidR="00EF5695">
        <w:t xml:space="preserve">Notably, the number of customers exiting </w:t>
      </w:r>
      <w:r w:rsidR="00970E1A">
        <w:t>assistance</w:t>
      </w:r>
      <w:r w:rsidR="00185E29">
        <w:t xml:space="preserve"> </w:t>
      </w:r>
      <w:r w:rsidR="00331D7E">
        <w:t xml:space="preserve">while still in arrears </w:t>
      </w:r>
      <w:r w:rsidR="00185E29">
        <w:t>d</w:t>
      </w:r>
      <w:r w:rsidR="003A3FE8">
        <w:t>ue</w:t>
      </w:r>
      <w:r w:rsidR="00185E29">
        <w:t xml:space="preserve"> to not meeting payment plan requirements has </w:t>
      </w:r>
      <w:r w:rsidR="00E2081D">
        <w:t xml:space="preserve">also </w:t>
      </w:r>
      <w:r w:rsidR="00185E29">
        <w:t xml:space="preserve">increased </w:t>
      </w:r>
      <w:r w:rsidR="008E6287">
        <w:t xml:space="preserve">steadily over the same period. </w:t>
      </w:r>
      <w:r w:rsidR="00323D55">
        <w:t>Currently</w:t>
      </w:r>
      <w:r w:rsidR="008E6287">
        <w:t xml:space="preserve">, almost half of customers </w:t>
      </w:r>
      <w:r w:rsidR="00B967A8">
        <w:t xml:space="preserve">on </w:t>
      </w:r>
      <w:r w:rsidR="008E6287">
        <w:t xml:space="preserve">tailored assistance </w:t>
      </w:r>
      <w:r w:rsidR="00B967A8">
        <w:t xml:space="preserve">exit </w:t>
      </w:r>
      <w:r w:rsidR="001C09A5">
        <w:t xml:space="preserve">these </w:t>
      </w:r>
      <w:r w:rsidR="00B967A8">
        <w:t xml:space="preserve">programs </w:t>
      </w:r>
      <w:r w:rsidR="00A40B86">
        <w:t>due to</w:t>
      </w:r>
      <w:r w:rsidR="008E6287">
        <w:t xml:space="preserve"> </w:t>
      </w:r>
      <w:r w:rsidR="00B967A8">
        <w:t xml:space="preserve">failure to meet </w:t>
      </w:r>
      <w:r w:rsidR="00AE47BB">
        <w:t xml:space="preserve">payment plan </w:t>
      </w:r>
      <w:r w:rsidR="00B967A8">
        <w:t>requirements.</w:t>
      </w:r>
      <w:r w:rsidR="00B967A8">
        <w:rPr>
          <w:rStyle w:val="FootnoteReference"/>
        </w:rPr>
        <w:footnoteReference w:id="8"/>
      </w:r>
    </w:p>
    <w:p w14:paraId="02062C37" w14:textId="006113A0" w:rsidR="00B01094" w:rsidRDefault="00B01094" w:rsidP="00B01094">
      <w:r>
        <w:t>The number of customers in arrears has also continued</w:t>
      </w:r>
      <w:r w:rsidR="005340DD">
        <w:t xml:space="preserve"> to</w:t>
      </w:r>
      <w:r>
        <w:t xml:space="preserve"> increase since 2020–21.</w:t>
      </w:r>
      <w:r w:rsidR="00AF28E9">
        <w:rPr>
          <w:rStyle w:val="FootnoteReference"/>
        </w:rPr>
        <w:footnoteReference w:id="9"/>
      </w:r>
      <w:r w:rsidR="00AF28E9">
        <w:t xml:space="preserve"> </w:t>
      </w:r>
      <w:r w:rsidR="002B1374">
        <w:t>Despite</w:t>
      </w:r>
      <w:r w:rsidR="00B21AC8">
        <w:t xml:space="preserve"> </w:t>
      </w:r>
      <w:r w:rsidR="00B041AC">
        <w:t xml:space="preserve">a slight decrease in </w:t>
      </w:r>
      <w:r w:rsidR="00D06791">
        <w:t>the</w:t>
      </w:r>
      <w:r w:rsidR="00C863B1">
        <w:t xml:space="preserve"> average</w:t>
      </w:r>
      <w:r w:rsidR="00D06791">
        <w:t xml:space="preserve"> amount of arrears of</w:t>
      </w:r>
      <w:r w:rsidR="00EF67AA">
        <w:t xml:space="preserve"> </w:t>
      </w:r>
      <w:r w:rsidR="00B44CD8">
        <w:t>customer</w:t>
      </w:r>
      <w:r w:rsidR="00591C23">
        <w:t>s</w:t>
      </w:r>
      <w:r w:rsidR="00B44CD8">
        <w:t xml:space="preserve"> receiving assistance </w:t>
      </w:r>
      <w:r w:rsidR="002A3CBA">
        <w:t>over the most recent financial year</w:t>
      </w:r>
      <w:r w:rsidR="002B1374">
        <w:t>,</w:t>
      </w:r>
      <w:r w:rsidR="00B21AC8">
        <w:t xml:space="preserve"> </w:t>
      </w:r>
      <w:r w:rsidR="00353EDA">
        <w:t xml:space="preserve">that amount is </w:t>
      </w:r>
      <w:r w:rsidR="00DA6EF4">
        <w:t>s</w:t>
      </w:r>
      <w:r w:rsidR="00C740F5">
        <w:t>till historically high</w:t>
      </w:r>
      <w:r w:rsidR="00B21AC8">
        <w:t>.</w:t>
      </w:r>
      <w:r w:rsidR="003F33B6">
        <w:rPr>
          <w:rStyle w:val="FootnoteReference"/>
        </w:rPr>
        <w:footnoteReference w:id="10"/>
      </w:r>
      <w:r w:rsidR="00B21AC8">
        <w:t xml:space="preserve"> This is</w:t>
      </w:r>
      <w:r w:rsidR="00C740F5">
        <w:t xml:space="preserve"> especially</w:t>
      </w:r>
      <w:r w:rsidR="00B21AC8">
        <w:t xml:space="preserve"> the case</w:t>
      </w:r>
      <w:r w:rsidR="00C740F5">
        <w:t xml:space="preserve"> for customers receiving assistance who cannot pay for ongoing </w:t>
      </w:r>
      <w:r w:rsidR="00627993">
        <w:t xml:space="preserve">energy </w:t>
      </w:r>
      <w:r w:rsidR="00C740F5">
        <w:t>use.</w:t>
      </w:r>
      <w:r w:rsidR="00C740F5">
        <w:rPr>
          <w:rStyle w:val="FootnoteReference"/>
        </w:rPr>
        <w:footnoteReference w:id="11"/>
      </w:r>
      <w:r w:rsidR="00C740F5">
        <w:t xml:space="preserve"> </w:t>
      </w:r>
    </w:p>
    <w:p w14:paraId="3A17AA6F" w14:textId="01AC4130" w:rsidR="001C0D78" w:rsidRDefault="00A90120" w:rsidP="001C0D78">
      <w:r>
        <w:lastRenderedPageBreak/>
        <w:t xml:space="preserve">The number of </w:t>
      </w:r>
      <w:r w:rsidR="00706B0A">
        <w:t>U</w:t>
      </w:r>
      <w:r>
        <w:t xml:space="preserve">tility </w:t>
      </w:r>
      <w:r w:rsidR="00706B0A">
        <w:t>R</w:t>
      </w:r>
      <w:r>
        <w:t xml:space="preserve">elief </w:t>
      </w:r>
      <w:r w:rsidR="00706B0A">
        <w:t>G</w:t>
      </w:r>
      <w:r>
        <w:t xml:space="preserve">rants approved has also increased. </w:t>
      </w:r>
      <w:r w:rsidR="004A7367">
        <w:t>U</w:t>
      </w:r>
      <w:r w:rsidR="00706B0A">
        <w:t xml:space="preserve">tility </w:t>
      </w:r>
      <w:r w:rsidR="004A7367">
        <w:t>R</w:t>
      </w:r>
      <w:r w:rsidR="00706B0A">
        <w:t xml:space="preserve">elief </w:t>
      </w:r>
      <w:r w:rsidR="004A7367">
        <w:t>G</w:t>
      </w:r>
      <w:r w:rsidR="00706B0A">
        <w:t>rants</w:t>
      </w:r>
      <w:r w:rsidR="004A7367">
        <w:t xml:space="preserve"> are </w:t>
      </w:r>
      <w:r w:rsidR="00706B0A">
        <w:t>Victorian G</w:t>
      </w:r>
      <w:r w:rsidR="00711F9A">
        <w:t xml:space="preserve">overnment </w:t>
      </w:r>
      <w:r w:rsidR="004A7367">
        <w:t xml:space="preserve">grants that </w:t>
      </w:r>
      <w:r w:rsidR="00E57174">
        <w:t>help</w:t>
      </w:r>
      <w:r w:rsidR="001C54F5">
        <w:t xml:space="preserve"> customers to pay an electricity, gas or water bill that is overdue due to temporary financial crisis.</w:t>
      </w:r>
      <w:r w:rsidR="00A74E9B">
        <w:rPr>
          <w:rStyle w:val="FootnoteReference"/>
        </w:rPr>
        <w:footnoteReference w:id="12"/>
      </w:r>
      <w:r w:rsidR="001C54F5">
        <w:t xml:space="preserve"> </w:t>
      </w:r>
      <w:r w:rsidR="00F04B58">
        <w:t>C</w:t>
      </w:r>
      <w:r>
        <w:t>ompared to 2022</w:t>
      </w:r>
      <w:r w:rsidR="00601A67">
        <w:rPr>
          <w:rFonts w:cstheme="minorHAnsi"/>
        </w:rPr>
        <w:t>–</w:t>
      </w:r>
      <w:r>
        <w:t xml:space="preserve">23, </w:t>
      </w:r>
      <w:r w:rsidR="00F04B58">
        <w:t>in 2023</w:t>
      </w:r>
      <w:r w:rsidR="00601A67">
        <w:rPr>
          <w:rFonts w:cstheme="minorHAnsi"/>
        </w:rPr>
        <w:t>–</w:t>
      </w:r>
      <w:r w:rsidR="00F04B58">
        <w:t xml:space="preserve">24 </w:t>
      </w:r>
      <w:r>
        <w:t>there was a 19 per cent increase in applications approved for electricity and 32 per cent increase for gas. This may indicate that more people are seeking financial assistance or that retailers have improved their processes to assist customers in their U</w:t>
      </w:r>
      <w:r w:rsidR="00DD3186">
        <w:t xml:space="preserve">tility </w:t>
      </w:r>
      <w:r>
        <w:t>R</w:t>
      </w:r>
      <w:r w:rsidR="00DD3186">
        <w:t xml:space="preserve">elief </w:t>
      </w:r>
      <w:r>
        <w:t>G</w:t>
      </w:r>
      <w:r w:rsidR="00DD3186">
        <w:t>rant</w:t>
      </w:r>
      <w:r>
        <w:t xml:space="preserve"> applications. </w:t>
      </w:r>
    </w:p>
    <w:p w14:paraId="2B2610B5" w14:textId="2348ABD0" w:rsidR="001C0D78" w:rsidRDefault="001C0D78" w:rsidP="00FC2E32">
      <w:pPr>
        <w:pStyle w:val="Heading3numbered"/>
      </w:pPr>
      <w:r>
        <w:t>The Energy Retail Code of Practice</w:t>
      </w:r>
      <w:r w:rsidR="00916A5C">
        <w:t xml:space="preserve"> sets out important consumer protections</w:t>
      </w:r>
    </w:p>
    <w:p w14:paraId="00923DF4" w14:textId="605E211A" w:rsidR="00A90120" w:rsidRDefault="00A90120" w:rsidP="00A90120">
      <w:r>
        <w:t xml:space="preserve">The </w:t>
      </w:r>
      <w:r w:rsidR="000808F4">
        <w:t>code</w:t>
      </w:r>
      <w:r>
        <w:t xml:space="preserve"> plays an important role in regulating the retail </w:t>
      </w:r>
      <w:r w:rsidR="00E758BF">
        <w:t>energy</w:t>
      </w:r>
      <w:r>
        <w:t xml:space="preserve"> market in Victoria. The code</w:t>
      </w:r>
      <w:r w:rsidR="00153A4A">
        <w:t xml:space="preserve"> commenced in </w:t>
      </w:r>
      <w:r w:rsidR="2C98F1CA">
        <w:t>March</w:t>
      </w:r>
      <w:r w:rsidR="00153A4A">
        <w:t xml:space="preserve"> 2022 and </w:t>
      </w:r>
      <w:r>
        <w:t>sets out the rules electricity and gas retailers must follow when selling energy to customers.</w:t>
      </w:r>
      <w:r w:rsidR="00C05F3B">
        <w:rPr>
          <w:rStyle w:val="FootnoteReference"/>
        </w:rPr>
        <w:footnoteReference w:id="13"/>
      </w:r>
      <w:r>
        <w:t xml:space="preserve"> It covers various aspects of the retail process, including customer contracts, billing, payment difficulties, dispute resolution, contents of bills, life support equipment and disconnections. The code aims to protect consumers by ensuring transparency, fairness and accountability in the retail market.</w:t>
      </w:r>
    </w:p>
    <w:p w14:paraId="055F6627" w14:textId="4B10AA61" w:rsidR="00A90120" w:rsidRDefault="00A90120" w:rsidP="00A90120">
      <w:r>
        <w:t xml:space="preserve">Additionally, </w:t>
      </w:r>
      <w:r w:rsidR="0038258E">
        <w:t>we</w:t>
      </w:r>
      <w:r>
        <w:t xml:space="preserve"> provide several guidelines</w:t>
      </w:r>
      <w:r w:rsidR="002E0CF9" w:rsidRPr="002E0CF9">
        <w:t xml:space="preserve"> </w:t>
      </w:r>
      <w:r w:rsidR="002E0CF9">
        <w:t>to aid retailers in compliance with the code.</w:t>
      </w:r>
      <w:r w:rsidR="00246919">
        <w:rPr>
          <w:rStyle w:val="FootnoteReference"/>
        </w:rPr>
        <w:footnoteReference w:id="14"/>
      </w:r>
      <w:r>
        <w:t xml:space="preserve"> These guidelines include helpful content relating, but not limited to:</w:t>
      </w:r>
    </w:p>
    <w:p w14:paraId="37DE9599" w14:textId="6EA8401C" w:rsidR="00A90120" w:rsidRPr="00FB4202" w:rsidRDefault="00A90120" w:rsidP="00A92E17">
      <w:pPr>
        <w:pStyle w:val="ListBullet"/>
      </w:pPr>
      <w:r w:rsidRPr="00FB4202">
        <w:t xml:space="preserve">the </w:t>
      </w:r>
      <w:r w:rsidR="002C554F" w:rsidRPr="00FB4202">
        <w:t>P</w:t>
      </w:r>
      <w:r w:rsidRPr="00FB4202">
        <w:t xml:space="preserve">ayment </w:t>
      </w:r>
      <w:r w:rsidR="002C554F" w:rsidRPr="00FB4202">
        <w:t>D</w:t>
      </w:r>
      <w:r w:rsidRPr="00FB4202">
        <w:t xml:space="preserve">ifficulty </w:t>
      </w:r>
      <w:r w:rsidR="002C554F" w:rsidRPr="00FB4202">
        <w:t>F</w:t>
      </w:r>
      <w:r w:rsidRPr="00FB4202">
        <w:t>ramework</w:t>
      </w:r>
    </w:p>
    <w:p w14:paraId="711DF317" w14:textId="77777777" w:rsidR="00A90120" w:rsidRPr="00FB4202" w:rsidRDefault="00A90120" w:rsidP="00A92E17">
      <w:pPr>
        <w:pStyle w:val="ListBullet"/>
      </w:pPr>
      <w:r w:rsidRPr="00FB4202">
        <w:t>best offer messages</w:t>
      </w:r>
    </w:p>
    <w:p w14:paraId="2503B883" w14:textId="6A2EBA6A" w:rsidR="00A90120" w:rsidRPr="00FB4202" w:rsidRDefault="00A90120" w:rsidP="00A92E17">
      <w:pPr>
        <w:pStyle w:val="ListBullet"/>
      </w:pPr>
      <w:r w:rsidRPr="00FB4202">
        <w:t>customers under white</w:t>
      </w:r>
      <w:r w:rsidR="00EB5049" w:rsidRPr="00FB4202">
        <w:t xml:space="preserve"> </w:t>
      </w:r>
      <w:r w:rsidRPr="00FB4202">
        <w:t>label arrangements</w:t>
      </w:r>
      <w:r w:rsidR="005901C0">
        <w:rPr>
          <w:rStyle w:val="FootnoteReference"/>
        </w:rPr>
        <w:footnoteReference w:id="15"/>
      </w:r>
    </w:p>
    <w:p w14:paraId="1ACA3682" w14:textId="77777777" w:rsidR="00A90120" w:rsidRPr="00FB4202" w:rsidRDefault="00A90120" w:rsidP="00A92E17">
      <w:pPr>
        <w:pStyle w:val="ListBullet"/>
      </w:pPr>
      <w:r w:rsidRPr="00FB4202">
        <w:t>life support customer details</w:t>
      </w:r>
    </w:p>
    <w:p w14:paraId="5A99E68D" w14:textId="77777777" w:rsidR="00A90120" w:rsidRPr="00FB4202" w:rsidRDefault="00A90120" w:rsidP="00A92E17">
      <w:pPr>
        <w:pStyle w:val="ListBullet"/>
      </w:pPr>
      <w:r w:rsidRPr="00FB4202">
        <w:t>explicit informed consent</w:t>
      </w:r>
    </w:p>
    <w:p w14:paraId="5D2E9A72" w14:textId="77777777" w:rsidR="00A90120" w:rsidRPr="00FB4202" w:rsidRDefault="00A90120" w:rsidP="00A92E17">
      <w:pPr>
        <w:pStyle w:val="ListBullet"/>
      </w:pPr>
      <w:r w:rsidRPr="00FB4202">
        <w:t>energy fact sheets.</w:t>
      </w:r>
    </w:p>
    <w:p w14:paraId="2C34DDC8" w14:textId="2FDA1533" w:rsidR="00C97302" w:rsidRDefault="00A90120" w:rsidP="00556235">
      <w:r>
        <w:t xml:space="preserve">An important feature of the code is its focus on assisting customers </w:t>
      </w:r>
      <w:r w:rsidR="00C34B45">
        <w:t xml:space="preserve">experiencing </w:t>
      </w:r>
      <w:r>
        <w:t xml:space="preserve">payment </w:t>
      </w:r>
      <w:r w:rsidR="00C34B45">
        <w:t>difficulty</w:t>
      </w:r>
      <w:r w:rsidR="00896F12">
        <w:t>.</w:t>
      </w:r>
      <w:r>
        <w:t xml:space="preserve"> The code requires retailers to offer assistance to customers in this situation.</w:t>
      </w:r>
    </w:p>
    <w:p w14:paraId="780F0143" w14:textId="5C6C0FA1" w:rsidR="00BF0E69" w:rsidRDefault="00A90120" w:rsidP="00556235">
      <w:r>
        <w:t xml:space="preserve">Any customer can access </w:t>
      </w:r>
      <w:r>
        <w:rPr>
          <w:b/>
          <w:bCs/>
        </w:rPr>
        <w:t xml:space="preserve">standard assistance </w:t>
      </w:r>
      <w:r>
        <w:t>to help them avoid getting into arrears with their retailer. Assistance may take the form of paying smaller amounts more often, changing payment intervals, extending pay-by</w:t>
      </w:r>
      <w:r w:rsidR="00556235" w:rsidRPr="00556235">
        <w:t xml:space="preserve"> </w:t>
      </w:r>
      <w:r w:rsidR="00556235">
        <w:t xml:space="preserve">dates </w:t>
      </w:r>
      <w:r w:rsidR="00DE0544">
        <w:t xml:space="preserve">or </w:t>
      </w:r>
      <w:r w:rsidR="00556235">
        <w:t xml:space="preserve">paying </w:t>
      </w:r>
      <w:r w:rsidR="00DE0544">
        <w:t xml:space="preserve">for energy </w:t>
      </w:r>
      <w:r w:rsidR="00556235">
        <w:t>in advance.</w:t>
      </w:r>
      <w:r w:rsidR="00556235">
        <w:rPr>
          <w:rStyle w:val="FootnoteReference"/>
        </w:rPr>
        <w:footnoteReference w:id="16"/>
      </w:r>
      <w:r w:rsidR="00556235">
        <w:t xml:space="preserve"> </w:t>
      </w:r>
    </w:p>
    <w:p w14:paraId="5DD0F9D2" w14:textId="60DEF8AD" w:rsidR="00635F27" w:rsidRDefault="00556235" w:rsidP="00556235">
      <w:r>
        <w:lastRenderedPageBreak/>
        <w:t xml:space="preserve">Customers in arrears are entitled to </w:t>
      </w:r>
      <w:r w:rsidRPr="00056B42">
        <w:rPr>
          <w:b/>
          <w:bCs/>
        </w:rPr>
        <w:t>tailored assistance</w:t>
      </w:r>
      <w:r>
        <w:t>. Forms of tailored assistance include developing a payment plan, providing information on a customer’s energy usage and how to lower it</w:t>
      </w:r>
      <w:r w:rsidR="00705069">
        <w:t>,</w:t>
      </w:r>
      <w:r>
        <w:t xml:space="preserve"> and providing advice on government or non-government assistance that may be available (including </w:t>
      </w:r>
      <w:r w:rsidR="00635F27">
        <w:t>U</w:t>
      </w:r>
      <w:r w:rsidR="000C1C78">
        <w:t xml:space="preserve">tility </w:t>
      </w:r>
      <w:r w:rsidR="00635F27">
        <w:t>R</w:t>
      </w:r>
      <w:r w:rsidR="000C1C78">
        <w:t xml:space="preserve">elief </w:t>
      </w:r>
      <w:r w:rsidR="00635F27">
        <w:t>G</w:t>
      </w:r>
      <w:r w:rsidR="000C1C78">
        <w:t>rant</w:t>
      </w:r>
      <w:r w:rsidR="00635F27">
        <w:t>s</w:t>
      </w:r>
      <w:r>
        <w:t>).</w:t>
      </w:r>
      <w:r>
        <w:rPr>
          <w:rStyle w:val="FootnoteReference"/>
        </w:rPr>
        <w:footnoteReference w:id="17"/>
      </w:r>
    </w:p>
    <w:p w14:paraId="6360E661" w14:textId="2DE3B81B" w:rsidR="00556235" w:rsidRDefault="00556235" w:rsidP="00955C07">
      <w:r>
        <w:t>If a customer owes more than $55 and has missed a bill</w:t>
      </w:r>
      <w:r w:rsidR="00EA06BE">
        <w:t xml:space="preserve"> payment</w:t>
      </w:r>
      <w:r>
        <w:t>, the code requires their retailer to reach out and offer this support.</w:t>
      </w:r>
      <w:r>
        <w:rPr>
          <w:rStyle w:val="FootnoteReference"/>
        </w:rPr>
        <w:footnoteReference w:id="18"/>
      </w:r>
      <w:r>
        <w:t xml:space="preserve"> The code additionally mandates clear communication from retailers, ensuring customers are informed about their energy plans and tariff changes.</w:t>
      </w:r>
      <w:r>
        <w:rPr>
          <w:rStyle w:val="FootnoteReference"/>
        </w:rPr>
        <w:footnoteReference w:id="19"/>
      </w:r>
      <w:r>
        <w:t xml:space="preserve"> </w:t>
      </w:r>
    </w:p>
    <w:p w14:paraId="649DA444" w14:textId="2306FD9E" w:rsidR="00405818" w:rsidRDefault="00916A5C" w:rsidP="00FC2E32">
      <w:pPr>
        <w:pStyle w:val="Heading3numbered"/>
      </w:pPr>
      <w:r>
        <w:t>We are r</w:t>
      </w:r>
      <w:r w:rsidR="00955C07">
        <w:t>eviewing the Energy Retail Code of Practice</w:t>
      </w:r>
    </w:p>
    <w:p w14:paraId="319FA688" w14:textId="4BECC3DD" w:rsidR="00556235" w:rsidRDefault="00C65CB2" w:rsidP="00556235">
      <w:r>
        <w:t>W</w:t>
      </w:r>
      <w:r w:rsidR="002675B8">
        <w:t>e</w:t>
      </w:r>
      <w:r w:rsidR="00556235">
        <w:t xml:space="preserve"> </w:t>
      </w:r>
      <w:r w:rsidR="002675B8">
        <w:t xml:space="preserve">began </w:t>
      </w:r>
      <w:r w:rsidR="00556235">
        <w:t>a review of the code</w:t>
      </w:r>
      <w:r>
        <w:t xml:space="preserve"> in June 2024</w:t>
      </w:r>
      <w:r w:rsidR="00556235">
        <w:t xml:space="preserve">. The purpose of this review is to: </w:t>
      </w:r>
    </w:p>
    <w:p w14:paraId="54C477C9" w14:textId="5522CBFA" w:rsidR="00556235" w:rsidRPr="00615906" w:rsidRDefault="00556235" w:rsidP="00A92E17">
      <w:pPr>
        <w:pStyle w:val="ListBullet"/>
      </w:pPr>
      <w:r w:rsidRPr="00615906">
        <w:t xml:space="preserve">address key actual or potential harms to Victorian consumers in a proportionate manner </w:t>
      </w:r>
    </w:p>
    <w:p w14:paraId="7832DCCA" w14:textId="77777777" w:rsidR="00615906" w:rsidRPr="00615906" w:rsidRDefault="00925226" w:rsidP="00A92E17">
      <w:pPr>
        <w:pStyle w:val="ListBullet"/>
      </w:pPr>
      <w:r w:rsidRPr="00615906">
        <w:t>clarify</w:t>
      </w:r>
      <w:r w:rsidR="00556235" w:rsidRPr="00615906">
        <w:t xml:space="preserve"> or update obligations identified as unclear or inconsistent </w:t>
      </w:r>
    </w:p>
    <w:p w14:paraId="406271D1" w14:textId="47B060EA" w:rsidR="00556235" w:rsidRPr="00615906" w:rsidRDefault="00556235" w:rsidP="00A92E17">
      <w:pPr>
        <w:pStyle w:val="ListBullet"/>
      </w:pPr>
      <w:r w:rsidRPr="00615906">
        <w:t>support Victorians who may be experiencing or</w:t>
      </w:r>
      <w:r w:rsidR="00D1287E">
        <w:t xml:space="preserve"> are</w:t>
      </w:r>
      <w:r w:rsidRPr="00615906">
        <w:t xml:space="preserve"> at risk of experiencing vulnerability when</w:t>
      </w:r>
      <w:r w:rsidR="00615906" w:rsidRPr="00615906">
        <w:t xml:space="preserve"> </w:t>
      </w:r>
      <w:r w:rsidRPr="00615906">
        <w:t>engaging with the energy retail market.</w:t>
      </w:r>
    </w:p>
    <w:p w14:paraId="1BB52297" w14:textId="79BC5820" w:rsidR="00556235" w:rsidRDefault="00C65CB2" w:rsidP="00556235">
      <w:r>
        <w:t>We</w:t>
      </w:r>
      <w:r w:rsidR="00556235">
        <w:t xml:space="preserve"> released an issues paper on 6 June 2024 to seek feedback from stakeholders on key areas for reform. The six-week consultation period closed on 19 July 2024. </w:t>
      </w:r>
    </w:p>
    <w:p w14:paraId="248BC3E0" w14:textId="37324C03" w:rsidR="008743E2" w:rsidRDefault="00556235" w:rsidP="00783C27">
      <w:r>
        <w:t xml:space="preserve">In August 2024, the Energy and Climate Change Ministerial Council decided to advance a set of consumer reforms. The Commonwealth Minister for Climate Change and Energy, who chairs the </w:t>
      </w:r>
      <w:r w:rsidR="00137A4B">
        <w:t>council</w:t>
      </w:r>
      <w:r>
        <w:t>, submitted rule change requests to the Australian Energy Market Commission (AEMC).</w:t>
      </w:r>
      <w:r w:rsidR="0099099C">
        <w:rPr>
          <w:rStyle w:val="FootnoteReference"/>
        </w:rPr>
        <w:footnoteReference w:id="20"/>
      </w:r>
    </w:p>
    <w:p w14:paraId="3012055B" w14:textId="3175E5D4" w:rsidR="00783C27" w:rsidRDefault="00556235" w:rsidP="00783C27">
      <w:r>
        <w:t xml:space="preserve">The consumer reforms </w:t>
      </w:r>
      <w:r w:rsidR="008743E2">
        <w:t>proposed by the E</w:t>
      </w:r>
      <w:r w:rsidR="00137A4B">
        <w:t xml:space="preserve">nergy and </w:t>
      </w:r>
      <w:r w:rsidR="008743E2">
        <w:t>C</w:t>
      </w:r>
      <w:r w:rsidR="00137A4B">
        <w:t xml:space="preserve">limate Change </w:t>
      </w:r>
      <w:r w:rsidR="008743E2">
        <w:t>M</w:t>
      </w:r>
      <w:r w:rsidR="00137A4B">
        <w:t xml:space="preserve">inisterial </w:t>
      </w:r>
      <w:r w:rsidR="008743E2">
        <w:t>C</w:t>
      </w:r>
      <w:r w:rsidR="00137A4B">
        <w:t>ouncil</w:t>
      </w:r>
      <w:r w:rsidR="008743E2">
        <w:t xml:space="preserve"> </w:t>
      </w:r>
      <w:r>
        <w:t xml:space="preserve">aim to amend the National Energy Retail Rules (NERR). </w:t>
      </w:r>
      <w:r w:rsidR="3476E01F">
        <w:t>To be implemented i</w:t>
      </w:r>
      <w:r>
        <w:t>n Victoria,</w:t>
      </w:r>
      <w:r w:rsidR="00783C27">
        <w:t xml:space="preserve"> </w:t>
      </w:r>
      <w:r w:rsidR="004F2384">
        <w:t>these reforms</w:t>
      </w:r>
      <w:r w:rsidR="002D63B8">
        <w:t xml:space="preserve"> need </w:t>
      </w:r>
      <w:r w:rsidR="00783C27">
        <w:t xml:space="preserve">to </w:t>
      </w:r>
      <w:r w:rsidR="009979CA">
        <w:t>be included</w:t>
      </w:r>
      <w:r w:rsidR="00783C27">
        <w:t xml:space="preserve"> </w:t>
      </w:r>
      <w:r w:rsidR="12F52583">
        <w:t xml:space="preserve">in </w:t>
      </w:r>
      <w:r w:rsidR="00783C27">
        <w:t xml:space="preserve">the code. </w:t>
      </w:r>
      <w:r w:rsidR="003F5CD4">
        <w:t>We</w:t>
      </w:r>
      <w:r w:rsidR="00ED65D3">
        <w:t xml:space="preserve"> </w:t>
      </w:r>
      <w:r w:rsidR="00783C27">
        <w:t xml:space="preserve">received a request from the Victorian Minister for Energy and Resources </w:t>
      </w:r>
      <w:r w:rsidR="00843CD2">
        <w:t>asking us to consider</w:t>
      </w:r>
      <w:r w:rsidR="00783C27">
        <w:t xml:space="preserve"> how these reforms could be implemented in Victoria.</w:t>
      </w:r>
      <w:r w:rsidR="0057056E">
        <w:rPr>
          <w:rStyle w:val="FootnoteReference"/>
        </w:rPr>
        <w:footnoteReference w:id="21"/>
      </w:r>
      <w:r w:rsidR="00783C27">
        <w:t xml:space="preserve"> </w:t>
      </w:r>
    </w:p>
    <w:p w14:paraId="67D6A772" w14:textId="51D5549F" w:rsidR="00630B51" w:rsidRDefault="00783C27" w:rsidP="00630B51">
      <w:r>
        <w:t xml:space="preserve">The goals of the </w:t>
      </w:r>
      <w:r w:rsidR="00137A4B">
        <w:t>council</w:t>
      </w:r>
      <w:r>
        <w:t xml:space="preserve">’s consumer reforms align with feedback </w:t>
      </w:r>
      <w:r w:rsidR="00CF101C">
        <w:t>we</w:t>
      </w:r>
      <w:r>
        <w:t xml:space="preserve"> received from stakeholders in response to </w:t>
      </w:r>
      <w:r w:rsidR="00630B51">
        <w:t xml:space="preserve">our </w:t>
      </w:r>
      <w:r>
        <w:t xml:space="preserve">July 2024 issues paper. </w:t>
      </w:r>
      <w:r w:rsidR="00630B51">
        <w:t>We</w:t>
      </w:r>
      <w:r>
        <w:t xml:space="preserve"> covered a broad range of topics and received strong </w:t>
      </w:r>
      <w:r>
        <w:lastRenderedPageBreak/>
        <w:t>support for prioriti</w:t>
      </w:r>
      <w:r w:rsidR="00630B51">
        <w:t>s</w:t>
      </w:r>
      <w:r>
        <w:t xml:space="preserve">ing protections for consumers </w:t>
      </w:r>
      <w:r w:rsidR="00630B51">
        <w:t xml:space="preserve">experiencing </w:t>
      </w:r>
      <w:r>
        <w:t>financial stress.</w:t>
      </w:r>
      <w:r w:rsidR="00630B51">
        <w:t xml:space="preserve"> Consequently, we decided to incorporate the </w:t>
      </w:r>
      <w:r w:rsidR="00137A4B">
        <w:t>council</w:t>
      </w:r>
      <w:r w:rsidR="00630B51">
        <w:t xml:space="preserve">’s proposed reforms into our existing review of the code. </w:t>
      </w:r>
    </w:p>
    <w:p w14:paraId="244A7910" w14:textId="0D8B5388" w:rsidR="00783C27" w:rsidRDefault="00783C27" w:rsidP="00783C27">
      <w:r>
        <w:t>The objectives of the E</w:t>
      </w:r>
      <w:r w:rsidR="00137A4B">
        <w:t xml:space="preserve">nergy and </w:t>
      </w:r>
      <w:r>
        <w:t>C</w:t>
      </w:r>
      <w:r w:rsidR="00137A4B">
        <w:t xml:space="preserve">limate Change </w:t>
      </w:r>
      <w:r>
        <w:t>M</w:t>
      </w:r>
      <w:r w:rsidR="00137A4B">
        <w:t xml:space="preserve">inisterial </w:t>
      </w:r>
      <w:r>
        <w:t>C</w:t>
      </w:r>
      <w:r w:rsidR="00137A4B">
        <w:t>ouncil</w:t>
      </w:r>
      <w:r>
        <w:t>’s energy consumer reforms are to:</w:t>
      </w:r>
    </w:p>
    <w:p w14:paraId="581322D1" w14:textId="77777777" w:rsidR="00783C27" w:rsidRDefault="00783C27" w:rsidP="00A92E17">
      <w:pPr>
        <w:pStyle w:val="ListBullet"/>
        <w:rPr>
          <w:rFonts w:ascii="Times New Roman" w:eastAsia="Times New Roman" w:hAnsi="Times New Roman" w:cs="Times New Roman"/>
        </w:rPr>
      </w:pPr>
      <w:r>
        <w:t xml:space="preserve">help households access cheaper energy deals </w:t>
      </w:r>
    </w:p>
    <w:p w14:paraId="712B9B1E" w14:textId="77777777" w:rsidR="00783C27" w:rsidRDefault="00783C27" w:rsidP="00A92E17">
      <w:pPr>
        <w:pStyle w:val="ListBullet"/>
        <w:rPr>
          <w:rFonts w:ascii="Times New Roman" w:eastAsia="Times New Roman" w:hAnsi="Times New Roman" w:cs="Times New Roman"/>
        </w:rPr>
      </w:pPr>
      <w:r>
        <w:t>increase support for people experiencing payment difficulty</w:t>
      </w:r>
    </w:p>
    <w:p w14:paraId="30EABD05" w14:textId="77777777" w:rsidR="00783C27" w:rsidRPr="00A867F1" w:rsidRDefault="00783C27" w:rsidP="00A92E17">
      <w:pPr>
        <w:pStyle w:val="ListBullet"/>
        <w:rPr>
          <w:rFonts w:ascii="Times New Roman" w:eastAsia="Times New Roman" w:hAnsi="Times New Roman" w:cs="Times New Roman"/>
        </w:rPr>
      </w:pPr>
      <w:r>
        <w:t>deliver more protections for consumers.</w:t>
      </w:r>
    </w:p>
    <w:p w14:paraId="30687E07" w14:textId="06F40BFB" w:rsidR="002539E1" w:rsidRDefault="002D0BB4" w:rsidP="002D0BB4">
      <w:r>
        <w:t xml:space="preserve">On 24 October 2024, we released </w:t>
      </w:r>
      <w:r w:rsidR="00F56CAB">
        <w:t>our</w:t>
      </w:r>
      <w:r>
        <w:t xml:space="preserve"> </w:t>
      </w:r>
      <w:r w:rsidR="00F56CAB" w:rsidRPr="00F56CAB">
        <w:t xml:space="preserve">Energy Consumer Reforms: Discussion Paper </w:t>
      </w:r>
      <w:r>
        <w:t xml:space="preserve">to gather stakeholder views on the reforms proposed by the </w:t>
      </w:r>
      <w:r w:rsidR="00137A4B">
        <w:t>council</w:t>
      </w:r>
      <w:r>
        <w:t xml:space="preserve"> that have not yet been implemented in Victoria.</w:t>
      </w:r>
      <w:r>
        <w:rPr>
          <w:rStyle w:val="FootnoteReference"/>
        </w:rPr>
        <w:footnoteReference w:id="22"/>
      </w:r>
      <w:r>
        <w:t xml:space="preserve"> Consultation on this paper closed on 26 November 2024. We also hosted online and in-person workshops with stakeholders in December 2024 to gather additional feedback on the reforms and potential options</w:t>
      </w:r>
      <w:r w:rsidR="009115DB">
        <w:t>.</w:t>
      </w:r>
    </w:p>
    <w:p w14:paraId="7FE1C2BF" w14:textId="1A272B07" w:rsidR="005525E6" w:rsidRPr="005525E6" w:rsidRDefault="005525E6" w:rsidP="005525E6">
      <w:r w:rsidRPr="005525E6">
        <w:t xml:space="preserve">Most of the </w:t>
      </w:r>
      <w:r>
        <w:t>proposed</w:t>
      </w:r>
      <w:r w:rsidRPr="005525E6">
        <w:t xml:space="preserve"> reforms </w:t>
      </w:r>
      <w:r w:rsidR="00F56CAB">
        <w:t xml:space="preserve">included in this RIS </w:t>
      </w:r>
      <w:r w:rsidRPr="005525E6">
        <w:t xml:space="preserve">were presented in </w:t>
      </w:r>
      <w:r w:rsidR="00F56CAB">
        <w:t xml:space="preserve">the discussion paper </w:t>
      </w:r>
      <w:r w:rsidRPr="005525E6">
        <w:t>that was released in October 2024:</w:t>
      </w:r>
    </w:p>
    <w:p w14:paraId="12F92641" w14:textId="632FDF9E" w:rsidR="005525E6" w:rsidRPr="005525E6" w:rsidRDefault="005525E6" w:rsidP="00D67335">
      <w:pPr>
        <w:pStyle w:val="ListBullet"/>
      </w:pPr>
      <w:r w:rsidRPr="005525E6">
        <w:t>Automatic best offer for customers experiencing payment difficulty</w:t>
      </w:r>
    </w:p>
    <w:p w14:paraId="7B3D51AB" w14:textId="027D52F5" w:rsidR="005525E6" w:rsidRPr="005525E6" w:rsidRDefault="005525E6" w:rsidP="00D67335">
      <w:pPr>
        <w:pStyle w:val="ListBullet"/>
      </w:pPr>
      <w:r w:rsidRPr="005525E6">
        <w:t>Improving the ability to switch to the best offer</w:t>
      </w:r>
    </w:p>
    <w:p w14:paraId="7A7306F4" w14:textId="1C420EE8" w:rsidR="005525E6" w:rsidRPr="005525E6" w:rsidRDefault="005525E6" w:rsidP="00D67335">
      <w:pPr>
        <w:pStyle w:val="ListBullet"/>
      </w:pPr>
      <w:r w:rsidRPr="005525E6">
        <w:t>Improving the application of concessions to bills</w:t>
      </w:r>
    </w:p>
    <w:p w14:paraId="29DEA5F8" w14:textId="2C2F2DAB" w:rsidR="005525E6" w:rsidRPr="005525E6" w:rsidRDefault="005525E6" w:rsidP="00D67335">
      <w:pPr>
        <w:pStyle w:val="ListBullet"/>
      </w:pPr>
      <w:r w:rsidRPr="005525E6">
        <w:t>Extending protections for customers on legacy contracts</w:t>
      </w:r>
    </w:p>
    <w:p w14:paraId="5D91E126" w14:textId="77777777" w:rsidR="005525E6" w:rsidRPr="005525E6" w:rsidRDefault="005525E6" w:rsidP="00D67335">
      <w:pPr>
        <w:pStyle w:val="ListBullet"/>
      </w:pPr>
      <w:r w:rsidRPr="005525E6">
        <w:t>Improving awareness of independent dispute resolution services.</w:t>
      </w:r>
    </w:p>
    <w:p w14:paraId="407768A3" w14:textId="77777777" w:rsidR="005525E6" w:rsidRPr="005525E6" w:rsidRDefault="005525E6" w:rsidP="005525E6">
      <w:r w:rsidRPr="005525E6">
        <w:t>In addition, stakeholder feedback and our own analysis have identified the following proposed reforms to further support energy consumers and the efficient functioning of the energy market:</w:t>
      </w:r>
    </w:p>
    <w:p w14:paraId="3FF61C64" w14:textId="3678E190" w:rsidR="005525E6" w:rsidRPr="005525E6" w:rsidRDefault="005525E6" w:rsidP="00D67335">
      <w:pPr>
        <w:pStyle w:val="ListBullet"/>
      </w:pPr>
      <w:r w:rsidRPr="005525E6">
        <w:t>Improving access to cheaper offers</w:t>
      </w:r>
    </w:p>
    <w:p w14:paraId="5FAC06BC" w14:textId="261E3E9E" w:rsidR="005525E6" w:rsidRPr="005525E6" w:rsidRDefault="005525E6" w:rsidP="00D67335">
      <w:pPr>
        <w:pStyle w:val="ListBullet"/>
      </w:pPr>
      <w:r w:rsidRPr="005525E6">
        <w:t>Protections for customers paying high prices</w:t>
      </w:r>
    </w:p>
    <w:p w14:paraId="658B5567" w14:textId="110617F5" w:rsidR="005525E6" w:rsidRPr="005525E6" w:rsidRDefault="005525E6" w:rsidP="00D67335">
      <w:pPr>
        <w:pStyle w:val="ListBullet"/>
      </w:pPr>
      <w:r w:rsidRPr="005525E6">
        <w:t>Increasing the best offer threshold</w:t>
      </w:r>
    </w:p>
    <w:p w14:paraId="3D29F380" w14:textId="3166A9DE" w:rsidR="005525E6" w:rsidRDefault="005525E6" w:rsidP="002D0BB4">
      <w:pPr>
        <w:pStyle w:val="ListBullet"/>
      </w:pPr>
      <w:r w:rsidRPr="005525E6">
        <w:t>Increasing the minimum disconnection amount.</w:t>
      </w:r>
    </w:p>
    <w:p w14:paraId="04C6EB87" w14:textId="3DAD5B97" w:rsidR="00DC2B59" w:rsidRDefault="002539E1" w:rsidP="00783C27">
      <w:pPr>
        <w:pStyle w:val="Heading3numbered"/>
      </w:pPr>
      <w:bookmarkStart w:id="27" w:name="_Toc190957853"/>
      <w:r>
        <w:t xml:space="preserve">The purpose of this Regulatory Impact Statement is to assess options to </w:t>
      </w:r>
      <w:r w:rsidR="00A876D3">
        <w:t>increase support</w:t>
      </w:r>
      <w:r w:rsidR="001132CD">
        <w:t xml:space="preserve"> for </w:t>
      </w:r>
      <w:r>
        <w:t>households</w:t>
      </w:r>
      <w:bookmarkEnd w:id="27"/>
    </w:p>
    <w:p w14:paraId="3CC48D2D" w14:textId="033769C8" w:rsidR="001A45F9" w:rsidRDefault="00581F0D" w:rsidP="00581F0D">
      <w:r>
        <w:t>The purpose of this R</w:t>
      </w:r>
      <w:r w:rsidR="00137A4B">
        <w:t xml:space="preserve">egulatory </w:t>
      </w:r>
      <w:r>
        <w:t>I</w:t>
      </w:r>
      <w:r w:rsidR="00137A4B">
        <w:t xml:space="preserve">mpact </w:t>
      </w:r>
      <w:r>
        <w:t>S</w:t>
      </w:r>
      <w:r w:rsidR="00137A4B">
        <w:t>tatement (</w:t>
      </w:r>
      <w:r>
        <w:t>RIS</w:t>
      </w:r>
      <w:r w:rsidR="00137A4B">
        <w:t>)</w:t>
      </w:r>
      <w:r>
        <w:t xml:space="preserve"> is to identify and assess potential reforms to the code. </w:t>
      </w:r>
      <w:r w:rsidR="001A45F9">
        <w:t xml:space="preserve">Our focus </w:t>
      </w:r>
      <w:r w:rsidR="00A357C7">
        <w:t xml:space="preserve">is on </w:t>
      </w:r>
      <w:r w:rsidR="00156384">
        <w:t xml:space="preserve">reforms </w:t>
      </w:r>
      <w:r w:rsidR="00FC3832">
        <w:t>that will help households pay less for energy</w:t>
      </w:r>
      <w:r w:rsidR="00DE6465">
        <w:t xml:space="preserve"> and improve access to </w:t>
      </w:r>
      <w:r w:rsidR="00A25BD4">
        <w:t>independent</w:t>
      </w:r>
      <w:r w:rsidR="00DE6465">
        <w:t xml:space="preserve"> dispute resolution</w:t>
      </w:r>
      <w:r w:rsidR="009F78EA">
        <w:t xml:space="preserve"> services</w:t>
      </w:r>
      <w:r w:rsidR="00FC3832">
        <w:t>.</w:t>
      </w:r>
      <w:r w:rsidR="004C22E2">
        <w:t xml:space="preserve"> Other </w:t>
      </w:r>
      <w:r w:rsidR="00793DE7">
        <w:t xml:space="preserve">potential reforms identified through previous consultation will be </w:t>
      </w:r>
      <w:r w:rsidR="00F465DF">
        <w:t xml:space="preserve">addressed </w:t>
      </w:r>
      <w:r w:rsidR="00DC44A3">
        <w:t>at a later stage.</w:t>
      </w:r>
    </w:p>
    <w:p w14:paraId="13B7FFEB" w14:textId="2237167E" w:rsidR="00581F0D" w:rsidRDefault="00581F0D" w:rsidP="00581F0D">
      <w:r>
        <w:lastRenderedPageBreak/>
        <w:t>The general approach to assessing the options through this RIS include</w:t>
      </w:r>
      <w:r w:rsidR="005A78BF">
        <w:t>d</w:t>
      </w:r>
      <w:r>
        <w:t>:</w:t>
      </w:r>
    </w:p>
    <w:p w14:paraId="14E199C3" w14:textId="77777777" w:rsidR="00581F0D" w:rsidRPr="008063BF" w:rsidRDefault="00581F0D" w:rsidP="00A92E17">
      <w:pPr>
        <w:pStyle w:val="ListBullet"/>
      </w:pPr>
      <w:r>
        <w:t>identifying the nature and extent of the problems the proposed reforms seek to address</w:t>
      </w:r>
    </w:p>
    <w:p w14:paraId="55604D1E" w14:textId="799119F4" w:rsidR="007269A4" w:rsidRPr="008063BF" w:rsidRDefault="007269A4" w:rsidP="00A92E17">
      <w:pPr>
        <w:pStyle w:val="ListBullet"/>
      </w:pPr>
      <w:r>
        <w:t>iden</w:t>
      </w:r>
      <w:r w:rsidR="005129E0">
        <w:t>tifying the objectives of the proposed reforms</w:t>
      </w:r>
    </w:p>
    <w:p w14:paraId="2DD49AF1" w14:textId="77777777" w:rsidR="00581F0D" w:rsidRPr="008063BF" w:rsidRDefault="00581F0D" w:rsidP="00A92E17">
      <w:pPr>
        <w:pStyle w:val="ListBullet"/>
      </w:pPr>
      <w:r>
        <w:t>identifying options that could address the problems and achieve the reform objectives</w:t>
      </w:r>
    </w:p>
    <w:p w14:paraId="5048E5DE" w14:textId="0036E1F4" w:rsidR="00581F0D" w:rsidRDefault="00581F0D" w:rsidP="00A92E17">
      <w:pPr>
        <w:pStyle w:val="ListBullet"/>
      </w:pPr>
      <w:r>
        <w:t>analysing the benefits and costs of proposed options against the base case and one another, including the effectiveness of the proposed option in achieving the reform objectives</w:t>
      </w:r>
    </w:p>
    <w:p w14:paraId="17A75915" w14:textId="77777777" w:rsidR="00581F0D" w:rsidRPr="00CB6A3D" w:rsidRDefault="00581F0D" w:rsidP="00A92E17">
      <w:pPr>
        <w:pStyle w:val="ListBullet"/>
      </w:pPr>
      <w:r>
        <w:t>identifying the preferred option for each reform area</w:t>
      </w:r>
    </w:p>
    <w:p w14:paraId="0A112F88" w14:textId="4E47D536" w:rsidR="00581F0D" w:rsidRPr="008063BF" w:rsidRDefault="00581F0D" w:rsidP="00A92E17">
      <w:pPr>
        <w:pStyle w:val="ListBullet"/>
      </w:pPr>
      <w:r>
        <w:t xml:space="preserve">assessing other impacts of </w:t>
      </w:r>
      <w:r w:rsidR="00D26C09">
        <w:t xml:space="preserve">the </w:t>
      </w:r>
      <w:r>
        <w:t xml:space="preserve">proposed reforms, including impacts on small businesses and </w:t>
      </w:r>
      <w:r w:rsidR="00D26C09">
        <w:t xml:space="preserve">on </w:t>
      </w:r>
      <w:r>
        <w:t>competition</w:t>
      </w:r>
    </w:p>
    <w:p w14:paraId="50593106" w14:textId="37DA1E90" w:rsidR="00581F0D" w:rsidRPr="008063BF" w:rsidRDefault="00581F0D" w:rsidP="00A92E17">
      <w:pPr>
        <w:pStyle w:val="ListBullet"/>
      </w:pPr>
      <w:r>
        <w:t xml:space="preserve">outlining implementation and evaluation processes relating to the proposed rule changes. </w:t>
      </w:r>
    </w:p>
    <w:p w14:paraId="34B7B071" w14:textId="1DB255C4" w:rsidR="004B06C4" w:rsidRPr="00581F0D" w:rsidRDefault="00581F0D" w:rsidP="002A51F1">
      <w:pPr>
        <w:pStyle w:val="Pull-out"/>
      </w:pPr>
      <w:r>
        <w:t xml:space="preserve">The potential reforms have been informed by stakeholder feedback received during consultation. The options have been assessed to understand the potential impacts on the retail market and Victorian energy consumers. </w:t>
      </w:r>
    </w:p>
    <w:p w14:paraId="2402D2B2" w14:textId="723F1406" w:rsidR="00783C27" w:rsidRDefault="00581F0D" w:rsidP="00965623">
      <w:pPr>
        <w:pStyle w:val="Heading2numbered"/>
      </w:pPr>
      <w:bookmarkStart w:id="28" w:name="_Toc197959422"/>
      <w:r>
        <w:t>Legislative and regulatory framework governing energy retail in Victoria</w:t>
      </w:r>
      <w:bookmarkEnd w:id="28"/>
    </w:p>
    <w:p w14:paraId="40BEE6E8" w14:textId="45DC3C1D" w:rsidR="00775CA2" w:rsidRPr="00775CA2" w:rsidRDefault="00775CA2" w:rsidP="00FC2E32">
      <w:pPr>
        <w:pStyle w:val="Heading3numbered"/>
      </w:pPr>
      <w:r>
        <w:t xml:space="preserve">The commission regulates </w:t>
      </w:r>
      <w:r w:rsidR="001246E3">
        <w:t>electricity and gas retailers in Victoria</w:t>
      </w:r>
    </w:p>
    <w:p w14:paraId="3A034F51" w14:textId="2919868D" w:rsidR="003D2456" w:rsidRDefault="002E76B4" w:rsidP="002E76B4">
      <w:r>
        <w:t xml:space="preserve">The Essential Services Commission is Victoria’s independent energy regulator. </w:t>
      </w:r>
      <w:r w:rsidR="00F00632">
        <w:t>This mandate</w:t>
      </w:r>
      <w:r w:rsidR="003103D2" w:rsidRPr="003103D2">
        <w:t xml:space="preserve"> </w:t>
      </w:r>
      <w:r w:rsidR="0090673E">
        <w:t xml:space="preserve">is </w:t>
      </w:r>
      <w:r w:rsidR="003103D2" w:rsidRPr="003103D2">
        <w:t xml:space="preserve">established under the </w:t>
      </w:r>
      <w:r w:rsidR="003103D2" w:rsidRPr="00800122">
        <w:rPr>
          <w:i/>
        </w:rPr>
        <w:t>Essential Services Commission Act 2001</w:t>
      </w:r>
      <w:r w:rsidR="003103D2" w:rsidRPr="003103D2">
        <w:t>.</w:t>
      </w:r>
    </w:p>
    <w:p w14:paraId="175EDD90" w14:textId="10311410" w:rsidR="002E76B4" w:rsidRDefault="00D42762" w:rsidP="002E76B4">
      <w:r>
        <w:t>The commission is responsible for</w:t>
      </w:r>
      <w:r w:rsidR="002E76B4">
        <w:t>:</w:t>
      </w:r>
    </w:p>
    <w:p w14:paraId="0E4C81BC" w14:textId="45DB64B5" w:rsidR="00D62106" w:rsidRDefault="002E76B4" w:rsidP="00A92E17">
      <w:pPr>
        <w:pStyle w:val="ListBullet"/>
      </w:pPr>
      <w:r w:rsidRPr="00540470">
        <w:t>issu</w:t>
      </w:r>
      <w:r w:rsidR="00D62106">
        <w:t>ing</w:t>
      </w:r>
      <w:r w:rsidRPr="00540470">
        <w:t xml:space="preserve"> licences </w:t>
      </w:r>
    </w:p>
    <w:p w14:paraId="2D669583" w14:textId="0CB344C1" w:rsidR="002E76B4" w:rsidRPr="00540470" w:rsidRDefault="002E76B4" w:rsidP="00A92E17">
      <w:pPr>
        <w:pStyle w:val="ListBullet"/>
      </w:pPr>
      <w:r w:rsidRPr="00540470">
        <w:t>set</w:t>
      </w:r>
      <w:r w:rsidR="00D62106">
        <w:t>ting</w:t>
      </w:r>
      <w:r w:rsidRPr="00540470">
        <w:t xml:space="preserve"> licence conditions, including licen</w:t>
      </w:r>
      <w:r>
        <w:t>c</w:t>
      </w:r>
      <w:r w:rsidRPr="00540470">
        <w:t>es for energy retailers</w:t>
      </w:r>
    </w:p>
    <w:p w14:paraId="53827EE8" w14:textId="5D9D2A9F" w:rsidR="002E76B4" w:rsidRPr="00540470" w:rsidRDefault="002E76B4" w:rsidP="00A92E17">
      <w:pPr>
        <w:pStyle w:val="ListBullet"/>
      </w:pPr>
      <w:r w:rsidRPr="00540470">
        <w:t>register</w:t>
      </w:r>
      <w:r w:rsidR="00D62106">
        <w:t>ing</w:t>
      </w:r>
      <w:r w:rsidRPr="00540470">
        <w:t xml:space="preserve"> exemption holders </w:t>
      </w:r>
    </w:p>
    <w:p w14:paraId="504B6C96" w14:textId="07A26784" w:rsidR="002E76B4" w:rsidRPr="00540470" w:rsidRDefault="002E76B4" w:rsidP="00A92E17">
      <w:pPr>
        <w:pStyle w:val="ListBullet"/>
      </w:pPr>
      <w:r w:rsidRPr="00540470">
        <w:t>set</w:t>
      </w:r>
      <w:r w:rsidR="00D62106">
        <w:t>ting</w:t>
      </w:r>
      <w:r w:rsidRPr="00540470">
        <w:t xml:space="preserve"> c</w:t>
      </w:r>
      <w:r>
        <w:t>onsumer</w:t>
      </w:r>
      <w:r w:rsidRPr="00540470">
        <w:t xml:space="preserve"> protections and standards of conduct through codes of practice </w:t>
      </w:r>
    </w:p>
    <w:p w14:paraId="78919C51" w14:textId="5B7C58A6" w:rsidR="002E76B4" w:rsidRPr="00540470" w:rsidRDefault="002E76B4" w:rsidP="00A92E17">
      <w:pPr>
        <w:pStyle w:val="ListBullet"/>
      </w:pPr>
      <w:r w:rsidRPr="00540470">
        <w:t>issu</w:t>
      </w:r>
      <w:r w:rsidR="00D62106">
        <w:t>ing</w:t>
      </w:r>
      <w:r w:rsidRPr="00540470">
        <w:t xml:space="preserve"> guidelines and provid</w:t>
      </w:r>
      <w:r w:rsidR="005D0C59">
        <w:t>ing</w:t>
      </w:r>
      <w:r w:rsidRPr="00540470">
        <w:t xml:space="preserve"> education to encourage and assist voluntary compliance</w:t>
      </w:r>
    </w:p>
    <w:p w14:paraId="0526C9DD" w14:textId="5F6832C6" w:rsidR="002E76B4" w:rsidRPr="00540470" w:rsidRDefault="002E76B4" w:rsidP="00A92E17">
      <w:pPr>
        <w:pStyle w:val="ListBullet"/>
      </w:pPr>
      <w:r w:rsidRPr="00540470">
        <w:t>monitor</w:t>
      </w:r>
      <w:r w:rsidR="00D62106">
        <w:t>ing</w:t>
      </w:r>
      <w:r w:rsidRPr="00540470">
        <w:t xml:space="preserve"> compliance with the energy legislation and rules </w:t>
      </w:r>
    </w:p>
    <w:p w14:paraId="0CCD93B3" w14:textId="428393C3" w:rsidR="002E76B4" w:rsidRDefault="002E76B4" w:rsidP="00A92E17">
      <w:pPr>
        <w:pStyle w:val="ListBullet"/>
      </w:pPr>
      <w:r w:rsidRPr="00540470">
        <w:t>tak</w:t>
      </w:r>
      <w:r w:rsidR="00D62106">
        <w:t>ing</w:t>
      </w:r>
      <w:r w:rsidRPr="00540470">
        <w:t xml:space="preserve"> compliance or enforcement action in relation to non-compliance. </w:t>
      </w:r>
    </w:p>
    <w:p w14:paraId="4DA7875B" w14:textId="2E2D47C7" w:rsidR="00B55933" w:rsidRDefault="00713355" w:rsidP="008D1456">
      <w:r>
        <w:t>The commission’s</w:t>
      </w:r>
      <w:r w:rsidR="008D1456">
        <w:t xml:space="preserve"> primary objective is to promote the long-term interests of Victorian consumers</w:t>
      </w:r>
      <w:r w:rsidR="001A770C">
        <w:t xml:space="preserve">. In </w:t>
      </w:r>
      <w:r w:rsidR="00B55933">
        <w:t xml:space="preserve">doing so, we must have regard to </w:t>
      </w:r>
      <w:r w:rsidR="008D1456">
        <w:t>the price, quality and reliability of essential services.</w:t>
      </w:r>
      <w:r w:rsidR="000B6239">
        <w:rPr>
          <w:rStyle w:val="FootnoteReference"/>
        </w:rPr>
        <w:footnoteReference w:id="23"/>
      </w:r>
    </w:p>
    <w:p w14:paraId="5F4CF719" w14:textId="72F3347C" w:rsidR="00B21974" w:rsidRDefault="00B21974" w:rsidP="008D1456">
      <w:r>
        <w:lastRenderedPageBreak/>
        <w:t xml:space="preserve">Our approach to regulating electricity and gas retailers involves a combination of </w:t>
      </w:r>
      <w:r w:rsidR="00077FA9">
        <w:t xml:space="preserve">issuing licences, </w:t>
      </w:r>
      <w:r w:rsidR="00184D29">
        <w:t>imposing licence conditions and</w:t>
      </w:r>
      <w:r w:rsidR="00077FA9">
        <w:t xml:space="preserve"> </w:t>
      </w:r>
      <w:r w:rsidR="0028272A">
        <w:t xml:space="preserve">developing </w:t>
      </w:r>
      <w:r>
        <w:t xml:space="preserve">codes of practice </w:t>
      </w:r>
      <w:r w:rsidR="00184D29">
        <w:t>and</w:t>
      </w:r>
      <w:r>
        <w:t xml:space="preserve"> guidelines.</w:t>
      </w:r>
    </w:p>
    <w:p w14:paraId="0DE95FC2" w14:textId="3CA42500" w:rsidR="00BC6087" w:rsidRDefault="00C82220" w:rsidP="008D1456">
      <w:r>
        <w:t>In addition</w:t>
      </w:r>
      <w:r w:rsidR="001F36AC">
        <w:t xml:space="preserve"> to making rules, we have a range of other </w:t>
      </w:r>
      <w:r w:rsidR="008D1456">
        <w:t>functions, powers and responsibilities which include compliance and enforcement</w:t>
      </w:r>
      <w:r w:rsidR="007B4CEB">
        <w:t xml:space="preserve"> </w:t>
      </w:r>
      <w:r w:rsidR="008D1456">
        <w:t xml:space="preserve">and market performance reporting. </w:t>
      </w:r>
    </w:p>
    <w:p w14:paraId="5E9C8A5E" w14:textId="751D4FBE" w:rsidR="008D1456" w:rsidRDefault="00BC6087" w:rsidP="00BC6087">
      <w:r>
        <w:t>Our</w:t>
      </w:r>
      <w:r w:rsidR="00296B51">
        <w:t xml:space="preserve"> compliance and enforcement tools</w:t>
      </w:r>
      <w:r w:rsidR="006954E8">
        <w:t xml:space="preserve"> includ</w:t>
      </w:r>
      <w:r w:rsidR="00296B51">
        <w:t xml:space="preserve">e </w:t>
      </w:r>
      <w:r w:rsidR="00647C0A">
        <w:t>the power to issue</w:t>
      </w:r>
      <w:r w:rsidR="008D1456">
        <w:t xml:space="preserve"> </w:t>
      </w:r>
      <w:r w:rsidR="00A63629">
        <w:t xml:space="preserve">compliance notices and </w:t>
      </w:r>
      <w:r w:rsidR="008D1456">
        <w:t xml:space="preserve">penalty notices, </w:t>
      </w:r>
      <w:r w:rsidR="00361D73">
        <w:t>acce</w:t>
      </w:r>
      <w:r w:rsidR="00A63629">
        <w:t xml:space="preserve">pt enforceable </w:t>
      </w:r>
      <w:r w:rsidR="009262BA">
        <w:t>undertakings, vary</w:t>
      </w:r>
      <w:r w:rsidR="00BF008E">
        <w:t xml:space="preserve"> licen</w:t>
      </w:r>
      <w:r w:rsidR="00AA6508">
        <w:t>ce</w:t>
      </w:r>
      <w:r w:rsidR="00FD58CA">
        <w:t xml:space="preserve">s, and </w:t>
      </w:r>
      <w:r w:rsidR="00A92014">
        <w:t>institute</w:t>
      </w:r>
      <w:r w:rsidR="00FD58CA">
        <w:t xml:space="preserve"> </w:t>
      </w:r>
      <w:r w:rsidR="004C1449">
        <w:t>civil and criminal proceedings</w:t>
      </w:r>
      <w:r w:rsidR="008D1456">
        <w:t xml:space="preserve">. </w:t>
      </w:r>
    </w:p>
    <w:p w14:paraId="6E67F701" w14:textId="1CB4DAE3" w:rsidR="009D30FF" w:rsidRDefault="00396476" w:rsidP="00BC6087">
      <w:r>
        <w:t xml:space="preserve">Retailers set prices for market retail contracts and for gas standing offers. </w:t>
      </w:r>
      <w:r w:rsidR="00335D57">
        <w:t xml:space="preserve">The </w:t>
      </w:r>
      <w:r>
        <w:t xml:space="preserve">commission sets </w:t>
      </w:r>
      <w:r w:rsidR="00576A36">
        <w:t xml:space="preserve">prices for electricity standing offers </w:t>
      </w:r>
      <w:r w:rsidR="004E20BA">
        <w:t>(</w:t>
      </w:r>
      <w:r w:rsidR="002D289B">
        <w:t>th</w:t>
      </w:r>
      <w:r w:rsidR="00E662DE">
        <w:t xml:space="preserve">rough setting </w:t>
      </w:r>
      <w:r w:rsidR="004E20BA">
        <w:t xml:space="preserve">the Victorian Default Offer) and the minimum feed-in-tariff for solar power </w:t>
      </w:r>
      <w:r w:rsidR="001A496B">
        <w:t>exported to the grid.</w:t>
      </w:r>
      <w:r w:rsidR="002239B3">
        <w:rPr>
          <w:rStyle w:val="FootnoteReference"/>
        </w:rPr>
        <w:footnoteReference w:id="24"/>
      </w:r>
      <w:r w:rsidR="007D55E1">
        <w:t xml:space="preserve"> </w:t>
      </w:r>
    </w:p>
    <w:p w14:paraId="185F94C0" w14:textId="677AAD67" w:rsidR="00627F95" w:rsidRDefault="00C10483" w:rsidP="00FC2E32">
      <w:pPr>
        <w:pStyle w:val="Heading3numbered"/>
      </w:pPr>
      <w:r>
        <w:t xml:space="preserve">Victoria regulates energy retail separately from </w:t>
      </w:r>
      <w:r w:rsidR="0077185A">
        <w:t>other jurisdictions</w:t>
      </w:r>
    </w:p>
    <w:p w14:paraId="7F03F0F7" w14:textId="250597BF" w:rsidR="007E1C60" w:rsidRDefault="008D1456" w:rsidP="008D1456">
      <w:r>
        <w:t>The regulation of electricity and gas retailers</w:t>
      </w:r>
      <w:r w:rsidR="0077185A">
        <w:t xml:space="preserve"> in Victoria</w:t>
      </w:r>
      <w:r>
        <w:t xml:space="preserve"> is primarily governed by the </w:t>
      </w:r>
      <w:r>
        <w:rPr>
          <w:i/>
          <w:iCs/>
        </w:rPr>
        <w:t>Electricity Industry Act 2000</w:t>
      </w:r>
      <w:r>
        <w:t xml:space="preserve"> and the </w:t>
      </w:r>
      <w:r>
        <w:rPr>
          <w:i/>
          <w:iCs/>
        </w:rPr>
        <w:t>Gas Industry Act 2001</w:t>
      </w:r>
      <w:r>
        <w:t>.</w:t>
      </w:r>
    </w:p>
    <w:p w14:paraId="18DDA8AD" w14:textId="6EEC1575" w:rsidR="008159C9" w:rsidRDefault="00952BDB" w:rsidP="008D1456">
      <w:r>
        <w:t xml:space="preserve">Under these </w:t>
      </w:r>
      <w:r w:rsidR="009A0685">
        <w:t>Acts, the objectives of the commission are t</w:t>
      </w:r>
      <w:r w:rsidR="002B4570">
        <w:t>o</w:t>
      </w:r>
      <w:r w:rsidR="00C76866">
        <w:t xml:space="preserve"> promote</w:t>
      </w:r>
      <w:r w:rsidR="002B4570">
        <w:t>:</w:t>
      </w:r>
    </w:p>
    <w:p w14:paraId="69BA201A" w14:textId="77777777" w:rsidR="007E5A82" w:rsidRPr="009D10A6" w:rsidRDefault="008159C9" w:rsidP="00A92E17">
      <w:pPr>
        <w:pStyle w:val="ListBullet"/>
      </w:pPr>
      <w:r w:rsidRPr="009D10A6">
        <w:t xml:space="preserve">a consistent regulatory </w:t>
      </w:r>
      <w:r w:rsidR="007E5A82" w:rsidRPr="009D10A6">
        <w:t>approach between the gas industry and the electricity industry, to the extent that it is efficient and practicable to do so</w:t>
      </w:r>
    </w:p>
    <w:p w14:paraId="2D39CE16" w14:textId="77777777" w:rsidR="00221917" w:rsidRPr="009D10A6" w:rsidRDefault="00221917" w:rsidP="00A92E17">
      <w:pPr>
        <w:pStyle w:val="ListBullet"/>
      </w:pPr>
      <w:r w:rsidRPr="009D10A6">
        <w:t>the development of full retail competition</w:t>
      </w:r>
    </w:p>
    <w:p w14:paraId="334DAEE4" w14:textId="49716116" w:rsidR="00D222AE" w:rsidRPr="009D10A6" w:rsidRDefault="00221917" w:rsidP="00A92E17">
      <w:pPr>
        <w:pStyle w:val="ListBullet"/>
      </w:pPr>
      <w:r w:rsidRPr="009D10A6">
        <w:t>protections for customers</w:t>
      </w:r>
      <w:r w:rsidR="00955399" w:rsidRPr="009D10A6">
        <w:t xml:space="preserve">, including </w:t>
      </w:r>
      <w:r w:rsidR="00C81C9C" w:rsidRPr="009D10A6">
        <w:t>assisting customers who are facing payment difficulties.</w:t>
      </w:r>
      <w:r w:rsidR="008D1456" w:rsidRPr="009D10A6">
        <w:rPr>
          <w:vertAlign w:val="superscript"/>
        </w:rPr>
        <w:footnoteReference w:id="25"/>
      </w:r>
      <w:r w:rsidR="008D1456" w:rsidRPr="009D10A6">
        <w:t xml:space="preserve"> </w:t>
      </w:r>
    </w:p>
    <w:p w14:paraId="36752B3D" w14:textId="2FA915E6" w:rsidR="008D1456" w:rsidRDefault="008D1456" w:rsidP="008D1456">
      <w:r>
        <w:t xml:space="preserve">Under these laws, </w:t>
      </w:r>
      <w:r w:rsidR="00D178A0">
        <w:t xml:space="preserve">if an </w:t>
      </w:r>
      <w:r>
        <w:t xml:space="preserve">electricity </w:t>
      </w:r>
      <w:r w:rsidR="00D178A0">
        <w:t xml:space="preserve">or </w:t>
      </w:r>
      <w:r>
        <w:t xml:space="preserve">gas </w:t>
      </w:r>
      <w:r w:rsidR="00E938C0">
        <w:t xml:space="preserve">retail </w:t>
      </w:r>
      <w:r>
        <w:t>business</w:t>
      </w:r>
      <w:r w:rsidR="00D178A0">
        <w:t xml:space="preserve"> intends to</w:t>
      </w:r>
      <w:r>
        <w:t xml:space="preserve"> operat</w:t>
      </w:r>
      <w:r w:rsidR="00D178A0">
        <w:t>e</w:t>
      </w:r>
      <w:r>
        <w:t xml:space="preserve"> in Victoria</w:t>
      </w:r>
      <w:r w:rsidR="00D178A0">
        <w:t>, it</w:t>
      </w:r>
      <w:r>
        <w:t xml:space="preserve"> must </w:t>
      </w:r>
      <w:r w:rsidR="00D222AE">
        <w:t>obtain</w:t>
      </w:r>
      <w:r>
        <w:t xml:space="preserve"> a licence </w:t>
      </w:r>
      <w:r w:rsidR="00D178A0">
        <w:t>issue</w:t>
      </w:r>
      <w:r w:rsidR="00777568">
        <w:t>d</w:t>
      </w:r>
      <w:r>
        <w:t xml:space="preserve"> by the commission</w:t>
      </w:r>
      <w:r w:rsidR="00D178A0">
        <w:t>. U</w:t>
      </w:r>
      <w:r>
        <w:t xml:space="preserve">nder certain circumstances, </w:t>
      </w:r>
      <w:r w:rsidR="00D178A0">
        <w:t xml:space="preserve">it </w:t>
      </w:r>
      <w:r>
        <w:t xml:space="preserve">may </w:t>
      </w:r>
      <w:r w:rsidR="00D178A0">
        <w:t>be exempt from obtaining a licence</w:t>
      </w:r>
      <w:r>
        <w:t>.</w:t>
      </w:r>
      <w:r w:rsidR="001619FE">
        <w:t xml:space="preserve"> </w:t>
      </w:r>
      <w:r w:rsidR="003C4D64">
        <w:t>These businesses must also comply with applicable codes of practice made by the commission.</w:t>
      </w:r>
    </w:p>
    <w:p w14:paraId="48089D00" w14:textId="2817ADD2" w:rsidR="008D1456" w:rsidRDefault="003E6E98" w:rsidP="008D1456">
      <w:r>
        <w:t xml:space="preserve">Victoria </w:t>
      </w:r>
      <w:r w:rsidR="00376A8B">
        <w:t>is part of the National Energy Market (NEM)</w:t>
      </w:r>
      <w:r w:rsidR="00FB7544">
        <w:t xml:space="preserve">. </w:t>
      </w:r>
      <w:r w:rsidR="00F916E6">
        <w:t>However</w:t>
      </w:r>
      <w:r w:rsidR="000D31F3">
        <w:t xml:space="preserve">, </w:t>
      </w:r>
      <w:r w:rsidR="005872F1">
        <w:t xml:space="preserve">the regulation of energy retail </w:t>
      </w:r>
      <w:r w:rsidR="00DC6269">
        <w:t xml:space="preserve">in Victoria </w:t>
      </w:r>
      <w:r w:rsidR="005872F1">
        <w:t xml:space="preserve">is </w:t>
      </w:r>
      <w:r w:rsidR="00DC6269">
        <w:t>separate from other NEM states</w:t>
      </w:r>
      <w:r w:rsidR="00FB5930">
        <w:t xml:space="preserve"> where the National Energy Customer Framework (NECF) applies.</w:t>
      </w:r>
      <w:r w:rsidR="00107497">
        <w:rPr>
          <w:rStyle w:val="FootnoteReference"/>
        </w:rPr>
        <w:footnoteReference w:id="26"/>
      </w:r>
      <w:r w:rsidR="00464774" w:rsidRPr="00464774">
        <w:t xml:space="preserve"> </w:t>
      </w:r>
      <w:r w:rsidR="00877C48">
        <w:t xml:space="preserve">The NECF has limited application </w:t>
      </w:r>
      <w:r w:rsidR="763A5332">
        <w:t xml:space="preserve">to energy retailing </w:t>
      </w:r>
      <w:r w:rsidR="00877C48">
        <w:t>in Victoria</w:t>
      </w:r>
      <w:r w:rsidR="00EF7455">
        <w:t xml:space="preserve">. </w:t>
      </w:r>
      <w:r w:rsidR="000117C8">
        <w:t>The code</w:t>
      </w:r>
      <w:r w:rsidR="00255908">
        <w:t xml:space="preserve"> is the main instrument governing the sale of energy </w:t>
      </w:r>
      <w:r w:rsidR="00907D57">
        <w:t>by retail</w:t>
      </w:r>
      <w:r w:rsidR="00B24028">
        <w:t xml:space="preserve"> </w:t>
      </w:r>
      <w:r w:rsidR="00EF7455">
        <w:t xml:space="preserve">in Victoria </w:t>
      </w:r>
      <w:r w:rsidR="00B24028">
        <w:t xml:space="preserve">and is </w:t>
      </w:r>
      <w:r w:rsidR="00173EBE">
        <w:t>administered</w:t>
      </w:r>
      <w:r w:rsidR="00D93B6C">
        <w:t xml:space="preserve"> </w:t>
      </w:r>
      <w:r w:rsidR="00B24028">
        <w:t>by the commission.</w:t>
      </w:r>
    </w:p>
    <w:p w14:paraId="3D85E8D9" w14:textId="5C739593" w:rsidR="001D6B67" w:rsidRDefault="009631EA" w:rsidP="001D6B67">
      <w:pPr>
        <w:pStyle w:val="Heading3numbered"/>
      </w:pPr>
      <w:r>
        <w:lastRenderedPageBreak/>
        <w:t>Composition of V</w:t>
      </w:r>
      <w:r w:rsidR="001D6B67">
        <w:t>ictoria’s energy retail sector</w:t>
      </w:r>
    </w:p>
    <w:p w14:paraId="799CF5AA" w14:textId="241AB451" w:rsidR="003463EF" w:rsidRDefault="009E257B" w:rsidP="001D6B67">
      <w:r>
        <w:t xml:space="preserve"> As of December 2024, there were</w:t>
      </w:r>
      <w:r w:rsidR="00B67321">
        <w:t xml:space="preserve"> 22 </w:t>
      </w:r>
      <w:r w:rsidR="299BABA7">
        <w:t xml:space="preserve">active </w:t>
      </w:r>
      <w:r w:rsidR="00B67321">
        <w:t xml:space="preserve">retailers </w:t>
      </w:r>
      <w:r w:rsidR="00067C56">
        <w:t xml:space="preserve">providing electricity to residential customers and </w:t>
      </w:r>
      <w:r w:rsidR="008E0D6B">
        <w:t xml:space="preserve">26 </w:t>
      </w:r>
      <w:r w:rsidR="3093FCEC">
        <w:t>active</w:t>
      </w:r>
      <w:r w:rsidR="008E0D6B">
        <w:t xml:space="preserve"> retailers </w:t>
      </w:r>
      <w:r w:rsidR="007F259B">
        <w:t xml:space="preserve">providing electricity to small business customers. </w:t>
      </w:r>
      <w:r>
        <w:t xml:space="preserve">For gas, there were </w:t>
      </w:r>
      <w:r w:rsidR="00FE2B55">
        <w:t>17</w:t>
      </w:r>
      <w:r w:rsidR="59BD892C">
        <w:t xml:space="preserve"> active</w:t>
      </w:r>
      <w:r w:rsidR="00FE2B55">
        <w:t xml:space="preserve"> retailers </w:t>
      </w:r>
      <w:r w:rsidR="002D148E">
        <w:t xml:space="preserve">providing gas to residential customers </w:t>
      </w:r>
      <w:r w:rsidR="000922F2">
        <w:t xml:space="preserve">and 16 </w:t>
      </w:r>
      <w:r w:rsidR="4E1E0AE5">
        <w:t xml:space="preserve">active </w:t>
      </w:r>
      <w:r w:rsidR="000922F2">
        <w:t>retailers</w:t>
      </w:r>
      <w:r w:rsidR="001E6FCC">
        <w:t xml:space="preserve"> providing gas to small business customers.</w:t>
      </w:r>
    </w:p>
    <w:p w14:paraId="1B4BBC79" w14:textId="7E5B2A1B" w:rsidR="00FC2D8D" w:rsidRDefault="001849ED" w:rsidP="001D6B67">
      <w:r>
        <w:t xml:space="preserve">In Victoria, retailers provide electricity to </w:t>
      </w:r>
      <w:r w:rsidR="00157D52">
        <w:t xml:space="preserve">more </w:t>
      </w:r>
      <w:r w:rsidR="00E73B12">
        <w:t>than 2.77 million residential customers</w:t>
      </w:r>
      <w:r w:rsidR="001F5B67">
        <w:t xml:space="preserve"> and </w:t>
      </w:r>
      <w:r w:rsidR="00B26458">
        <w:t xml:space="preserve">more than 233,000 small businesses. </w:t>
      </w:r>
      <w:r w:rsidR="00EC692A">
        <w:t>More than 2.1</w:t>
      </w:r>
      <w:r w:rsidR="00A53D50">
        <w:t>5</w:t>
      </w:r>
      <w:r w:rsidR="005E672A">
        <w:t xml:space="preserve"> million </w:t>
      </w:r>
      <w:r w:rsidR="00A874AD">
        <w:t xml:space="preserve">Victorian </w:t>
      </w:r>
      <w:r w:rsidR="00AD4CE9">
        <w:t xml:space="preserve">residential customers </w:t>
      </w:r>
      <w:r w:rsidR="00A874AD">
        <w:t>purchase gas from energy retailers, as well as more than 49,000 small businesses.</w:t>
      </w:r>
      <w:r w:rsidR="00A874AD">
        <w:rPr>
          <w:rStyle w:val="FootnoteReference"/>
        </w:rPr>
        <w:footnoteReference w:id="27"/>
      </w:r>
    </w:p>
    <w:p w14:paraId="2EF57CBE" w14:textId="4C61C88C" w:rsidR="007F6400" w:rsidRDefault="001E6FCC" w:rsidP="001D6B67">
      <w:r>
        <w:t>Although the</w:t>
      </w:r>
      <w:r w:rsidR="009E2A38">
        <w:t xml:space="preserve"> Victorian energy retail market is </w:t>
      </w:r>
      <w:r w:rsidR="00440A1B">
        <w:t xml:space="preserve">a </w:t>
      </w:r>
      <w:r w:rsidR="009E2A38">
        <w:t>competitive</w:t>
      </w:r>
      <w:r w:rsidR="00440A1B">
        <w:t xml:space="preserve"> environment</w:t>
      </w:r>
      <w:r w:rsidR="00640D44">
        <w:t xml:space="preserve">, </w:t>
      </w:r>
      <w:r w:rsidR="00990935">
        <w:t xml:space="preserve">both the electricity and gas retail markets are </w:t>
      </w:r>
      <w:r w:rsidR="00046C7A">
        <w:t>dominated b</w:t>
      </w:r>
      <w:r w:rsidR="00440A1B">
        <w:t>y</w:t>
      </w:r>
      <w:r w:rsidR="00F45D38">
        <w:t xml:space="preserve"> </w:t>
      </w:r>
      <w:r w:rsidR="00DA33CE">
        <w:t>a small number of large retailers</w:t>
      </w:r>
      <w:r w:rsidR="00436592">
        <w:t xml:space="preserve">, which </w:t>
      </w:r>
      <w:r w:rsidR="00CB64A8">
        <w:t>each</w:t>
      </w:r>
      <w:r w:rsidR="00436592">
        <w:t xml:space="preserve"> have</w:t>
      </w:r>
      <w:r w:rsidR="00DA33CE">
        <w:t xml:space="preserve"> </w:t>
      </w:r>
      <w:r w:rsidR="00CD29EA">
        <w:t xml:space="preserve">greater than </w:t>
      </w:r>
      <w:r w:rsidR="00687F5B">
        <w:t>five</w:t>
      </w:r>
      <w:r w:rsidR="00CD29EA">
        <w:t xml:space="preserve"> per cent market share</w:t>
      </w:r>
      <w:r w:rsidR="00402EEC">
        <w:t xml:space="preserve">. </w:t>
      </w:r>
    </w:p>
    <w:p w14:paraId="67898DF1" w14:textId="44B23F5D" w:rsidR="003806E7" w:rsidRDefault="00A939B3" w:rsidP="00490F36">
      <w:pPr>
        <w:rPr>
          <w:rStyle w:val="Figure-Table-BoxHeadingChar"/>
          <w:lang w:val="en-US"/>
        </w:rPr>
      </w:pPr>
      <w:r>
        <w:t xml:space="preserve">Of these large retailers, </w:t>
      </w:r>
      <w:r w:rsidR="007F2D5F">
        <w:t xml:space="preserve">three companies </w:t>
      </w:r>
      <w:r w:rsidR="00E864CD">
        <w:t>(</w:t>
      </w:r>
      <w:r w:rsidR="00971383">
        <w:t xml:space="preserve">AGL, Origin Energy and EnergyAustralia) account </w:t>
      </w:r>
      <w:r w:rsidR="009631EA">
        <w:t xml:space="preserve">for the majority of </w:t>
      </w:r>
      <w:r w:rsidR="007F6400">
        <w:t xml:space="preserve">residential and small business </w:t>
      </w:r>
      <w:r w:rsidR="009631EA">
        <w:t>customers.</w:t>
      </w:r>
      <w:r w:rsidR="00E66140">
        <w:t xml:space="preserve"> Medium (</w:t>
      </w:r>
      <w:r w:rsidR="003879AA">
        <w:t xml:space="preserve">between </w:t>
      </w:r>
      <w:r w:rsidR="00687F5B">
        <w:t>one</w:t>
      </w:r>
      <w:r w:rsidR="000F60B0">
        <w:t xml:space="preserve"> to </w:t>
      </w:r>
      <w:r w:rsidR="00687F5B">
        <w:t>five</w:t>
      </w:r>
      <w:r w:rsidR="000F60B0">
        <w:t xml:space="preserve"> per cent market share) and small (</w:t>
      </w:r>
      <w:r w:rsidR="00B67CB3">
        <w:t xml:space="preserve">less than </w:t>
      </w:r>
      <w:r w:rsidR="00687F5B">
        <w:t>one</w:t>
      </w:r>
      <w:r w:rsidR="00B67CB3">
        <w:t xml:space="preserve"> per cent market share) retailers account for the remainder of Victorian customers. </w:t>
      </w:r>
    </w:p>
    <w:p w14:paraId="5F215DA4" w14:textId="4C1D02AE" w:rsidR="00181FCC" w:rsidRPr="00617073" w:rsidRDefault="00181FCC" w:rsidP="00617073">
      <w:pPr>
        <w:pStyle w:val="Figure-Table-BoxSubtitle"/>
      </w:pPr>
      <w:r w:rsidRPr="00617073">
        <w:rPr>
          <w:rStyle w:val="Figure-Table-BoxHeadingChar"/>
        </w:rPr>
        <w:t xml:space="preserve">Figure </w:t>
      </w:r>
      <w:r w:rsidRPr="00617073">
        <w:rPr>
          <w:rStyle w:val="Figure-Table-BoxHeadingChar"/>
        </w:rPr>
        <w:fldChar w:fldCharType="begin"/>
      </w:r>
      <w:r w:rsidRPr="00617073">
        <w:instrText xml:space="preserve"> SEQ Figure \* ARABIC </w:instrText>
      </w:r>
      <w:r w:rsidRPr="00617073">
        <w:rPr>
          <w:rStyle w:val="Figure-Table-BoxHeadingChar"/>
        </w:rPr>
        <w:fldChar w:fldCharType="separate"/>
      </w:r>
      <w:r w:rsidR="009A244B">
        <w:rPr>
          <w:noProof/>
        </w:rPr>
        <w:t>1</w:t>
      </w:r>
      <w:r w:rsidRPr="00617073">
        <w:rPr>
          <w:rStyle w:val="Figure-Table-BoxHeadingChar"/>
        </w:rPr>
        <w:fldChar w:fldCharType="end"/>
      </w:r>
      <w:r w:rsidR="00840D85" w:rsidRPr="00617073">
        <w:rPr>
          <w:rStyle w:val="Figure-Table-BoxHeadingChar"/>
        </w:rPr>
        <w:t>:</w:t>
      </w:r>
      <w:r w:rsidR="00840D85" w:rsidRPr="00617073">
        <w:t xml:space="preserve"> </w:t>
      </w:r>
      <w:r w:rsidRPr="00617073">
        <w:t>Victorian energy retailers by energy sector and market share</w:t>
      </w:r>
    </w:p>
    <w:p w14:paraId="30672305" w14:textId="00723537" w:rsidR="001E6FCC" w:rsidRDefault="00185EA4" w:rsidP="00840D85">
      <w:pPr>
        <w:spacing w:before="0" w:after="0"/>
        <w:jc w:val="center"/>
      </w:pPr>
      <w:r>
        <w:rPr>
          <w:noProof/>
        </w:rPr>
        <w:drawing>
          <wp:inline distT="0" distB="0" distL="0" distR="0" wp14:anchorId="1D648398" wp14:editId="03306C21">
            <wp:extent cx="5348177" cy="2775097"/>
            <wp:effectExtent l="0" t="0" r="5080" b="6350"/>
            <wp:docPr id="2061529670" name="Chart 1">
              <a:extLst xmlns:a="http://schemas.openxmlformats.org/drawingml/2006/main">
                <a:ext uri="{FF2B5EF4-FFF2-40B4-BE49-F238E27FC236}">
                  <a16:creationId xmlns:a16="http://schemas.microsoft.com/office/drawing/2014/main" id="{D315B6C1-A530-E6F5-1460-955C1921D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636BD5" w14:textId="37E23C9F" w:rsidR="00A8447D" w:rsidRDefault="00A8447D" w:rsidP="00A8447D">
      <w:pPr>
        <w:pStyle w:val="Caption"/>
        <w:spacing w:before="0" w:after="0"/>
        <w:ind w:left="1843"/>
      </w:pPr>
      <w:r w:rsidRPr="00840D85">
        <w:rPr>
          <w:b/>
          <w:bCs/>
        </w:rPr>
        <w:t>Source:</w:t>
      </w:r>
      <w:r w:rsidRPr="00EC1DD2">
        <w:t xml:space="preserve"> </w:t>
      </w:r>
      <w:r>
        <w:t>Victorian Energy Market Dashboard</w:t>
      </w:r>
      <w:r w:rsidR="00840D85">
        <w:t>.</w:t>
      </w:r>
    </w:p>
    <w:p w14:paraId="4CEA4C72" w14:textId="6FD4C1CF" w:rsidR="00B52E6C" w:rsidRDefault="54D14565" w:rsidP="009B2FF8">
      <w:pPr>
        <w:pStyle w:val="Heading3numbered"/>
      </w:pPr>
      <w:bookmarkStart w:id="29" w:name="_Toc190957855"/>
      <w:r>
        <w:lastRenderedPageBreak/>
        <w:t xml:space="preserve">Independent dispute resolution </w:t>
      </w:r>
      <w:r w:rsidR="00CA60F8">
        <w:t xml:space="preserve">– </w:t>
      </w:r>
      <w:r>
        <w:t>t</w:t>
      </w:r>
      <w:r w:rsidR="008D1456">
        <w:t xml:space="preserve">he role of </w:t>
      </w:r>
      <w:bookmarkEnd w:id="29"/>
      <w:r w:rsidR="0079665C">
        <w:t xml:space="preserve">the Energy and Water Ombudsman </w:t>
      </w:r>
    </w:p>
    <w:p w14:paraId="466B3348" w14:textId="686E5405" w:rsidR="00747E0F" w:rsidRDefault="003070B1" w:rsidP="003070B1">
      <w:r>
        <w:t xml:space="preserve">The Energy and Water Ombudsman Victoria (EWOV) is an independent dispute resolution service for Victorian energy and water </w:t>
      </w:r>
      <w:r w:rsidR="0050220B">
        <w:t>consumers. It</w:t>
      </w:r>
      <w:r>
        <w:t xml:space="preserve"> helps resolve complaints between </w:t>
      </w:r>
      <w:r w:rsidR="0050220B">
        <w:t xml:space="preserve">customers </w:t>
      </w:r>
      <w:r>
        <w:t>and their energy or water providers.</w:t>
      </w:r>
    </w:p>
    <w:p w14:paraId="5FBB49E8" w14:textId="3AC07C04" w:rsidR="003C1DA2" w:rsidRPr="00785A34" w:rsidRDefault="00026894" w:rsidP="003C1DA2">
      <w:r>
        <w:t>E</w:t>
      </w:r>
      <w:r w:rsidR="003C1DA2">
        <w:t>lectricity and gas distributors and retailers</w:t>
      </w:r>
      <w:r w:rsidR="001875B4">
        <w:t xml:space="preserve"> </w:t>
      </w:r>
      <w:r w:rsidR="00A02429">
        <w:t>have a lega</w:t>
      </w:r>
      <w:r w:rsidR="00BD2CF1">
        <w:t>l requirement to join</w:t>
      </w:r>
      <w:r w:rsidR="00C901ED">
        <w:t xml:space="preserve"> a dispute resolution scheme approved by the commission.</w:t>
      </w:r>
      <w:r w:rsidR="00243E79" w:rsidRPr="003773B3">
        <w:rPr>
          <w:color w:val="000000"/>
          <w:vertAlign w:val="superscript"/>
        </w:rPr>
        <w:footnoteReference w:id="28"/>
      </w:r>
      <w:r w:rsidR="000C2A27">
        <w:t xml:space="preserve"> </w:t>
      </w:r>
      <w:r w:rsidR="00C901ED">
        <w:t xml:space="preserve">The commission has approved EWOV </w:t>
      </w:r>
      <w:r w:rsidR="00715525">
        <w:t>as th</w:t>
      </w:r>
      <w:r w:rsidR="00FD74FC">
        <w:t xml:space="preserve">is dispute resolution scheme. </w:t>
      </w:r>
      <w:r w:rsidR="003C1DA2">
        <w:t>EWOV may also refer matters to the commission if a systemic issue is identified such as a retailer not complying with the E</w:t>
      </w:r>
      <w:r w:rsidR="00D07249">
        <w:t xml:space="preserve">lectricity </w:t>
      </w:r>
      <w:r w:rsidR="003C1DA2">
        <w:t>I</w:t>
      </w:r>
      <w:r w:rsidR="00262369">
        <w:t xml:space="preserve">ndustry </w:t>
      </w:r>
      <w:r w:rsidR="003C1DA2">
        <w:t>A</w:t>
      </w:r>
      <w:r w:rsidR="00262369">
        <w:t>ct</w:t>
      </w:r>
      <w:r w:rsidR="003C1DA2">
        <w:t>, G</w:t>
      </w:r>
      <w:r w:rsidR="00262369">
        <w:t xml:space="preserve">as </w:t>
      </w:r>
      <w:r w:rsidR="003C1DA2">
        <w:t>I</w:t>
      </w:r>
      <w:r w:rsidR="00262369">
        <w:t xml:space="preserve">ndustry </w:t>
      </w:r>
      <w:r w:rsidR="003C1DA2">
        <w:t>A</w:t>
      </w:r>
      <w:r w:rsidR="00262369">
        <w:t>ct</w:t>
      </w:r>
      <w:r w:rsidR="003C1DA2">
        <w:t>, the</w:t>
      </w:r>
      <w:r w:rsidR="00262369">
        <w:t xml:space="preserve"> Essential Services Commission</w:t>
      </w:r>
      <w:r w:rsidR="003C1DA2">
        <w:t xml:space="preserve"> Act or having generally inadequate electricity or gas policies that adversely affect customers.</w:t>
      </w:r>
      <w:r w:rsidR="00FF16AE">
        <w:rPr>
          <w:rStyle w:val="FootnoteReference"/>
        </w:rPr>
        <w:footnoteReference w:id="29"/>
      </w:r>
      <w:r w:rsidR="003C1DA2">
        <w:t xml:space="preserve"> </w:t>
      </w:r>
    </w:p>
    <w:p w14:paraId="5DAE7782" w14:textId="59AB511E" w:rsidR="003A36B0" w:rsidRDefault="007D2727" w:rsidP="003070B1">
      <w:r>
        <w:t xml:space="preserve">EWOV plays a crucial role in </w:t>
      </w:r>
      <w:r w:rsidR="008755EF">
        <w:t xml:space="preserve">the </w:t>
      </w:r>
      <w:r>
        <w:t xml:space="preserve">energy retail </w:t>
      </w:r>
      <w:r w:rsidR="008755EF">
        <w:t xml:space="preserve">space </w:t>
      </w:r>
      <w:r>
        <w:t xml:space="preserve">in Victoria by ensuring that </w:t>
      </w:r>
      <w:r w:rsidR="008755EF">
        <w:t xml:space="preserve">customers have access to dispute resolution </w:t>
      </w:r>
      <w:r>
        <w:t xml:space="preserve">services </w:t>
      </w:r>
      <w:r w:rsidR="008755EF">
        <w:t xml:space="preserve">that </w:t>
      </w:r>
      <w:r>
        <w:t xml:space="preserve">are free, fair and impartial, as outlined </w:t>
      </w:r>
      <w:r w:rsidR="00FA6C64">
        <w:t>in its Charter and Constitution</w:t>
      </w:r>
      <w:r w:rsidR="003070B1">
        <w:t>.</w:t>
      </w:r>
      <w:r w:rsidR="003070B1">
        <w:rPr>
          <w:rStyle w:val="FootnoteReference"/>
        </w:rPr>
        <w:footnoteReference w:id="30"/>
      </w:r>
      <w:r w:rsidR="003070B1">
        <w:t xml:space="preserve"> </w:t>
      </w:r>
    </w:p>
    <w:p w14:paraId="76A2E221" w14:textId="77777777" w:rsidR="00B075E9" w:rsidRDefault="006C647F" w:rsidP="003070B1">
      <w:pPr>
        <w:sectPr w:rsidR="00B075E9" w:rsidSect="005E5FCE">
          <w:footerReference w:type="default" r:id="rId32"/>
          <w:type w:val="continuous"/>
          <w:pgSz w:w="11906" w:h="16838" w:code="9"/>
          <w:pgMar w:top="1134" w:right="1134" w:bottom="1134" w:left="1134" w:header="709" w:footer="692" w:gutter="0"/>
          <w:cols w:space="708"/>
          <w:docGrid w:linePitch="360"/>
        </w:sectPr>
      </w:pPr>
      <w:r>
        <w:t>The</w:t>
      </w:r>
      <w:r w:rsidR="002C4E4D">
        <w:t xml:space="preserve"> </w:t>
      </w:r>
      <w:r w:rsidR="000117C8">
        <w:t>code</w:t>
      </w:r>
      <w:r>
        <w:t xml:space="preserve"> currently</w:t>
      </w:r>
      <w:r w:rsidR="002C4E4D">
        <w:t xml:space="preserve"> requires</w:t>
      </w:r>
      <w:r w:rsidR="003070B1">
        <w:t xml:space="preserve"> retailers </w:t>
      </w:r>
      <w:r w:rsidR="00374A95">
        <w:t>to</w:t>
      </w:r>
      <w:r w:rsidR="003070B1">
        <w:t xml:space="preserve"> provide </w:t>
      </w:r>
      <w:r w:rsidR="003070B1" w:rsidRPr="003773B3">
        <w:t xml:space="preserve">information </w:t>
      </w:r>
      <w:r w:rsidR="009A60A3" w:rsidRPr="003773B3">
        <w:t xml:space="preserve">on their websites </w:t>
      </w:r>
      <w:r w:rsidR="003070B1" w:rsidRPr="003773B3">
        <w:t>about payment assistance and dispute resolution services</w:t>
      </w:r>
      <w:r w:rsidR="00A57028" w:rsidRPr="003773B3">
        <w:t xml:space="preserve"> offered by EWOV</w:t>
      </w:r>
      <w:r w:rsidR="003070B1" w:rsidRPr="003773B3">
        <w:t>.</w:t>
      </w:r>
      <w:r w:rsidR="003070B1" w:rsidRPr="003773B3">
        <w:rPr>
          <w:color w:val="000000"/>
          <w:vertAlign w:val="superscript"/>
        </w:rPr>
        <w:footnoteReference w:id="31"/>
      </w:r>
      <w:r w:rsidR="003070B1" w:rsidRPr="003773B3">
        <w:t xml:space="preserve"> </w:t>
      </w:r>
      <w:r w:rsidR="001957EB">
        <w:t>T</w:t>
      </w:r>
      <w:r w:rsidR="005F7755" w:rsidRPr="003773B3">
        <w:t xml:space="preserve">his </w:t>
      </w:r>
      <w:r w:rsidR="004427E3" w:rsidRPr="003773B3">
        <w:t>ensure</w:t>
      </w:r>
      <w:r w:rsidR="001754D0" w:rsidRPr="003773B3">
        <w:t>s</w:t>
      </w:r>
      <w:r w:rsidR="004427E3" w:rsidRPr="003773B3">
        <w:t xml:space="preserve"> that consumers </w:t>
      </w:r>
      <w:r w:rsidR="008C16C7" w:rsidRPr="003773B3">
        <w:t xml:space="preserve">have </w:t>
      </w:r>
      <w:r w:rsidR="005C7D9E" w:rsidRPr="003773B3">
        <w:t xml:space="preserve">access to support </w:t>
      </w:r>
      <w:r w:rsidR="001754D0" w:rsidRPr="003773B3">
        <w:t>when needed</w:t>
      </w:r>
      <w:r w:rsidR="001957EB">
        <w:t xml:space="preserve"> and </w:t>
      </w:r>
      <w:r w:rsidR="00EE4B9E" w:rsidRPr="003773B3">
        <w:t>promote</w:t>
      </w:r>
      <w:r w:rsidR="005B6ADB" w:rsidRPr="003773B3">
        <w:t>s</w:t>
      </w:r>
      <w:r w:rsidR="00EE4B9E" w:rsidRPr="003773B3">
        <w:t xml:space="preserve"> </w:t>
      </w:r>
      <w:r w:rsidR="001754D0" w:rsidRPr="003773B3">
        <w:t xml:space="preserve">greater </w:t>
      </w:r>
      <w:r w:rsidR="00C265FB">
        <w:t xml:space="preserve">accountability </w:t>
      </w:r>
      <w:r w:rsidR="003A68A2">
        <w:t xml:space="preserve">among </w:t>
      </w:r>
      <w:r w:rsidR="008F0E02">
        <w:t xml:space="preserve">retailers </w:t>
      </w:r>
      <w:r w:rsidR="001754D0">
        <w:t xml:space="preserve">when </w:t>
      </w:r>
      <w:r w:rsidR="0014012E">
        <w:t xml:space="preserve">supplying </w:t>
      </w:r>
      <w:r w:rsidR="00D77711">
        <w:t xml:space="preserve">essential </w:t>
      </w:r>
      <w:r w:rsidR="00AA53E5">
        <w:t xml:space="preserve">energy services to their customers. </w:t>
      </w:r>
    </w:p>
    <w:p w14:paraId="2A8EFF7B" w14:textId="4EA397B2" w:rsidR="003070B1" w:rsidRDefault="003070B1" w:rsidP="003070B1"/>
    <w:p w14:paraId="53839F1C" w14:textId="126CC22A" w:rsidR="00A672AE" w:rsidRDefault="00FB4D1A" w:rsidP="00FB4D1A">
      <w:pPr>
        <w:pStyle w:val="Heading1numbered"/>
      </w:pPr>
      <w:bookmarkStart w:id="30" w:name="_Toc195037407"/>
      <w:bookmarkStart w:id="31" w:name="_Toc195088466"/>
      <w:bookmarkStart w:id="32" w:name="_Toc195088565"/>
      <w:bookmarkStart w:id="33" w:name="_Toc195184814"/>
      <w:bookmarkStart w:id="34" w:name="_Toc195261861"/>
      <w:bookmarkStart w:id="35" w:name="_Toc195617146"/>
      <w:bookmarkStart w:id="36" w:name="_Toc195642831"/>
      <w:bookmarkStart w:id="37" w:name="_Toc195692543"/>
      <w:bookmarkStart w:id="38" w:name="_Toc195701835"/>
      <w:bookmarkStart w:id="39" w:name="_Toc197959423"/>
      <w:bookmarkEnd w:id="12"/>
      <w:bookmarkEnd w:id="13"/>
      <w:bookmarkEnd w:id="14"/>
      <w:bookmarkEnd w:id="30"/>
      <w:bookmarkEnd w:id="31"/>
      <w:bookmarkEnd w:id="32"/>
      <w:bookmarkEnd w:id="33"/>
      <w:bookmarkEnd w:id="34"/>
      <w:bookmarkEnd w:id="35"/>
      <w:bookmarkEnd w:id="36"/>
      <w:bookmarkEnd w:id="37"/>
      <w:bookmarkEnd w:id="38"/>
      <w:r>
        <w:lastRenderedPageBreak/>
        <w:t>The problem</w:t>
      </w:r>
      <w:bookmarkEnd w:id="39"/>
      <w:r>
        <w:t xml:space="preserve"> </w:t>
      </w:r>
    </w:p>
    <w:p w14:paraId="36476FE2" w14:textId="084F9F9E" w:rsidR="005928A1" w:rsidRDefault="001C3323" w:rsidP="0083573F">
      <w:r>
        <w:t>An increasing number of Victorian energy c</w:t>
      </w:r>
      <w:r w:rsidR="009A7ED8">
        <w:t>onsumers are finding it harder to pay for their energy.</w:t>
      </w:r>
      <w:r w:rsidR="008F236C">
        <w:t xml:space="preserve"> </w:t>
      </w:r>
      <w:r w:rsidR="004C4F02">
        <w:t xml:space="preserve">This chapter outlines </w:t>
      </w:r>
      <w:r w:rsidR="00456878">
        <w:t xml:space="preserve">some </w:t>
      </w:r>
      <w:r w:rsidR="004C4F02">
        <w:t>of the key problems that contribute towards Victorian energy customers paying higher prices for their energy or not benefit</w:t>
      </w:r>
      <w:r w:rsidR="008D02DE">
        <w:t>t</w:t>
      </w:r>
      <w:r w:rsidR="004C4F02">
        <w:t xml:space="preserve">ing from existing consumer </w:t>
      </w:r>
      <w:r w:rsidR="00B34442">
        <w:t xml:space="preserve">services and </w:t>
      </w:r>
      <w:r w:rsidR="004C4F02">
        <w:t>protections.</w:t>
      </w:r>
      <w:r w:rsidR="009A150F">
        <w:t xml:space="preserve"> </w:t>
      </w:r>
    </w:p>
    <w:p w14:paraId="574E7CEF" w14:textId="7C946849" w:rsidR="00865ECE" w:rsidRDefault="005928A1" w:rsidP="005928A1">
      <w:pPr>
        <w:pStyle w:val="Heading2numbered"/>
      </w:pPr>
      <w:bookmarkStart w:id="40" w:name="_Toc195037409"/>
      <w:bookmarkStart w:id="41" w:name="_Toc195088468"/>
      <w:bookmarkStart w:id="42" w:name="_Toc195088567"/>
      <w:bookmarkStart w:id="43" w:name="_Toc195184816"/>
      <w:bookmarkStart w:id="44" w:name="_Toc195261863"/>
      <w:bookmarkStart w:id="45" w:name="_Toc195617148"/>
      <w:bookmarkStart w:id="46" w:name="_Toc195642833"/>
      <w:bookmarkStart w:id="47" w:name="_Toc195692545"/>
      <w:bookmarkStart w:id="48" w:name="_Toc195701837"/>
      <w:bookmarkStart w:id="49" w:name="_Toc197959424"/>
      <w:bookmarkEnd w:id="40"/>
      <w:bookmarkEnd w:id="41"/>
      <w:bookmarkEnd w:id="42"/>
      <w:bookmarkEnd w:id="43"/>
      <w:bookmarkEnd w:id="44"/>
      <w:bookmarkEnd w:id="45"/>
      <w:bookmarkEnd w:id="46"/>
      <w:bookmarkEnd w:id="47"/>
      <w:bookmarkEnd w:id="48"/>
      <w:r>
        <w:t>Problems</w:t>
      </w:r>
      <w:bookmarkEnd w:id="49"/>
    </w:p>
    <w:p w14:paraId="791BC1C0" w14:textId="2A04D96B" w:rsidR="00DC2B59" w:rsidRDefault="00E95E93" w:rsidP="002D0804">
      <w:pPr>
        <w:pStyle w:val="Heading3numbered"/>
      </w:pPr>
      <w:bookmarkStart w:id="50" w:name="_Toc190957858"/>
      <w:r>
        <w:t>Most</w:t>
      </w:r>
      <w:r w:rsidR="005928A1">
        <w:t xml:space="preserve"> Victorians are paying more for their energy than they could be</w:t>
      </w:r>
      <w:bookmarkEnd w:id="50"/>
      <w:r w:rsidR="005928A1">
        <w:t xml:space="preserve"> </w:t>
      </w:r>
    </w:p>
    <w:p w14:paraId="32B1E9B4" w14:textId="03ECE837" w:rsidR="00E7211E" w:rsidRPr="00E7211E" w:rsidRDefault="00E7211E" w:rsidP="00FC2E32">
      <w:pPr>
        <w:pStyle w:val="Heading4"/>
      </w:pPr>
      <w:r w:rsidRPr="00E7211E">
        <w:t>Most</w:t>
      </w:r>
      <w:r w:rsidRPr="00FC2E32">
        <w:t xml:space="preserve"> Victorian energy consumers are not on their retailer’s best offer</w:t>
      </w:r>
    </w:p>
    <w:p w14:paraId="70FF080E" w14:textId="3728F634" w:rsidR="000B08FF" w:rsidRDefault="000B08FF" w:rsidP="000B08FF">
      <w:r>
        <w:t>Many Victorian energy customers are paying more for their energy than they need to. In 2023</w:t>
      </w:r>
      <w:r w:rsidR="004A1245">
        <w:rPr>
          <w:rFonts w:cstheme="minorHAnsi"/>
        </w:rPr>
        <w:t>–</w:t>
      </w:r>
      <w:r>
        <w:t xml:space="preserve">2024, </w:t>
      </w:r>
      <w:r w:rsidR="00273402">
        <w:t>an average of</w:t>
      </w:r>
      <w:r>
        <w:t xml:space="preserve"> 69 per cent of residential electricity and 6</w:t>
      </w:r>
      <w:r w:rsidR="00422C2C">
        <w:t>2</w:t>
      </w:r>
      <w:r w:rsidR="007C0CF3">
        <w:t xml:space="preserve"> per cent</w:t>
      </w:r>
      <w:r>
        <w:t xml:space="preserve"> of residential gas customers were not on their energy retailer’s best offer</w:t>
      </w:r>
      <w:r w:rsidR="009E1AF7">
        <w:t xml:space="preserve"> each month</w:t>
      </w:r>
      <w:r>
        <w:t>.</w:t>
      </w:r>
      <w:r>
        <w:rPr>
          <w:color w:val="000000"/>
          <w:sz w:val="18"/>
          <w:szCs w:val="18"/>
          <w:vertAlign w:val="superscript"/>
        </w:rPr>
        <w:footnoteReference w:id="32"/>
      </w:r>
    </w:p>
    <w:p w14:paraId="30EB84A4" w14:textId="0F29B752" w:rsidR="00FB3C37" w:rsidRDefault="000B08FF" w:rsidP="009D2845">
      <w:r>
        <w:t>A retailer must perform best offer checks</w:t>
      </w:r>
      <w:r w:rsidR="00001519">
        <w:t xml:space="preserve"> at least </w:t>
      </w:r>
      <w:r>
        <w:t>once every three months for</w:t>
      </w:r>
      <w:r w:rsidR="009D2845">
        <w:t xml:space="preserve"> electricity and once every four months for gas. If a customer is not already on their retailer’s best offer and savings are calculated at more than $22 per year, the retailer must advise the customer that they could be on a better plan in their bill.</w:t>
      </w:r>
    </w:p>
    <w:p w14:paraId="19E00E02" w14:textId="79B2F8B6" w:rsidR="009D2845" w:rsidRDefault="00E90246" w:rsidP="009D2845">
      <w:r>
        <w:t>We developed g</w:t>
      </w:r>
      <w:r w:rsidR="009D2845">
        <w:t xml:space="preserve">uidelines </w:t>
      </w:r>
      <w:r>
        <w:t>for</w:t>
      </w:r>
      <w:r w:rsidR="009D2845">
        <w:t xml:space="preserve"> retailers on the form and content of best offer messages in 2023.</w:t>
      </w:r>
      <w:r w:rsidR="009D2845">
        <w:rPr>
          <w:rStyle w:val="FootnoteReference"/>
        </w:rPr>
        <w:footnoteReference w:id="33"/>
      </w:r>
    </w:p>
    <w:p w14:paraId="75F20597" w14:textId="4E6A83F4" w:rsidR="00480025" w:rsidRDefault="003313A8" w:rsidP="00FC2E32">
      <w:pPr>
        <w:pStyle w:val="Pull-outHeading"/>
      </w:pPr>
      <w:r>
        <w:t>What is a best offer?</w:t>
      </w:r>
    </w:p>
    <w:p w14:paraId="0472FF1E" w14:textId="5DE76A3B" w:rsidR="007B0757" w:rsidRDefault="00480025" w:rsidP="003313A8">
      <w:pPr>
        <w:pStyle w:val="Pull-out"/>
      </w:pPr>
      <w:r>
        <w:t>The best offe</w:t>
      </w:r>
      <w:r w:rsidR="003355C0">
        <w:t>r (</w:t>
      </w:r>
      <w:r w:rsidR="009E7773">
        <w:t>refer</w:t>
      </w:r>
      <w:r w:rsidR="0053644D">
        <w:t>red</w:t>
      </w:r>
      <w:r w:rsidR="009E7773">
        <w:t xml:space="preserve"> to as ‘deemed</w:t>
      </w:r>
      <w:r w:rsidR="003355C0">
        <w:t xml:space="preserve"> best offer</w:t>
      </w:r>
      <w:r w:rsidR="009E7773">
        <w:t xml:space="preserve">’ in the </w:t>
      </w:r>
      <w:r w:rsidR="00911247">
        <w:t>code</w:t>
      </w:r>
      <w:r w:rsidR="003355C0">
        <w:t>)</w:t>
      </w:r>
      <w:r>
        <w:t xml:space="preserve"> is the lowest cost plan offered by a retailer that is </w:t>
      </w:r>
      <w:r w:rsidR="61495756">
        <w:t>typically</w:t>
      </w:r>
      <w:r>
        <w:t xml:space="preserve"> generally available </w:t>
      </w:r>
      <w:r w:rsidR="003A6703">
        <w:t>and does not account for sign-up credits</w:t>
      </w:r>
      <w:r w:rsidR="007826CC">
        <w:t>,</w:t>
      </w:r>
      <w:r w:rsidR="003A6703">
        <w:t xml:space="preserve"> one-off gifts</w:t>
      </w:r>
      <w:r w:rsidR="006A11D3">
        <w:t xml:space="preserve"> or the value of other benefits (for example, green electricity or bundled products)</w:t>
      </w:r>
      <w:r w:rsidR="003A6703">
        <w:t>.</w:t>
      </w:r>
      <w:r w:rsidR="00970E67">
        <w:rPr>
          <w:rStyle w:val="FootnoteReference"/>
        </w:rPr>
        <w:footnoteReference w:id="34"/>
      </w:r>
      <w:r w:rsidR="00970E67">
        <w:t xml:space="preserve"> </w:t>
      </w:r>
    </w:p>
    <w:p w14:paraId="03431B9E" w14:textId="11E34AF4" w:rsidR="00173938" w:rsidRDefault="00173938" w:rsidP="003313A8">
      <w:pPr>
        <w:pStyle w:val="Pull-out"/>
      </w:pPr>
      <w:r w:rsidRPr="00173938">
        <w:t>Retailers must tell customers on the front page of their bill whether they</w:t>
      </w:r>
      <w:r w:rsidR="00970E67">
        <w:t xml:space="preserve"> a</w:t>
      </w:r>
      <w:r w:rsidRPr="00173938">
        <w:t xml:space="preserve">re on the </w:t>
      </w:r>
      <w:r w:rsidR="00307C89">
        <w:t>best offer</w:t>
      </w:r>
      <w:r w:rsidRPr="00173938">
        <w:t xml:space="preserve"> and how much they could save by switching</w:t>
      </w:r>
      <w:r w:rsidR="00970E67">
        <w:t>.</w:t>
      </w:r>
    </w:p>
    <w:p w14:paraId="55EA699C" w14:textId="5EC3948F" w:rsidR="007E35B8" w:rsidRDefault="007E35B8" w:rsidP="003313A8">
      <w:pPr>
        <w:pStyle w:val="Pull-out"/>
      </w:pPr>
      <w:r w:rsidRPr="007E35B8">
        <w:t>Retailers do</w:t>
      </w:r>
      <w:r w:rsidR="00C051E0">
        <w:t xml:space="preserve"> not</w:t>
      </w:r>
      <w:r w:rsidRPr="007E35B8">
        <w:t xml:space="preserve"> </w:t>
      </w:r>
      <w:r w:rsidR="00F01BE7">
        <w:t xml:space="preserve">have an obligation to </w:t>
      </w:r>
      <w:r w:rsidRPr="007E35B8">
        <w:t xml:space="preserve">use the </w:t>
      </w:r>
      <w:r w:rsidR="00E04B6A">
        <w:t>words</w:t>
      </w:r>
      <w:r w:rsidR="00E04B6A" w:rsidRPr="007E35B8">
        <w:t xml:space="preserve"> </w:t>
      </w:r>
      <w:r w:rsidR="00E40AC1">
        <w:t>‘</w:t>
      </w:r>
      <w:r w:rsidRPr="007E35B8">
        <w:t>best offer</w:t>
      </w:r>
      <w:r w:rsidR="00E40AC1">
        <w:t>’</w:t>
      </w:r>
      <w:r w:rsidRPr="007E35B8">
        <w:t xml:space="preserve"> on bills, instead they </w:t>
      </w:r>
      <w:r w:rsidR="00864C69">
        <w:t xml:space="preserve">must </w:t>
      </w:r>
      <w:r w:rsidRPr="007E35B8">
        <w:t xml:space="preserve">refer to this in a box that says </w:t>
      </w:r>
      <w:r w:rsidR="005C3B8B">
        <w:t>‘</w:t>
      </w:r>
      <w:r w:rsidRPr="007E35B8">
        <w:t>could you save money on another plan?’</w:t>
      </w:r>
      <w:r w:rsidR="005C3B8B">
        <w:t>.</w:t>
      </w:r>
    </w:p>
    <w:p w14:paraId="211A66D1" w14:textId="46C8015D" w:rsidR="00480025" w:rsidRDefault="00970E67" w:rsidP="00FC2E32">
      <w:pPr>
        <w:pStyle w:val="Pull-out"/>
      </w:pPr>
      <w:r w:rsidRPr="00970E67">
        <w:lastRenderedPageBreak/>
        <w:t>Retailers determine the best offer by reviewing a customer’s past electricity or gas usage. The retailer then compares what the customer pays on their current offer with their best offer.</w:t>
      </w:r>
    </w:p>
    <w:p w14:paraId="46608FCD" w14:textId="675666FC" w:rsidR="00480025" w:rsidRDefault="00120583" w:rsidP="009D2845">
      <w:r>
        <w:t xml:space="preserve">While </w:t>
      </w:r>
      <w:r w:rsidR="00267DDC">
        <w:t xml:space="preserve">best offer messages </w:t>
      </w:r>
      <w:r w:rsidR="00A73716">
        <w:t xml:space="preserve">aim </w:t>
      </w:r>
      <w:r w:rsidR="005C3B8B">
        <w:t xml:space="preserve">to encourage customers to switch to cheaper plans, </w:t>
      </w:r>
      <w:r w:rsidR="0081407F">
        <w:t xml:space="preserve">there are several </w:t>
      </w:r>
      <w:r w:rsidR="00786532">
        <w:t xml:space="preserve">reasons why </w:t>
      </w:r>
      <w:r w:rsidR="00C35E86">
        <w:t>most</w:t>
      </w:r>
      <w:r w:rsidR="00786532">
        <w:t xml:space="preserve"> </w:t>
      </w:r>
      <w:r w:rsidR="009E7773" w:rsidRPr="009E7773">
        <w:t xml:space="preserve">customers </w:t>
      </w:r>
      <w:r w:rsidR="00786532">
        <w:t xml:space="preserve">are not </w:t>
      </w:r>
      <w:r w:rsidR="00184BD1">
        <w:t>on their retailer’s best offer.</w:t>
      </w:r>
      <w:r w:rsidR="00184BD1">
        <w:rPr>
          <w:rStyle w:val="FootnoteReference"/>
        </w:rPr>
        <w:footnoteReference w:id="35"/>
      </w:r>
    </w:p>
    <w:p w14:paraId="6A1FDB80" w14:textId="77777777" w:rsidR="001D3440" w:rsidRDefault="001E2B51" w:rsidP="009D2845">
      <w:r>
        <w:t xml:space="preserve">Retailer pricing strategies </w:t>
      </w:r>
      <w:r w:rsidR="00035789">
        <w:t xml:space="preserve">may </w:t>
      </w:r>
      <w:r w:rsidR="00896C86">
        <w:t xml:space="preserve">explain </w:t>
      </w:r>
      <w:r w:rsidR="00EC04A3">
        <w:t xml:space="preserve">why a proportion of consumers are </w:t>
      </w:r>
      <w:r w:rsidR="00610593">
        <w:t xml:space="preserve">not on their retailer’s best offer. For example, </w:t>
      </w:r>
      <w:r w:rsidR="001D3440">
        <w:t>these strategies may include:</w:t>
      </w:r>
    </w:p>
    <w:p w14:paraId="47DDC8F3" w14:textId="02F2AA92" w:rsidR="001D3440" w:rsidRDefault="001D3440" w:rsidP="00A92E17">
      <w:pPr>
        <w:pStyle w:val="ListBullet"/>
      </w:pPr>
      <w:r w:rsidRPr="001D3440">
        <w:t>frequent introduction of new offer</w:t>
      </w:r>
      <w:r w:rsidR="00446994">
        <w:t>s</w:t>
      </w:r>
      <w:r w:rsidR="760CCF2B">
        <w:t xml:space="preserve"> to attract new customers</w:t>
      </w:r>
    </w:p>
    <w:p w14:paraId="650AC6C0" w14:textId="5CE26A7C" w:rsidR="00446994" w:rsidRDefault="760CCF2B" w:rsidP="00A92E17">
      <w:pPr>
        <w:pStyle w:val="ListBullet"/>
      </w:pPr>
      <w:r>
        <w:t xml:space="preserve">existing </w:t>
      </w:r>
      <w:r w:rsidR="001D3440">
        <w:t>contracts</w:t>
      </w:r>
      <w:r w:rsidR="001D3440" w:rsidRPr="001D3440">
        <w:t xml:space="preserve"> rolling </w:t>
      </w:r>
      <w:r w:rsidR="00211C5B">
        <w:t>onto higher priced offers</w:t>
      </w:r>
      <w:r w:rsidR="001D3440" w:rsidRPr="001D3440">
        <w:t xml:space="preserve"> after expiration</w:t>
      </w:r>
    </w:p>
    <w:p w14:paraId="42CBCDA8" w14:textId="77777777" w:rsidR="00D969B8" w:rsidRDefault="00446994" w:rsidP="00A92E17">
      <w:pPr>
        <w:pStyle w:val="ListBullet"/>
      </w:pPr>
      <w:r>
        <w:t xml:space="preserve">offers </w:t>
      </w:r>
      <w:r w:rsidR="00CD6B9C">
        <w:t>that are only available for a short period</w:t>
      </w:r>
    </w:p>
    <w:p w14:paraId="43F17254" w14:textId="177FE05A" w:rsidR="00C1604B" w:rsidRDefault="001F291F" w:rsidP="00A92E17">
      <w:pPr>
        <w:pStyle w:val="ListBullet"/>
      </w:pPr>
      <w:r>
        <w:t>naming new plans with lower prices with the same name as old plans.</w:t>
      </w:r>
      <w:r w:rsidR="00867523">
        <w:rPr>
          <w:rStyle w:val="FootnoteReference"/>
        </w:rPr>
        <w:footnoteReference w:id="36"/>
      </w:r>
    </w:p>
    <w:p w14:paraId="633F61EE" w14:textId="7A74B1D3" w:rsidR="00E608DF" w:rsidRDefault="00F36FC8" w:rsidP="009D2845">
      <w:r>
        <w:t xml:space="preserve">There are also </w:t>
      </w:r>
      <w:r w:rsidR="00BA4F44">
        <w:t xml:space="preserve">multiple reasons why consumers </w:t>
      </w:r>
      <w:r w:rsidR="006E0BAB">
        <w:t xml:space="preserve">may </w:t>
      </w:r>
      <w:r w:rsidR="00743E3E">
        <w:t>not switch to the best offer:</w:t>
      </w:r>
    </w:p>
    <w:p w14:paraId="5F197CF8" w14:textId="59B0657E" w:rsidR="00743E3E" w:rsidRDefault="006B6FFC" w:rsidP="00A92E17">
      <w:pPr>
        <w:pStyle w:val="ListBullet"/>
      </w:pPr>
      <w:r>
        <w:t xml:space="preserve">Some consumers </w:t>
      </w:r>
      <w:r w:rsidR="00BC6484">
        <w:t>do not</w:t>
      </w:r>
      <w:r>
        <w:t xml:space="preserve"> look at their bill</w:t>
      </w:r>
      <w:r w:rsidR="00BC6484">
        <w:t xml:space="preserve"> and do not see the best offer message.</w:t>
      </w:r>
    </w:p>
    <w:p w14:paraId="08B407F2" w14:textId="1FCE992A" w:rsidR="00BC6484" w:rsidRDefault="00BC6484" w:rsidP="00A92E17">
      <w:pPr>
        <w:pStyle w:val="ListBullet"/>
      </w:pPr>
      <w:r>
        <w:t xml:space="preserve">Bill information can be </w:t>
      </w:r>
      <w:r w:rsidR="006A4B55">
        <w:t>complex,</w:t>
      </w:r>
      <w:r>
        <w:t xml:space="preserve"> and </w:t>
      </w:r>
      <w:r w:rsidR="00BD3805">
        <w:t>some consumers have difficulty understanding the actions required to switch.</w:t>
      </w:r>
    </w:p>
    <w:p w14:paraId="3B5F3FDB" w14:textId="77777777" w:rsidR="00037CD4" w:rsidRDefault="00850AC4" w:rsidP="00A92E17">
      <w:pPr>
        <w:pStyle w:val="ListBullet"/>
      </w:pPr>
      <w:r>
        <w:t xml:space="preserve">Some consumers may </w:t>
      </w:r>
      <w:r w:rsidR="00EF7C57">
        <w:t>decide</w:t>
      </w:r>
      <w:r w:rsidR="0031289D">
        <w:t xml:space="preserve"> that the </w:t>
      </w:r>
      <w:r w:rsidR="00037CD4">
        <w:t>savings do not outweigh the actual or perceived costs of switching.</w:t>
      </w:r>
    </w:p>
    <w:p w14:paraId="2BC5E609" w14:textId="16B3445F" w:rsidR="00BD3805" w:rsidRDefault="00037CD4" w:rsidP="00A92E17">
      <w:pPr>
        <w:pStyle w:val="ListBullet"/>
      </w:pPr>
      <w:r>
        <w:t>Energy bills are potentially low on the hierarchy of</w:t>
      </w:r>
      <w:r w:rsidR="007A009B">
        <w:t xml:space="preserve"> some households’</w:t>
      </w:r>
      <w:r>
        <w:t xml:space="preserve"> priorities</w:t>
      </w:r>
      <w:r w:rsidR="00EB41DE">
        <w:t>.</w:t>
      </w:r>
    </w:p>
    <w:p w14:paraId="643A17B7" w14:textId="1A77434E" w:rsidR="00EB41DE" w:rsidRDefault="00EB41DE" w:rsidP="00A92E17">
      <w:pPr>
        <w:pStyle w:val="ListBullet"/>
      </w:pPr>
      <w:r>
        <w:t xml:space="preserve">Consumers may be risk averse </w:t>
      </w:r>
      <w:r w:rsidR="00F200C9">
        <w:t>and reluctant to switch</w:t>
      </w:r>
      <w:r w:rsidR="003567A4">
        <w:t xml:space="preserve">, preferring </w:t>
      </w:r>
      <w:r w:rsidR="00BB61E4">
        <w:t>certainty over lower prices</w:t>
      </w:r>
      <w:r w:rsidR="008867A3">
        <w:t>.</w:t>
      </w:r>
    </w:p>
    <w:p w14:paraId="77C2D14B" w14:textId="4E2A9DC4" w:rsidR="008867A3" w:rsidRDefault="000016E5" w:rsidP="00A92E17">
      <w:pPr>
        <w:pStyle w:val="ListBullet"/>
      </w:pPr>
      <w:r>
        <w:t xml:space="preserve">The </w:t>
      </w:r>
      <w:r w:rsidR="00EB5E09">
        <w:t>determination of the retailer’s best offer does not consider certain types of benefits such as sign-up credits or one-off gifts</w:t>
      </w:r>
      <w:r w:rsidR="00074858">
        <w:t xml:space="preserve"> </w:t>
      </w:r>
      <w:r w:rsidR="00462382">
        <w:t>or other</w:t>
      </w:r>
      <w:r w:rsidR="00137C98">
        <w:t xml:space="preserve"> non-financial aspects such as bundled services</w:t>
      </w:r>
      <w:r w:rsidR="00462382">
        <w:t>,</w:t>
      </w:r>
      <w:r w:rsidR="00074858">
        <w:t xml:space="preserve"> which some consumers may value</w:t>
      </w:r>
      <w:r w:rsidR="00156119">
        <w:t>.</w:t>
      </w:r>
      <w:r w:rsidR="00156119">
        <w:rPr>
          <w:rStyle w:val="FootnoteReference"/>
        </w:rPr>
        <w:footnoteReference w:id="37"/>
      </w:r>
    </w:p>
    <w:p w14:paraId="2CE7D527" w14:textId="60CDEB47" w:rsidR="00532868" w:rsidRDefault="00532868" w:rsidP="00FC2E32">
      <w:pPr>
        <w:pStyle w:val="Heading4"/>
      </w:pPr>
      <w:r>
        <w:t xml:space="preserve">Some </w:t>
      </w:r>
      <w:r w:rsidR="00DE20AA">
        <w:t>consumers</w:t>
      </w:r>
      <w:r>
        <w:t xml:space="preserve"> are paying prices far above </w:t>
      </w:r>
      <w:r w:rsidR="004C52F9">
        <w:t>standing offers</w:t>
      </w:r>
    </w:p>
    <w:p w14:paraId="12E2B524" w14:textId="75D72AF8" w:rsidR="00A3731B" w:rsidRDefault="00A3731B" w:rsidP="00532868">
      <w:r>
        <w:t xml:space="preserve">Standing offers are </w:t>
      </w:r>
      <w:r w:rsidR="00A4504A">
        <w:t xml:space="preserve">contracts </w:t>
      </w:r>
      <w:r w:rsidR="008E51F4">
        <w:t xml:space="preserve">that retailers are </w:t>
      </w:r>
      <w:r w:rsidR="00BA5A9A">
        <w:t xml:space="preserve">legally </w:t>
      </w:r>
      <w:r w:rsidR="008E51F4">
        <w:t>obliged to provide.</w:t>
      </w:r>
      <w:r w:rsidR="00BA5A9A">
        <w:rPr>
          <w:rStyle w:val="FootnoteReference"/>
        </w:rPr>
        <w:footnoteReference w:id="38"/>
      </w:r>
      <w:r w:rsidR="00963930">
        <w:t xml:space="preserve"> They are a </w:t>
      </w:r>
      <w:r w:rsidR="00725C61">
        <w:t xml:space="preserve">baseline </w:t>
      </w:r>
      <w:r w:rsidR="00220836">
        <w:t>contract with standard terms and conditions</w:t>
      </w:r>
      <w:r w:rsidR="007B33E5">
        <w:t xml:space="preserve"> designed to ensure that consumers always have access to electricity or gas, even if they </w:t>
      </w:r>
      <w:r w:rsidR="00582A5F">
        <w:t>have not actively chosen a specific market offer.</w:t>
      </w:r>
    </w:p>
    <w:p w14:paraId="4CA338A8" w14:textId="77550AC7" w:rsidR="008E7D1C" w:rsidRDefault="00582A5F" w:rsidP="00532868">
      <w:r>
        <w:lastRenderedPageBreak/>
        <w:t xml:space="preserve">In Victoria, </w:t>
      </w:r>
      <w:r w:rsidR="00527890">
        <w:t>electricity retailers must offer the Victorian Default Offer (VDO) as a standing offer.</w:t>
      </w:r>
    </w:p>
    <w:p w14:paraId="13D4E656" w14:textId="77777777" w:rsidR="00527890" w:rsidRDefault="00527890" w:rsidP="000F114C">
      <w:pPr>
        <w:pStyle w:val="Pull-outHeading"/>
      </w:pPr>
      <w:r>
        <w:t>The role of the Victorian Default Offer (VDO) in establishing reasonable prices</w:t>
      </w:r>
    </w:p>
    <w:p w14:paraId="69952D8F" w14:textId="77777777" w:rsidR="003136A8" w:rsidRDefault="00527890" w:rsidP="008A50BD">
      <w:pPr>
        <w:pStyle w:val="Pull-out"/>
      </w:pPr>
      <w:r>
        <w:t>The VDO is designed to be a simple, trusted and reasonably priced electricity option that provides a safeguard for customers who are unwilling or unable to engage with the electricity market.</w:t>
      </w:r>
      <w:r w:rsidR="00214D28">
        <w:rPr>
          <w:rStyle w:val="FootnoteReference"/>
        </w:rPr>
        <w:footnoteReference w:id="39"/>
      </w:r>
      <w:r>
        <w:t xml:space="preserve"> </w:t>
      </w:r>
      <w:r w:rsidR="00D3472B">
        <w:t>The commission is responsible for setting and annually reviewing the Victorian Default Offer.</w:t>
      </w:r>
      <w:r w:rsidR="00A76F5D" w:rsidRPr="000F114C">
        <w:rPr>
          <w:vertAlign w:val="superscript"/>
        </w:rPr>
        <w:footnoteReference w:id="40"/>
      </w:r>
    </w:p>
    <w:p w14:paraId="1B01A942" w14:textId="77777777" w:rsidR="00527890" w:rsidRDefault="00102033" w:rsidP="008A50BD">
      <w:pPr>
        <w:pStyle w:val="Pull-out"/>
      </w:pPr>
      <w:r>
        <w:t>Retailers must offer the VDO to customers who request it</w:t>
      </w:r>
      <w:r w:rsidR="000B41E3">
        <w:t xml:space="preserve"> or if a customer:</w:t>
      </w:r>
      <w:r>
        <w:rPr>
          <w:rStyle w:val="FootnoteReference"/>
        </w:rPr>
        <w:footnoteReference w:id="41"/>
      </w:r>
    </w:p>
    <w:p w14:paraId="29C70871" w14:textId="77777777" w:rsidR="00527890" w:rsidRDefault="00527890" w:rsidP="008A50BD">
      <w:pPr>
        <w:pStyle w:val="Pull-outBullet1"/>
        <w:ind w:left="482"/>
        <w:rPr>
          <w:rFonts w:ascii="Times New Roman" w:eastAsia="Times New Roman" w:hAnsi="Times New Roman" w:cs="Times New Roman"/>
        </w:rPr>
      </w:pPr>
      <w:r>
        <w:t>never signed up for an electricity contract</w:t>
      </w:r>
    </w:p>
    <w:p w14:paraId="539BAB1F" w14:textId="57BF2D3C" w:rsidR="00527890" w:rsidRDefault="00527890" w:rsidP="008A50BD">
      <w:pPr>
        <w:pStyle w:val="Pull-outBullet1"/>
        <w:ind w:left="482"/>
        <w:rPr>
          <w:rFonts w:ascii="Times New Roman" w:eastAsia="Times New Roman" w:hAnsi="Times New Roman" w:cs="Times New Roman"/>
        </w:rPr>
      </w:pPr>
      <w:r>
        <w:t>entered into an electricity contract, cancelled the contract within the cooling</w:t>
      </w:r>
      <w:r w:rsidR="00F72B9F">
        <w:t xml:space="preserve"> </w:t>
      </w:r>
      <w:r>
        <w:t>off period, but continued to use electricity without entering into another contract</w:t>
      </w:r>
    </w:p>
    <w:p w14:paraId="16009676" w14:textId="77777777" w:rsidR="00527890" w:rsidRDefault="00527890" w:rsidP="008A50BD">
      <w:pPr>
        <w:pStyle w:val="Pull-outBullet1"/>
        <w:ind w:left="482"/>
        <w:rPr>
          <w:rFonts w:ascii="Times New Roman" w:eastAsia="Times New Roman" w:hAnsi="Times New Roman" w:cs="Times New Roman"/>
        </w:rPr>
      </w:pPr>
      <w:r>
        <w:t>moved into a new address and used electricity without entering into a contract</w:t>
      </w:r>
    </w:p>
    <w:p w14:paraId="2F98EA4F" w14:textId="77777777" w:rsidR="00527890" w:rsidRDefault="00527890" w:rsidP="008A50BD">
      <w:pPr>
        <w:pStyle w:val="Pull-outBullet1"/>
        <w:ind w:left="482"/>
        <w:rPr>
          <w:rFonts w:ascii="Times New Roman" w:eastAsia="Times New Roman" w:hAnsi="Times New Roman" w:cs="Times New Roman"/>
        </w:rPr>
      </w:pPr>
      <w:r>
        <w:t>specifically asked for a standing offer</w:t>
      </w:r>
    </w:p>
    <w:p w14:paraId="1861B071" w14:textId="77777777" w:rsidR="00527890" w:rsidRDefault="00527890" w:rsidP="008A50BD">
      <w:pPr>
        <w:pStyle w:val="Pull-outBullet1"/>
        <w:ind w:left="482"/>
        <w:rPr>
          <w:rFonts w:ascii="Times New Roman" w:eastAsia="Times New Roman" w:hAnsi="Times New Roman" w:cs="Times New Roman"/>
        </w:rPr>
      </w:pPr>
      <w:r>
        <w:t>moved onto a standing offer after their market offer contract came to an end.</w:t>
      </w:r>
      <w:r w:rsidRPr="00071D5F">
        <w:rPr>
          <w:color w:val="000000"/>
          <w:vertAlign w:val="superscript"/>
        </w:rPr>
        <w:footnoteReference w:id="42"/>
      </w:r>
    </w:p>
    <w:p w14:paraId="76BAAD6C" w14:textId="77777777" w:rsidR="00527890" w:rsidRPr="00262E56" w:rsidRDefault="00527890" w:rsidP="008A50BD">
      <w:pPr>
        <w:pStyle w:val="Pull-out"/>
      </w:pPr>
      <w:r w:rsidRPr="00262E56">
        <w:t>The VDO also works as a price cap for customers of most embedded networks.</w:t>
      </w:r>
      <w:r w:rsidRPr="00E24A33">
        <w:rPr>
          <w:vertAlign w:val="superscript"/>
        </w:rPr>
        <w:footnoteReference w:id="43"/>
      </w:r>
      <w:r w:rsidRPr="00262E56">
        <w:t xml:space="preserve"> Embedded networks are networks where electricity is supplied to a multi-tenanted building or area through a privately owned and managed supplier rather than a licenced </w:t>
      </w:r>
      <w:r w:rsidR="00D50931">
        <w:t>distributo</w:t>
      </w:r>
      <w:r w:rsidRPr="00262E56">
        <w:t xml:space="preserve">r. </w:t>
      </w:r>
      <w:r w:rsidR="00DA4B85">
        <w:t>E</w:t>
      </w:r>
      <w:r w:rsidR="00DA4B85" w:rsidRPr="00DA4B85">
        <w:t xml:space="preserve">mbedded networks tend to buy electricity in bulk and then </w:t>
      </w:r>
      <w:r w:rsidRPr="00262E56">
        <w:t>on-sell the energy to the customers or occupants of the area or building.</w:t>
      </w:r>
      <w:r w:rsidR="00A14C1C">
        <w:rPr>
          <w:rStyle w:val="FootnoteReference"/>
        </w:rPr>
        <w:footnoteReference w:id="44"/>
      </w:r>
    </w:p>
    <w:p w14:paraId="729C0849" w14:textId="77777777" w:rsidR="00527890" w:rsidRPr="00262E56" w:rsidRDefault="00527890" w:rsidP="000F114C">
      <w:pPr>
        <w:pStyle w:val="Pull-out"/>
      </w:pPr>
      <w:r w:rsidRPr="00262E56">
        <w:t xml:space="preserve">Although not a price cap for customers outside of an embedded network, the VDO acts as </w:t>
      </w:r>
      <w:r>
        <w:t xml:space="preserve">a </w:t>
      </w:r>
      <w:r w:rsidRPr="00262E56">
        <w:t>reference price that retailers</w:t>
      </w:r>
      <w:r>
        <w:t xml:space="preserve"> use</w:t>
      </w:r>
      <w:r w:rsidRPr="00262E56">
        <w:t xml:space="preserve"> to inform their pricing for market offers. Retailers must advertise the discount provided by their market offers compared to the VDO, which </w:t>
      </w:r>
      <w:r>
        <w:t>helps</w:t>
      </w:r>
      <w:r w:rsidRPr="00262E56">
        <w:t xml:space="preserve"> customers find the market offer that will give them the best value for money.</w:t>
      </w:r>
    </w:p>
    <w:p w14:paraId="1D46DD19" w14:textId="77777777" w:rsidR="001731C7" w:rsidRDefault="001731C7" w:rsidP="00532868"/>
    <w:p w14:paraId="39C3621B" w14:textId="6EBC2D72" w:rsidR="008213CB" w:rsidRDefault="00A87B74" w:rsidP="00532868">
      <w:r w:rsidRPr="00A87B74">
        <w:lastRenderedPageBreak/>
        <w:t xml:space="preserve">While the VDO is a reasonably priced option for customers who are unwilling or unable to engage with the electricity market, </w:t>
      </w:r>
      <w:r w:rsidR="00B95884">
        <w:t>several</w:t>
      </w:r>
      <w:r w:rsidR="00724A2D" w:rsidRPr="008213CB">
        <w:t xml:space="preserve"> </w:t>
      </w:r>
      <w:r w:rsidR="008213CB" w:rsidRPr="008213CB">
        <w:t>customers are</w:t>
      </w:r>
      <w:r w:rsidR="003241B3">
        <w:t xml:space="preserve"> on energy plans</w:t>
      </w:r>
      <w:r w:rsidR="008213CB" w:rsidRPr="008213CB">
        <w:t xml:space="preserve"> paying prices above the VDO. Our analysis suggests that at least five per cent of all Victorian residential electricity consumers are paying more than the VDO.</w:t>
      </w:r>
      <w:r w:rsidR="008213CB" w:rsidRPr="008213CB">
        <w:rPr>
          <w:vertAlign w:val="superscript"/>
        </w:rPr>
        <w:footnoteReference w:id="45"/>
      </w:r>
    </w:p>
    <w:p w14:paraId="4AC61C68" w14:textId="0193E010" w:rsidR="0079788F" w:rsidRDefault="003C3BA1" w:rsidP="00532868">
      <w:r>
        <w:t xml:space="preserve">In relation to customers </w:t>
      </w:r>
      <w:r w:rsidR="009D239A">
        <w:t>on the VDO,</w:t>
      </w:r>
      <w:r>
        <w:t xml:space="preserve"> </w:t>
      </w:r>
      <w:r w:rsidR="00E10114">
        <w:t>whil</w:t>
      </w:r>
      <w:r w:rsidR="001621B4">
        <w:t xml:space="preserve">e it acts as a safeguard, </w:t>
      </w:r>
      <w:r w:rsidR="006C6E55">
        <w:t>standing offer</w:t>
      </w:r>
      <w:r w:rsidR="004676F7">
        <w:t>s</w:t>
      </w:r>
      <w:r w:rsidR="006C6E55">
        <w:t xml:space="preserve"> </w:t>
      </w:r>
      <w:r w:rsidR="004676F7">
        <w:t>tend</w:t>
      </w:r>
      <w:r w:rsidR="006C6E55">
        <w:t xml:space="preserve"> to be more expensive than market offers.</w:t>
      </w:r>
      <w:r w:rsidR="0079788F" w:rsidRPr="0079788F">
        <w:t xml:space="preserve"> This is because they </w:t>
      </w:r>
      <w:r w:rsidR="0079788F">
        <w:t>do not</w:t>
      </w:r>
      <w:r w:rsidR="0079788F" w:rsidRPr="0079788F">
        <w:t xml:space="preserve"> include discount</w:t>
      </w:r>
      <w:r w:rsidR="00FB4501">
        <w:t>s,</w:t>
      </w:r>
      <w:r w:rsidR="0079788F" w:rsidRPr="0079788F">
        <w:t xml:space="preserve"> special deals </w:t>
      </w:r>
      <w:r w:rsidR="00FB4501">
        <w:t xml:space="preserve">or lower prices </w:t>
      </w:r>
      <w:r w:rsidR="0079788F" w:rsidRPr="0079788F">
        <w:t xml:space="preserve">that retailers offer to attract </w:t>
      </w:r>
      <w:r w:rsidR="00583E87">
        <w:t xml:space="preserve">new </w:t>
      </w:r>
      <w:r w:rsidR="0079788F" w:rsidRPr="0079788F">
        <w:t>customers to their market plans.</w:t>
      </w:r>
      <w:r w:rsidR="0079788F">
        <w:t xml:space="preserve"> C</w:t>
      </w:r>
      <w:r w:rsidR="00532868">
        <w:t>ustomers can</w:t>
      </w:r>
      <w:r w:rsidR="0079788F">
        <w:t xml:space="preserve"> therefore</w:t>
      </w:r>
      <w:r w:rsidR="00532868">
        <w:t xml:space="preserve"> generally </w:t>
      </w:r>
      <w:r w:rsidR="00EE5932">
        <w:t>further</w:t>
      </w:r>
      <w:r w:rsidR="00532868">
        <w:t xml:space="preserve"> save by switching from the VDO to the best market offers</w:t>
      </w:r>
      <w:r w:rsidR="0079788F">
        <w:t>.</w:t>
      </w:r>
    </w:p>
    <w:p w14:paraId="5C0E5B4A" w14:textId="0ADEAAE7" w:rsidR="00680C2A" w:rsidRDefault="005732DD" w:rsidP="00532868">
      <w:r>
        <w:t xml:space="preserve">Analysis by the </w:t>
      </w:r>
      <w:r>
        <w:rPr>
          <w:color w:val="000000"/>
        </w:rPr>
        <w:t>Australian Competition and Consumer Commission (ACCC)</w:t>
      </w:r>
      <w:r w:rsidR="00532868">
        <w:t xml:space="preserve"> also identified that a significant proportion of Victorian residential electricity customers on flat</w:t>
      </w:r>
      <w:r w:rsidR="00CF557B">
        <w:t xml:space="preserve"> </w:t>
      </w:r>
      <w:r w:rsidR="00A2610D">
        <w:t xml:space="preserve">rate </w:t>
      </w:r>
      <w:r w:rsidR="00532868">
        <w:t xml:space="preserve">offers are paying </w:t>
      </w:r>
      <w:r w:rsidR="00157A0B">
        <w:t xml:space="preserve">above </w:t>
      </w:r>
      <w:r w:rsidR="00532868">
        <w:t>the VDO,</w:t>
      </w:r>
      <w:r w:rsidR="00157A0B">
        <w:t xml:space="preserve"> and</w:t>
      </w:r>
      <w:r w:rsidR="00532868">
        <w:t xml:space="preserve"> in some cases significantly above.</w:t>
      </w:r>
      <w:r w:rsidR="00532868">
        <w:rPr>
          <w:color w:val="000000"/>
          <w:sz w:val="18"/>
          <w:szCs w:val="18"/>
          <w:vertAlign w:val="superscript"/>
        </w:rPr>
        <w:footnoteReference w:id="46"/>
      </w:r>
    </w:p>
    <w:p w14:paraId="01C87273" w14:textId="2554699C" w:rsidR="00E608DF" w:rsidRPr="00834D6F" w:rsidRDefault="00E608DF" w:rsidP="00FC2E32">
      <w:pPr>
        <w:pStyle w:val="Heading4"/>
      </w:pPr>
      <w:r w:rsidRPr="00834D6F">
        <w:t>C</w:t>
      </w:r>
      <w:r w:rsidR="00FE3295">
        <w:t>onsumers</w:t>
      </w:r>
      <w:r w:rsidRPr="00834D6F">
        <w:t xml:space="preserve"> could save money by switching from standing offers to the best offer</w:t>
      </w:r>
    </w:p>
    <w:p w14:paraId="300DAFEF" w14:textId="63F133F8" w:rsidR="00DC693C" w:rsidRDefault="00FE3295" w:rsidP="00FE3295">
      <w:r>
        <w:t xml:space="preserve">St. Vincent de Paul’s tariff tracking project’s latest report </w:t>
      </w:r>
      <w:r w:rsidRPr="00A878B5">
        <w:t xml:space="preserve">shows that </w:t>
      </w:r>
      <w:r w:rsidR="00B96B5C">
        <w:t>as of January 2025</w:t>
      </w:r>
      <w:r>
        <w:rPr>
          <w:color w:val="633277"/>
        </w:rPr>
        <w:t xml:space="preserve">, </w:t>
      </w:r>
      <w:r w:rsidR="001F4564">
        <w:t>only one electricity retailer</w:t>
      </w:r>
      <w:r>
        <w:t xml:space="preserve"> had market offers that produce an annual bill that is greater than the VDO (assuming a typical consumption household of 4,800</w:t>
      </w:r>
      <w:r w:rsidR="00323B01">
        <w:t xml:space="preserve"> </w:t>
      </w:r>
      <w:r>
        <w:t>kWh per year).</w:t>
      </w:r>
      <w:r w:rsidR="00DC693C">
        <w:rPr>
          <w:rStyle w:val="FootnoteReference"/>
        </w:rPr>
        <w:footnoteReference w:id="47"/>
      </w:r>
    </w:p>
    <w:p w14:paraId="636747B3" w14:textId="644FE25E" w:rsidR="003847B4" w:rsidRPr="00E45A2E" w:rsidRDefault="003847B4" w:rsidP="00FF0A83">
      <w:pPr>
        <w:pStyle w:val="Figure-Table-BoxSubtitle"/>
        <w:keepNext/>
        <w:keepLines/>
        <w:ind w:left="0"/>
      </w:pPr>
      <w:r w:rsidRPr="00E45A2E">
        <w:rPr>
          <w:rStyle w:val="Figure-Table-BoxHeadingChar"/>
        </w:rPr>
        <w:lastRenderedPageBreak/>
        <w:t xml:space="preserve">Figure </w:t>
      </w:r>
      <w:r w:rsidR="00181FCC" w:rsidRPr="00E45A2E">
        <w:rPr>
          <w:rStyle w:val="Figure-Table-BoxHeadingChar"/>
        </w:rPr>
        <w:t>2</w:t>
      </w:r>
      <w:r w:rsidRPr="00E45A2E">
        <w:rPr>
          <w:rStyle w:val="Figure-Table-BoxHeadingChar"/>
        </w:rPr>
        <w:t>:</w:t>
      </w:r>
      <w:r w:rsidRPr="00E45A2E">
        <w:t xml:space="preserve"> CitiPower network area offers compared to the VDO</w:t>
      </w:r>
    </w:p>
    <w:p w14:paraId="33AAE31C" w14:textId="2A9F7AC8" w:rsidR="000722E2" w:rsidRDefault="0060245F" w:rsidP="00776287">
      <w:pPr>
        <w:keepNext/>
        <w:keepLines/>
        <w:spacing w:before="0" w:after="0"/>
        <w:jc w:val="center"/>
      </w:pPr>
      <w:r>
        <w:rPr>
          <w:noProof/>
        </w:rPr>
        <w:drawing>
          <wp:inline distT="0" distB="0" distL="0" distR="0" wp14:anchorId="2D766376" wp14:editId="11C2EB65">
            <wp:extent cx="4572000" cy="2857500"/>
            <wp:effectExtent l="0" t="0" r="0" b="0"/>
            <wp:docPr id="182362365" name="Chart 1">
              <a:extLst xmlns:a="http://schemas.openxmlformats.org/drawingml/2006/main">
                <a:ext uri="{FF2B5EF4-FFF2-40B4-BE49-F238E27FC236}">
                  <a16:creationId xmlns:a16="http://schemas.microsoft.com/office/drawing/2014/main" id="{EDD05CFF-B39B-E058-17BC-8561FAAEF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368A9A" w14:textId="32E25863" w:rsidR="003847B4" w:rsidRDefault="00C154E2" w:rsidP="00776287">
      <w:pPr>
        <w:pStyle w:val="Source"/>
        <w:keepNext/>
        <w:keepLines/>
        <w:spacing w:before="0" w:after="0"/>
        <w:ind w:left="1276" w:right="1133"/>
        <w:jc w:val="left"/>
      </w:pPr>
      <w:r w:rsidRPr="00840D85">
        <w:rPr>
          <w:b/>
          <w:bCs/>
        </w:rPr>
        <w:t>Source:</w:t>
      </w:r>
      <w:r w:rsidRPr="00447028">
        <w:t xml:space="preserve"> </w:t>
      </w:r>
      <w:r>
        <w:t xml:space="preserve">St Vincent de Paul, </w:t>
      </w:r>
      <w:r w:rsidRPr="00890828">
        <w:t>Victoria Energy Prices January 2025: An update report on the Victorian Tariff-Tracking Project</w:t>
      </w:r>
      <w:r w:rsidR="001C388D">
        <w:t xml:space="preserve">. POT refers to </w:t>
      </w:r>
      <w:r w:rsidR="00612F06">
        <w:t>p</w:t>
      </w:r>
      <w:r w:rsidR="001C388D">
        <w:t>ay on time discounts</w:t>
      </w:r>
      <w:r w:rsidR="00612F06">
        <w:t>.</w:t>
      </w:r>
      <w:r w:rsidR="001C388D">
        <w:t xml:space="preserve"> </w:t>
      </w:r>
    </w:p>
    <w:p w14:paraId="01DB6206" w14:textId="61DB1A23" w:rsidR="00E608DF" w:rsidRDefault="00B22E8F" w:rsidP="00A779BD">
      <w:r>
        <w:t xml:space="preserve">According to </w:t>
      </w:r>
      <w:r w:rsidRPr="00B22E8F">
        <w:t>St. Vincent de Paul</w:t>
      </w:r>
      <w:r>
        <w:t>, o</w:t>
      </w:r>
      <w:r w:rsidR="00E608DF">
        <w:t xml:space="preserve">n average, </w:t>
      </w:r>
      <w:r w:rsidR="004A206D">
        <w:t xml:space="preserve">typical consumption households (4,800 kWh per year) on the VDO can save </w:t>
      </w:r>
      <w:r w:rsidR="00A779BD">
        <w:t>$480</w:t>
      </w:r>
      <w:r w:rsidR="00E608DF">
        <w:t xml:space="preserve"> </w:t>
      </w:r>
      <w:r w:rsidR="00F40A51">
        <w:t xml:space="preserve">– </w:t>
      </w:r>
      <w:r w:rsidR="00E608DF">
        <w:t>$</w:t>
      </w:r>
      <w:r w:rsidR="00A779BD">
        <w:t>655</w:t>
      </w:r>
      <w:r w:rsidR="00E608DF">
        <w:t xml:space="preserve"> per year </w:t>
      </w:r>
      <w:r w:rsidR="00A5507E">
        <w:t>if switching to the best published market offer</w:t>
      </w:r>
      <w:r w:rsidR="00477DD3">
        <w:t>.</w:t>
      </w:r>
      <w:r w:rsidR="00A9240E">
        <w:rPr>
          <w:rStyle w:val="FootnoteReference"/>
        </w:rPr>
        <w:footnoteReference w:id="48"/>
      </w:r>
      <w:r w:rsidR="00E608DF">
        <w:t xml:space="preserve"> This difference between the VDO and the best market offers has been</w:t>
      </w:r>
      <w:r w:rsidR="00834B05">
        <w:t xml:space="preserve"> relatively</w:t>
      </w:r>
      <w:r w:rsidR="00E608DF">
        <w:t xml:space="preserve"> stable in recent years.</w:t>
      </w:r>
      <w:r w:rsidR="00E608DF" w:rsidRPr="00F40A51">
        <w:rPr>
          <w:color w:val="000000"/>
          <w:vertAlign w:val="superscript"/>
        </w:rPr>
        <w:footnoteReference w:id="49"/>
      </w:r>
    </w:p>
    <w:p w14:paraId="0141BB9A" w14:textId="05AE8584" w:rsidR="00776287" w:rsidRPr="00800122" w:rsidRDefault="00EC3091" w:rsidP="00A779BD">
      <w:r w:rsidRPr="00800122">
        <w:t xml:space="preserve">Similarly, our analysis shows </w:t>
      </w:r>
      <w:r w:rsidR="00B6787C" w:rsidRPr="00800122">
        <w:t xml:space="preserve">that </w:t>
      </w:r>
      <w:r w:rsidR="00754324">
        <w:t xml:space="preserve">some </w:t>
      </w:r>
      <w:r w:rsidR="00E3553C" w:rsidRPr="00800122">
        <w:t>customers</w:t>
      </w:r>
      <w:r w:rsidR="00D32F87" w:rsidRPr="00800122">
        <w:t xml:space="preserve"> receiving </w:t>
      </w:r>
      <w:r w:rsidR="005822F8">
        <w:t>tailored assi</w:t>
      </w:r>
      <w:r w:rsidR="00724871">
        <w:t>s</w:t>
      </w:r>
      <w:r w:rsidR="005822F8">
        <w:t>tance</w:t>
      </w:r>
      <w:r w:rsidR="00840CB3" w:rsidRPr="00800122">
        <w:t xml:space="preserve"> on flat</w:t>
      </w:r>
      <w:r w:rsidR="00CF557B">
        <w:t xml:space="preserve"> </w:t>
      </w:r>
      <w:r w:rsidR="00840CB3" w:rsidRPr="00800122">
        <w:t>rate electricity market offers could save up to $730</w:t>
      </w:r>
      <w:r w:rsidR="00404A3D" w:rsidRPr="00800122">
        <w:t xml:space="preserve"> per year if switching to the best</w:t>
      </w:r>
      <w:r w:rsidR="00C90775" w:rsidRPr="00800122">
        <w:t xml:space="preserve"> published</w:t>
      </w:r>
      <w:r w:rsidR="00404A3D" w:rsidRPr="00800122">
        <w:t xml:space="preserve"> market</w:t>
      </w:r>
      <w:r w:rsidR="00C90775" w:rsidRPr="00800122">
        <w:t xml:space="preserve"> offer</w:t>
      </w:r>
      <w:r w:rsidR="00CF2FC3" w:rsidRPr="00800122">
        <w:t xml:space="preserve">. Our findings also show that potential savings generally increase the longer a customer has not </w:t>
      </w:r>
      <w:r w:rsidR="005A5DF8">
        <w:t>changed plans</w:t>
      </w:r>
      <w:r w:rsidR="00CF2FC3" w:rsidRPr="00800122">
        <w:t>.</w:t>
      </w:r>
      <w:r w:rsidR="00D10680" w:rsidRPr="00800122">
        <w:rPr>
          <w:rStyle w:val="FootnoteReference"/>
        </w:rPr>
        <w:footnoteReference w:id="50"/>
      </w:r>
      <w:r w:rsidR="00CF2FC3" w:rsidRPr="00800122">
        <w:t xml:space="preserve"> </w:t>
      </w:r>
    </w:p>
    <w:p w14:paraId="6992C9CB" w14:textId="39BEF8A8" w:rsidR="00BB6C10" w:rsidRPr="00E45A2E" w:rsidRDefault="006659FE" w:rsidP="00776287">
      <w:pPr>
        <w:pStyle w:val="Figure-Table-BoxSubtitle"/>
        <w:keepNext/>
        <w:keepLines/>
        <w:ind w:left="0"/>
      </w:pPr>
      <w:r w:rsidRPr="00E45A2E">
        <w:rPr>
          <w:rStyle w:val="Figure-Table-BoxHeadingChar"/>
        </w:rPr>
        <w:lastRenderedPageBreak/>
        <w:t xml:space="preserve">Figure </w:t>
      </w:r>
      <w:r w:rsidR="00B46B81" w:rsidRPr="00E45A2E">
        <w:rPr>
          <w:rStyle w:val="Figure-Table-BoxHeadingChar"/>
        </w:rPr>
        <w:t>3:</w:t>
      </w:r>
      <w:r w:rsidRPr="00E45A2E">
        <w:t xml:space="preserve"> </w:t>
      </w:r>
      <w:r w:rsidR="004724AD" w:rsidRPr="00E45A2E">
        <w:t>Annual savings for PDS customers switched to their retailer's best offer, by tariff age</w:t>
      </w:r>
    </w:p>
    <w:p w14:paraId="7FC6D7D9" w14:textId="1250E64A" w:rsidR="001A2431" w:rsidRPr="00E1537E" w:rsidRDefault="001A2431" w:rsidP="00776287">
      <w:pPr>
        <w:keepNext/>
        <w:keepLines/>
        <w:spacing w:before="0" w:after="0"/>
        <w:jc w:val="center"/>
        <w:rPr>
          <w:b/>
        </w:rPr>
      </w:pPr>
      <w:r>
        <w:rPr>
          <w:noProof/>
        </w:rPr>
        <w:drawing>
          <wp:inline distT="0" distB="0" distL="0" distR="0" wp14:anchorId="449F4EB1" wp14:editId="190720E2">
            <wp:extent cx="4572000" cy="2400300"/>
            <wp:effectExtent l="0" t="0" r="0" b="0"/>
            <wp:docPr id="1197928694" name="Chart 1">
              <a:extLst xmlns:a="http://schemas.openxmlformats.org/drawingml/2006/main">
                <a:ext uri="{FF2B5EF4-FFF2-40B4-BE49-F238E27FC236}">
                  <a16:creationId xmlns:a16="http://schemas.microsoft.com/office/drawing/2014/main" id="{F8D995DA-70F2-87AD-D7D7-3C322F09D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0568750" w14:textId="1E22A911" w:rsidR="00BB6C10" w:rsidRDefault="000E6F01" w:rsidP="00776287">
      <w:pPr>
        <w:pStyle w:val="Source"/>
        <w:keepNext/>
        <w:keepLines/>
        <w:spacing w:before="0" w:after="0"/>
        <w:ind w:left="1276" w:right="1274"/>
        <w:jc w:val="left"/>
      </w:pPr>
      <w:r w:rsidRPr="00840D85">
        <w:rPr>
          <w:b/>
          <w:bCs/>
        </w:rPr>
        <w:t>Source:</w:t>
      </w:r>
      <w:r w:rsidRPr="00447028">
        <w:t xml:space="preserve"> </w:t>
      </w:r>
      <w:r w:rsidR="00A45AF9">
        <w:t>Commission</w:t>
      </w:r>
      <w:r w:rsidR="00A45AF9" w:rsidRPr="00A45AF9">
        <w:t xml:space="preserve"> analysis of </w:t>
      </w:r>
      <w:r w:rsidR="00711758">
        <w:t>customer</w:t>
      </w:r>
      <w:r w:rsidR="00310F85" w:rsidRPr="00A45AF9">
        <w:t xml:space="preserve"> </w:t>
      </w:r>
      <w:r w:rsidR="00A45AF9" w:rsidRPr="00A45AF9">
        <w:t>billing data</w:t>
      </w:r>
      <w:r w:rsidR="00840D85">
        <w:t>.</w:t>
      </w:r>
      <w:r w:rsidR="006A58BB">
        <w:rPr>
          <w:rStyle w:val="FootnoteReference"/>
        </w:rPr>
        <w:footnoteReference w:id="51"/>
      </w:r>
    </w:p>
    <w:p w14:paraId="04FFCDEE" w14:textId="113A170F" w:rsidR="00E608DF" w:rsidRDefault="00AC2BDD" w:rsidP="00E608DF">
      <w:r>
        <w:t>P</w:t>
      </w:r>
      <w:r w:rsidR="00E608DF">
        <w:t>rices for standing gas offers</w:t>
      </w:r>
      <w:r w:rsidR="00DF161A">
        <w:t xml:space="preserve"> are not regulated like in </w:t>
      </w:r>
      <w:r w:rsidR="00E34BBA">
        <w:t>retail electricity markets</w:t>
      </w:r>
      <w:r w:rsidR="00E608DF">
        <w:t xml:space="preserve">. Retailers are free to set their own gas standing offer prices, which </w:t>
      </w:r>
      <w:r w:rsidR="00815270">
        <w:t>cannot</w:t>
      </w:r>
      <w:r w:rsidR="00E608DF">
        <w:t xml:space="preserve"> be increased in less than six months.</w:t>
      </w:r>
      <w:r w:rsidR="00E608DF" w:rsidRPr="00AC2983">
        <w:rPr>
          <w:color w:val="000000"/>
          <w:vertAlign w:val="superscript"/>
        </w:rPr>
        <w:footnoteReference w:id="52"/>
      </w:r>
      <w:r w:rsidR="00E608DF" w:rsidRPr="00AC2983">
        <w:t xml:space="preserve"> </w:t>
      </w:r>
    </w:p>
    <w:p w14:paraId="648BDB5B" w14:textId="5DA71B0A" w:rsidR="00E608DF" w:rsidRDefault="00AD7AA3" w:rsidP="00E608DF">
      <w:r>
        <w:t xml:space="preserve">A </w:t>
      </w:r>
      <w:r w:rsidR="00567288">
        <w:t>g</w:t>
      </w:r>
      <w:r w:rsidR="00E608DF">
        <w:t xml:space="preserve">as customer </w:t>
      </w:r>
      <w:r w:rsidR="00AD121B">
        <w:t xml:space="preserve">switching </w:t>
      </w:r>
      <w:r w:rsidR="00512A0E">
        <w:t xml:space="preserve">from </w:t>
      </w:r>
      <w:r w:rsidR="007A5C77">
        <w:t xml:space="preserve">a gas standing offer to </w:t>
      </w:r>
      <w:r w:rsidR="00512A0E">
        <w:t xml:space="preserve">the </w:t>
      </w:r>
      <w:r w:rsidR="007A5C77">
        <w:t>best gas market offer</w:t>
      </w:r>
      <w:r w:rsidR="00E608DF">
        <w:t xml:space="preserve"> could</w:t>
      </w:r>
      <w:r>
        <w:t xml:space="preserve"> typically</w:t>
      </w:r>
      <w:r w:rsidR="00E608DF">
        <w:t xml:space="preserve"> save </w:t>
      </w:r>
      <w:r w:rsidR="0019288C">
        <w:t xml:space="preserve">more </w:t>
      </w:r>
      <w:r w:rsidR="00E608DF">
        <w:t xml:space="preserve">than </w:t>
      </w:r>
      <w:r>
        <w:t xml:space="preserve">an </w:t>
      </w:r>
      <w:r w:rsidR="00E608DF">
        <w:t xml:space="preserve">electricity customer switching from </w:t>
      </w:r>
      <w:r w:rsidR="007A5C77">
        <w:t>an electricity</w:t>
      </w:r>
      <w:r w:rsidR="00E608DF">
        <w:t xml:space="preserve"> standing offer </w:t>
      </w:r>
      <w:r w:rsidR="00D03DC9">
        <w:t xml:space="preserve">(the VDO) </w:t>
      </w:r>
      <w:r w:rsidR="00E608DF">
        <w:t xml:space="preserve">to </w:t>
      </w:r>
      <w:r w:rsidR="00F57989">
        <w:t xml:space="preserve">an </w:t>
      </w:r>
      <w:r w:rsidR="003D6FF1">
        <w:t>electricity</w:t>
      </w:r>
      <w:r w:rsidR="00E608DF">
        <w:t xml:space="preserve"> best </w:t>
      </w:r>
      <w:r w:rsidR="00F57989">
        <w:t>offer</w:t>
      </w:r>
      <w:r w:rsidR="00E608DF">
        <w:t xml:space="preserve">. </w:t>
      </w:r>
      <w:r w:rsidR="00F033CB">
        <w:t xml:space="preserve">A house consuming gas at typical levels </w:t>
      </w:r>
      <w:r w:rsidR="00E608DF">
        <w:t>(63,000</w:t>
      </w:r>
      <w:r w:rsidR="00323B01">
        <w:t xml:space="preserve"> </w:t>
      </w:r>
      <w:r w:rsidR="00E608DF">
        <w:t>MJ</w:t>
      </w:r>
      <w:r w:rsidR="00F033CB">
        <w:t xml:space="preserve"> per year</w:t>
      </w:r>
      <w:r w:rsidR="00E608DF">
        <w:t>) c</w:t>
      </w:r>
      <w:r w:rsidR="00F033CB">
        <w:t>ould</w:t>
      </w:r>
      <w:r w:rsidR="00E608DF">
        <w:t xml:space="preserve"> save $1,635</w:t>
      </w:r>
      <w:r w:rsidR="00BD7D05">
        <w:t>–</w:t>
      </w:r>
      <w:r w:rsidR="00E608DF">
        <w:t xml:space="preserve">$1,890 </w:t>
      </w:r>
      <w:r w:rsidR="00F033CB">
        <w:t>annual</w:t>
      </w:r>
      <w:r w:rsidR="004B7858">
        <w:t>l</w:t>
      </w:r>
      <w:r w:rsidR="00F033CB">
        <w:t>y</w:t>
      </w:r>
      <w:r w:rsidR="00E608DF">
        <w:t xml:space="preserve"> if switching from standing offers to the best market offers.</w:t>
      </w:r>
      <w:r w:rsidR="00CE15BA">
        <w:rPr>
          <w:rStyle w:val="FootnoteReference"/>
        </w:rPr>
        <w:footnoteReference w:id="53"/>
      </w:r>
    </w:p>
    <w:p w14:paraId="646B1F3A" w14:textId="4DB3365F" w:rsidR="00E608DF" w:rsidRDefault="00E608DF" w:rsidP="00E608DF">
      <w:r>
        <w:t xml:space="preserve">As with electricity, gas market offers are generally priced below gas standing offers. For example, </w:t>
      </w:r>
      <w:r w:rsidR="00040F6F" w:rsidRPr="00043157">
        <w:t xml:space="preserve">Figure </w:t>
      </w:r>
      <w:r w:rsidR="0051538F" w:rsidRPr="00043157">
        <w:t>4</w:t>
      </w:r>
      <w:r w:rsidR="00040F6F" w:rsidRPr="00043157">
        <w:t xml:space="preserve"> shows</w:t>
      </w:r>
      <w:r w:rsidR="00040F6F">
        <w:t xml:space="preserve"> that </w:t>
      </w:r>
      <w:r>
        <w:t xml:space="preserve">in the Multinet 1 gas zone, </w:t>
      </w:r>
      <w:r w:rsidR="00FB4984">
        <w:t>typical</w:t>
      </w:r>
      <w:r>
        <w:t xml:space="preserve"> consumption households on the worst standing offer can save approximately $1,750 per year if switching to the best published market offer.</w:t>
      </w:r>
      <w:r>
        <w:rPr>
          <w:color w:val="000000"/>
          <w:sz w:val="18"/>
          <w:szCs w:val="18"/>
          <w:vertAlign w:val="superscript"/>
        </w:rPr>
        <w:footnoteReference w:id="54"/>
      </w:r>
    </w:p>
    <w:p w14:paraId="7C99E6DB" w14:textId="4D95A59A" w:rsidR="00E608DF" w:rsidRDefault="00E608DF" w:rsidP="00FF0A83">
      <w:pPr>
        <w:pStyle w:val="Figure-Table-BoxSubtitle"/>
        <w:keepNext/>
        <w:keepLines/>
        <w:ind w:left="0"/>
      </w:pPr>
      <w:r w:rsidRPr="007421D0">
        <w:rPr>
          <w:rStyle w:val="Figure-Table-BoxHeadingChar"/>
        </w:rPr>
        <w:lastRenderedPageBreak/>
        <w:t xml:space="preserve">Figure </w:t>
      </w:r>
      <w:r w:rsidR="00B46B81" w:rsidRPr="007421D0">
        <w:rPr>
          <w:rStyle w:val="Figure-Table-BoxHeadingChar"/>
        </w:rPr>
        <w:t>4</w:t>
      </w:r>
      <w:r w:rsidRPr="007421D0">
        <w:rPr>
          <w:rStyle w:val="Figure-Table-BoxHeadingChar"/>
        </w:rPr>
        <w:t>:</w:t>
      </w:r>
      <w:r>
        <w:t xml:space="preserve"> Multinet 1 gas zone comparison of market offers to standing offers</w:t>
      </w:r>
    </w:p>
    <w:p w14:paraId="067CAA08" w14:textId="31270639" w:rsidR="001B0A63" w:rsidRDefault="001B0A63" w:rsidP="00776287">
      <w:pPr>
        <w:keepNext/>
        <w:keepLines/>
        <w:spacing w:before="0" w:after="0"/>
        <w:jc w:val="center"/>
      </w:pPr>
      <w:r>
        <w:rPr>
          <w:noProof/>
        </w:rPr>
        <w:drawing>
          <wp:inline distT="0" distB="0" distL="0" distR="0" wp14:anchorId="41267F11" wp14:editId="7CE57827">
            <wp:extent cx="4575175" cy="2733675"/>
            <wp:effectExtent l="0" t="0" r="15875" b="9525"/>
            <wp:docPr id="861811405" name="Chart 1">
              <a:extLst xmlns:a="http://schemas.openxmlformats.org/drawingml/2006/main">
                <a:ext uri="{FF2B5EF4-FFF2-40B4-BE49-F238E27FC236}">
                  <a16:creationId xmlns:a16="http://schemas.microsoft.com/office/drawing/2014/main" id="{1910AE5C-EB63-CDDF-A571-9D04C0D4C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95066E" w14:textId="6B4ED3D6" w:rsidR="00890828" w:rsidRPr="009B60FA" w:rsidRDefault="00890828" w:rsidP="00776287">
      <w:pPr>
        <w:pStyle w:val="Source"/>
        <w:keepNext/>
        <w:keepLines/>
        <w:spacing w:before="0" w:after="0"/>
        <w:ind w:left="1276" w:right="1274"/>
        <w:jc w:val="left"/>
      </w:pPr>
      <w:r w:rsidRPr="007421D0">
        <w:rPr>
          <w:b/>
          <w:bCs/>
        </w:rPr>
        <w:t>Source:</w:t>
      </w:r>
      <w:r w:rsidRPr="00447028">
        <w:t xml:space="preserve"> </w:t>
      </w:r>
      <w:r w:rsidR="00C154E2">
        <w:t xml:space="preserve">St Vincent de Paul, </w:t>
      </w:r>
      <w:r w:rsidRPr="00890828">
        <w:t>Victoria Energy Prices January 2025: An update report on the Victorian Tariff-Tracking Project</w:t>
      </w:r>
      <w:r w:rsidR="007421D0">
        <w:t>.</w:t>
      </w:r>
    </w:p>
    <w:p w14:paraId="57035CF5" w14:textId="6DA34B0D" w:rsidR="00601591" w:rsidRDefault="00C43692" w:rsidP="008C13DE">
      <w:pPr>
        <w:pStyle w:val="Heading4"/>
      </w:pPr>
      <w:r>
        <w:t>Customers on older plans are paying more than cus</w:t>
      </w:r>
      <w:r w:rsidR="008310B7">
        <w:t xml:space="preserve">tomers on newer </w:t>
      </w:r>
      <w:r w:rsidR="008C13DE">
        <w:t>p</w:t>
      </w:r>
      <w:r w:rsidR="008310B7">
        <w:t>lans</w:t>
      </w:r>
    </w:p>
    <w:p w14:paraId="2C1C4EAE" w14:textId="17D2C5B1" w:rsidR="00F25BB8" w:rsidRDefault="009D2845" w:rsidP="009D2845">
      <w:r>
        <w:t xml:space="preserve">Analysis from the </w:t>
      </w:r>
      <w:r w:rsidR="002B18A4">
        <w:t>ACCC’s</w:t>
      </w:r>
      <w:r>
        <w:t xml:space="preserve"> Inquiry into the National Electricity Market (NEM) found that customers on newer plans were paying less than those on older plans.</w:t>
      </w:r>
    </w:p>
    <w:p w14:paraId="3311596F" w14:textId="5ABB1104" w:rsidR="0033205B" w:rsidRDefault="009D2845" w:rsidP="009D2845">
      <w:r w:rsidRPr="009D2845">
        <w:t xml:space="preserve">The ACCC’s analysis </w:t>
      </w:r>
      <w:r>
        <w:t xml:space="preserve">emphasised the importance of </w:t>
      </w:r>
      <w:r w:rsidR="00FD75B5">
        <w:t xml:space="preserve">customers </w:t>
      </w:r>
      <w:r>
        <w:t xml:space="preserve">consistently engaging in the energy market to take advantage of </w:t>
      </w:r>
      <w:r w:rsidR="00C87EFC">
        <w:t>cheaper</w:t>
      </w:r>
      <w:r>
        <w:t xml:space="preserve"> offers.</w:t>
      </w:r>
      <w:r w:rsidRPr="008C13DE">
        <w:rPr>
          <w:color w:val="000000"/>
          <w:vertAlign w:val="superscript"/>
        </w:rPr>
        <w:footnoteReference w:id="55"/>
      </w:r>
      <w:r>
        <w:t xml:space="preserve"> It found that across the NEM, customers on flat</w:t>
      </w:r>
      <w:r w:rsidR="00CF557B">
        <w:t xml:space="preserve"> </w:t>
      </w:r>
      <w:r>
        <w:t>rate offers that are two or more years old pay on average 17 per cent more than those on newer offers.</w:t>
      </w:r>
      <w:r>
        <w:rPr>
          <w:rStyle w:val="FootnoteReference"/>
        </w:rPr>
        <w:footnoteReference w:id="56"/>
      </w:r>
      <w:r>
        <w:t xml:space="preserve"> </w:t>
      </w:r>
    </w:p>
    <w:p w14:paraId="438613BB" w14:textId="5588B87E" w:rsidR="009D2845" w:rsidRDefault="009D2845" w:rsidP="009D2845">
      <w:r>
        <w:t>While Victorian consumers pay the lowest average prices compared to other NEM states, Victorian customers on older plans pay loyalty penalties’</w:t>
      </w:r>
      <w:r w:rsidR="00DD6306">
        <w:t xml:space="preserve"> similar to other NEM states</w:t>
      </w:r>
      <w:r>
        <w:t>.</w:t>
      </w:r>
      <w:r w:rsidRPr="00C700B3">
        <w:rPr>
          <w:color w:val="000000"/>
          <w:vertAlign w:val="superscript"/>
        </w:rPr>
        <w:footnoteReference w:id="57"/>
      </w:r>
      <w:r w:rsidRPr="00C700B3">
        <w:t xml:space="preserve"> </w:t>
      </w:r>
      <w:r>
        <w:t xml:space="preserve">This ‘loyalty penalty’ paid by customers who engage less regularly with the market increases with the age of the </w:t>
      </w:r>
      <w:r w:rsidR="00AF153B">
        <w:t>contract</w:t>
      </w:r>
      <w:r>
        <w:t xml:space="preserve">. </w:t>
      </w:r>
    </w:p>
    <w:p w14:paraId="0F8AA831" w14:textId="64E3B22F" w:rsidR="003650E0" w:rsidRPr="00E45A2E" w:rsidRDefault="003650E0" w:rsidP="00FF0A83">
      <w:pPr>
        <w:pStyle w:val="Figure-Table-BoxSubtitle"/>
        <w:keepNext/>
        <w:keepLines/>
        <w:ind w:left="0"/>
      </w:pPr>
      <w:r w:rsidRPr="00E45A2E">
        <w:rPr>
          <w:rStyle w:val="Figure-Table-BoxHeadingChar"/>
        </w:rPr>
        <w:lastRenderedPageBreak/>
        <w:t xml:space="preserve">Figure </w:t>
      </w:r>
      <w:r w:rsidR="00173799" w:rsidRPr="00E45A2E">
        <w:rPr>
          <w:rStyle w:val="Figure-Table-BoxHeadingChar"/>
        </w:rPr>
        <w:t>5</w:t>
      </w:r>
      <w:r w:rsidRPr="00E45A2E">
        <w:rPr>
          <w:rStyle w:val="Figure-Table-BoxHeadingChar"/>
        </w:rPr>
        <w:t>:</w:t>
      </w:r>
      <w:r w:rsidRPr="00E45A2E">
        <w:t xml:space="preserve"> Residential customer weighted</w:t>
      </w:r>
      <w:r w:rsidR="009D65DF" w:rsidRPr="00E45A2E">
        <w:t>-</w:t>
      </w:r>
      <w:r w:rsidRPr="00E45A2E">
        <w:t>average annual prices for newer and older offers by region (2024)</w:t>
      </w:r>
    </w:p>
    <w:p w14:paraId="6D4FFD0A" w14:textId="27A8B374" w:rsidR="00447028" w:rsidRDefault="008F47E0" w:rsidP="00776287">
      <w:pPr>
        <w:keepNext/>
        <w:keepLines/>
        <w:spacing w:before="0" w:after="0"/>
        <w:jc w:val="center"/>
      </w:pPr>
      <w:r>
        <w:rPr>
          <w:iCs/>
          <w:noProof/>
        </w:rPr>
        <w:drawing>
          <wp:inline distT="0" distB="0" distL="0" distR="0" wp14:anchorId="36C58EC0" wp14:editId="54022960">
            <wp:extent cx="4585686" cy="2778016"/>
            <wp:effectExtent l="0" t="0" r="5715" b="3810"/>
            <wp:docPr id="2146055816" name="Chart 1">
              <a:extLst xmlns:a="http://schemas.openxmlformats.org/drawingml/2006/main">
                <a:ext uri="{FF2B5EF4-FFF2-40B4-BE49-F238E27FC236}">
                  <a16:creationId xmlns:a16="http://schemas.microsoft.com/office/drawing/2014/main" id="{C1B38E19-BF4A-0D65-9C26-699F87F3E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F2CAE6C" w14:textId="16647498" w:rsidR="00447028" w:rsidRPr="009B60FA" w:rsidRDefault="00447028" w:rsidP="00776287">
      <w:pPr>
        <w:pStyle w:val="Source"/>
        <w:keepNext/>
        <w:keepLines/>
        <w:spacing w:before="0" w:after="0" w:line="240" w:lineRule="auto"/>
        <w:ind w:left="1276" w:right="1274"/>
        <w:jc w:val="left"/>
      </w:pPr>
      <w:r w:rsidRPr="00A85087">
        <w:rPr>
          <w:b/>
          <w:bCs/>
        </w:rPr>
        <w:t>Source:</w:t>
      </w:r>
      <w:r w:rsidRPr="00447028">
        <w:t xml:space="preserve"> </w:t>
      </w:r>
      <w:r w:rsidR="00C154E2">
        <w:t xml:space="preserve">Australian Competition and Consumer Commission, </w:t>
      </w:r>
      <w:r w:rsidRPr="00447028">
        <w:t>Inquiry into the National Electricity Market: December 2024 Report, Appendix C: Data appendix</w:t>
      </w:r>
      <w:r w:rsidR="00A85087">
        <w:t>.</w:t>
      </w:r>
    </w:p>
    <w:p w14:paraId="542A7CC7" w14:textId="046251BA" w:rsidR="005A2891" w:rsidRDefault="00C1197E" w:rsidP="002A6BD3">
      <w:r>
        <w:t xml:space="preserve">Analysis of Victorian-specific data corroborates the ACCC’s findings. Tariff pricing data </w:t>
      </w:r>
      <w:r w:rsidR="00775BC2">
        <w:t>indicates</w:t>
      </w:r>
      <w:r>
        <w:t xml:space="preserve"> there is a general correlation between the age of a contract and higher median effective prices per kWh.</w:t>
      </w:r>
    </w:p>
    <w:p w14:paraId="5E505623" w14:textId="0E379882" w:rsidR="006163A8" w:rsidRDefault="00171820" w:rsidP="00FF0A83">
      <w:pPr>
        <w:pStyle w:val="Figure-Table-BoxSubtitle"/>
        <w:spacing w:before="0" w:after="0" w:line="360" w:lineRule="auto"/>
        <w:ind w:left="0"/>
      </w:pPr>
      <w:r w:rsidRPr="00E51698">
        <w:rPr>
          <w:rStyle w:val="Figure-Table-BoxHeadingChar"/>
        </w:rPr>
        <w:t xml:space="preserve">Figure </w:t>
      </w:r>
      <w:r w:rsidR="000965FC" w:rsidRPr="00E51698">
        <w:rPr>
          <w:rStyle w:val="Figure-Table-BoxHeadingChar"/>
        </w:rPr>
        <w:t>6</w:t>
      </w:r>
      <w:r w:rsidRPr="00E51698">
        <w:rPr>
          <w:rStyle w:val="Figure-Table-BoxHeadingChar"/>
        </w:rPr>
        <w:t>:</w:t>
      </w:r>
      <w:r w:rsidRPr="00B63201">
        <w:t xml:space="preserve"> </w:t>
      </w:r>
      <w:r w:rsidRPr="000965FC">
        <w:t>Median effective price by tariff age (Q4</w:t>
      </w:r>
      <w:r w:rsidR="003806E7">
        <w:t>:</w:t>
      </w:r>
      <w:r w:rsidRPr="000965FC">
        <w:t xml:space="preserve"> Oct </w:t>
      </w:r>
      <w:r w:rsidR="002040D3">
        <w:rPr>
          <w:rFonts w:cstheme="majorHAnsi"/>
        </w:rPr>
        <w:t>–</w:t>
      </w:r>
      <w:r w:rsidRPr="000965FC">
        <w:t xml:space="preserve"> Dec 2023, residential electricity</w:t>
      </w:r>
      <w:r>
        <w:t xml:space="preserve"> customers on standing and market offers)</w:t>
      </w:r>
    </w:p>
    <w:p w14:paraId="4FB685C4" w14:textId="28160D34" w:rsidR="00E56C8C" w:rsidRPr="006163A8" w:rsidRDefault="00E56C8C" w:rsidP="00370782">
      <w:pPr>
        <w:spacing w:before="0" w:after="0"/>
        <w:jc w:val="center"/>
      </w:pPr>
      <w:r w:rsidRPr="00B63201">
        <w:rPr>
          <w:noProof/>
        </w:rPr>
        <w:drawing>
          <wp:inline distT="0" distB="0" distL="0" distR="0" wp14:anchorId="71053D82" wp14:editId="03BEC645">
            <wp:extent cx="4071067" cy="2393342"/>
            <wp:effectExtent l="0" t="0" r="5715" b="6985"/>
            <wp:docPr id="666865625" name="Chart 1">
              <a:extLst xmlns:a="http://schemas.openxmlformats.org/drawingml/2006/main">
                <a:ext uri="{FF2B5EF4-FFF2-40B4-BE49-F238E27FC236}">
                  <a16:creationId xmlns:a16="http://schemas.microsoft.com/office/drawing/2014/main" id="{5D4F384D-2921-4FA7-8D37-CD002D8DF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ED11A7" w14:textId="05E26821" w:rsidR="4EF9689A" w:rsidRDefault="1E40B3B0" w:rsidP="003806E7">
      <w:pPr>
        <w:pStyle w:val="Caption"/>
        <w:spacing w:before="0" w:after="0" w:line="240" w:lineRule="auto"/>
        <w:ind w:left="1276"/>
      </w:pPr>
      <w:r w:rsidRPr="00CC5392">
        <w:rPr>
          <w:b/>
          <w:bCs/>
        </w:rPr>
        <w:t>Source:</w:t>
      </w:r>
      <w:r>
        <w:t xml:space="preserve"> </w:t>
      </w:r>
      <w:r w:rsidR="005B3302">
        <w:t>Commission</w:t>
      </w:r>
      <w:r w:rsidR="005B3302" w:rsidRPr="00A45AF9">
        <w:t xml:space="preserve"> analysis of </w:t>
      </w:r>
      <w:r w:rsidR="005B3302">
        <w:t>customer</w:t>
      </w:r>
      <w:r w:rsidR="005B3302" w:rsidRPr="00A45AF9">
        <w:t xml:space="preserve"> billing data</w:t>
      </w:r>
      <w:r w:rsidR="00CC5392">
        <w:t>.</w:t>
      </w:r>
      <w:r w:rsidR="00B308A0">
        <w:rPr>
          <w:rStyle w:val="FootnoteReference"/>
        </w:rPr>
        <w:footnoteReference w:id="58"/>
      </w:r>
    </w:p>
    <w:p w14:paraId="7057206B" w14:textId="76AA4BFC" w:rsidR="00F976A6" w:rsidRDefault="00F976A6" w:rsidP="00F976A6">
      <w:r>
        <w:lastRenderedPageBreak/>
        <w:t>However, th</w:t>
      </w:r>
      <w:r w:rsidR="004440BA">
        <w:t xml:space="preserve">e issue of </w:t>
      </w:r>
      <w:r w:rsidR="004C69F8">
        <w:t>Victorian consumers on older plans paying higher prices</w:t>
      </w:r>
      <w:r w:rsidR="00CA5B70">
        <w:t xml:space="preserve"> affects a minority of customers and it is not a widespread practice across retailers. </w:t>
      </w:r>
      <w:r w:rsidR="00DD066E">
        <w:t xml:space="preserve">For instance, our analysis shows that </w:t>
      </w:r>
      <w:r w:rsidR="00217DF2">
        <w:t>three</w:t>
      </w:r>
      <w:r w:rsidR="0039725B">
        <w:t xml:space="preserve"> per</w:t>
      </w:r>
      <w:r w:rsidR="00A5302B">
        <w:t xml:space="preserve"> </w:t>
      </w:r>
      <w:r w:rsidR="0039725B">
        <w:t>cent</w:t>
      </w:r>
      <w:r w:rsidR="004E068C">
        <w:t xml:space="preserve"> of Victorian electricity customers are paying </w:t>
      </w:r>
      <w:r w:rsidR="003A388A">
        <w:t>10</w:t>
      </w:r>
      <w:r w:rsidR="007B7BF0">
        <w:t xml:space="preserve"> per cent</w:t>
      </w:r>
      <w:r w:rsidR="003A388A">
        <w:t xml:space="preserve"> </w:t>
      </w:r>
      <w:r w:rsidR="004E068C">
        <w:t xml:space="preserve">above the VDO, </w:t>
      </w:r>
      <w:r w:rsidR="00C858A3">
        <w:t xml:space="preserve">while </w:t>
      </w:r>
      <w:r w:rsidR="00217DF2">
        <w:t>one</w:t>
      </w:r>
      <w:r w:rsidR="0039725B">
        <w:t xml:space="preserve"> per</w:t>
      </w:r>
      <w:r w:rsidR="009239D9">
        <w:t xml:space="preserve"> </w:t>
      </w:r>
      <w:r w:rsidR="0039725B">
        <w:t>cent</w:t>
      </w:r>
      <w:r w:rsidR="00C858A3">
        <w:t xml:space="preserve"> of customers are paying 25 </w:t>
      </w:r>
      <w:r w:rsidR="007B7BF0">
        <w:t>per cent</w:t>
      </w:r>
      <w:r w:rsidR="00C858A3">
        <w:t xml:space="preserve"> above the </w:t>
      </w:r>
      <w:r w:rsidR="001B1F75">
        <w:t xml:space="preserve">VDO and </w:t>
      </w:r>
      <w:r w:rsidR="00B92F41">
        <w:t>0.1 per cent</w:t>
      </w:r>
      <w:r w:rsidR="001B1F75">
        <w:t xml:space="preserve"> of all electricity customers are paying 50 </w:t>
      </w:r>
      <w:r w:rsidR="007B7BF0">
        <w:t>per cent</w:t>
      </w:r>
      <w:r w:rsidR="001B1F75">
        <w:t xml:space="preserve"> above the VDO.</w:t>
      </w:r>
      <w:r w:rsidR="00B40F2E">
        <w:rPr>
          <w:rStyle w:val="FootnoteReference"/>
        </w:rPr>
        <w:footnoteReference w:id="59"/>
      </w:r>
      <w:r w:rsidR="00B40F2E">
        <w:t xml:space="preserve"> We unders</w:t>
      </w:r>
      <w:r w:rsidR="00E10CED">
        <w:t xml:space="preserve">tand that most retailers do not have any customers paying 10 </w:t>
      </w:r>
      <w:r w:rsidR="007B7BF0">
        <w:t>per cent</w:t>
      </w:r>
      <w:r w:rsidR="00E10CED">
        <w:t xml:space="preserve"> or more abo</w:t>
      </w:r>
      <w:r w:rsidR="009239D9">
        <w:t>v</w:t>
      </w:r>
      <w:r w:rsidR="00E10CED">
        <w:t>e the VDO.</w:t>
      </w:r>
    </w:p>
    <w:p w14:paraId="38E4D64A" w14:textId="31BB0FBA" w:rsidR="006F29EA" w:rsidRPr="006F29EA" w:rsidRDefault="0007214E" w:rsidP="006F29EA">
      <w:pPr>
        <w:pStyle w:val="Heading4"/>
      </w:pPr>
      <w:r>
        <w:t>Customers face t</w:t>
      </w:r>
      <w:r w:rsidR="00171820">
        <w:t>ransaction costs and barriers to switching to the best offer</w:t>
      </w:r>
    </w:p>
    <w:p w14:paraId="7FFDF038" w14:textId="70679594" w:rsidR="007C75D1" w:rsidRDefault="00623263" w:rsidP="007C75D1">
      <w:r>
        <w:t xml:space="preserve">The </w:t>
      </w:r>
      <w:r w:rsidR="00911247">
        <w:t>code</w:t>
      </w:r>
      <w:r>
        <w:t xml:space="preserve"> requires</w:t>
      </w:r>
      <w:r w:rsidR="0090183F">
        <w:t xml:space="preserve"> </w:t>
      </w:r>
      <w:r w:rsidR="007C75D1">
        <w:t xml:space="preserve">energy retailers in Victoria to indicate on energy bills if a customer could </w:t>
      </w:r>
      <w:r w:rsidR="008D5C5B">
        <w:t xml:space="preserve">save by </w:t>
      </w:r>
      <w:r w:rsidR="007C75D1">
        <w:t>switch</w:t>
      </w:r>
      <w:r w:rsidR="008D5C5B">
        <w:t>ing</w:t>
      </w:r>
      <w:r w:rsidR="007C75D1">
        <w:t xml:space="preserve"> </w:t>
      </w:r>
      <w:r w:rsidR="008D5C5B">
        <w:t>to</w:t>
      </w:r>
      <w:r w:rsidR="007C75D1">
        <w:t xml:space="preserve"> the retailer’s best offer.</w:t>
      </w:r>
      <w:r w:rsidR="007C75D1" w:rsidRPr="007934D8">
        <w:rPr>
          <w:color w:val="000000"/>
          <w:vertAlign w:val="superscript"/>
        </w:rPr>
        <w:footnoteReference w:id="60"/>
      </w:r>
      <w:r w:rsidR="007C75D1" w:rsidRPr="007934D8">
        <w:t xml:space="preserve"> </w:t>
      </w:r>
      <w:r w:rsidR="007C75D1">
        <w:t xml:space="preserve">These reforms were </w:t>
      </w:r>
      <w:r w:rsidR="1DB47B08">
        <w:t>introduced in 2019</w:t>
      </w:r>
      <w:r w:rsidR="007C75D1">
        <w:t xml:space="preserve"> </w:t>
      </w:r>
      <w:r w:rsidR="1DB47B08">
        <w:t>and</w:t>
      </w:r>
      <w:r w:rsidR="007C75D1">
        <w:t xml:space="preserve"> intended to provide clearer information and encourage </w:t>
      </w:r>
      <w:r w:rsidR="00BB4E2A">
        <w:t xml:space="preserve">consumers </w:t>
      </w:r>
      <w:r w:rsidR="007C75D1">
        <w:t xml:space="preserve">to engage with the energy market. </w:t>
      </w:r>
    </w:p>
    <w:p w14:paraId="4BF5A182" w14:textId="50E23AD0" w:rsidR="007C75D1" w:rsidRDefault="007C75D1" w:rsidP="007C75D1">
      <w:r>
        <w:t xml:space="preserve">However, many </w:t>
      </w:r>
      <w:r w:rsidR="003D7C2C">
        <w:t xml:space="preserve">consumers </w:t>
      </w:r>
      <w:r>
        <w:t>remain on higher-priced offers</w:t>
      </w:r>
      <w:r w:rsidR="00F43947">
        <w:t xml:space="preserve"> and</w:t>
      </w:r>
      <w:r>
        <w:t xml:space="preserve"> face barriers when trying to switch to the best offer. These include: </w:t>
      </w:r>
    </w:p>
    <w:p w14:paraId="2941DA29" w14:textId="11F714B5" w:rsidR="007C75D1" w:rsidRDefault="007C75D1" w:rsidP="00A92E17">
      <w:pPr>
        <w:pStyle w:val="ListBullet"/>
        <w:rPr>
          <w:rFonts w:ascii="Times New Roman" w:eastAsia="Times New Roman" w:hAnsi="Times New Roman" w:cs="Times New Roman"/>
        </w:rPr>
      </w:pPr>
      <w:r>
        <w:t>confusing, time</w:t>
      </w:r>
      <w:r w:rsidR="00CA74D7">
        <w:t>-</w:t>
      </w:r>
      <w:r>
        <w:t>consuming or complicated switching processes</w:t>
      </w:r>
    </w:p>
    <w:p w14:paraId="5E5B19E1" w14:textId="435A2E99" w:rsidR="007C75D1" w:rsidRDefault="007C75D1" w:rsidP="00A92E17">
      <w:pPr>
        <w:pStyle w:val="ListBullet"/>
        <w:rPr>
          <w:rFonts w:ascii="Times New Roman" w:eastAsia="Times New Roman" w:hAnsi="Times New Roman" w:cs="Times New Roman"/>
        </w:rPr>
      </w:pPr>
      <w:r>
        <w:t xml:space="preserve">belief that the total savings </w:t>
      </w:r>
      <w:r w:rsidR="006D264E">
        <w:t xml:space="preserve">do </w:t>
      </w:r>
      <w:r>
        <w:t>not make the effort and complexity of switching worthwhile</w:t>
      </w:r>
    </w:p>
    <w:p w14:paraId="60BB7FD5" w14:textId="30020700" w:rsidR="002D2522" w:rsidRPr="00B00A5C" w:rsidRDefault="007C75D1" w:rsidP="00A92E17">
      <w:pPr>
        <w:pStyle w:val="ListBullet"/>
      </w:pPr>
      <w:r>
        <w:t>inability to find a better product for themselves (or lack of confidence in doing so).</w:t>
      </w:r>
      <w:r w:rsidR="001675EB">
        <w:rPr>
          <w:rStyle w:val="FootnoteReference"/>
        </w:rPr>
        <w:footnoteReference w:id="61"/>
      </w:r>
    </w:p>
    <w:p w14:paraId="737BC56A" w14:textId="54ECDABA" w:rsidR="005E1061" w:rsidRDefault="007C75D1" w:rsidP="007C75D1">
      <w:r>
        <w:t>The time and effort associated with switching is of particular concern</w:t>
      </w:r>
      <w:r w:rsidR="000129B9">
        <w:t xml:space="preserve"> to </w:t>
      </w:r>
      <w:r w:rsidR="0024374B">
        <w:t>consumers</w:t>
      </w:r>
      <w:r>
        <w:t xml:space="preserve">. This transaction cost for </w:t>
      </w:r>
      <w:r w:rsidR="0024374B">
        <w:t xml:space="preserve">consumers </w:t>
      </w:r>
      <w:r>
        <w:t xml:space="preserve">increases where processes for switching are complicated, confusing and time-consuming. High transaction costs, whether actual or perceived, may dissuade </w:t>
      </w:r>
      <w:r w:rsidR="0015473B">
        <w:t>consumers</w:t>
      </w:r>
      <w:r>
        <w:t xml:space="preserve"> from deciding to switch to a better offer and lead to </w:t>
      </w:r>
      <w:r w:rsidR="0015473B">
        <w:t xml:space="preserve">consumers </w:t>
      </w:r>
      <w:r>
        <w:t>assessing that potential savings are not worth the effort.</w:t>
      </w:r>
    </w:p>
    <w:p w14:paraId="1C717426" w14:textId="75F5F231" w:rsidR="00C9714F" w:rsidRDefault="007C75D1" w:rsidP="00E77D95">
      <w:r>
        <w:t>Recent research by Energy Consumers Australia indicates that complicated, confusing and time-consuming processes, as well the perception that savings were not worth it, were barriers to</w:t>
      </w:r>
      <w:r w:rsidR="00E77D95">
        <w:t xml:space="preserve"> switching for many households.</w:t>
      </w:r>
      <w:r w:rsidR="00A25336">
        <w:rPr>
          <w:rStyle w:val="FootnoteReference"/>
        </w:rPr>
        <w:footnoteReference w:id="62"/>
      </w:r>
    </w:p>
    <w:p w14:paraId="1EA29A5D" w14:textId="0A87684F" w:rsidR="00B51AC3" w:rsidRPr="00E45A2E" w:rsidRDefault="00B51AC3" w:rsidP="00FF0A83">
      <w:pPr>
        <w:pStyle w:val="Figure-Table-BoxSubtitle"/>
        <w:keepNext/>
        <w:keepLines/>
        <w:ind w:left="0"/>
      </w:pPr>
      <w:r w:rsidRPr="00E45A2E">
        <w:rPr>
          <w:rStyle w:val="Figure-Table-BoxHeadingChar"/>
        </w:rPr>
        <w:lastRenderedPageBreak/>
        <w:t xml:space="preserve">Figure </w:t>
      </w:r>
      <w:r w:rsidR="000965FC" w:rsidRPr="00E45A2E">
        <w:rPr>
          <w:rStyle w:val="Figure-Table-BoxHeadingChar"/>
        </w:rPr>
        <w:t>7</w:t>
      </w:r>
      <w:r w:rsidRPr="00E45A2E">
        <w:rPr>
          <w:rStyle w:val="Figure-Table-BoxHeadingChar"/>
        </w:rPr>
        <w:t>:</w:t>
      </w:r>
      <w:r w:rsidRPr="00E45A2E">
        <w:t xml:space="preserve"> Reasons why customers did not switch plans when they last considered changing retailers or switching to a better offer</w:t>
      </w:r>
    </w:p>
    <w:p w14:paraId="2C4F8DBB" w14:textId="77777777" w:rsidR="001964B8" w:rsidRDefault="001964B8" w:rsidP="00776287">
      <w:pPr>
        <w:keepNext/>
        <w:keepLines/>
        <w:spacing w:before="0" w:after="0"/>
        <w:jc w:val="center"/>
      </w:pPr>
      <w:r w:rsidRPr="000B0B49">
        <w:rPr>
          <w:noProof/>
          <w:sz w:val="20"/>
          <w:szCs w:val="20"/>
        </w:rPr>
        <w:drawing>
          <wp:inline distT="0" distB="0" distL="0" distR="0" wp14:anchorId="4279AFB0" wp14:editId="0AAF1A0E">
            <wp:extent cx="6009005" cy="2454910"/>
            <wp:effectExtent l="0" t="0" r="10795" b="2540"/>
            <wp:docPr id="95678240" name="Chart 1">
              <a:extLst xmlns:a="http://schemas.openxmlformats.org/drawingml/2006/main">
                <a:ext uri="{FF2B5EF4-FFF2-40B4-BE49-F238E27FC236}">
                  <a16:creationId xmlns:a16="http://schemas.microsoft.com/office/drawing/2014/main" id="{F5BF0E9B-4102-F350-B8DA-A57881D55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C9D3FB" w14:textId="0B8AEC38" w:rsidR="0043066B" w:rsidRPr="003F6280" w:rsidRDefault="001964B8" w:rsidP="00776287">
      <w:pPr>
        <w:pStyle w:val="Caption"/>
        <w:keepNext/>
        <w:keepLines/>
        <w:spacing w:before="0" w:after="0"/>
        <w:ind w:left="720" w:firstLine="720"/>
        <w:rPr>
          <w:rFonts w:ascii="Tahoma" w:eastAsiaTheme="majorEastAsia" w:hAnsi="Tahoma" w:cstheme="majorBidi"/>
          <w:b/>
          <w:color w:val="75787B" w:themeColor="background2"/>
        </w:rPr>
      </w:pPr>
      <w:r w:rsidRPr="003806E7">
        <w:rPr>
          <w:b/>
          <w:bCs/>
        </w:rPr>
        <w:t>Source:</w:t>
      </w:r>
      <w:r w:rsidR="00736D02" w:rsidRPr="00736D02">
        <w:rPr>
          <w:rFonts w:ascii="Arial" w:eastAsia="Arial" w:hAnsi="Arial" w:cs="Arial"/>
        </w:rPr>
        <w:t xml:space="preserve"> </w:t>
      </w:r>
      <w:r w:rsidR="00736D02" w:rsidRPr="00736D02">
        <w:t>Energy Consumers Australia, Energy Consumer Sentiment Survey</w:t>
      </w:r>
      <w:r w:rsidR="001722D6">
        <w:t>,</w:t>
      </w:r>
      <w:r w:rsidR="00736D02" w:rsidRPr="00736D02">
        <w:t xml:space="preserve"> June 2024</w:t>
      </w:r>
      <w:r w:rsidR="003806E7">
        <w:t>.</w:t>
      </w:r>
    </w:p>
    <w:p w14:paraId="4222D18B" w14:textId="6EC52F96" w:rsidR="005A2599" w:rsidRDefault="00CA4377" w:rsidP="00CA4377">
      <w:r w:rsidRPr="00CA4377">
        <w:t xml:space="preserve">A further barrier to consumers </w:t>
      </w:r>
      <w:r w:rsidR="00F417C0">
        <w:t>switching to the best</w:t>
      </w:r>
      <w:r w:rsidRPr="00CA4377">
        <w:t xml:space="preserve"> offer is the distrust</w:t>
      </w:r>
      <w:r w:rsidR="005327D2">
        <w:t xml:space="preserve"> in retailers</w:t>
      </w:r>
      <w:r w:rsidRPr="00CA4377">
        <w:t xml:space="preserve"> that may be engendered by the best offer message itself.</w:t>
      </w:r>
      <w:r w:rsidR="006619CA">
        <w:rPr>
          <w:rStyle w:val="FootnoteReference"/>
        </w:rPr>
        <w:footnoteReference w:id="63"/>
      </w:r>
      <w:r w:rsidRPr="00CA4377">
        <w:t xml:space="preserve"> Although designed to promote engagement and support informed decision-making, the </w:t>
      </w:r>
      <w:r w:rsidR="00EA330C">
        <w:t xml:space="preserve">best offer </w:t>
      </w:r>
      <w:r w:rsidRPr="00CA4377">
        <w:t xml:space="preserve">message </w:t>
      </w:r>
      <w:r w:rsidR="00EA330C">
        <w:t xml:space="preserve">on bills </w:t>
      </w:r>
      <w:r w:rsidRPr="00CA4377">
        <w:t>can be viewed with scepticis</w:t>
      </w:r>
      <w:r w:rsidR="00EA330C">
        <w:t xml:space="preserve">m, </w:t>
      </w:r>
      <w:r w:rsidRPr="00CA4377">
        <w:t xml:space="preserve">particularly by consumers who have previously encountered inconsistent pricing, opaque billing practices or poor customer service. In such cases, a statement suggesting that a better offer is available from the same retailer may be interpreted as disingenuous or self-interested. This perceived lack of credibility can undermine the intended purpose of the </w:t>
      </w:r>
      <w:r w:rsidR="00B71E14">
        <w:t xml:space="preserve">best offer </w:t>
      </w:r>
      <w:r w:rsidRPr="00CA4377">
        <w:t>message, diminishing its effectiveness and contributing to continued consumer disengagement.</w:t>
      </w:r>
    </w:p>
    <w:p w14:paraId="43C83392" w14:textId="473472BF" w:rsidR="00B17285" w:rsidRDefault="00BF28F4" w:rsidP="00FC2E32">
      <w:pPr>
        <w:pStyle w:val="Heading4"/>
      </w:pPr>
      <w:r>
        <w:t>Customers are not able to access plans with certain restrictions</w:t>
      </w:r>
    </w:p>
    <w:p w14:paraId="4106EF7A" w14:textId="37B990A0" w:rsidR="002000F7" w:rsidRDefault="002000F7" w:rsidP="002000F7">
      <w:r w:rsidRPr="004971DF">
        <w:t xml:space="preserve">In some cases, </w:t>
      </w:r>
      <w:r w:rsidR="0051110C">
        <w:t xml:space="preserve">customers may </w:t>
      </w:r>
      <w:r w:rsidR="00FA4B57">
        <w:t xml:space="preserve">not be able to </w:t>
      </w:r>
      <w:r w:rsidR="00753732">
        <w:t>meet the requirements</w:t>
      </w:r>
      <w:r w:rsidR="00D317EF">
        <w:t xml:space="preserve"> necessary</w:t>
      </w:r>
      <w:r w:rsidR="00753732">
        <w:t xml:space="preserve"> to</w:t>
      </w:r>
      <w:r w:rsidR="00FA4B57">
        <w:t xml:space="preserve"> </w:t>
      </w:r>
      <w:r w:rsidR="005E0F2F">
        <w:t>acc</w:t>
      </w:r>
      <w:r w:rsidR="000925D2">
        <w:t xml:space="preserve">ess cheaper </w:t>
      </w:r>
      <w:r w:rsidR="00753732">
        <w:t>plans</w:t>
      </w:r>
      <w:r w:rsidRPr="004971DF">
        <w:t>. Some cheaper offers may have limiting conditions which prevent many customers from being able to access them. This includes offers which are only available to new customers or which require payment through specific methods, such as direct debit.</w:t>
      </w:r>
    </w:p>
    <w:p w14:paraId="5BBE281A" w14:textId="58EAF491" w:rsidR="00F73473" w:rsidRDefault="00B16D65" w:rsidP="00F73473">
      <w:r>
        <w:t xml:space="preserve">In </w:t>
      </w:r>
      <w:r w:rsidR="00221583">
        <w:t>workshops</w:t>
      </w:r>
      <w:r>
        <w:t xml:space="preserve"> </w:t>
      </w:r>
      <w:r w:rsidR="00221583">
        <w:t>with stakeholders, w</w:t>
      </w:r>
      <w:r w:rsidR="00C55D5D">
        <w:t>e</w:t>
      </w:r>
      <w:r w:rsidR="00F73473">
        <w:t xml:space="preserve"> heard from consumer groups and public entities that consumers who require paper billing or cannot use direct debit</w:t>
      </w:r>
      <w:r w:rsidR="00F73473" w:rsidDel="0024667E">
        <w:t xml:space="preserve"> </w:t>
      </w:r>
      <w:r w:rsidR="00F73473">
        <w:t xml:space="preserve">are often restricted from accessing </w:t>
      </w:r>
      <w:r w:rsidR="00097C9B">
        <w:t xml:space="preserve">some </w:t>
      </w:r>
      <w:r w:rsidR="00F73473">
        <w:t>retailers’ cheapest plans.</w:t>
      </w:r>
      <w:r w:rsidR="00446E29" w:rsidRPr="00446E29">
        <w:t xml:space="preserve"> </w:t>
      </w:r>
      <w:r w:rsidR="00446E29">
        <w:t xml:space="preserve">These stakeholders noted that consumers impacted by these restrictions are often </w:t>
      </w:r>
      <w:r w:rsidR="00D0290D">
        <w:t>more likely to be experiencing vulnerability</w:t>
      </w:r>
      <w:r w:rsidR="00446E29">
        <w:t xml:space="preserve"> (such as elderly, First Nations, and </w:t>
      </w:r>
      <w:r w:rsidR="00446E29">
        <w:lastRenderedPageBreak/>
        <w:t xml:space="preserve">culturally and linguistically diverse </w:t>
      </w:r>
      <w:r w:rsidR="00D149DB">
        <w:t>[</w:t>
      </w:r>
      <w:r w:rsidR="00AD1BCB">
        <w:t>CALD</w:t>
      </w:r>
      <w:r w:rsidR="00D149DB">
        <w:t>]</w:t>
      </w:r>
      <w:r w:rsidR="00AD1BCB">
        <w:t xml:space="preserve"> </w:t>
      </w:r>
      <w:r w:rsidR="00446E29">
        <w:t>consumers).</w:t>
      </w:r>
      <w:r w:rsidR="00F73473">
        <w:rPr>
          <w:rStyle w:val="FootnoteReference"/>
        </w:rPr>
        <w:footnoteReference w:id="64"/>
      </w:r>
      <w:r w:rsidR="00F73473">
        <w:t xml:space="preserve"> </w:t>
      </w:r>
      <w:r w:rsidR="00320A47">
        <w:t>EWOV</w:t>
      </w:r>
      <w:r w:rsidR="00F73473">
        <w:t xml:space="preserve"> </w:t>
      </w:r>
      <w:r w:rsidR="00874508">
        <w:t xml:space="preserve">also identified this issue in </w:t>
      </w:r>
      <w:r w:rsidR="00887A8E">
        <w:t xml:space="preserve">its </w:t>
      </w:r>
      <w:r w:rsidR="0005364D">
        <w:t>submission</w:t>
      </w:r>
      <w:r w:rsidR="00887A8E">
        <w:t>s</w:t>
      </w:r>
      <w:r w:rsidR="0005364D">
        <w:t xml:space="preserve"> to </w:t>
      </w:r>
      <w:r w:rsidR="00483743">
        <w:t xml:space="preserve">our </w:t>
      </w:r>
      <w:r w:rsidR="00D46049">
        <w:t xml:space="preserve">issues paper and </w:t>
      </w:r>
      <w:r w:rsidR="00151A04">
        <w:t>discussion</w:t>
      </w:r>
      <w:r w:rsidR="00483743">
        <w:t xml:space="preserve"> paper.</w:t>
      </w:r>
      <w:r w:rsidR="00F73473">
        <w:rPr>
          <w:rStyle w:val="FootnoteReference"/>
        </w:rPr>
        <w:footnoteReference w:id="65"/>
      </w:r>
    </w:p>
    <w:p w14:paraId="74A360AD" w14:textId="071581C0" w:rsidR="001E691A" w:rsidRDefault="00F73473" w:rsidP="00F73473">
      <w:r>
        <w:t>This aligns with research by the Australian Communications Consumer Action Network into the effects of direct debit only plans in the telecommunications industry.</w:t>
      </w:r>
      <w:r>
        <w:rPr>
          <w:rStyle w:val="FootnoteReference"/>
        </w:rPr>
        <w:footnoteReference w:id="66"/>
      </w:r>
      <w:r>
        <w:t xml:space="preserve"> </w:t>
      </w:r>
      <w:r w:rsidR="001E691A">
        <w:t>This research</w:t>
      </w:r>
      <w:r>
        <w:t xml:space="preserve"> note</w:t>
      </w:r>
      <w:r w:rsidR="001E691A">
        <w:t>d</w:t>
      </w:r>
      <w:r>
        <w:t xml:space="preserve"> that even when customers are technically able to use direct debit, those struggling with bills and other cost-of-living </w:t>
      </w:r>
      <w:r w:rsidR="001E691A">
        <w:t>difficulties</w:t>
      </w:r>
      <w:r>
        <w:t xml:space="preserve"> often choose to withdraw from direct debit arrangements to have more control over when bills are paid.</w:t>
      </w:r>
    </w:p>
    <w:p w14:paraId="3523DC39" w14:textId="6BD9F9EF" w:rsidR="00F73473" w:rsidRDefault="00F73473" w:rsidP="00F73473">
      <w:r>
        <w:t xml:space="preserve">Households juggling multiple bills and limited sources of income often need to carefully time the payment of large expenses, such as energy bills, to ensure adequate money is available. Direct debit only plans, as well as e-billing only plans, often prevent access to retailers’ cheapest plans </w:t>
      </w:r>
      <w:r w:rsidR="007C4CD6">
        <w:t>for</w:t>
      </w:r>
      <w:r>
        <w:t xml:space="preserve"> those consumers who need them the most.</w:t>
      </w:r>
    </w:p>
    <w:p w14:paraId="1241905B" w14:textId="61BD190A" w:rsidR="00111D8A" w:rsidRDefault="005F55F2" w:rsidP="00F73473">
      <w:r>
        <w:t xml:space="preserve">Some retailers raised in our workshop that </w:t>
      </w:r>
      <w:r w:rsidR="008E344A">
        <w:t>they</w:t>
      </w:r>
      <w:r w:rsidRPr="005F55F2">
        <w:t xml:space="preserve"> are financially incentivised to offer direct debit only plans and pay-on-time discounts because it reduces the risk of late payment or other recovery issues</w:t>
      </w:r>
      <w:r w:rsidR="008E344A">
        <w:t>.</w:t>
      </w:r>
      <w:r w:rsidR="008E344A" w:rsidRPr="008E344A">
        <w:rPr>
          <w:vertAlign w:val="superscript"/>
        </w:rPr>
        <w:footnoteReference w:id="67"/>
      </w:r>
      <w:r w:rsidR="008E344A" w:rsidRPr="008E344A">
        <w:t xml:space="preserve"> </w:t>
      </w:r>
      <w:r w:rsidR="00A91520">
        <w:t>However, p</w:t>
      </w:r>
      <w:r w:rsidR="00AA1CC0">
        <w:t>ay on time discounts</w:t>
      </w:r>
      <w:r w:rsidR="00A91520">
        <w:t xml:space="preserve"> </w:t>
      </w:r>
      <w:r w:rsidR="00AA1CC0">
        <w:t>are curre</w:t>
      </w:r>
      <w:r w:rsidR="00176622">
        <w:t xml:space="preserve">ntly </w:t>
      </w:r>
      <w:r w:rsidR="00A91520">
        <w:t>regulated and c</w:t>
      </w:r>
      <w:r w:rsidR="00176622">
        <w:t xml:space="preserve">apped for contracts entered </w:t>
      </w:r>
      <w:r w:rsidR="00A91520">
        <w:t xml:space="preserve">into </w:t>
      </w:r>
      <w:r w:rsidR="00176622">
        <w:t xml:space="preserve">after 1 July 2020 to </w:t>
      </w:r>
      <w:r w:rsidR="006D52A4">
        <w:t>ensure</w:t>
      </w:r>
      <w:r w:rsidR="006E3863">
        <w:t xml:space="preserve"> the discounts are </w:t>
      </w:r>
      <w:r w:rsidR="00176622" w:rsidRPr="00176622">
        <w:rPr>
          <w:rFonts w:hint="cs"/>
        </w:rPr>
        <w:t>cost-reflective and to limit the penalties faced by small customers</w:t>
      </w:r>
      <w:r w:rsidR="00F658F3">
        <w:rPr>
          <w:rStyle w:val="FootnoteReference"/>
        </w:rPr>
        <w:footnoteReference w:id="68"/>
      </w:r>
      <w:r w:rsidR="00176622" w:rsidRPr="00176622">
        <w:rPr>
          <w:rFonts w:hint="cs"/>
        </w:rPr>
        <w:t xml:space="preserve"> who fail to meet offer condition</w:t>
      </w:r>
      <w:r w:rsidR="00580010">
        <w:t xml:space="preserve">s. </w:t>
      </w:r>
    </w:p>
    <w:p w14:paraId="421D1ACC" w14:textId="3576F255" w:rsidR="002000F7" w:rsidRDefault="002000F7" w:rsidP="002000F7">
      <w:pPr>
        <w:pStyle w:val="Heading4"/>
      </w:pPr>
      <w:r>
        <w:t>Customers experiencing payment difficulty are particularly vulnerable</w:t>
      </w:r>
    </w:p>
    <w:p w14:paraId="336EEA12" w14:textId="7EBBFA69" w:rsidR="00BC69F2" w:rsidRDefault="00BC69F2" w:rsidP="00BC69F2">
      <w:r>
        <w:t>In Victoria, there was a 1</w:t>
      </w:r>
      <w:r w:rsidR="00305D8A">
        <w:t>4</w:t>
      </w:r>
      <w:r>
        <w:t xml:space="preserve"> per cent increase in the </w:t>
      </w:r>
      <w:r w:rsidR="001177D5">
        <w:t xml:space="preserve">average monthly </w:t>
      </w:r>
      <w:r>
        <w:t xml:space="preserve">number of electricity customers accessing tailored assistance from their retailer </w:t>
      </w:r>
      <w:r w:rsidR="00213511">
        <w:t>between October and December</w:t>
      </w:r>
      <w:r w:rsidR="005E0BB2">
        <w:t xml:space="preserve"> 20</w:t>
      </w:r>
      <w:r>
        <w:t xml:space="preserve">24 compared to the </w:t>
      </w:r>
      <w:r w:rsidR="005E0BB2">
        <w:t xml:space="preserve">same quarter in the </w:t>
      </w:r>
      <w:r>
        <w:t>previous year. For gas customers, there was a 1</w:t>
      </w:r>
      <w:r w:rsidR="005E0BB2">
        <w:t>3</w:t>
      </w:r>
      <w:r>
        <w:t xml:space="preserve"> per cent increase.</w:t>
      </w:r>
    </w:p>
    <w:p w14:paraId="5309E474" w14:textId="77777777" w:rsidR="00C402FA" w:rsidRDefault="00C402FA" w:rsidP="00BC69F2"/>
    <w:p w14:paraId="28DD2204" w14:textId="77777777" w:rsidR="00C402FA" w:rsidRDefault="00C402FA" w:rsidP="00BC69F2"/>
    <w:p w14:paraId="093EB6C0" w14:textId="13CFF0AB" w:rsidR="002E1A48" w:rsidRPr="00E45A2E" w:rsidRDefault="002E1A48" w:rsidP="00FF0A83">
      <w:pPr>
        <w:pStyle w:val="Figure-Table-BoxSubtitle"/>
        <w:ind w:left="0"/>
      </w:pPr>
      <w:r w:rsidRPr="00E45A2E">
        <w:rPr>
          <w:rStyle w:val="Figure-Table-BoxHeadingChar"/>
          <w:lang w:val="en-AU"/>
        </w:rPr>
        <w:lastRenderedPageBreak/>
        <w:t xml:space="preserve">Figure </w:t>
      </w:r>
      <w:r w:rsidR="002743B0" w:rsidRPr="00E45A2E">
        <w:rPr>
          <w:rStyle w:val="Figure-Table-BoxHeadingChar"/>
          <w:lang w:val="en-AU"/>
        </w:rPr>
        <w:t>8</w:t>
      </w:r>
      <w:r w:rsidRPr="00E45A2E">
        <w:rPr>
          <w:rStyle w:val="Figure-Table-BoxHeadingChar"/>
          <w:lang w:val="en-AU"/>
        </w:rPr>
        <w:t>:</w:t>
      </w:r>
      <w:r w:rsidRPr="00E45A2E">
        <w:rPr>
          <w:lang w:val="en-AU"/>
        </w:rPr>
        <w:t xml:space="preserve"> Number of customers accessing tailored assistance</w:t>
      </w:r>
      <w:r w:rsidR="001E3105" w:rsidRPr="00E45A2E">
        <w:rPr>
          <w:lang w:val="en-AU"/>
        </w:rPr>
        <w:t xml:space="preserve"> (as at the end of each period)</w:t>
      </w:r>
      <w:r w:rsidRPr="00E45A2E">
        <w:rPr>
          <w:lang w:val="en-AU"/>
        </w:rPr>
        <w:t>, by fuel</w:t>
      </w:r>
    </w:p>
    <w:p w14:paraId="5FE0B825" w14:textId="0C82923F" w:rsidR="002000F7" w:rsidRPr="002000F7" w:rsidRDefault="00E63C05" w:rsidP="00370782">
      <w:pPr>
        <w:spacing w:before="0" w:after="0"/>
        <w:jc w:val="center"/>
      </w:pPr>
      <w:r w:rsidRPr="00E63C05">
        <w:rPr>
          <w:noProof/>
        </w:rPr>
        <w:t xml:space="preserve"> </w:t>
      </w:r>
      <w:r w:rsidR="005F726D">
        <w:rPr>
          <w:noProof/>
        </w:rPr>
        <w:drawing>
          <wp:inline distT="0" distB="0" distL="0" distR="0" wp14:anchorId="0C1016E2" wp14:editId="604A9858">
            <wp:extent cx="4572000" cy="2743200"/>
            <wp:effectExtent l="0" t="0" r="0" b="0"/>
            <wp:docPr id="1976839545" name="Chart 1">
              <a:extLst xmlns:a="http://schemas.openxmlformats.org/drawingml/2006/main">
                <a:ext uri="{FF2B5EF4-FFF2-40B4-BE49-F238E27FC236}">
                  <a16:creationId xmlns:a16="http://schemas.microsoft.com/office/drawing/2014/main" id="{56E1E015-D40A-C207-6FF7-48BE3A7EB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7CD3E4" w14:textId="4F0852CD" w:rsidR="009679AB" w:rsidRPr="00EC1DD2" w:rsidRDefault="00661F71" w:rsidP="00370782">
      <w:pPr>
        <w:pStyle w:val="Caption"/>
        <w:spacing w:before="0" w:after="0"/>
        <w:ind w:left="1843"/>
      </w:pPr>
      <w:r w:rsidRPr="00DE61C6">
        <w:rPr>
          <w:b/>
          <w:bCs/>
        </w:rPr>
        <w:t>Source:</w:t>
      </w:r>
      <w:r w:rsidRPr="00EC1DD2">
        <w:t xml:space="preserve"> </w:t>
      </w:r>
      <w:r w:rsidR="00DF472A">
        <w:t>Victorian Energy Market Dashboard</w:t>
      </w:r>
      <w:r w:rsidR="00DE61C6">
        <w:t>.</w:t>
      </w:r>
    </w:p>
    <w:p w14:paraId="4F7C2D56" w14:textId="096EDF50" w:rsidR="00862BF3" w:rsidRDefault="001765F4" w:rsidP="00862BF3">
      <w:r>
        <w:t xml:space="preserve">The </w:t>
      </w:r>
      <w:r w:rsidR="00911247">
        <w:t>code</w:t>
      </w:r>
      <w:r>
        <w:t xml:space="preserve"> currently includes several protections</w:t>
      </w:r>
      <w:r w:rsidR="00862BF3">
        <w:t xml:space="preserve"> to support energy customers experiencing payment difficulty</w:t>
      </w:r>
      <w:r>
        <w:t>. However,</w:t>
      </w:r>
      <w:r w:rsidR="00862BF3">
        <w:t xml:space="preserve"> </w:t>
      </w:r>
      <w:r w:rsidR="006A3259">
        <w:t>we understand</w:t>
      </w:r>
      <w:r w:rsidR="00862BF3">
        <w:t xml:space="preserve"> these customers may face additional barriers to engaging in the energy market and accessing this support. </w:t>
      </w:r>
      <w:r w:rsidR="006540DB">
        <w:t>These c</w:t>
      </w:r>
      <w:r w:rsidR="00862BF3">
        <w:t xml:space="preserve">hallenges may include: </w:t>
      </w:r>
    </w:p>
    <w:p w14:paraId="69E422D1" w14:textId="0831375C" w:rsidR="00862BF3" w:rsidRDefault="00A95392" w:rsidP="00A92E17">
      <w:pPr>
        <w:pStyle w:val="ListBullet"/>
        <w:rPr>
          <w:rFonts w:ascii="Times New Roman" w:eastAsia="Times New Roman" w:hAnsi="Times New Roman" w:cs="Times New Roman"/>
        </w:rPr>
      </w:pPr>
      <w:r>
        <w:t>l</w:t>
      </w:r>
      <w:r w:rsidR="00862BF3">
        <w:t>ack of time to engage in the market (</w:t>
      </w:r>
      <w:r w:rsidR="00C635ED">
        <w:t>for example,</w:t>
      </w:r>
      <w:r w:rsidR="00862BF3" w:rsidRPr="00862BF3">
        <w:t xml:space="preserve"> to compare </w:t>
      </w:r>
      <w:r w:rsidR="00862BF3">
        <w:t>offers)</w:t>
      </w:r>
    </w:p>
    <w:p w14:paraId="70189F50" w14:textId="0AA1DB59" w:rsidR="00862BF3" w:rsidRDefault="00A95392" w:rsidP="00A92E17">
      <w:pPr>
        <w:pStyle w:val="ListBullet"/>
        <w:rPr>
          <w:rFonts w:ascii="Times New Roman" w:eastAsia="Times New Roman" w:hAnsi="Times New Roman" w:cs="Times New Roman"/>
        </w:rPr>
      </w:pPr>
      <w:r>
        <w:t>l</w:t>
      </w:r>
      <w:r w:rsidR="00862BF3">
        <w:t>iteracy or language barriers</w:t>
      </w:r>
    </w:p>
    <w:p w14:paraId="7BA4B5C6" w14:textId="3F0F189B" w:rsidR="00862BF3" w:rsidRDefault="00A95392" w:rsidP="00A92E17">
      <w:pPr>
        <w:pStyle w:val="ListBullet"/>
        <w:rPr>
          <w:rFonts w:ascii="Times New Roman" w:eastAsia="Times New Roman" w:hAnsi="Times New Roman" w:cs="Times New Roman"/>
        </w:rPr>
      </w:pPr>
      <w:r>
        <w:t>l</w:t>
      </w:r>
      <w:r w:rsidR="00862BF3">
        <w:t>ack of knowledge</w:t>
      </w:r>
      <w:r w:rsidR="0011091E">
        <w:t xml:space="preserve"> or </w:t>
      </w:r>
      <w:r w:rsidR="00862BF3">
        <w:t>understanding of the energy market</w:t>
      </w:r>
    </w:p>
    <w:p w14:paraId="78DE548D" w14:textId="19FDFFF0" w:rsidR="00862BF3" w:rsidRDefault="00A95392" w:rsidP="00A92E17">
      <w:pPr>
        <w:pStyle w:val="ListBullet"/>
        <w:rPr>
          <w:rFonts w:ascii="Times New Roman" w:eastAsia="Times New Roman" w:hAnsi="Times New Roman" w:cs="Times New Roman"/>
        </w:rPr>
      </w:pPr>
      <w:r>
        <w:t>a</w:t>
      </w:r>
      <w:r w:rsidR="00862BF3">
        <w:t>dditional mental stress and pressures relating to economic hardship</w:t>
      </w:r>
      <w:r w:rsidR="00C86DCA">
        <w:t>.</w:t>
      </w:r>
      <w:r w:rsidR="00161245">
        <w:rPr>
          <w:rStyle w:val="FootnoteReference"/>
        </w:rPr>
        <w:footnoteReference w:id="69"/>
      </w:r>
    </w:p>
    <w:p w14:paraId="3CE08416" w14:textId="2D113FC6" w:rsidR="00B542EB" w:rsidRDefault="00862BF3" w:rsidP="00862BF3">
      <w:r>
        <w:t>Customers experiencing payment difficulty may also be unaware of their full rights</w:t>
      </w:r>
      <w:r w:rsidR="00ED1438">
        <w:t xml:space="preserve"> or</w:t>
      </w:r>
      <w:r>
        <w:t xml:space="preserve"> entitlements available to </w:t>
      </w:r>
      <w:r w:rsidR="001E35D7">
        <w:t xml:space="preserve">support </w:t>
      </w:r>
      <w:r>
        <w:t>them. Elderly and CALD customers may also face additional barriers to engaging with the market.</w:t>
      </w:r>
    </w:p>
    <w:p w14:paraId="65FE0795" w14:textId="3CFB5325" w:rsidR="00236334" w:rsidRDefault="00862BF3" w:rsidP="00BF09BB">
      <w:r>
        <w:t xml:space="preserve">For example, we heard </w:t>
      </w:r>
      <w:r w:rsidRPr="00862BF3">
        <w:t xml:space="preserve">from Council </w:t>
      </w:r>
      <w:r>
        <w:t>on the Ageing Victoria that older Victorians have significant trust concerns in relation to information provided by retailers</w:t>
      </w:r>
      <w:r w:rsidR="00F364CE">
        <w:t>, often</w:t>
      </w:r>
      <w:r>
        <w:t xml:space="preserve"> considering </w:t>
      </w:r>
      <w:r w:rsidR="00F364CE">
        <w:t xml:space="preserve">it </w:t>
      </w:r>
      <w:r>
        <w:t>to be confusing and overly promotional.</w:t>
      </w:r>
      <w:r w:rsidRPr="00800122">
        <w:rPr>
          <w:color w:val="000000"/>
          <w:vertAlign w:val="superscript"/>
        </w:rPr>
        <w:footnoteReference w:id="70"/>
      </w:r>
    </w:p>
    <w:p w14:paraId="08233492" w14:textId="12B40813" w:rsidR="0099435D" w:rsidRDefault="006D0BC9" w:rsidP="00FC2E32">
      <w:pPr>
        <w:pStyle w:val="Heading4"/>
      </w:pPr>
      <w:r>
        <w:lastRenderedPageBreak/>
        <w:t xml:space="preserve">Many customers receiving </w:t>
      </w:r>
      <w:r w:rsidR="00FB5535">
        <w:t xml:space="preserve">payment difficulty </w:t>
      </w:r>
      <w:r>
        <w:t xml:space="preserve">assistance are still </w:t>
      </w:r>
      <w:r w:rsidR="00D61C09">
        <w:t>paying high prices</w:t>
      </w:r>
    </w:p>
    <w:p w14:paraId="12045BC7" w14:textId="50BBEB92" w:rsidR="00583106" w:rsidRDefault="008B3670" w:rsidP="008B3670">
      <w:r>
        <w:t xml:space="preserve">Under the current </w:t>
      </w:r>
      <w:r w:rsidR="00AE1367">
        <w:t>P</w:t>
      </w:r>
      <w:r>
        <w:t xml:space="preserve">ayment </w:t>
      </w:r>
      <w:r w:rsidR="00AE1367">
        <w:t>D</w:t>
      </w:r>
      <w:r>
        <w:t xml:space="preserve">ifficulty </w:t>
      </w:r>
      <w:r w:rsidR="00AE1367">
        <w:t>F</w:t>
      </w:r>
      <w:r>
        <w:t>ramework, residential customers in arrears are entitled to receive tailored assistance that makes it easier for them to pay their ongoing energy use, repay their arrears and lower their energy costs</w:t>
      </w:r>
      <w:r w:rsidR="0093051A">
        <w:t>.</w:t>
      </w:r>
    </w:p>
    <w:p w14:paraId="2BE3B9F3" w14:textId="44C5CFC6" w:rsidR="008B3670" w:rsidRDefault="008B3670" w:rsidP="008B3670">
      <w:r>
        <w:t xml:space="preserve">As part of the framework, retailers must provide practical assistance to </w:t>
      </w:r>
      <w:r w:rsidRPr="009479E2">
        <w:t>customers who cannot pay the full cost of their ongoing energy. This includes (but is not limited to) offering:</w:t>
      </w:r>
    </w:p>
    <w:p w14:paraId="5A6175F8" w14:textId="32F91E30" w:rsidR="008B3670" w:rsidRPr="0009642C" w:rsidRDefault="008B3670" w:rsidP="00A92E17">
      <w:pPr>
        <w:pStyle w:val="ListBullet"/>
      </w:pPr>
      <w:r>
        <w:t>the tariff that is most likely to minimise the customer’s energy costs</w:t>
      </w:r>
      <w:r w:rsidR="00842B1E">
        <w:rPr>
          <w:rStyle w:val="FootnoteReference"/>
        </w:rPr>
        <w:footnoteReference w:id="71"/>
      </w:r>
    </w:p>
    <w:p w14:paraId="67F78B00" w14:textId="44BF20C1" w:rsidR="008B3670" w:rsidRDefault="008B3670" w:rsidP="00A92E17">
      <w:pPr>
        <w:pStyle w:val="ListBullet"/>
        <w:rPr>
          <w:rFonts w:ascii="Times New Roman" w:eastAsia="Times New Roman" w:hAnsi="Times New Roman" w:cs="Times New Roman"/>
        </w:rPr>
      </w:pPr>
      <w:r>
        <w:t>practical assistance to help the residential customer reduce their use of energy</w:t>
      </w:r>
    </w:p>
    <w:p w14:paraId="1E9C6C06" w14:textId="033D447A" w:rsidR="008B3670" w:rsidRDefault="008B3670" w:rsidP="00A92E17">
      <w:pPr>
        <w:pStyle w:val="ListBullet"/>
        <w:rPr>
          <w:rFonts w:ascii="Times New Roman" w:eastAsia="Times New Roman" w:hAnsi="Times New Roman" w:cs="Times New Roman"/>
        </w:rPr>
      </w:pPr>
      <w:r>
        <w:t>information about how the customer is progressing towards lowering their energy costs.</w:t>
      </w:r>
      <w:r w:rsidRPr="00800122">
        <w:rPr>
          <w:color w:val="000000"/>
          <w:vertAlign w:val="superscript"/>
        </w:rPr>
        <w:footnoteReference w:id="72"/>
      </w:r>
    </w:p>
    <w:p w14:paraId="4DD51F18" w14:textId="5151FA78" w:rsidR="005C095E" w:rsidRDefault="008B3670" w:rsidP="008B3670">
      <w:r>
        <w:t>However, financial hardship is a multi-faceted issue</w:t>
      </w:r>
      <w:r w:rsidR="00927A86">
        <w:t>.</w:t>
      </w:r>
      <w:r>
        <w:t xml:space="preserve"> </w:t>
      </w:r>
      <w:r w:rsidR="00927A86">
        <w:t>Due</w:t>
      </w:r>
      <w:r>
        <w:t xml:space="preserve"> </w:t>
      </w:r>
      <w:r w:rsidR="00AE0ADB">
        <w:t xml:space="preserve">to the barriers customers in payment difficulty may face, some </w:t>
      </w:r>
      <w:r>
        <w:t>customers may not be able to action this advice and support.</w:t>
      </w:r>
    </w:p>
    <w:p w14:paraId="71E8E0AB" w14:textId="525731DD" w:rsidR="008B3670" w:rsidRDefault="006B74F0" w:rsidP="008B3670">
      <w:r>
        <w:t xml:space="preserve">For example, some customers </w:t>
      </w:r>
      <w:r w:rsidR="007B1B4C">
        <w:t xml:space="preserve">experiencing vulnerability </w:t>
      </w:r>
      <w:r w:rsidR="001D48DB">
        <w:t xml:space="preserve">set up </w:t>
      </w:r>
      <w:r w:rsidR="0086620A">
        <w:t xml:space="preserve">fixed payments each month </w:t>
      </w:r>
      <w:r w:rsidR="00340AE3">
        <w:t xml:space="preserve">resulting in a ‘set and forget’ approach </w:t>
      </w:r>
      <w:r w:rsidR="0014783A">
        <w:t>which means they may miss best offer messages and additional support available, such as concession entitlements</w:t>
      </w:r>
      <w:r w:rsidR="009433DA">
        <w:t xml:space="preserve"> or utility relief grants.</w:t>
      </w:r>
      <w:r w:rsidR="009433DA">
        <w:rPr>
          <w:rStyle w:val="FootnoteReference"/>
        </w:rPr>
        <w:footnoteReference w:id="73"/>
      </w:r>
      <w:r w:rsidR="009B581E">
        <w:t xml:space="preserve"> </w:t>
      </w:r>
      <w:r w:rsidR="00F01926">
        <w:t xml:space="preserve">Reducing energy usage </w:t>
      </w:r>
      <w:r w:rsidR="006B7D73">
        <w:t>can</w:t>
      </w:r>
      <w:r w:rsidR="00962456">
        <w:t xml:space="preserve"> also</w:t>
      </w:r>
      <w:r w:rsidR="006B7D73">
        <w:t xml:space="preserve"> be </w:t>
      </w:r>
      <w:r w:rsidR="00F01926">
        <w:t>limited by</w:t>
      </w:r>
      <w:r w:rsidR="005836C6">
        <w:t xml:space="preserve"> </w:t>
      </w:r>
      <w:r w:rsidR="00EC20AE">
        <w:t xml:space="preserve">factors such as </w:t>
      </w:r>
      <w:r w:rsidR="00AB65EE">
        <w:t xml:space="preserve">renters being unable to change </w:t>
      </w:r>
      <w:r w:rsidR="006B7D73">
        <w:t xml:space="preserve">energy </w:t>
      </w:r>
      <w:r w:rsidR="002E5873">
        <w:t>consumption in inadequately insulated</w:t>
      </w:r>
      <w:r w:rsidR="002017BC">
        <w:t xml:space="preserve"> or </w:t>
      </w:r>
      <w:r w:rsidR="00610E82">
        <w:t xml:space="preserve">energy </w:t>
      </w:r>
      <w:r w:rsidR="0033483C">
        <w:t>inefficient</w:t>
      </w:r>
      <w:r w:rsidR="002017BC">
        <w:t xml:space="preserve"> homes. </w:t>
      </w:r>
      <w:r w:rsidR="006B7D73">
        <w:t>In addition, reducing energy usage can have</w:t>
      </w:r>
      <w:r w:rsidR="00E73691">
        <w:t xml:space="preserve"> significant impacts on</w:t>
      </w:r>
      <w:r w:rsidR="006B7D73">
        <w:t xml:space="preserve"> </w:t>
      </w:r>
      <w:r w:rsidR="000A57EC">
        <w:t>peopl</w:t>
      </w:r>
      <w:r w:rsidR="00206726">
        <w:t>e’s</w:t>
      </w:r>
      <w:r w:rsidR="00E73691">
        <w:t xml:space="preserve"> health</w:t>
      </w:r>
      <w:r w:rsidR="00694DD7">
        <w:t xml:space="preserve"> as extreme temperatures </w:t>
      </w:r>
      <w:r w:rsidR="00416EFF">
        <w:t xml:space="preserve">occur </w:t>
      </w:r>
      <w:r w:rsidR="007A5243">
        <w:t>increasingly often</w:t>
      </w:r>
      <w:r w:rsidR="006B7D73">
        <w:t>.</w:t>
      </w:r>
      <w:r w:rsidR="006B7D73">
        <w:rPr>
          <w:rStyle w:val="FootnoteReference"/>
        </w:rPr>
        <w:footnoteReference w:id="74"/>
      </w:r>
      <w:r w:rsidR="00E73691">
        <w:t xml:space="preserve"> </w:t>
      </w:r>
      <w:r w:rsidR="008B3670">
        <w:t>As a result, some payment difficulty customers continue to pay more for their energy than they should.</w:t>
      </w:r>
    </w:p>
    <w:p w14:paraId="0DFFECB2" w14:textId="211295E7" w:rsidR="008B3670" w:rsidRDefault="008B3670" w:rsidP="008B3670">
      <w:r>
        <w:t>Consumer groups have raised concerns that many customers receiving or seeking payment assistance are on high-priced plans and are not offered a switch to their retailer’s best offer.</w:t>
      </w:r>
      <w:r w:rsidR="002B2C1E">
        <w:t xml:space="preserve"> </w:t>
      </w:r>
      <w:r>
        <w:t>For example, the Victorian Council of Social Services noted that retailers are not consistently checking that customers experiencing payment difficulty are on the most affordable energy offer available.</w:t>
      </w:r>
      <w:r>
        <w:rPr>
          <w:color w:val="000000"/>
          <w:sz w:val="18"/>
          <w:szCs w:val="18"/>
          <w:vertAlign w:val="superscript"/>
        </w:rPr>
        <w:footnoteReference w:id="75"/>
      </w:r>
      <w:r>
        <w:t xml:space="preserve"> </w:t>
      </w:r>
      <w:r>
        <w:lastRenderedPageBreak/>
        <w:t>The Consumer Action Law Centre</w:t>
      </w:r>
      <w:r>
        <w:rPr>
          <w:color w:val="B5082E"/>
        </w:rPr>
        <w:t xml:space="preserve"> </w:t>
      </w:r>
      <w:r>
        <w:t xml:space="preserve">highlighted cases where retailers confirm payment </w:t>
      </w:r>
      <w:r w:rsidR="0099623E">
        <w:t xml:space="preserve">plan </w:t>
      </w:r>
      <w:r>
        <w:t>arrangements without first offering tariff checks or reductions.</w:t>
      </w:r>
      <w:r>
        <w:rPr>
          <w:color w:val="000000"/>
          <w:sz w:val="18"/>
          <w:szCs w:val="18"/>
          <w:vertAlign w:val="superscript"/>
        </w:rPr>
        <w:footnoteReference w:id="76"/>
      </w:r>
    </w:p>
    <w:p w14:paraId="49B887F9" w14:textId="40080804" w:rsidR="00391092" w:rsidRDefault="00B52A78" w:rsidP="00391092">
      <w:r>
        <w:t>C</w:t>
      </w:r>
      <w:r w:rsidR="008B3670">
        <w:t xml:space="preserve">onsumer advocates have </w:t>
      </w:r>
      <w:r>
        <w:t xml:space="preserve">also </w:t>
      </w:r>
      <w:r w:rsidR="008B3670">
        <w:t>reported that households receiving assistance through the Victorian Government’s Energy Assistance Program are expressing frustration that they bear</w:t>
      </w:r>
      <w:r w:rsidR="00391092">
        <w:t xml:space="preserve"> responsibility of contacting their retailer to switch to their retailer’s best offer, when the retailer already knows their customer is experiencing payment difficulty. Out of all participants who were supported by the Energy Assistance Program to find a cheaper offer, </w:t>
      </w:r>
      <w:r w:rsidR="00DA645A">
        <w:t>45</w:t>
      </w:r>
      <w:r w:rsidR="00391092">
        <w:t xml:space="preserve"> per cent were identified as not on their retailer’s best offer, with many participants being unaware of or not trusting best offer notifications.</w:t>
      </w:r>
      <w:r w:rsidR="00391092">
        <w:rPr>
          <w:color w:val="000000"/>
          <w:sz w:val="18"/>
          <w:szCs w:val="18"/>
          <w:vertAlign w:val="superscript"/>
        </w:rPr>
        <w:footnoteReference w:id="77"/>
      </w:r>
    </w:p>
    <w:p w14:paraId="245A5F2D" w14:textId="7620BCCE" w:rsidR="00AA75BA" w:rsidRDefault="00185F48" w:rsidP="007C006D">
      <w:r>
        <w:t xml:space="preserve">Billing data we collect </w:t>
      </w:r>
      <w:r w:rsidR="00C969E5">
        <w:t>further indicates that w</w:t>
      </w:r>
      <w:r w:rsidR="001A7F7D">
        <w:t xml:space="preserve">hile </w:t>
      </w:r>
      <w:r w:rsidR="00455FFE">
        <w:t xml:space="preserve">many </w:t>
      </w:r>
      <w:r w:rsidR="001A7F7D">
        <w:t>customers receiving payment difficulty support</w:t>
      </w:r>
      <w:r w:rsidR="001A7F7D" w:rsidRPr="00DB40D3">
        <w:t xml:space="preserve"> </w:t>
      </w:r>
      <w:r w:rsidR="00455FFE">
        <w:t xml:space="preserve">are on lower priced offers, </w:t>
      </w:r>
      <w:r w:rsidR="00EF2F1F">
        <w:t xml:space="preserve">around </w:t>
      </w:r>
      <w:r w:rsidR="00C12525">
        <w:t xml:space="preserve">30,000 </w:t>
      </w:r>
      <w:r w:rsidR="00954C8E">
        <w:t>Victorian</w:t>
      </w:r>
      <w:r w:rsidR="005C2DBB">
        <w:t xml:space="preserve"> electricity customers rece</w:t>
      </w:r>
      <w:r w:rsidR="005F0929">
        <w:t>iving payment difficulty support</w:t>
      </w:r>
      <w:r w:rsidR="009F5617">
        <w:t xml:space="preserve"> could save by switching to their retailer’s best offer. </w:t>
      </w:r>
      <w:r w:rsidR="00026FE2">
        <w:t>We also know that around five per cent of customers receiving payment difficulty assistance have not changed plans for over fi</w:t>
      </w:r>
      <w:r w:rsidR="00105089">
        <w:t>ve years</w:t>
      </w:r>
      <w:r w:rsidR="001A7F7D">
        <w:t>.</w:t>
      </w:r>
      <w:r w:rsidR="00026FE2" w:rsidRPr="00026FE2">
        <w:t xml:space="preserve"> </w:t>
      </w:r>
      <w:r w:rsidR="00026FE2">
        <w:t>These</w:t>
      </w:r>
      <w:r w:rsidR="00105089">
        <w:t xml:space="preserve"> customers could save</w:t>
      </w:r>
      <w:r w:rsidR="00026FE2">
        <w:t xml:space="preserve"> up to $730 per year </w:t>
      </w:r>
      <w:r w:rsidR="00105089">
        <w:t>by</w:t>
      </w:r>
      <w:r w:rsidR="00300B41">
        <w:t xml:space="preserve"> moving to cheaper plans</w:t>
      </w:r>
      <w:r w:rsidR="00026FE2">
        <w:t>.</w:t>
      </w:r>
      <w:r w:rsidR="001A7F7D">
        <w:rPr>
          <w:color w:val="000000"/>
          <w:sz w:val="18"/>
          <w:szCs w:val="18"/>
          <w:vertAlign w:val="superscript"/>
        </w:rPr>
        <w:footnoteReference w:id="78"/>
      </w:r>
      <w:r w:rsidR="001A7F7D">
        <w:t xml:space="preserve"> </w:t>
      </w:r>
    </w:p>
    <w:p w14:paraId="5FAFC398" w14:textId="43FB7626" w:rsidR="00006D92" w:rsidRDefault="00F75B46" w:rsidP="007C006D">
      <w:pPr>
        <w:pStyle w:val="Heading4"/>
      </w:pPr>
      <w:r>
        <w:t xml:space="preserve">Many customers </w:t>
      </w:r>
      <w:r w:rsidR="00566655">
        <w:t>accumulating debt are not receiving assistance from retailers</w:t>
      </w:r>
    </w:p>
    <w:p w14:paraId="7C142A70" w14:textId="7E0C8316" w:rsidR="00566655" w:rsidRDefault="00AF6810" w:rsidP="00566655">
      <w:r>
        <w:t>Concerningly, compar</w:t>
      </w:r>
      <w:r w:rsidR="00DB3E5D">
        <w:t>ing 2023–24 to 2022–23</w:t>
      </w:r>
      <w:r>
        <w:t>, more Victorian customers are in debt with their retailer a</w:t>
      </w:r>
      <w:r w:rsidR="006459A7">
        <w:t xml:space="preserve">nd are not accessing assistance. Their average debt </w:t>
      </w:r>
      <w:r w:rsidR="00C92834">
        <w:t>h</w:t>
      </w:r>
      <w:r w:rsidR="006459A7">
        <w:t>as also increased.</w:t>
      </w:r>
    </w:p>
    <w:p w14:paraId="5F152A03" w14:textId="7FEF754E" w:rsidR="006B5A10" w:rsidRDefault="0002300F" w:rsidP="00566655">
      <w:r w:rsidRPr="0002300F">
        <w:t>A</w:t>
      </w:r>
      <w:r w:rsidR="00E33398">
        <w:t xml:space="preserve">s outlined </w:t>
      </w:r>
      <w:r w:rsidR="00E33398" w:rsidRPr="00043157">
        <w:t xml:space="preserve">in Figure </w:t>
      </w:r>
      <w:r w:rsidR="009567D5" w:rsidRPr="00043157">
        <w:t>9</w:t>
      </w:r>
      <w:r w:rsidR="00E33398" w:rsidRPr="00043157">
        <w:t>, a</w:t>
      </w:r>
      <w:r w:rsidRPr="00043157">
        <w:t>n</w:t>
      </w:r>
      <w:r w:rsidRPr="0002300F">
        <w:t xml:space="preserve"> average of 12</w:t>
      </w:r>
      <w:r w:rsidR="00095940">
        <w:t>9</w:t>
      </w:r>
      <w:r w:rsidRPr="0002300F">
        <w:t xml:space="preserve">,000 electricity and </w:t>
      </w:r>
      <w:r w:rsidR="00095940">
        <w:t>101</w:t>
      </w:r>
      <w:r w:rsidRPr="0002300F">
        <w:t>,000 gas customers</w:t>
      </w:r>
      <w:r w:rsidR="00ED1DE0">
        <w:t xml:space="preserve"> (who are not accessing assistance)</w:t>
      </w:r>
      <w:r w:rsidRPr="0002300F">
        <w:t xml:space="preserve"> owed their retailer at least $300 each month in 2023–24.</w:t>
      </w:r>
      <w:r w:rsidR="004D2CBE">
        <w:rPr>
          <w:rStyle w:val="FootnoteReference"/>
        </w:rPr>
        <w:footnoteReference w:id="79"/>
      </w:r>
      <w:r w:rsidRPr="0002300F">
        <w:t xml:space="preserve"> This represents an increase of 2</w:t>
      </w:r>
      <w:r w:rsidR="00F6034F">
        <w:t>1</w:t>
      </w:r>
      <w:r w:rsidRPr="0002300F">
        <w:t>,000 electricity and 1</w:t>
      </w:r>
      <w:r w:rsidR="00F6034F">
        <w:t>6</w:t>
      </w:r>
      <w:r w:rsidRPr="0002300F">
        <w:t>,000 gas customers compared to 2022–23.</w:t>
      </w:r>
      <w:r w:rsidR="00E37C4D">
        <w:rPr>
          <w:rStyle w:val="FootnoteReference"/>
        </w:rPr>
        <w:footnoteReference w:id="80"/>
      </w:r>
      <w:r w:rsidR="000E484E">
        <w:t xml:space="preserve"> </w:t>
      </w:r>
    </w:p>
    <w:p w14:paraId="0F29BDE3" w14:textId="4A1E2E97" w:rsidR="00822ED6" w:rsidRDefault="000E484E" w:rsidP="002F5F41">
      <w:r>
        <w:t xml:space="preserve">By comparison, an average of </w:t>
      </w:r>
      <w:r w:rsidR="006C071D">
        <w:t>76,000</w:t>
      </w:r>
      <w:r w:rsidR="006715C9">
        <w:t xml:space="preserve"> electricity and </w:t>
      </w:r>
      <w:r w:rsidR="006B5A10">
        <w:t>6</w:t>
      </w:r>
      <w:r w:rsidR="00E07E6A">
        <w:t xml:space="preserve">9,000 </w:t>
      </w:r>
      <w:r w:rsidR="006B5A10">
        <w:t>gas customers accessed tailored assistance each month in 2023</w:t>
      </w:r>
      <w:r w:rsidR="0085245F" w:rsidRPr="0002300F">
        <w:t>–</w:t>
      </w:r>
      <w:r w:rsidR="006B5A10">
        <w:t>24</w:t>
      </w:r>
      <w:r w:rsidR="008F2E74">
        <w:t>.</w:t>
      </w:r>
      <w:r w:rsidR="008F2E74">
        <w:rPr>
          <w:rStyle w:val="FootnoteReference"/>
        </w:rPr>
        <w:footnoteReference w:id="81"/>
      </w:r>
      <w:r w:rsidR="00066255">
        <w:t xml:space="preserve"> This demonstrates that while significant amounts of </w:t>
      </w:r>
      <w:r w:rsidR="00066255">
        <w:lastRenderedPageBreak/>
        <w:t xml:space="preserve">customers </w:t>
      </w:r>
      <w:r w:rsidR="00DC1B0B">
        <w:t>in debt</w:t>
      </w:r>
      <w:r w:rsidR="00066255">
        <w:t xml:space="preserve"> are accessing </w:t>
      </w:r>
      <w:r w:rsidR="00DC1B0B">
        <w:t>tailored assistance</w:t>
      </w:r>
      <w:r w:rsidR="00066255">
        <w:t xml:space="preserve">, </w:t>
      </w:r>
      <w:r w:rsidR="009645FE">
        <w:t xml:space="preserve">a greater number of customers in </w:t>
      </w:r>
      <w:r w:rsidR="00B83DAC">
        <w:t xml:space="preserve">debt are </w:t>
      </w:r>
      <w:r w:rsidR="0098010E">
        <w:t>not</w:t>
      </w:r>
      <w:r w:rsidR="009645FE">
        <w:t xml:space="preserve"> receiving </w:t>
      </w:r>
      <w:r w:rsidR="00FD342A">
        <w:t>assistance</w:t>
      </w:r>
      <w:r w:rsidR="00BE2A73">
        <w:t>.</w:t>
      </w:r>
    </w:p>
    <w:p w14:paraId="05E5605F" w14:textId="77777777" w:rsidR="00822ED6" w:rsidRDefault="005B2360" w:rsidP="00E45A2E">
      <w:pPr>
        <w:pStyle w:val="Figure-Table-BoxSubtitle"/>
        <w:ind w:left="0"/>
        <w:rPr>
          <w:rStyle w:val="Figure-Table-BoxSubtitleChar"/>
          <w:lang w:val="en-AU"/>
        </w:rPr>
      </w:pPr>
      <w:r w:rsidRPr="33B036BA">
        <w:rPr>
          <w:rStyle w:val="Figure-Table-BoxHeadingChar"/>
          <w:lang w:val="en-AU"/>
        </w:rPr>
        <w:t>Figure</w:t>
      </w:r>
      <w:r w:rsidR="00CF1BD2" w:rsidRPr="33B036BA">
        <w:rPr>
          <w:rStyle w:val="Figure-Table-BoxHeadingChar"/>
          <w:lang w:val="en-AU"/>
        </w:rPr>
        <w:t xml:space="preserve"> </w:t>
      </w:r>
      <w:r w:rsidR="002743B0" w:rsidRPr="33B036BA">
        <w:rPr>
          <w:rStyle w:val="Figure-Table-BoxHeadingChar"/>
          <w:lang w:val="en-AU"/>
        </w:rPr>
        <w:t>9</w:t>
      </w:r>
      <w:r w:rsidR="00CF1BD2" w:rsidRPr="33B036BA">
        <w:rPr>
          <w:rStyle w:val="Figure-Table-BoxHeadingChar"/>
          <w:lang w:val="en-AU"/>
        </w:rPr>
        <w:t>:</w:t>
      </w:r>
      <w:r w:rsidR="00CF1BD2" w:rsidRPr="33B036BA">
        <w:rPr>
          <w:rStyle w:val="Figure-Table-BoxSubtitleChar"/>
          <w:lang w:val="en-AU"/>
        </w:rPr>
        <w:t xml:space="preserve"> </w:t>
      </w:r>
      <w:r w:rsidR="00CF1BD2" w:rsidRPr="00FF0A83">
        <w:rPr>
          <w:rStyle w:val="Figure-Table-BoxHeadingChar"/>
        </w:rPr>
        <w:t>Number</w:t>
      </w:r>
      <w:r w:rsidR="00CF1BD2" w:rsidRPr="33B036BA">
        <w:rPr>
          <w:rStyle w:val="Figure-Table-BoxSubtitleChar"/>
          <w:lang w:val="en-AU"/>
        </w:rPr>
        <w:t xml:space="preserve"> of customers with more than $300 in arrears and not accessing assistance</w:t>
      </w:r>
    </w:p>
    <w:p w14:paraId="5FFAD47F" w14:textId="372447DB" w:rsidR="005B2360" w:rsidRDefault="005B2360" w:rsidP="00822ED6">
      <w:pPr>
        <w:pStyle w:val="Quote"/>
        <w:spacing w:before="0" w:after="0"/>
        <w:ind w:left="1276" w:right="1276"/>
      </w:pPr>
      <w:r>
        <w:rPr>
          <w:noProof/>
        </w:rPr>
        <w:drawing>
          <wp:inline distT="0" distB="0" distL="0" distR="0" wp14:anchorId="4DBFB399" wp14:editId="7D73F8E8">
            <wp:extent cx="4503420" cy="2270760"/>
            <wp:effectExtent l="0" t="0" r="11430" b="15240"/>
            <wp:docPr id="652827755" name="Chart 1">
              <a:extLst xmlns:a="http://schemas.openxmlformats.org/drawingml/2006/main">
                <a:ext uri="{FF2B5EF4-FFF2-40B4-BE49-F238E27FC236}">
                  <a16:creationId xmlns:a16="http://schemas.microsoft.com/office/drawing/2014/main" id="{70FF375E-16C2-7233-89EF-CE4563E8D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D5AFED" w14:textId="1E018910" w:rsidR="003B2ECD" w:rsidRDefault="003B2ECD" w:rsidP="00370782">
      <w:pPr>
        <w:pStyle w:val="Source"/>
        <w:spacing w:before="0" w:after="0"/>
        <w:ind w:left="1276" w:right="1276"/>
        <w:jc w:val="left"/>
      </w:pPr>
      <w:r w:rsidRPr="009F2B30">
        <w:rPr>
          <w:b/>
          <w:bCs/>
        </w:rPr>
        <w:t>Source:</w:t>
      </w:r>
      <w:r w:rsidRPr="00447028">
        <w:t xml:space="preserve"> </w:t>
      </w:r>
      <w:r w:rsidR="003C550C">
        <w:t>Victorian Energy Market Dashboard</w:t>
      </w:r>
      <w:r w:rsidR="00E6671A">
        <w:t>.</w:t>
      </w:r>
    </w:p>
    <w:p w14:paraId="2CF494A5" w14:textId="77777777" w:rsidR="00C53172" w:rsidRDefault="00895167" w:rsidP="005932DD">
      <w:r w:rsidRPr="00895167">
        <w:t>The average arrears for these customers increased, owing $1,</w:t>
      </w:r>
      <w:r w:rsidR="00BD13F6">
        <w:t>311</w:t>
      </w:r>
      <w:r w:rsidRPr="00895167">
        <w:t xml:space="preserve"> for electricity and $1,3</w:t>
      </w:r>
      <w:r w:rsidR="00242386">
        <w:t>17</w:t>
      </w:r>
      <w:r w:rsidRPr="00895167">
        <w:t xml:space="preserve"> for gas. This is up $6</w:t>
      </w:r>
      <w:r w:rsidR="00F32168">
        <w:t>7</w:t>
      </w:r>
      <w:r w:rsidRPr="00895167">
        <w:t xml:space="preserve"> for electricity and $14</w:t>
      </w:r>
      <w:r w:rsidR="00F17F98">
        <w:t>1</w:t>
      </w:r>
      <w:r w:rsidRPr="00895167">
        <w:t xml:space="preserve"> for gas compared to 2022–23.</w:t>
      </w:r>
    </w:p>
    <w:p w14:paraId="727EF14D" w14:textId="7107ED4D" w:rsidR="00FF0A83" w:rsidRDefault="005A5862" w:rsidP="00FF0A83">
      <w:pPr>
        <w:pStyle w:val="Figure-Table-BoxSubtitle"/>
        <w:ind w:left="0"/>
        <w:rPr>
          <w:rStyle w:val="Figure-Table-BoxHeadingChar"/>
          <w:b w:val="0"/>
          <w:lang w:val="en-AU"/>
        </w:rPr>
      </w:pPr>
      <w:r w:rsidRPr="542D7538">
        <w:rPr>
          <w:rStyle w:val="Figure-Table-BoxHeadingChar"/>
          <w:lang w:val="en-AU"/>
        </w:rPr>
        <w:t xml:space="preserve">Figure </w:t>
      </w:r>
      <w:r w:rsidR="00231188" w:rsidRPr="542D7538">
        <w:rPr>
          <w:rStyle w:val="Figure-Table-BoxHeadingChar"/>
          <w:lang w:val="en-AU"/>
        </w:rPr>
        <w:t>10</w:t>
      </w:r>
      <w:r w:rsidRPr="542D7538">
        <w:rPr>
          <w:rStyle w:val="Figure-Table-BoxHeadingChar"/>
          <w:lang w:val="en-AU"/>
        </w:rPr>
        <w:t xml:space="preserve">: </w:t>
      </w:r>
      <w:r w:rsidRPr="542D7538">
        <w:rPr>
          <w:rStyle w:val="Figure-Table-BoxHeadingChar"/>
          <w:b w:val="0"/>
          <w:lang w:val="en-AU"/>
        </w:rPr>
        <w:t>Average arrears of customers with more than $300 in arrears and not</w:t>
      </w:r>
      <w:r w:rsidR="00E45A2E" w:rsidRPr="542D7538">
        <w:rPr>
          <w:rStyle w:val="Figure-Table-BoxHeadingChar"/>
          <w:b w:val="0"/>
          <w:lang w:val="en-AU"/>
        </w:rPr>
        <w:t xml:space="preserve"> </w:t>
      </w:r>
      <w:r w:rsidRPr="542D7538">
        <w:rPr>
          <w:rStyle w:val="Figure-Table-BoxHeadingChar"/>
          <w:b w:val="0"/>
          <w:lang w:val="en-AU"/>
        </w:rPr>
        <w:t>accessing assistance</w:t>
      </w:r>
    </w:p>
    <w:p w14:paraId="41946B8D" w14:textId="3098D70E" w:rsidR="005A5862" w:rsidRDefault="005A5862" w:rsidP="002A3C5A">
      <w:pPr>
        <w:pStyle w:val="Figure-Table-BoxSubtitle"/>
        <w:ind w:left="0"/>
        <w:jc w:val="center"/>
      </w:pPr>
      <w:r>
        <w:rPr>
          <w:noProof/>
        </w:rPr>
        <w:drawing>
          <wp:inline distT="0" distB="0" distL="0" distR="0" wp14:anchorId="2A9B7695" wp14:editId="33E0900D">
            <wp:extent cx="4295553" cy="2445488"/>
            <wp:effectExtent l="0" t="0" r="10160" b="12065"/>
            <wp:docPr id="703690237" name="Chart 1">
              <a:extLst xmlns:a="http://schemas.openxmlformats.org/drawingml/2006/main">
                <a:ext uri="{FF2B5EF4-FFF2-40B4-BE49-F238E27FC236}">
                  <a16:creationId xmlns:a16="http://schemas.microsoft.com/office/drawing/2014/main" id="{2CD92D59-B355-AD82-E8C3-96AE4DC3B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138C1C2" w14:textId="4B49B077" w:rsidR="00370782" w:rsidRDefault="00370782" w:rsidP="00370782">
      <w:pPr>
        <w:pStyle w:val="Source"/>
        <w:spacing w:before="0" w:after="0"/>
        <w:ind w:left="1276" w:right="1276"/>
        <w:jc w:val="left"/>
      </w:pPr>
      <w:r w:rsidRPr="00825F60">
        <w:rPr>
          <w:b/>
          <w:bCs/>
        </w:rPr>
        <w:t>Source:</w:t>
      </w:r>
      <w:r w:rsidRPr="00447028">
        <w:t xml:space="preserve"> </w:t>
      </w:r>
      <w:r>
        <w:t xml:space="preserve">Victorian Energy Market </w:t>
      </w:r>
      <w:r w:rsidR="008F5260">
        <w:t>Dashboard</w:t>
      </w:r>
      <w:r w:rsidR="00825F60">
        <w:t>.</w:t>
      </w:r>
    </w:p>
    <w:p w14:paraId="27255841" w14:textId="6CB5D5AA" w:rsidR="00CD23A6" w:rsidRDefault="00550767" w:rsidP="002F5F41">
      <w:r w:rsidRPr="00550767">
        <w:t xml:space="preserve">The total number of </w:t>
      </w:r>
      <w:r w:rsidR="00153377">
        <w:t>electricity</w:t>
      </w:r>
      <w:r w:rsidR="00153377" w:rsidRPr="00550767">
        <w:t xml:space="preserve"> </w:t>
      </w:r>
      <w:r w:rsidRPr="00550767">
        <w:t xml:space="preserve">customers in arrears is the lowest in January to March (warmer months). However, the value of arrears peaks in January to March. This shows that customers with more substantial arrears, and who have more difficulty to repay, experience significant financial </w:t>
      </w:r>
      <w:r w:rsidRPr="00550767">
        <w:lastRenderedPageBreak/>
        <w:t>pressure over a long period. Many of these customers remain in significant arrears after the winter peak</w:t>
      </w:r>
      <w:r w:rsidR="00C42A03">
        <w:t>.</w:t>
      </w:r>
      <w:r w:rsidR="00C42A03">
        <w:rPr>
          <w:rStyle w:val="FootnoteReference"/>
        </w:rPr>
        <w:footnoteReference w:id="82"/>
      </w:r>
      <w:r w:rsidRPr="00550767">
        <w:t xml:space="preserve"> </w:t>
      </w:r>
    </w:p>
    <w:p w14:paraId="75BE483F" w14:textId="164E3662" w:rsidR="006575C4" w:rsidRDefault="006575C4" w:rsidP="00FF0A83">
      <w:pPr>
        <w:pStyle w:val="Figure-Table-BoxSubtitle"/>
        <w:ind w:left="0"/>
      </w:pPr>
      <w:r w:rsidRPr="00B85D3B">
        <w:rPr>
          <w:rStyle w:val="Figure-Table-BoxHeadingChar"/>
        </w:rPr>
        <w:t>Figure</w:t>
      </w:r>
      <w:r w:rsidR="001D718F" w:rsidRPr="00B85D3B">
        <w:rPr>
          <w:rStyle w:val="Figure-Table-BoxHeadingChar"/>
        </w:rPr>
        <w:t xml:space="preserve"> </w:t>
      </w:r>
      <w:r w:rsidR="00F95703" w:rsidRPr="00B85D3B">
        <w:rPr>
          <w:rStyle w:val="Figure-Table-BoxHeadingChar"/>
        </w:rPr>
        <w:t>1</w:t>
      </w:r>
      <w:r w:rsidR="00231188" w:rsidRPr="00B85D3B">
        <w:rPr>
          <w:rStyle w:val="Figure-Table-BoxHeadingChar"/>
        </w:rPr>
        <w:t>1</w:t>
      </w:r>
      <w:r w:rsidRPr="00B85D3B">
        <w:rPr>
          <w:rStyle w:val="Figure-Table-BoxHeadingChar"/>
        </w:rPr>
        <w:t>:</w:t>
      </w:r>
      <w:r>
        <w:t xml:space="preserve"> Number o</w:t>
      </w:r>
      <w:r w:rsidR="00B85D3B">
        <w:t>f</w:t>
      </w:r>
      <w:r>
        <w:t xml:space="preserve"> </w:t>
      </w:r>
      <w:r w:rsidR="00DA3494">
        <w:t>electricity</w:t>
      </w:r>
      <w:r>
        <w:t xml:space="preserve"> customers with more than $300 in arrears and their average arrears</w:t>
      </w:r>
    </w:p>
    <w:p w14:paraId="301847FC" w14:textId="2C355C5A" w:rsidR="006575C4" w:rsidRDefault="00AB4D6A" w:rsidP="003A431D">
      <w:pPr>
        <w:spacing w:before="0" w:after="0"/>
        <w:ind w:left="556" w:firstLine="720"/>
      </w:pPr>
      <w:r>
        <w:rPr>
          <w:noProof/>
        </w:rPr>
        <w:drawing>
          <wp:inline distT="0" distB="0" distL="0" distR="0" wp14:anchorId="1624BCB1" wp14:editId="446DB2F4">
            <wp:extent cx="4261899" cy="2377440"/>
            <wp:effectExtent l="0" t="0" r="5715" b="3810"/>
            <wp:docPr id="1705994675" name="Chart 1">
              <a:extLst xmlns:a="http://schemas.openxmlformats.org/drawingml/2006/main">
                <a:ext uri="{FF2B5EF4-FFF2-40B4-BE49-F238E27FC236}">
                  <a16:creationId xmlns:a16="http://schemas.microsoft.com/office/drawing/2014/main" id="{F4608900-154A-3015-85A3-7479AEE2F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D66A36" w14:textId="37C9EE2D" w:rsidR="00227380" w:rsidRPr="006575C4" w:rsidRDefault="00227380" w:rsidP="00227380">
      <w:pPr>
        <w:pStyle w:val="Source"/>
        <w:spacing w:before="0" w:after="0"/>
        <w:ind w:left="1276" w:right="1276"/>
        <w:jc w:val="left"/>
      </w:pPr>
      <w:r w:rsidRPr="002241BC">
        <w:rPr>
          <w:b/>
          <w:bCs/>
        </w:rPr>
        <w:t>Source:</w:t>
      </w:r>
      <w:r w:rsidRPr="00447028">
        <w:t xml:space="preserve"> </w:t>
      </w:r>
      <w:r w:rsidR="006256FD">
        <w:t>Victorian Energy Market Dashboard</w:t>
      </w:r>
      <w:r w:rsidR="002241BC">
        <w:t>.</w:t>
      </w:r>
      <w:r w:rsidR="006256FD" w:rsidDel="006256FD">
        <w:t xml:space="preserve"> </w:t>
      </w:r>
    </w:p>
    <w:p w14:paraId="242514CD" w14:textId="66FB26A8" w:rsidR="004C366F" w:rsidRDefault="009C4F3C" w:rsidP="009C4F3C">
      <w:pPr>
        <w:pStyle w:val="Heading3numbered"/>
      </w:pPr>
      <w:bookmarkStart w:id="68" w:name="_Toc190957859"/>
      <w:r>
        <w:t>Customers on legacy contracts are at a higher risk of price shock due to large discounts or time-limited benefits, credits or rebates</w:t>
      </w:r>
      <w:bookmarkEnd w:id="68"/>
    </w:p>
    <w:p w14:paraId="706D38FA" w14:textId="1F237273" w:rsidR="002A1852" w:rsidRDefault="00397983" w:rsidP="00397983">
      <w:r>
        <w:t>Some energy contracts include conditional discounts or benefits which apply only when certain conditions are met. This can include discounts for paying a bill within a certain timeframe or using a certain payment method, such as direct debit.</w:t>
      </w:r>
    </w:p>
    <w:p w14:paraId="2B6CFCA6" w14:textId="37B3310B" w:rsidR="00397983" w:rsidRDefault="00397983" w:rsidP="00397983">
      <w:r>
        <w:t xml:space="preserve">Contracts may also include discounts, credits or rebates that expire before the end of the contract. If customers do not meet the required conditions or if benefits expire during the life of a contract, customers may be </w:t>
      </w:r>
      <w:r w:rsidR="003A3051">
        <w:t xml:space="preserve">penalised by being </w:t>
      </w:r>
      <w:r>
        <w:t xml:space="preserve">exposed to sudden increased costs. </w:t>
      </w:r>
    </w:p>
    <w:p w14:paraId="30CE9DD1" w14:textId="77777777" w:rsidR="00EF16EE" w:rsidRDefault="00397983" w:rsidP="00397983">
      <w:r>
        <w:t xml:space="preserve">Following the </w:t>
      </w:r>
      <w:r w:rsidR="00807F00">
        <w:t xml:space="preserve">2019 </w:t>
      </w:r>
      <w:r>
        <w:t xml:space="preserve">‘Ensuring contracts are clear and fair’ reforms, pay-on-time discounts have been capped at a level </w:t>
      </w:r>
      <w:r w:rsidR="005F037E">
        <w:t xml:space="preserve">the commission </w:t>
      </w:r>
      <w:r>
        <w:t>sets annually.</w:t>
      </w:r>
      <w:r>
        <w:rPr>
          <w:color w:val="000000"/>
          <w:sz w:val="18"/>
          <w:szCs w:val="18"/>
          <w:vertAlign w:val="superscript"/>
        </w:rPr>
        <w:footnoteReference w:id="83"/>
      </w:r>
      <w:r>
        <w:t xml:space="preserve"> This ensures customers who miss a bill payment do not face a large </w:t>
      </w:r>
      <w:r w:rsidR="0060773C">
        <w:t>cost penalty</w:t>
      </w:r>
      <w:r w:rsidR="006C19B7">
        <w:t>.</w:t>
      </w:r>
    </w:p>
    <w:p w14:paraId="0E1EF3D2" w14:textId="4BE9A5FE" w:rsidR="00956EB6" w:rsidRDefault="00FB0969" w:rsidP="00397983">
      <w:r>
        <w:lastRenderedPageBreak/>
        <w:t xml:space="preserve">Prior to these reforms, </w:t>
      </w:r>
      <w:r w:rsidR="008202AF">
        <w:t>energy offers could</w:t>
      </w:r>
      <w:r w:rsidR="00F53D3B">
        <w:t xml:space="preserve"> include</w:t>
      </w:r>
      <w:r w:rsidR="00770D4F">
        <w:t xml:space="preserve"> </w:t>
      </w:r>
      <w:r w:rsidR="000A6C5E">
        <w:t xml:space="preserve">very high </w:t>
      </w:r>
      <w:r w:rsidR="003B74D2">
        <w:t>conditional discounts</w:t>
      </w:r>
      <w:r w:rsidR="00EF16EE">
        <w:t xml:space="preserve">. These discounts were </w:t>
      </w:r>
      <w:r w:rsidR="00137AAB">
        <w:t xml:space="preserve">often as high </w:t>
      </w:r>
      <w:r w:rsidR="00CE6893">
        <w:t xml:space="preserve">as </w:t>
      </w:r>
      <w:r w:rsidR="00137AAB">
        <w:t>40 per cent</w:t>
      </w:r>
      <w:r w:rsidR="00CE6893">
        <w:t xml:space="preserve"> or more</w:t>
      </w:r>
      <w:r w:rsidR="00137AAB">
        <w:t xml:space="preserve">, </w:t>
      </w:r>
      <w:r w:rsidR="00FA3C98">
        <w:t xml:space="preserve">which meant that </w:t>
      </w:r>
      <w:r w:rsidR="00EA4441">
        <w:t xml:space="preserve">the cost to a customer of not meeting a discount condition could reach </w:t>
      </w:r>
      <w:r w:rsidR="0034766E">
        <w:t>up to $386</w:t>
      </w:r>
      <w:r w:rsidR="00B408C9">
        <w:t xml:space="preserve"> for electricity in 2018–19.</w:t>
      </w:r>
      <w:r w:rsidR="00B408C9">
        <w:rPr>
          <w:rStyle w:val="FootnoteReference"/>
        </w:rPr>
        <w:footnoteReference w:id="84"/>
      </w:r>
    </w:p>
    <w:p w14:paraId="5AF59721" w14:textId="77777777" w:rsidR="009C4F3C" w:rsidRDefault="00397983" w:rsidP="00397983">
      <w:r>
        <w:t xml:space="preserve">As demonstrated </w:t>
      </w:r>
      <w:r w:rsidRPr="00EA4395">
        <w:t>in</w:t>
      </w:r>
      <w:r w:rsidR="00EA4395">
        <w:t xml:space="preserve"> </w:t>
      </w:r>
      <w:r w:rsidR="00060C79" w:rsidRPr="00706F0D">
        <w:t xml:space="preserve">Table </w:t>
      </w:r>
      <w:r w:rsidR="006B2D88" w:rsidRPr="00706F0D">
        <w:t>3</w:t>
      </w:r>
      <w:r w:rsidRPr="00706F0D">
        <w:t>,</w:t>
      </w:r>
      <w:r w:rsidRPr="00EA4395">
        <w:t xml:space="preserve"> these</w:t>
      </w:r>
      <w:r>
        <w:t xml:space="preserve"> reforms have been effective</w:t>
      </w:r>
      <w:r w:rsidR="00262778">
        <w:t xml:space="preserve"> in </w:t>
      </w:r>
      <w:r w:rsidR="00726AC9">
        <w:t xml:space="preserve">addressing </w:t>
      </w:r>
      <w:r w:rsidR="007855E6">
        <w:t>this risk</w:t>
      </w:r>
      <w:r w:rsidR="002250DB">
        <w:t xml:space="preserve">, with a </w:t>
      </w:r>
      <w:r w:rsidR="00C270D0">
        <w:t xml:space="preserve">significant </w:t>
      </w:r>
      <w:r w:rsidR="00A00460">
        <w:t>reduc</w:t>
      </w:r>
      <w:r w:rsidR="00C270D0">
        <w:t>tion in</w:t>
      </w:r>
      <w:r w:rsidR="00A00460">
        <w:t xml:space="preserve"> </w:t>
      </w:r>
      <w:r w:rsidR="00262778">
        <w:t xml:space="preserve">the </w:t>
      </w:r>
      <w:r w:rsidR="006D1110">
        <w:t xml:space="preserve">proportion </w:t>
      </w:r>
      <w:r w:rsidR="00262778">
        <w:t xml:space="preserve">of plans </w:t>
      </w:r>
      <w:r w:rsidR="00ED6A2E">
        <w:t xml:space="preserve">offered </w:t>
      </w:r>
      <w:r w:rsidR="00262778">
        <w:t xml:space="preserve">with conditional discounts since the reforms came into effect </w:t>
      </w:r>
      <w:r w:rsidR="00C270D0">
        <w:t xml:space="preserve">on </w:t>
      </w:r>
      <w:r w:rsidR="00262778">
        <w:t>1 July 2020.</w:t>
      </w:r>
      <w:r w:rsidR="008A11E6">
        <w:rPr>
          <w:rStyle w:val="FootnoteReference"/>
        </w:rPr>
        <w:footnoteReference w:id="85"/>
      </w:r>
    </w:p>
    <w:p w14:paraId="0B394BBD" w14:textId="78F8F012" w:rsidR="00217335" w:rsidRDefault="00060C79" w:rsidP="002241BC">
      <w:pPr>
        <w:pStyle w:val="Figure-Table-BoxSubtitle"/>
        <w:ind w:left="0"/>
      </w:pPr>
      <w:r w:rsidRPr="002241BC">
        <w:rPr>
          <w:rStyle w:val="Figure-Table-BoxHeadingChar"/>
        </w:rPr>
        <w:t xml:space="preserve">Table </w:t>
      </w:r>
      <w:r w:rsidR="006B2D88" w:rsidRPr="002241BC">
        <w:rPr>
          <w:rStyle w:val="Figure-Table-BoxHeadingChar"/>
        </w:rPr>
        <w:t>3</w:t>
      </w:r>
      <w:r w:rsidR="0080776E" w:rsidRPr="002241BC">
        <w:rPr>
          <w:rStyle w:val="Figure-Table-BoxHeadingChar"/>
        </w:rPr>
        <w:t>:</w:t>
      </w:r>
      <w:r w:rsidR="00217335">
        <w:t xml:space="preserve"> Proportion of customers on plans with a conditional discount, by offer start date and customer type</w:t>
      </w:r>
    </w:p>
    <w:tbl>
      <w:tblPr>
        <w:tblStyle w:val="TableGrid"/>
        <w:tblW w:w="9498" w:type="dxa"/>
        <w:tblLook w:val="04A0" w:firstRow="1" w:lastRow="0" w:firstColumn="1" w:lastColumn="0" w:noHBand="0" w:noVBand="1"/>
      </w:tblPr>
      <w:tblGrid>
        <w:gridCol w:w="3969"/>
        <w:gridCol w:w="2835"/>
        <w:gridCol w:w="2694"/>
      </w:tblGrid>
      <w:tr w:rsidR="00A9380E" w14:paraId="3A29186C" w14:textId="77777777">
        <w:trPr>
          <w:cnfStyle w:val="100000000000" w:firstRow="1" w:lastRow="0" w:firstColumn="0" w:lastColumn="0" w:oddVBand="0" w:evenVBand="0" w:oddHBand="0" w:evenHBand="0" w:firstRowFirstColumn="0" w:firstRowLastColumn="0" w:lastRowFirstColumn="0" w:lastRowLastColumn="0"/>
          <w:trHeight w:val="57"/>
        </w:trPr>
        <w:tc>
          <w:tcPr>
            <w:tcW w:w="3969" w:type="dxa"/>
          </w:tcPr>
          <w:p w14:paraId="0935EE66" w14:textId="77777777" w:rsidR="00A9380E" w:rsidRPr="00800122" w:rsidRDefault="00A9380E">
            <w:pPr>
              <w:keepNext/>
              <w:keepLines/>
              <w:spacing w:before="0" w:line="240" w:lineRule="auto"/>
              <w:rPr>
                <w:sz w:val="20"/>
                <w:szCs w:val="20"/>
              </w:rPr>
            </w:pPr>
            <w:r w:rsidRPr="00800122">
              <w:rPr>
                <w:sz w:val="20"/>
                <w:szCs w:val="20"/>
              </w:rPr>
              <w:t>Customer type</w:t>
            </w:r>
          </w:p>
        </w:tc>
        <w:tc>
          <w:tcPr>
            <w:tcW w:w="5529" w:type="dxa"/>
            <w:gridSpan w:val="2"/>
          </w:tcPr>
          <w:p w14:paraId="7507753A" w14:textId="77777777" w:rsidR="00A9380E" w:rsidRPr="00800122" w:rsidRDefault="00A9380E">
            <w:pPr>
              <w:keepNext/>
              <w:keepLines/>
              <w:spacing w:before="0" w:line="240" w:lineRule="auto"/>
              <w:jc w:val="center"/>
              <w:rPr>
                <w:sz w:val="20"/>
                <w:szCs w:val="20"/>
              </w:rPr>
            </w:pPr>
            <w:r w:rsidRPr="00800122">
              <w:rPr>
                <w:sz w:val="20"/>
                <w:szCs w:val="20"/>
              </w:rPr>
              <w:t>Offer start date</w:t>
            </w:r>
          </w:p>
        </w:tc>
      </w:tr>
      <w:tr w:rsidR="00A9380E" w14:paraId="42C6E5F3" w14:textId="77777777">
        <w:trPr>
          <w:cnfStyle w:val="000000100000" w:firstRow="0" w:lastRow="0" w:firstColumn="0" w:lastColumn="0" w:oddVBand="0" w:evenVBand="0" w:oddHBand="1" w:evenHBand="0" w:firstRowFirstColumn="0" w:firstRowLastColumn="0" w:lastRowFirstColumn="0" w:lastRowLastColumn="0"/>
          <w:trHeight w:val="57"/>
        </w:trPr>
        <w:tc>
          <w:tcPr>
            <w:tcW w:w="3969" w:type="dxa"/>
          </w:tcPr>
          <w:p w14:paraId="559AC5DE" w14:textId="77777777" w:rsidR="00A9380E" w:rsidRPr="00800122" w:rsidRDefault="00A9380E">
            <w:pPr>
              <w:keepNext/>
              <w:keepLines/>
              <w:spacing w:before="0" w:line="240" w:lineRule="auto"/>
              <w:rPr>
                <w:sz w:val="20"/>
                <w:szCs w:val="20"/>
              </w:rPr>
            </w:pPr>
          </w:p>
        </w:tc>
        <w:tc>
          <w:tcPr>
            <w:tcW w:w="2835" w:type="dxa"/>
          </w:tcPr>
          <w:p w14:paraId="2DA5BF4C" w14:textId="77777777" w:rsidR="00A9380E" w:rsidRPr="00800122" w:rsidRDefault="00A9380E">
            <w:pPr>
              <w:keepNext/>
              <w:keepLines/>
              <w:spacing w:before="0" w:line="240" w:lineRule="auto"/>
              <w:jc w:val="center"/>
              <w:rPr>
                <w:b/>
                <w:sz w:val="20"/>
                <w:szCs w:val="20"/>
              </w:rPr>
            </w:pPr>
            <w:r w:rsidRPr="00800122">
              <w:rPr>
                <w:b/>
                <w:sz w:val="20"/>
                <w:szCs w:val="20"/>
              </w:rPr>
              <w:t>Before 1 July 2020</w:t>
            </w:r>
          </w:p>
        </w:tc>
        <w:tc>
          <w:tcPr>
            <w:tcW w:w="2694" w:type="dxa"/>
          </w:tcPr>
          <w:p w14:paraId="4AA8A4CB" w14:textId="77777777" w:rsidR="00A9380E" w:rsidRPr="00800122" w:rsidRDefault="00A9380E">
            <w:pPr>
              <w:keepNext/>
              <w:keepLines/>
              <w:spacing w:before="0" w:line="240" w:lineRule="auto"/>
              <w:jc w:val="center"/>
              <w:rPr>
                <w:b/>
                <w:sz w:val="20"/>
                <w:szCs w:val="20"/>
              </w:rPr>
            </w:pPr>
            <w:r w:rsidRPr="00800122">
              <w:rPr>
                <w:b/>
                <w:sz w:val="20"/>
                <w:szCs w:val="20"/>
              </w:rPr>
              <w:t>After 1 July 2020</w:t>
            </w:r>
          </w:p>
        </w:tc>
      </w:tr>
      <w:tr w:rsidR="00A9380E" w14:paraId="79A21C1D" w14:textId="77777777">
        <w:trPr>
          <w:cnfStyle w:val="000000010000" w:firstRow="0" w:lastRow="0" w:firstColumn="0" w:lastColumn="0" w:oddVBand="0" w:evenVBand="0" w:oddHBand="0" w:evenHBand="1" w:firstRowFirstColumn="0" w:firstRowLastColumn="0" w:lastRowFirstColumn="0" w:lastRowLastColumn="0"/>
          <w:trHeight w:val="57"/>
        </w:trPr>
        <w:tc>
          <w:tcPr>
            <w:tcW w:w="3969" w:type="dxa"/>
          </w:tcPr>
          <w:p w14:paraId="63706BD3" w14:textId="77777777" w:rsidR="00A9380E" w:rsidRPr="00800122" w:rsidRDefault="00A9380E">
            <w:pPr>
              <w:keepNext/>
              <w:keepLines/>
              <w:spacing w:before="0" w:line="240" w:lineRule="auto"/>
              <w:rPr>
                <w:sz w:val="20"/>
                <w:szCs w:val="20"/>
              </w:rPr>
            </w:pPr>
            <w:r w:rsidRPr="00800122">
              <w:rPr>
                <w:sz w:val="20"/>
                <w:szCs w:val="20"/>
              </w:rPr>
              <w:t>Receiving payment difficulty support</w:t>
            </w:r>
          </w:p>
        </w:tc>
        <w:tc>
          <w:tcPr>
            <w:tcW w:w="2835" w:type="dxa"/>
          </w:tcPr>
          <w:p w14:paraId="6AE5619B" w14:textId="77777777" w:rsidR="00A9380E" w:rsidRPr="00800122" w:rsidRDefault="00A9380E">
            <w:pPr>
              <w:keepNext/>
              <w:keepLines/>
              <w:spacing w:before="0" w:line="240" w:lineRule="auto"/>
              <w:jc w:val="center"/>
              <w:rPr>
                <w:sz w:val="20"/>
                <w:szCs w:val="20"/>
              </w:rPr>
            </w:pPr>
            <w:r w:rsidRPr="00800122">
              <w:rPr>
                <w:sz w:val="20"/>
                <w:szCs w:val="20"/>
              </w:rPr>
              <w:t>33%</w:t>
            </w:r>
          </w:p>
        </w:tc>
        <w:tc>
          <w:tcPr>
            <w:tcW w:w="2694" w:type="dxa"/>
          </w:tcPr>
          <w:p w14:paraId="7CDE5CFC" w14:textId="77777777" w:rsidR="00A9380E" w:rsidRPr="00800122" w:rsidRDefault="00A9380E">
            <w:pPr>
              <w:keepNext/>
              <w:keepLines/>
              <w:spacing w:before="0" w:line="240" w:lineRule="auto"/>
              <w:jc w:val="center"/>
              <w:rPr>
                <w:sz w:val="20"/>
                <w:szCs w:val="20"/>
              </w:rPr>
            </w:pPr>
            <w:r w:rsidRPr="00800122">
              <w:rPr>
                <w:sz w:val="20"/>
                <w:szCs w:val="20"/>
              </w:rPr>
              <w:t>1%</w:t>
            </w:r>
          </w:p>
        </w:tc>
      </w:tr>
      <w:tr w:rsidR="00A9380E" w14:paraId="2FE9D9DE" w14:textId="77777777">
        <w:trPr>
          <w:cnfStyle w:val="000000100000" w:firstRow="0" w:lastRow="0" w:firstColumn="0" w:lastColumn="0" w:oddVBand="0" w:evenVBand="0" w:oddHBand="1" w:evenHBand="0" w:firstRowFirstColumn="0" w:firstRowLastColumn="0" w:lastRowFirstColumn="0" w:lastRowLastColumn="0"/>
          <w:trHeight w:val="57"/>
        </w:trPr>
        <w:tc>
          <w:tcPr>
            <w:tcW w:w="3969" w:type="dxa"/>
          </w:tcPr>
          <w:p w14:paraId="5B1D8C61" w14:textId="77777777" w:rsidR="00A9380E" w:rsidRPr="00800122" w:rsidRDefault="00A9380E">
            <w:pPr>
              <w:keepNext/>
              <w:keepLines/>
              <w:spacing w:before="0" w:line="240" w:lineRule="auto"/>
              <w:rPr>
                <w:sz w:val="20"/>
                <w:szCs w:val="20"/>
              </w:rPr>
            </w:pPr>
            <w:r w:rsidRPr="00800122">
              <w:rPr>
                <w:sz w:val="20"/>
                <w:szCs w:val="20"/>
              </w:rPr>
              <w:t>Not receiving payment difficulty support</w:t>
            </w:r>
          </w:p>
        </w:tc>
        <w:tc>
          <w:tcPr>
            <w:tcW w:w="2835" w:type="dxa"/>
          </w:tcPr>
          <w:p w14:paraId="179F4B38" w14:textId="77777777" w:rsidR="00A9380E" w:rsidRPr="00800122" w:rsidRDefault="00A9380E">
            <w:pPr>
              <w:keepNext/>
              <w:keepLines/>
              <w:spacing w:before="0" w:line="240" w:lineRule="auto"/>
              <w:jc w:val="center"/>
              <w:rPr>
                <w:sz w:val="20"/>
                <w:szCs w:val="20"/>
              </w:rPr>
            </w:pPr>
            <w:r w:rsidRPr="00800122">
              <w:rPr>
                <w:sz w:val="20"/>
                <w:szCs w:val="20"/>
              </w:rPr>
              <w:t>47%</w:t>
            </w:r>
          </w:p>
        </w:tc>
        <w:tc>
          <w:tcPr>
            <w:tcW w:w="2694" w:type="dxa"/>
          </w:tcPr>
          <w:p w14:paraId="55155EFC" w14:textId="77777777" w:rsidR="00A9380E" w:rsidRPr="00800122" w:rsidRDefault="00A9380E">
            <w:pPr>
              <w:keepNext/>
              <w:keepLines/>
              <w:spacing w:before="0" w:line="240" w:lineRule="auto"/>
              <w:jc w:val="center"/>
              <w:rPr>
                <w:sz w:val="20"/>
                <w:szCs w:val="20"/>
              </w:rPr>
            </w:pPr>
            <w:r w:rsidRPr="00800122">
              <w:rPr>
                <w:sz w:val="20"/>
                <w:szCs w:val="20"/>
              </w:rPr>
              <w:t>2%</w:t>
            </w:r>
          </w:p>
        </w:tc>
      </w:tr>
      <w:tr w:rsidR="00A9380E" w14:paraId="76260A38" w14:textId="77777777">
        <w:trPr>
          <w:cnfStyle w:val="000000010000" w:firstRow="0" w:lastRow="0" w:firstColumn="0" w:lastColumn="0" w:oddVBand="0" w:evenVBand="0" w:oddHBand="0" w:evenHBand="1" w:firstRowFirstColumn="0" w:firstRowLastColumn="0" w:lastRowFirstColumn="0" w:lastRowLastColumn="0"/>
          <w:trHeight w:val="57"/>
        </w:trPr>
        <w:tc>
          <w:tcPr>
            <w:tcW w:w="3969" w:type="dxa"/>
          </w:tcPr>
          <w:p w14:paraId="3957D7D7" w14:textId="77777777" w:rsidR="00A9380E" w:rsidRPr="00800122" w:rsidRDefault="00A9380E">
            <w:pPr>
              <w:keepNext/>
              <w:keepLines/>
              <w:spacing w:before="0" w:line="240" w:lineRule="auto"/>
              <w:rPr>
                <w:sz w:val="20"/>
                <w:szCs w:val="20"/>
              </w:rPr>
            </w:pPr>
            <w:r w:rsidRPr="00800122">
              <w:rPr>
                <w:sz w:val="20"/>
                <w:szCs w:val="20"/>
              </w:rPr>
              <w:t>All customers</w:t>
            </w:r>
          </w:p>
        </w:tc>
        <w:tc>
          <w:tcPr>
            <w:tcW w:w="2835" w:type="dxa"/>
          </w:tcPr>
          <w:p w14:paraId="7A0023CD" w14:textId="77777777" w:rsidR="00A9380E" w:rsidRPr="00800122" w:rsidRDefault="00A9380E">
            <w:pPr>
              <w:keepNext/>
              <w:keepLines/>
              <w:spacing w:before="0" w:line="240" w:lineRule="auto"/>
              <w:jc w:val="center"/>
              <w:rPr>
                <w:sz w:val="20"/>
                <w:szCs w:val="20"/>
              </w:rPr>
            </w:pPr>
            <w:r w:rsidRPr="00800122">
              <w:rPr>
                <w:sz w:val="20"/>
                <w:szCs w:val="20"/>
              </w:rPr>
              <w:t>46%</w:t>
            </w:r>
          </w:p>
        </w:tc>
        <w:tc>
          <w:tcPr>
            <w:tcW w:w="2694" w:type="dxa"/>
          </w:tcPr>
          <w:p w14:paraId="726A615C" w14:textId="77777777" w:rsidR="00A9380E" w:rsidRPr="00800122" w:rsidRDefault="00A9380E">
            <w:pPr>
              <w:keepNext/>
              <w:keepLines/>
              <w:spacing w:before="0" w:line="240" w:lineRule="auto"/>
              <w:jc w:val="center"/>
              <w:rPr>
                <w:sz w:val="20"/>
                <w:szCs w:val="20"/>
              </w:rPr>
            </w:pPr>
            <w:r w:rsidRPr="00800122">
              <w:rPr>
                <w:sz w:val="20"/>
                <w:szCs w:val="20"/>
              </w:rPr>
              <w:t>2%</w:t>
            </w:r>
          </w:p>
        </w:tc>
      </w:tr>
    </w:tbl>
    <w:p w14:paraId="2C62F3AA" w14:textId="77777777" w:rsidR="00A9380E" w:rsidRDefault="00A9380E" w:rsidP="00373C71">
      <w:pPr>
        <w:pStyle w:val="Caption"/>
        <w:keepNext/>
        <w:keepLines/>
        <w:spacing w:after="120" w:line="240" w:lineRule="auto"/>
      </w:pPr>
      <w:r w:rsidRPr="002241BC">
        <w:rPr>
          <w:b/>
          <w:bCs/>
        </w:rPr>
        <w:t>Source:</w:t>
      </w:r>
      <w:r>
        <w:t xml:space="preserve"> Analysis of a sample of residential electricity customers’ billing data.</w:t>
      </w:r>
    </w:p>
    <w:p w14:paraId="578238E2" w14:textId="77777777" w:rsidR="00A9380E" w:rsidRDefault="00A9380E" w:rsidP="002241BC">
      <w:pPr>
        <w:pStyle w:val="Figure-Table-BoxSubtitle"/>
        <w:ind w:left="0"/>
      </w:pPr>
    </w:p>
    <w:p w14:paraId="58AD08A3" w14:textId="77777777" w:rsidR="00417B91" w:rsidRDefault="00417B91" w:rsidP="00417B91">
      <w:r>
        <w:t>These reforms also introduced changes so that any customer signing up to a new offer with a discount, credit or rebate would continue to receive that benefit for the entire duration of the contract.</w:t>
      </w:r>
    </w:p>
    <w:p w14:paraId="410159CB" w14:textId="77777777" w:rsidR="00CC7879" w:rsidRDefault="00C94AE3" w:rsidP="00C94AE3">
      <w:r>
        <w:t>However, customers who are on contracts entered into prior to the 1 July 2020 commencement of the ‘Ensuring contracts are clear and fair’ reforms (referred to as</w:t>
      </w:r>
      <w:r w:rsidR="00B06B8A">
        <w:t xml:space="preserve"> customers on</w:t>
      </w:r>
      <w:r>
        <w:t xml:space="preserve"> ‘legacy contracts’) are not covered by these protections.</w:t>
      </w:r>
    </w:p>
    <w:p w14:paraId="19B7E267" w14:textId="011ECF6A" w:rsidR="00C94AE3" w:rsidRDefault="00C94AE3" w:rsidP="00C94AE3">
      <w:r>
        <w:t xml:space="preserve">These legacy contracts may still include significant pay-on-time discounts or benefits which could expire during the lifespan of the contract. Customers on these </w:t>
      </w:r>
      <w:r w:rsidRPr="000E309E">
        <w:t>legacy contracts therefore remain at risk of price shock if they do not meet the discount conditions or</w:t>
      </w:r>
      <w:r w:rsidRPr="00E24A33">
        <w:t xml:space="preserve"> if</w:t>
      </w:r>
      <w:r w:rsidRPr="000E309E">
        <w:t xml:space="preserve"> benefits </w:t>
      </w:r>
      <w:r>
        <w:t>suddenly expire</w:t>
      </w:r>
      <w:r w:rsidR="00D97C1E">
        <w:t xml:space="preserve"> (</w:t>
      </w:r>
      <w:r w:rsidR="00F10297">
        <w:t>al</w:t>
      </w:r>
      <w:r w:rsidR="00D97C1E">
        <w:t>though</w:t>
      </w:r>
      <w:r w:rsidR="00EC18B5">
        <w:t xml:space="preserve"> time-limited benefits</w:t>
      </w:r>
      <w:r w:rsidR="00CF11A3">
        <w:t xml:space="preserve"> </w:t>
      </w:r>
      <w:r w:rsidR="00B817CA">
        <w:t xml:space="preserve">attached to legacy contracts </w:t>
      </w:r>
      <w:r w:rsidR="00553FDA">
        <w:t xml:space="preserve">are likely to have </w:t>
      </w:r>
      <w:r w:rsidR="00217D0C">
        <w:t xml:space="preserve">already </w:t>
      </w:r>
      <w:r w:rsidR="00B817CA">
        <w:t>expired</w:t>
      </w:r>
      <w:r w:rsidR="00217D0C">
        <w:t>)</w:t>
      </w:r>
      <w:r>
        <w:t xml:space="preserve">. </w:t>
      </w:r>
    </w:p>
    <w:p w14:paraId="34E43563" w14:textId="23AC6E9C" w:rsidR="00C94AE3" w:rsidRDefault="006D0D97" w:rsidP="00C94AE3">
      <w:r>
        <w:t>Our analysis</w:t>
      </w:r>
      <w:r w:rsidR="001025AE">
        <w:t>,</w:t>
      </w:r>
      <w:r>
        <w:t xml:space="preserve"> b</w:t>
      </w:r>
      <w:r w:rsidR="00C94AE3">
        <w:t>ased on a sample of Victorian residential electricity customers conducted in 2023</w:t>
      </w:r>
      <w:r w:rsidR="001025AE">
        <w:t>,</w:t>
      </w:r>
      <w:r w:rsidR="00C94AE3">
        <w:t xml:space="preserve"> </w:t>
      </w:r>
      <w:r>
        <w:t>i</w:t>
      </w:r>
      <w:r w:rsidR="00C94AE3">
        <w:t xml:space="preserve">ndicated that around five per cent of </w:t>
      </w:r>
      <w:r>
        <w:t>all</w:t>
      </w:r>
      <w:r w:rsidR="00C94AE3">
        <w:t xml:space="preserve"> customers were still on legacy contracts with conditional pay-on-time discounts greater than five per cent. </w:t>
      </w:r>
      <w:r w:rsidR="00731BDF">
        <w:t xml:space="preserve">While this is down from </w:t>
      </w:r>
      <w:r w:rsidR="00A34E69">
        <w:t>8</w:t>
      </w:r>
      <w:r w:rsidR="00731BDF">
        <w:t xml:space="preserve"> per cent in 2022 and 14 </w:t>
      </w:r>
      <w:r w:rsidR="00731BDF">
        <w:lastRenderedPageBreak/>
        <w:t>per cent in 2021, some Victorian consumers remain on legacy contracts which do not provide them the same protections as customers</w:t>
      </w:r>
      <w:r w:rsidR="00DF5A30">
        <w:t xml:space="preserve"> who</w:t>
      </w:r>
      <w:r w:rsidR="00731BDF">
        <w:t xml:space="preserve"> entered into</w:t>
      </w:r>
      <w:r w:rsidR="00DF5A30">
        <w:t xml:space="preserve"> new contracts</w:t>
      </w:r>
      <w:r w:rsidR="00731BDF">
        <w:t xml:space="preserve"> following th</w:t>
      </w:r>
      <w:r w:rsidR="00DF5A30">
        <w:t>ose</w:t>
      </w:r>
      <w:r w:rsidR="00731BDF">
        <w:t xml:space="preserve"> reforms. </w:t>
      </w:r>
    </w:p>
    <w:p w14:paraId="315F6B61" w14:textId="291C1C6F" w:rsidR="002F5286" w:rsidRDefault="009A42C4" w:rsidP="002241BC">
      <w:pPr>
        <w:pStyle w:val="Figure-Table-BoxSubtitle"/>
        <w:ind w:left="0"/>
      </w:pPr>
      <w:r w:rsidRPr="000F6481">
        <w:rPr>
          <w:rStyle w:val="Figure-Table-BoxHeadingChar"/>
        </w:rPr>
        <w:t xml:space="preserve">Figure </w:t>
      </w:r>
      <w:r w:rsidR="00037CDF" w:rsidRPr="000F6481">
        <w:rPr>
          <w:rStyle w:val="Figure-Table-BoxHeadingChar"/>
        </w:rPr>
        <w:t>1</w:t>
      </w:r>
      <w:r w:rsidR="00AC068F" w:rsidRPr="000F6481">
        <w:rPr>
          <w:rStyle w:val="Figure-Table-BoxHeadingChar"/>
        </w:rPr>
        <w:t>2</w:t>
      </w:r>
      <w:r w:rsidRPr="000F6481">
        <w:rPr>
          <w:rStyle w:val="Figure-Table-BoxHeadingChar"/>
        </w:rPr>
        <w:t>:</w:t>
      </w:r>
      <w:r>
        <w:t xml:space="preserve"> Legacy contract electricity consumers with conditional pay-on-time discounts greater than five per cent </w:t>
      </w:r>
    </w:p>
    <w:p w14:paraId="11AABF81" w14:textId="18913EAC" w:rsidR="002F5286" w:rsidRDefault="002F5286" w:rsidP="002D3BF3">
      <w:pPr>
        <w:spacing w:before="0" w:after="0"/>
        <w:jc w:val="center"/>
      </w:pPr>
      <w:r>
        <w:rPr>
          <w:noProof/>
        </w:rPr>
        <w:drawing>
          <wp:inline distT="0" distB="0" distL="0" distR="0" wp14:anchorId="171E06C8" wp14:editId="4106CD6B">
            <wp:extent cx="4349364" cy="2512612"/>
            <wp:effectExtent l="0" t="0" r="13335" b="2540"/>
            <wp:docPr id="1578344604" name="Chart 1">
              <a:extLst xmlns:a="http://schemas.openxmlformats.org/drawingml/2006/main">
                <a:ext uri="{FF2B5EF4-FFF2-40B4-BE49-F238E27FC236}">
                  <a16:creationId xmlns:a16="http://schemas.microsoft.com/office/drawing/2014/main" id="{6D1C5A85-886A-E6A2-BF3D-6BFE3C382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8AA8D03" w14:textId="77777777" w:rsidR="00AD2446" w:rsidRDefault="00AD2446" w:rsidP="00AD2446">
      <w:pPr>
        <w:pStyle w:val="Caption"/>
        <w:keepNext/>
        <w:spacing w:before="0" w:after="0"/>
        <w:ind w:left="1276"/>
      </w:pPr>
      <w:r w:rsidRPr="000F6481">
        <w:rPr>
          <w:b/>
          <w:bCs/>
        </w:rPr>
        <w:t>Source:</w:t>
      </w:r>
      <w:r>
        <w:t xml:space="preserve"> Analysis of a sample of residential electricity customers’ billing data.</w:t>
      </w:r>
    </w:p>
    <w:p w14:paraId="04DE0BE5" w14:textId="77777777" w:rsidR="00AD2446" w:rsidRPr="002F5286" w:rsidRDefault="00AD2446" w:rsidP="002D3BF3">
      <w:pPr>
        <w:spacing w:before="0" w:after="0"/>
        <w:jc w:val="center"/>
      </w:pPr>
    </w:p>
    <w:p w14:paraId="48D779B3" w14:textId="7B72F152" w:rsidR="00355F2F" w:rsidRDefault="00216125" w:rsidP="00F0709A">
      <w:pPr>
        <w:pStyle w:val="Heading3numbered"/>
      </w:pPr>
      <w:bookmarkStart w:id="69" w:name="_Toc190957860"/>
      <w:r>
        <w:t>Some</w:t>
      </w:r>
      <w:r w:rsidR="00731BDF">
        <w:t xml:space="preserve"> customer</w:t>
      </w:r>
      <w:r w:rsidR="00F0709A">
        <w:t>s</w:t>
      </w:r>
      <w:r w:rsidR="00731BDF">
        <w:t xml:space="preserve"> who are eligible for energy </w:t>
      </w:r>
      <w:r w:rsidR="003422A2">
        <w:t>concession</w:t>
      </w:r>
      <w:r w:rsidR="00C87525">
        <w:t>s</w:t>
      </w:r>
      <w:r w:rsidR="007174E0">
        <w:t xml:space="preserve"> </w:t>
      </w:r>
      <w:r w:rsidR="00731BDF">
        <w:t xml:space="preserve">are not </w:t>
      </w:r>
      <w:r w:rsidR="00C46F7F">
        <w:t>receiving them</w:t>
      </w:r>
      <w:bookmarkEnd w:id="69"/>
    </w:p>
    <w:p w14:paraId="750B9029" w14:textId="3BCD8008" w:rsidR="0016574A" w:rsidRDefault="00C67BE9" w:rsidP="00C67BE9">
      <w:r>
        <w:t xml:space="preserve">In Victoria, customers </w:t>
      </w:r>
      <w:r w:rsidR="00992F53">
        <w:t xml:space="preserve">who hold </w:t>
      </w:r>
      <w:r>
        <w:t>a Health Care Card, Pension Concession Card or Veteran Affairs Gold Card are eligible for energy bill concessions</w:t>
      </w:r>
      <w:r w:rsidR="00270039">
        <w:t xml:space="preserve"> through a program administered by the Department of Families, Fairness and Housing</w:t>
      </w:r>
      <w:r>
        <w:t>.</w:t>
      </w:r>
      <w:r>
        <w:rPr>
          <w:rStyle w:val="FootnoteReference"/>
        </w:rPr>
        <w:footnoteReference w:id="86"/>
      </w:r>
    </w:p>
    <w:p w14:paraId="175A7EFD" w14:textId="10301CDA" w:rsidR="007E3645" w:rsidRDefault="00BF7721" w:rsidP="00C67BE9">
      <w:r>
        <w:t xml:space="preserve">Households eligible for </w:t>
      </w:r>
      <w:r w:rsidR="00106105">
        <w:t>annual electricity</w:t>
      </w:r>
      <w:r w:rsidR="005A1729">
        <w:t xml:space="preserve"> concessions </w:t>
      </w:r>
      <w:r w:rsidR="008219A6">
        <w:t xml:space="preserve">receive </w:t>
      </w:r>
      <w:r w:rsidR="00A72A1F">
        <w:t>17.5 per</w:t>
      </w:r>
      <w:r w:rsidR="001025AE">
        <w:t xml:space="preserve"> </w:t>
      </w:r>
      <w:r w:rsidR="00A72A1F">
        <w:t>cent</w:t>
      </w:r>
      <w:r w:rsidR="00CD05F5">
        <w:t xml:space="preserve"> off </w:t>
      </w:r>
      <w:r w:rsidR="00BB1A5F">
        <w:t xml:space="preserve">the remainder of </w:t>
      </w:r>
      <w:r w:rsidR="00CD05F5">
        <w:t>the</w:t>
      </w:r>
      <w:r w:rsidR="00FC6E85">
        <w:t>ir bill</w:t>
      </w:r>
      <w:r w:rsidR="00424687">
        <w:t>s</w:t>
      </w:r>
      <w:r w:rsidR="00FC6E85">
        <w:t xml:space="preserve"> after they have paid </w:t>
      </w:r>
      <w:r w:rsidR="00424687">
        <w:t xml:space="preserve">the first </w:t>
      </w:r>
      <w:r w:rsidR="00FC6E85">
        <w:t>$</w:t>
      </w:r>
      <w:r w:rsidR="00DA2173">
        <w:t>171.60</w:t>
      </w:r>
      <w:r w:rsidR="00BB1A5F">
        <w:t>.</w:t>
      </w:r>
      <w:r w:rsidR="00424687">
        <w:t xml:space="preserve"> Households eligible for a winter gas concession receive 17.5 per cent off the remainder of their bills after they have paid the first $62.40. Other energy concessions are</w:t>
      </w:r>
      <w:r w:rsidR="00B03178">
        <w:t xml:space="preserve"> also available, including:</w:t>
      </w:r>
    </w:p>
    <w:p w14:paraId="05DCDCB0" w14:textId="7DA25082" w:rsidR="00B03178" w:rsidRDefault="00A3665E" w:rsidP="00A92E17">
      <w:pPr>
        <w:pStyle w:val="ListBullet"/>
      </w:pPr>
      <w:r>
        <w:t>excess electricity concession</w:t>
      </w:r>
    </w:p>
    <w:p w14:paraId="059A86C8" w14:textId="3CAD6DCA" w:rsidR="00A3665E" w:rsidRDefault="00A3665E" w:rsidP="00A92E17">
      <w:pPr>
        <w:pStyle w:val="ListBullet"/>
      </w:pPr>
      <w:r>
        <w:t>excess gas concession</w:t>
      </w:r>
    </w:p>
    <w:p w14:paraId="7AA4CDCD" w14:textId="747311D5" w:rsidR="00A3665E" w:rsidRDefault="00A3665E" w:rsidP="00A92E17">
      <w:pPr>
        <w:pStyle w:val="ListBullet"/>
      </w:pPr>
      <w:r>
        <w:t>life support concession</w:t>
      </w:r>
    </w:p>
    <w:p w14:paraId="73458AFB" w14:textId="068EDC34" w:rsidR="00A3665E" w:rsidRDefault="00A3665E" w:rsidP="00A92E17">
      <w:pPr>
        <w:pStyle w:val="ListBullet"/>
      </w:pPr>
      <w:r>
        <w:t>medical cooling concession</w:t>
      </w:r>
    </w:p>
    <w:p w14:paraId="3A8908EC" w14:textId="7AD14C5D" w:rsidR="00A3665E" w:rsidRDefault="00A3665E" w:rsidP="00A92E17">
      <w:pPr>
        <w:pStyle w:val="ListBullet"/>
      </w:pPr>
      <w:r>
        <w:lastRenderedPageBreak/>
        <w:t>non-mains energy concession.</w:t>
      </w:r>
      <w:r>
        <w:rPr>
          <w:rStyle w:val="FootnoteReference"/>
        </w:rPr>
        <w:footnoteReference w:id="87"/>
      </w:r>
    </w:p>
    <w:p w14:paraId="5CFCB335" w14:textId="72981B53" w:rsidR="00C67BE9" w:rsidRDefault="00C67BE9" w:rsidP="00C67BE9">
      <w:r>
        <w:t>Research from the Consumer Policy Research Centre has shown that many Victorian customers who are eligible for concessions on their energy bill are not receiving them. This includes</w:t>
      </w:r>
      <w:r w:rsidR="00EB6E7F">
        <w:t xml:space="preserve"> an estimated</w:t>
      </w:r>
      <w:r>
        <w:t xml:space="preserve"> 7 per cent of customers eligible for concessions on their electricity </w:t>
      </w:r>
      <w:r w:rsidR="00AA6CE0">
        <w:t xml:space="preserve">bill </w:t>
      </w:r>
      <w:r>
        <w:t>and 12 per cent of customers eligible for concessions on their gas bill.</w:t>
      </w:r>
      <w:r>
        <w:rPr>
          <w:color w:val="000000"/>
          <w:sz w:val="18"/>
          <w:szCs w:val="18"/>
          <w:vertAlign w:val="superscript"/>
        </w:rPr>
        <w:footnoteReference w:id="88"/>
      </w:r>
      <w:r>
        <w:t xml:space="preserve"> </w:t>
      </w:r>
    </w:p>
    <w:p w14:paraId="6573DD2E" w14:textId="6B783701" w:rsidR="00C67BE9" w:rsidRDefault="00C67BE9" w:rsidP="00C67BE9">
      <w:r>
        <w:t xml:space="preserve">While this is a lower percentage than other NEM jurisdictions, this means that many Victorian households are not receiving the cost-of-living relief </w:t>
      </w:r>
      <w:r w:rsidR="007E39F1">
        <w:t>to which they are entitled</w:t>
      </w:r>
      <w:r>
        <w:t xml:space="preserve">. This is particularly problematic for low-income households </w:t>
      </w:r>
      <w:r w:rsidR="00C513FE">
        <w:t>who c</w:t>
      </w:r>
      <w:r>
        <w:t>ould significantly benefit from reduced energy costs</w:t>
      </w:r>
      <w:r w:rsidR="006C50A3">
        <w:t>.</w:t>
      </w:r>
      <w:r>
        <w:t xml:space="preserve"> </w:t>
      </w:r>
    </w:p>
    <w:p w14:paraId="756402C8" w14:textId="7CFA1B47" w:rsidR="002B46D1" w:rsidRDefault="002B46D1" w:rsidP="002B46D1">
      <w:r>
        <w:t xml:space="preserve">The Victorian Council of Social Services suggests some of the key reasons households are not </w:t>
      </w:r>
      <w:r w:rsidR="00DA0507">
        <w:t>receiving</w:t>
      </w:r>
      <w:r>
        <w:t xml:space="preserve"> concessions are:</w:t>
      </w:r>
    </w:p>
    <w:p w14:paraId="18CBA9F2" w14:textId="77777777" w:rsidR="002B46D1" w:rsidRDefault="002B46D1" w:rsidP="00D409D4">
      <w:pPr>
        <w:numPr>
          <w:ilvl w:val="0"/>
          <w:numId w:val="7"/>
        </w:numPr>
        <w:pBdr>
          <w:left w:val="none" w:sz="0" w:space="4" w:color="auto"/>
        </w:pBdr>
        <w:spacing w:after="0"/>
        <w:ind w:left="284" w:hanging="354"/>
        <w:rPr>
          <w:rFonts w:ascii="Times New Roman" w:eastAsia="Times New Roman" w:hAnsi="Times New Roman" w:cs="Times New Roman"/>
        </w:rPr>
      </w:pPr>
      <w:r>
        <w:t>lack of awareness about available concession schemes</w:t>
      </w:r>
    </w:p>
    <w:p w14:paraId="584362FB" w14:textId="77777777" w:rsidR="002B46D1" w:rsidRDefault="002B46D1" w:rsidP="00D409D4">
      <w:pPr>
        <w:numPr>
          <w:ilvl w:val="0"/>
          <w:numId w:val="7"/>
        </w:numPr>
        <w:pBdr>
          <w:left w:val="none" w:sz="0" w:space="4" w:color="auto"/>
        </w:pBdr>
        <w:spacing w:before="0" w:after="0"/>
        <w:ind w:left="284" w:hanging="354"/>
        <w:rPr>
          <w:rFonts w:ascii="Times New Roman" w:eastAsia="Times New Roman" w:hAnsi="Times New Roman" w:cs="Times New Roman"/>
        </w:rPr>
      </w:pPr>
      <w:r>
        <w:t>lack of awareness about the need for the consumer to take action to apply concessions to bills, or update details when a new card arrives</w:t>
      </w:r>
    </w:p>
    <w:p w14:paraId="2C392E9F" w14:textId="77777777" w:rsidR="002B46D1" w:rsidRDefault="002B46D1" w:rsidP="00D409D4">
      <w:pPr>
        <w:numPr>
          <w:ilvl w:val="0"/>
          <w:numId w:val="7"/>
        </w:numPr>
        <w:pBdr>
          <w:left w:val="none" w:sz="0" w:space="4" w:color="auto"/>
        </w:pBdr>
        <w:spacing w:before="0" w:after="0"/>
        <w:ind w:left="284" w:hanging="354"/>
        <w:rPr>
          <w:rFonts w:ascii="Times New Roman" w:eastAsia="Times New Roman" w:hAnsi="Times New Roman" w:cs="Times New Roman"/>
        </w:rPr>
      </w:pPr>
      <w:r>
        <w:t>language barriers</w:t>
      </w:r>
    </w:p>
    <w:p w14:paraId="28BE51C5" w14:textId="77777777" w:rsidR="002B46D1" w:rsidRDefault="002B46D1" w:rsidP="00D409D4">
      <w:pPr>
        <w:numPr>
          <w:ilvl w:val="0"/>
          <w:numId w:val="7"/>
        </w:numPr>
        <w:pBdr>
          <w:left w:val="none" w:sz="0" w:space="4" w:color="auto"/>
        </w:pBdr>
        <w:spacing w:before="0" w:after="0"/>
        <w:ind w:left="284" w:hanging="354"/>
        <w:rPr>
          <w:rFonts w:ascii="Times New Roman" w:eastAsia="Times New Roman" w:hAnsi="Times New Roman" w:cs="Times New Roman"/>
        </w:rPr>
      </w:pPr>
      <w:r>
        <w:t>complexity of forms and procedures</w:t>
      </w:r>
    </w:p>
    <w:p w14:paraId="2853BB66" w14:textId="77777777" w:rsidR="002B46D1" w:rsidRDefault="002B46D1" w:rsidP="00D409D4">
      <w:pPr>
        <w:numPr>
          <w:ilvl w:val="0"/>
          <w:numId w:val="7"/>
        </w:numPr>
        <w:pBdr>
          <w:left w:val="none" w:sz="0" w:space="4" w:color="auto"/>
        </w:pBdr>
        <w:spacing w:before="0" w:after="0"/>
        <w:ind w:left="284" w:hanging="354"/>
        <w:rPr>
          <w:rFonts w:ascii="Times New Roman" w:eastAsia="Times New Roman" w:hAnsi="Times New Roman" w:cs="Times New Roman"/>
        </w:rPr>
      </w:pPr>
      <w:r>
        <w:t>process errors between retailer and government systems</w:t>
      </w:r>
    </w:p>
    <w:p w14:paraId="2F4900D0" w14:textId="5D2C86FA" w:rsidR="002B46D1" w:rsidRDefault="002B46D1" w:rsidP="00D409D4">
      <w:pPr>
        <w:numPr>
          <w:ilvl w:val="0"/>
          <w:numId w:val="7"/>
        </w:numPr>
        <w:pBdr>
          <w:left w:val="none" w:sz="0" w:space="4" w:color="auto"/>
        </w:pBdr>
        <w:spacing w:before="0"/>
        <w:ind w:left="284" w:hanging="354"/>
        <w:rPr>
          <w:rFonts w:ascii="Times New Roman" w:eastAsia="Times New Roman" w:hAnsi="Times New Roman" w:cs="Times New Roman"/>
        </w:rPr>
      </w:pPr>
      <w:r>
        <w:t>stigma attached to claiming assistance and concessions</w:t>
      </w:r>
      <w:r w:rsidRPr="001538FF">
        <w:t>.</w:t>
      </w:r>
      <w:r w:rsidRPr="001538FF">
        <w:rPr>
          <w:rStyle w:val="FootnoteReference"/>
        </w:rPr>
        <w:footnoteReference w:id="89"/>
      </w:r>
      <w:r w:rsidRPr="001538FF">
        <w:t xml:space="preserve"> </w:t>
      </w:r>
    </w:p>
    <w:p w14:paraId="1EB0ED5A" w14:textId="10431A50" w:rsidR="002B46D1" w:rsidRDefault="002B46D1" w:rsidP="002B46D1">
      <w:r>
        <w:t>Lack of awareness of the availability of energy bill concessions appears to be a particularly important barrier to claiming concessions. Data from a recent national survey indicated that roughly one-third of Australians who have at least one concession card were unaware that they may be able to claim concessions on their energy bills or did not think they were eligible.</w:t>
      </w:r>
      <w:r w:rsidRPr="001538FF">
        <w:rPr>
          <w:color w:val="000000"/>
          <w:vertAlign w:val="superscript"/>
        </w:rPr>
        <w:footnoteReference w:id="90"/>
      </w:r>
      <w:r w:rsidRPr="001538FF">
        <w:t xml:space="preserve"> </w:t>
      </w:r>
    </w:p>
    <w:p w14:paraId="048E5B9B" w14:textId="30DE3BF9" w:rsidR="002B46D1" w:rsidRDefault="002B46D1" w:rsidP="002B46D1">
      <w:r>
        <w:t xml:space="preserve">While </w:t>
      </w:r>
      <w:r w:rsidRPr="001538FF">
        <w:t>retailers are currently required to provide customers with information about concessions and eligibility criteria</w:t>
      </w:r>
      <w:r w:rsidR="00556E0E" w:rsidRPr="001538FF">
        <w:t>,</w:t>
      </w:r>
      <w:r w:rsidRPr="001538FF">
        <w:rPr>
          <w:rStyle w:val="FootnoteReference"/>
        </w:rPr>
        <w:footnoteReference w:id="91"/>
      </w:r>
      <w:r w:rsidRPr="001538FF">
        <w:t xml:space="preserve"> th</w:t>
      </w:r>
      <w:r>
        <w:t xml:space="preserve">ere is no requirement for them to proactively engage with new or existing customers </w:t>
      </w:r>
      <w:r w:rsidR="00CF0CBD">
        <w:t xml:space="preserve">to </w:t>
      </w:r>
      <w:r w:rsidR="00533BF4">
        <w:t xml:space="preserve">find out </w:t>
      </w:r>
      <w:r>
        <w:t xml:space="preserve">whether they are eligible for any concessions. This places the burden on customers to identify they are eligible and initiate the </w:t>
      </w:r>
      <w:r w:rsidR="00231821">
        <w:t xml:space="preserve">application </w:t>
      </w:r>
      <w:r>
        <w:t xml:space="preserve">of concessions to their bill. </w:t>
      </w:r>
    </w:p>
    <w:p w14:paraId="645D0ED7" w14:textId="5106E638" w:rsidR="002B46D1" w:rsidRDefault="002B46D1" w:rsidP="002B46D1">
      <w:r>
        <w:lastRenderedPageBreak/>
        <w:t xml:space="preserve">Given the low level of consumer awareness about energy bill concessions and other barriers, this </w:t>
      </w:r>
      <w:r w:rsidR="009B793B">
        <w:t>results</w:t>
      </w:r>
      <w:r>
        <w:t xml:space="preserve"> in many energy consumers not accessing the concessions they are entitled to. </w:t>
      </w:r>
      <w:r w:rsidR="00F85807">
        <w:t>Specific consumer cohorts may be missing out more than others. For example</w:t>
      </w:r>
      <w:r w:rsidR="0029039C">
        <w:t>,</w:t>
      </w:r>
      <w:r w:rsidR="00A67620">
        <w:t xml:space="preserve"> in a recent study</w:t>
      </w:r>
      <w:r w:rsidR="0029039C">
        <w:t xml:space="preserve"> </w:t>
      </w:r>
      <w:r w:rsidR="00106595">
        <w:t xml:space="preserve">more than </w:t>
      </w:r>
      <w:r w:rsidR="000076A9">
        <w:t>50</w:t>
      </w:r>
      <w:r w:rsidR="00A67620">
        <w:t xml:space="preserve"> per cent of</w:t>
      </w:r>
      <w:r w:rsidR="000076A9">
        <w:t xml:space="preserve"> </w:t>
      </w:r>
      <w:r w:rsidR="00F1323F">
        <w:t>community service workers</w:t>
      </w:r>
      <w:r w:rsidR="0029039C">
        <w:t xml:space="preserve"> </w:t>
      </w:r>
      <w:r w:rsidR="00EA0D4F">
        <w:t xml:space="preserve">surveyed </w:t>
      </w:r>
      <w:r w:rsidR="000F2030">
        <w:t xml:space="preserve">identified </w:t>
      </w:r>
      <w:r>
        <w:t xml:space="preserve">CALD customers </w:t>
      </w:r>
      <w:r w:rsidR="005C7D5E">
        <w:t xml:space="preserve">and </w:t>
      </w:r>
      <w:r w:rsidR="009821D4">
        <w:t>customers with</w:t>
      </w:r>
      <w:r w:rsidR="009168CF">
        <w:t xml:space="preserve"> digital inclusion barriers </w:t>
      </w:r>
      <w:r w:rsidR="00016BD0">
        <w:t xml:space="preserve">as </w:t>
      </w:r>
      <w:r w:rsidR="00993CF0">
        <w:t xml:space="preserve">most likely to be missing </w:t>
      </w:r>
      <w:r w:rsidR="003B2348">
        <w:t>out</w:t>
      </w:r>
      <w:r w:rsidR="00EA0D4F">
        <w:t xml:space="preserve"> in accessing</w:t>
      </w:r>
      <w:r w:rsidR="00016BD0">
        <w:t xml:space="preserve"> energy concessions</w:t>
      </w:r>
      <w:r>
        <w:t>.</w:t>
      </w:r>
      <w:r w:rsidR="002E01A9">
        <w:rPr>
          <w:rStyle w:val="FootnoteReference"/>
        </w:rPr>
        <w:footnoteReference w:id="92"/>
      </w:r>
      <w:r>
        <w:t xml:space="preserve"> </w:t>
      </w:r>
    </w:p>
    <w:p w14:paraId="5EC1D71B" w14:textId="1C0C85FA" w:rsidR="00F0709A" w:rsidRDefault="002B46D1" w:rsidP="00596BA3">
      <w:pPr>
        <w:pStyle w:val="Heading3numbered"/>
      </w:pPr>
      <w:bookmarkStart w:id="72" w:name="_Toc190957861"/>
      <w:r>
        <w:t xml:space="preserve">Many consumers are not aware of the free and independent dispute resolution services provided </w:t>
      </w:r>
      <w:r w:rsidR="005F04BE">
        <w:t>by EWOV</w:t>
      </w:r>
      <w:bookmarkEnd w:id="72"/>
    </w:p>
    <w:p w14:paraId="49428D0E" w14:textId="4B2F43A4" w:rsidR="0019497B" w:rsidRDefault="003D0DC5" w:rsidP="003D0DC5">
      <w:r>
        <w:t xml:space="preserve">A significant number of energy consumers are unaware of the free and </w:t>
      </w:r>
      <w:r w:rsidR="00925C0D">
        <w:t>independent</w:t>
      </w:r>
      <w:r>
        <w:t xml:space="preserve"> dispute resolution services offered by EWOV.</w:t>
      </w:r>
    </w:p>
    <w:p w14:paraId="71DBDCB5" w14:textId="1111075C" w:rsidR="00A90CCF" w:rsidRDefault="00A90CCF" w:rsidP="003D0DC5">
      <w:r>
        <w:t xml:space="preserve">When consumers do not know about </w:t>
      </w:r>
      <w:r w:rsidR="00F27B4D">
        <w:t>the</w:t>
      </w:r>
      <w:r>
        <w:t xml:space="preserve"> dispute resolution services available to them, they miss a valuable resource that could help them resolve issues with their retailer efficiently and fairly. This may include support for issues ranging from billing complaints, credit and payment difficulties, disconnections and restrictions, poor customer service standards, and vital protections such as life support and family violence safeguards. </w:t>
      </w:r>
    </w:p>
    <w:p w14:paraId="7AA3E302" w14:textId="085144F0" w:rsidR="003D0DC5" w:rsidRDefault="003D0DC5" w:rsidP="003D0DC5">
      <w:r>
        <w:t>According to the June 2024 Energy Consumers Sentiment Survey by Energy Consumers Australia, 66</w:t>
      </w:r>
      <w:r w:rsidR="00F27B4D">
        <w:t xml:space="preserve"> per cent</w:t>
      </w:r>
      <w:r>
        <w:t xml:space="preserve"> of Victorian consumers were either not very familiar, or completely unfamiliar with EWOV</w:t>
      </w:r>
      <w:r w:rsidRPr="006A01FC">
        <w:t>.</w:t>
      </w:r>
      <w:r w:rsidRPr="006A01FC">
        <w:rPr>
          <w:color w:val="000000"/>
          <w:vertAlign w:val="superscript"/>
        </w:rPr>
        <w:footnoteReference w:id="93"/>
      </w:r>
      <w:r w:rsidRPr="006A01FC">
        <w:rPr>
          <w:vertAlign w:val="superscript"/>
        </w:rPr>
        <w:t xml:space="preserve"> </w:t>
      </w:r>
      <w:r>
        <w:t xml:space="preserve">Similarly, </w:t>
      </w:r>
      <w:r w:rsidR="001B2677">
        <w:t xml:space="preserve">based on </w:t>
      </w:r>
      <w:r w:rsidR="00A32F40">
        <w:t>a sample</w:t>
      </w:r>
      <w:r w:rsidR="007F1484">
        <w:t>, 90 per cent</w:t>
      </w:r>
      <w:r w:rsidR="00A32F40">
        <w:t xml:space="preserve"> of </w:t>
      </w:r>
      <w:r w:rsidR="007F1484">
        <w:t xml:space="preserve">which </w:t>
      </w:r>
      <w:r w:rsidR="00CD00D7">
        <w:t>were</w:t>
      </w:r>
      <w:r w:rsidR="007F1484">
        <w:t xml:space="preserve"> </w:t>
      </w:r>
      <w:r w:rsidR="00A32F40">
        <w:t xml:space="preserve">Victorian consumers, </w:t>
      </w:r>
      <w:r>
        <w:t>Uniting</w:t>
      </w:r>
      <w:r w:rsidR="00064D6B">
        <w:t xml:space="preserve"> Vic.</w:t>
      </w:r>
      <w:r w:rsidR="006A01FC">
        <w:t xml:space="preserve"> </w:t>
      </w:r>
      <w:r w:rsidR="00064D6B">
        <w:t>Tas</w:t>
      </w:r>
      <w:r>
        <w:t xml:space="preserve">’s June 2024 Consumer Experience Report revealed that even people </w:t>
      </w:r>
      <w:r w:rsidR="00F7187A">
        <w:t xml:space="preserve">who have experienced long-term financial hardship </w:t>
      </w:r>
      <w:r w:rsidR="00AB0FA0">
        <w:t xml:space="preserve">and </w:t>
      </w:r>
      <w:r w:rsidR="009E3D10">
        <w:t xml:space="preserve">who are </w:t>
      </w:r>
      <w:r>
        <w:t>adept at finding information</w:t>
      </w:r>
      <w:r w:rsidR="00D93EAA">
        <w:t xml:space="preserve"> about </w:t>
      </w:r>
      <w:r w:rsidR="00CB1CFC">
        <w:t>managing their energy consumption</w:t>
      </w:r>
      <w:r>
        <w:t xml:space="preserve"> were unaware of </w:t>
      </w:r>
      <w:r w:rsidR="00B066E8">
        <w:t xml:space="preserve">the energy </w:t>
      </w:r>
      <w:r w:rsidR="00492503">
        <w:t>ombudsman</w:t>
      </w:r>
      <w:r w:rsidR="00B066E8">
        <w:t xml:space="preserve"> </w:t>
      </w:r>
      <w:r>
        <w:t>and its role or function.</w:t>
      </w:r>
      <w:r w:rsidRPr="005B27BD">
        <w:rPr>
          <w:color w:val="000000"/>
          <w:vertAlign w:val="superscript"/>
        </w:rPr>
        <w:footnoteReference w:id="94"/>
      </w:r>
      <w:r w:rsidRPr="005B27BD">
        <w:rPr>
          <w:vertAlign w:val="superscript"/>
        </w:rPr>
        <w:t xml:space="preserve"> </w:t>
      </w:r>
    </w:p>
    <w:p w14:paraId="7D1F2D95" w14:textId="286A74D9" w:rsidR="001E01BE" w:rsidRDefault="003D0DC5" w:rsidP="00264DC0">
      <w:pPr>
        <w:sectPr w:rsidR="001E01BE" w:rsidSect="005E5FCE">
          <w:footerReference w:type="default" r:id="rId44"/>
          <w:type w:val="continuous"/>
          <w:pgSz w:w="11906" w:h="16838" w:code="9"/>
          <w:pgMar w:top="1134" w:right="1134" w:bottom="1134" w:left="1134" w:header="709" w:footer="692" w:gutter="0"/>
          <w:cols w:space="708"/>
          <w:docGrid w:linePitch="360"/>
        </w:sectPr>
      </w:pPr>
      <w:r>
        <w:t xml:space="preserve">Findings from other jurisdictions show that lack of consumer awareness about independent dispute resolution services might be a key reason for </w:t>
      </w:r>
      <w:r w:rsidR="00072C3B">
        <w:t xml:space="preserve">those services </w:t>
      </w:r>
      <w:r>
        <w:t>being underused.</w:t>
      </w:r>
      <w:r w:rsidR="00421362">
        <w:t xml:space="preserve"> </w:t>
      </w:r>
      <w:r w:rsidR="008F26DF">
        <w:t xml:space="preserve">For example, the Energy and Water Ombudsman of New South Wales (EWON) </w:t>
      </w:r>
      <w:r w:rsidR="002C1C9E" w:rsidRPr="002C1C9E">
        <w:t>had a 57</w:t>
      </w:r>
      <w:r w:rsidR="00F27B4D">
        <w:t xml:space="preserve"> per cent</w:t>
      </w:r>
      <w:r w:rsidR="002C1C9E" w:rsidRPr="002C1C9E">
        <w:t xml:space="preserve"> increase in complaints received in 2023–24 compared to 2022–23</w:t>
      </w:r>
      <w:r w:rsidR="00DC0997">
        <w:t xml:space="preserve">. </w:t>
      </w:r>
      <w:r w:rsidR="00F17861">
        <w:t>It</w:t>
      </w:r>
      <w:r w:rsidR="002C1C9E" w:rsidRPr="002C1C9E">
        <w:t xml:space="preserve"> noted that this increase could be </w:t>
      </w:r>
      <w:r w:rsidR="000F1383">
        <w:t xml:space="preserve">in part </w:t>
      </w:r>
      <w:r w:rsidR="002C1C9E" w:rsidRPr="002C1C9E">
        <w:t>attributed to an increase in phone calls from customers who found EWON’s phone number on their bill following the introduction of the AER’s Better Bills Guideline</w:t>
      </w:r>
      <w:r w:rsidR="00F17861">
        <w:t>.</w:t>
      </w:r>
      <w:r w:rsidR="00F17861" w:rsidRPr="00F837F5">
        <w:rPr>
          <w:color w:val="000000"/>
          <w:vertAlign w:val="superscript"/>
        </w:rPr>
        <w:footnoteReference w:id="95"/>
      </w:r>
      <w:r w:rsidR="00F17861" w:rsidRPr="00F837F5">
        <w:t xml:space="preserve"> </w:t>
      </w:r>
      <w:r w:rsidR="00A01201">
        <w:t xml:space="preserve">We have heard similar findings </w:t>
      </w:r>
      <w:r w:rsidR="00A01201">
        <w:lastRenderedPageBreak/>
        <w:t>from the Energy and Water Ombudsman of South Australia and the Energy and Water Ombudsman of Queensland.</w:t>
      </w:r>
    </w:p>
    <w:p w14:paraId="5AD9C1FB" w14:textId="31F6FACF" w:rsidR="003D0DC5" w:rsidRDefault="00D728FA" w:rsidP="007468DA">
      <w:pPr>
        <w:pStyle w:val="Heading1numbered"/>
      </w:pPr>
      <w:bookmarkStart w:id="75" w:name="_Toc196989405"/>
      <w:bookmarkStart w:id="76" w:name="_Toc196998629"/>
      <w:bookmarkStart w:id="77" w:name="_Toc197355674"/>
      <w:bookmarkStart w:id="78" w:name="_Toc195088470"/>
      <w:bookmarkStart w:id="79" w:name="_Toc195088569"/>
      <w:bookmarkStart w:id="80" w:name="_Toc195184818"/>
      <w:bookmarkStart w:id="81" w:name="_Toc195261865"/>
      <w:bookmarkStart w:id="82" w:name="_Toc195617150"/>
      <w:bookmarkStart w:id="83" w:name="_Toc195642835"/>
      <w:bookmarkStart w:id="84" w:name="_Toc195692547"/>
      <w:bookmarkStart w:id="85" w:name="_Toc195701839"/>
      <w:bookmarkStart w:id="86" w:name="_Toc195088471"/>
      <w:bookmarkStart w:id="87" w:name="_Toc195088570"/>
      <w:bookmarkStart w:id="88" w:name="_Toc195088473"/>
      <w:bookmarkStart w:id="89" w:name="_Toc195088572"/>
      <w:bookmarkStart w:id="90" w:name="_Toc195184821"/>
      <w:bookmarkStart w:id="91" w:name="_Toc195261868"/>
      <w:bookmarkStart w:id="92" w:name="_Toc195617153"/>
      <w:bookmarkStart w:id="93" w:name="_Toc195642838"/>
      <w:bookmarkStart w:id="94" w:name="_Toc195692550"/>
      <w:bookmarkStart w:id="95" w:name="_Toc195701842"/>
      <w:bookmarkStart w:id="96" w:name="_Toc195037411"/>
      <w:bookmarkStart w:id="97" w:name="_Toc195088474"/>
      <w:bookmarkStart w:id="98" w:name="_Toc195088573"/>
      <w:bookmarkStart w:id="99" w:name="_Toc195184822"/>
      <w:bookmarkStart w:id="100" w:name="_Toc195261869"/>
      <w:bookmarkStart w:id="101" w:name="_Toc19795942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lastRenderedPageBreak/>
        <w:t>Objectives</w:t>
      </w:r>
      <w:bookmarkEnd w:id="101"/>
    </w:p>
    <w:p w14:paraId="3F34495F" w14:textId="015DA031" w:rsidR="00244EF1" w:rsidRDefault="00271B95" w:rsidP="00244EF1">
      <w:r>
        <w:t>The objectives of the</w:t>
      </w:r>
      <w:r w:rsidR="0070005B">
        <w:t xml:space="preserve"> </w:t>
      </w:r>
      <w:r w:rsidR="00E20D31">
        <w:t>proposed energy consumer</w:t>
      </w:r>
      <w:r>
        <w:t xml:space="preserve"> reforms </w:t>
      </w:r>
      <w:r w:rsidR="00F829BB">
        <w:t>assessed in this R</w:t>
      </w:r>
      <w:r w:rsidR="00EC2F35">
        <w:t xml:space="preserve">egulatory </w:t>
      </w:r>
      <w:r w:rsidR="00F829BB">
        <w:t>I</w:t>
      </w:r>
      <w:r w:rsidR="00EC2F35">
        <w:t xml:space="preserve">mpact </w:t>
      </w:r>
      <w:r w:rsidR="00F829BB">
        <w:t>S</w:t>
      </w:r>
      <w:r w:rsidR="00EC2F35">
        <w:t>tatement</w:t>
      </w:r>
      <w:r w:rsidR="00F829BB">
        <w:t xml:space="preserve"> </w:t>
      </w:r>
      <w:r>
        <w:t>closely align with the objectives of the commission and the objectives of the E</w:t>
      </w:r>
      <w:r w:rsidR="00EC2F35">
        <w:t xml:space="preserve">nergy and </w:t>
      </w:r>
      <w:r>
        <w:t>C</w:t>
      </w:r>
      <w:r w:rsidR="00EC2F35">
        <w:t xml:space="preserve">limate Change </w:t>
      </w:r>
      <w:r>
        <w:t>M</w:t>
      </w:r>
      <w:r w:rsidR="00EC2F35">
        <w:t xml:space="preserve">inisterial </w:t>
      </w:r>
      <w:r>
        <w:t>C</w:t>
      </w:r>
      <w:r w:rsidR="00EC2F35">
        <w:t>ouncil</w:t>
      </w:r>
      <w:r>
        <w:t xml:space="preserve"> consumer reforms advanced in August 2024.</w:t>
      </w:r>
      <w:r>
        <w:rPr>
          <w:rStyle w:val="FootnoteReference"/>
        </w:rPr>
        <w:footnoteReference w:id="96"/>
      </w:r>
      <w:r>
        <w:t xml:space="preserve"> </w:t>
      </w:r>
    </w:p>
    <w:p w14:paraId="600C5B49" w14:textId="77777777" w:rsidR="001E01BE" w:rsidRDefault="001E01BE" w:rsidP="00F0709A">
      <w:pPr>
        <w:pStyle w:val="Figure-Table-BoxHeading"/>
        <w:numPr>
          <w:ilvl w:val="0"/>
          <w:numId w:val="0"/>
        </w:numPr>
        <w:sectPr w:rsidR="001E01BE" w:rsidSect="005E5FCE">
          <w:footerReference w:type="default" r:id="rId45"/>
          <w:type w:val="continuous"/>
          <w:pgSz w:w="11906" w:h="16838" w:code="9"/>
          <w:pgMar w:top="1134" w:right="1134" w:bottom="1134" w:left="1134" w:header="709" w:footer="692" w:gutter="0"/>
          <w:cols w:space="708"/>
          <w:docGrid w:linePitch="360"/>
        </w:sectPr>
      </w:pPr>
    </w:p>
    <w:p w14:paraId="5BCA0F86" w14:textId="77777777" w:rsidR="00631033" w:rsidRDefault="00631033" w:rsidP="00631033">
      <w:pPr>
        <w:pStyle w:val="Pull-outHeading"/>
      </w:pPr>
      <w:r>
        <w:t>Energy consumer reform objectives</w:t>
      </w:r>
    </w:p>
    <w:p w14:paraId="71C26051" w14:textId="77777777" w:rsidR="00631033" w:rsidRDefault="00631033" w:rsidP="00631033">
      <w:pPr>
        <w:pStyle w:val="Pull-out"/>
      </w:pPr>
      <w:r>
        <w:t>The primary objectives of the proposed energy consumer reforms assessed in this RIS are to:</w:t>
      </w:r>
    </w:p>
    <w:p w14:paraId="48F5FF0F" w14:textId="77777777" w:rsidR="00631033" w:rsidRPr="002B1C0E" w:rsidRDefault="00631033" w:rsidP="00631033">
      <w:pPr>
        <w:pStyle w:val="Pull-outBullet1"/>
        <w:ind w:left="482"/>
      </w:pPr>
      <w:r>
        <w:t>help households pay less for energy</w:t>
      </w:r>
    </w:p>
    <w:p w14:paraId="2046B133" w14:textId="77777777" w:rsidR="00631033" w:rsidRPr="002B1C0E" w:rsidRDefault="00631033" w:rsidP="00631033">
      <w:pPr>
        <w:pStyle w:val="Pull-outBullet1"/>
        <w:ind w:left="482"/>
      </w:pPr>
      <w:r>
        <w:t>enhance protections for energy consumers.</w:t>
      </w:r>
    </w:p>
    <w:p w14:paraId="5308C7B2" w14:textId="77777777" w:rsidR="00631033" w:rsidRDefault="00631033" w:rsidP="00631033">
      <w:pPr>
        <w:pStyle w:val="Pull-out"/>
      </w:pPr>
      <w:r>
        <w:t>These primary objectives are supported by three sub-objectives which are intended to address some specific problems identified in Section 2.1 and which contribute towards the achievement of the primary reform objectives.</w:t>
      </w:r>
    </w:p>
    <w:p w14:paraId="12E1CD29" w14:textId="77777777" w:rsidR="00631033" w:rsidRDefault="00631033" w:rsidP="00631033">
      <w:pPr>
        <w:pStyle w:val="Pull-out"/>
      </w:pPr>
      <w:r>
        <w:t>The sub-objectives are to:</w:t>
      </w:r>
    </w:p>
    <w:p w14:paraId="7B885B08" w14:textId="77777777" w:rsidR="00631033" w:rsidRDefault="00631033" w:rsidP="00631033">
      <w:pPr>
        <w:pStyle w:val="Pull-outBullet1"/>
        <w:ind w:left="482"/>
        <w:rPr>
          <w:rFonts w:ascii="Times New Roman" w:eastAsia="Times New Roman" w:hAnsi="Times New Roman" w:cs="Times New Roman"/>
        </w:rPr>
      </w:pPr>
      <w:r>
        <w:t>increase support for people experiencing payment difficulty</w:t>
      </w:r>
    </w:p>
    <w:p w14:paraId="39194A80" w14:textId="77777777" w:rsidR="00631033" w:rsidRDefault="00631033" w:rsidP="00631033">
      <w:pPr>
        <w:pStyle w:val="Pull-outBullet1"/>
        <w:ind w:left="482"/>
        <w:rPr>
          <w:rFonts w:ascii="Times New Roman" w:eastAsia="Times New Roman" w:hAnsi="Times New Roman" w:cs="Times New Roman"/>
        </w:rPr>
      </w:pPr>
      <w:r>
        <w:t>support eligible people to access concessions</w:t>
      </w:r>
    </w:p>
    <w:p w14:paraId="1A4BEF70" w14:textId="77777777" w:rsidR="00631033" w:rsidRDefault="00631033" w:rsidP="00631033">
      <w:pPr>
        <w:pStyle w:val="Pull-outBullet1"/>
        <w:ind w:left="482"/>
        <w:rPr>
          <w:rFonts w:ascii="Times New Roman" w:eastAsia="Times New Roman" w:hAnsi="Times New Roman" w:cs="Times New Roman"/>
        </w:rPr>
      </w:pPr>
      <w:r>
        <w:t>improve awareness of independent dispute resolution services.</w:t>
      </w:r>
    </w:p>
    <w:p w14:paraId="672CAC78" w14:textId="77777777" w:rsidR="00F0709A" w:rsidRPr="00355F2F" w:rsidRDefault="00F0709A" w:rsidP="00F0709A">
      <w:pPr>
        <w:pStyle w:val="Figure-Table-BoxHeading"/>
        <w:numPr>
          <w:ilvl w:val="0"/>
          <w:numId w:val="0"/>
        </w:numPr>
      </w:pPr>
    </w:p>
    <w:p w14:paraId="67D620DE" w14:textId="7BA67EBA" w:rsidR="00C47364" w:rsidRDefault="001424AE" w:rsidP="001424AE">
      <w:pPr>
        <w:pStyle w:val="Heading1numbered"/>
      </w:pPr>
      <w:bookmarkStart w:id="102" w:name="_Toc197959426"/>
      <w:r>
        <w:lastRenderedPageBreak/>
        <w:t>Options development and analysis methodology</w:t>
      </w:r>
      <w:bookmarkEnd w:id="102"/>
    </w:p>
    <w:p w14:paraId="1CB7D8F1" w14:textId="12416D5B" w:rsidR="006D0A5E" w:rsidRDefault="001424AE" w:rsidP="001424AE">
      <w:pPr>
        <w:pStyle w:val="Heading2numbered"/>
      </w:pPr>
      <w:bookmarkStart w:id="103" w:name="_Toc197959427"/>
      <w:r>
        <w:t>The base case</w:t>
      </w:r>
      <w:bookmarkEnd w:id="103"/>
    </w:p>
    <w:p w14:paraId="55E6E7A1" w14:textId="4854EACD" w:rsidR="00755994" w:rsidRDefault="00755994" w:rsidP="00755994">
      <w:r>
        <w:t>This R</w:t>
      </w:r>
      <w:r w:rsidR="00237AD2">
        <w:t xml:space="preserve">egulatory </w:t>
      </w:r>
      <w:r>
        <w:t>I</w:t>
      </w:r>
      <w:r w:rsidR="00237AD2">
        <w:t xml:space="preserve">mpact </w:t>
      </w:r>
      <w:r>
        <w:t>S</w:t>
      </w:r>
      <w:r w:rsidR="00237AD2">
        <w:t>tatement</w:t>
      </w:r>
      <w:r>
        <w:t xml:space="preserve"> </w:t>
      </w:r>
      <w:r w:rsidR="00FE7ABD">
        <w:t>assesses</w:t>
      </w:r>
      <w:r>
        <w:t xml:space="preserve"> the benefits and impacts to industry and society of </w:t>
      </w:r>
      <w:r w:rsidR="000E1E76">
        <w:t xml:space="preserve">the </w:t>
      </w:r>
      <w:r w:rsidR="00880B32">
        <w:t>proposed new rules</w:t>
      </w:r>
      <w:r>
        <w:t xml:space="preserve"> relative to a comparative base case in which current requirements apply. </w:t>
      </w:r>
      <w:r w:rsidRPr="00C12B98">
        <w:t xml:space="preserve">The </w:t>
      </w:r>
      <w:r>
        <w:t xml:space="preserve">overarching base case used in this RIS is a scenario in which existing obligations of the </w:t>
      </w:r>
      <w:r w:rsidR="001F260B">
        <w:t xml:space="preserve">code </w:t>
      </w:r>
      <w:r>
        <w:t xml:space="preserve">and </w:t>
      </w:r>
      <w:r w:rsidR="001F260B">
        <w:t xml:space="preserve">the </w:t>
      </w:r>
      <w:r>
        <w:t xml:space="preserve">legislative framework detailed in </w:t>
      </w:r>
      <w:r w:rsidRPr="007035A4">
        <w:t>Section 1.2</w:t>
      </w:r>
      <w:r>
        <w:t xml:space="preserve"> continue to apply, but no new or changed obligations are introduced. </w:t>
      </w:r>
    </w:p>
    <w:p w14:paraId="539EF25B" w14:textId="6CB8B307" w:rsidR="00755994" w:rsidRDefault="00755994" w:rsidP="00755994">
      <w:r>
        <w:t>This includes, for example, the existing requirements on retailers to provide support to customers experiencing payment difficulty</w:t>
      </w:r>
      <w:r w:rsidR="00BC6E90">
        <w:t>. It also includes</w:t>
      </w:r>
      <w:r w:rsidR="00CF3123">
        <w:t xml:space="preserve"> the current</w:t>
      </w:r>
      <w:r>
        <w:t xml:space="preserve"> requirements for retailers to include messages on bills and bill communications if a customer could switch to the best offer. The base case is clarified in relation to specific reform proposals in subsequent chapters detailing proposed </w:t>
      </w:r>
      <w:r w:rsidR="009648C4">
        <w:t>new rules</w:t>
      </w:r>
      <w:r>
        <w:t>.</w:t>
      </w:r>
    </w:p>
    <w:p w14:paraId="58EC899A" w14:textId="22C37885" w:rsidR="00755994" w:rsidRDefault="00755994" w:rsidP="00755994">
      <w:pPr>
        <w:pStyle w:val="Heading2numbered"/>
      </w:pPr>
      <w:bookmarkStart w:id="104" w:name="_Toc197959428"/>
      <w:r>
        <w:t>Options design and development</w:t>
      </w:r>
      <w:bookmarkEnd w:id="104"/>
    </w:p>
    <w:p w14:paraId="3E5C0383" w14:textId="183646CE" w:rsidR="00410F09" w:rsidRDefault="00410F09" w:rsidP="00410F09">
      <w:r>
        <w:t xml:space="preserve">In developing this RIS, </w:t>
      </w:r>
      <w:r w:rsidR="00AC4C97">
        <w:t>we</w:t>
      </w:r>
      <w:r>
        <w:t xml:space="preserve"> considered and assessed different options that could achieve the stated objectives of this reform. The design of these options involved consideration of quantitative and qualitative data, including Victorian energy market data, consumer behaviour and experiences, literature and sector reports, information from energy retailers and insights from regulators in other jurisdictions. </w:t>
      </w:r>
      <w:r w:rsidR="006D59B1">
        <w:t xml:space="preserve"> </w:t>
      </w:r>
      <w:r w:rsidR="00407159">
        <w:t>We have explored</w:t>
      </w:r>
      <w:r w:rsidR="00F026BE">
        <w:t xml:space="preserve"> different regulatory approaches</w:t>
      </w:r>
      <w:r w:rsidR="00CF1D88">
        <w:t xml:space="preserve"> in designing the options. We have considered flexible, principle</w:t>
      </w:r>
      <w:r w:rsidR="0020212E">
        <w:t>s</w:t>
      </w:r>
      <w:r w:rsidR="00CF1D88">
        <w:t xml:space="preserve"> </w:t>
      </w:r>
      <w:r w:rsidR="00CF5BF7">
        <w:t>and</w:t>
      </w:r>
      <w:r w:rsidR="00CF1D88">
        <w:t xml:space="preserve"> outcome</w:t>
      </w:r>
      <w:r w:rsidR="00CF5BF7">
        <w:t>s</w:t>
      </w:r>
      <w:r w:rsidR="00CF1D88">
        <w:t xml:space="preserve"> based approaches as well as more prescriptive obligations.</w:t>
      </w:r>
    </w:p>
    <w:p w14:paraId="6AFF9726" w14:textId="4796CF05" w:rsidR="00410F09" w:rsidRDefault="00A011A0" w:rsidP="00410F09">
      <w:r>
        <w:t>We tested and refined p</w:t>
      </w:r>
      <w:r w:rsidR="00410F09">
        <w:t xml:space="preserve">otential options through a stakeholder engagement process. This included workshops, individual meetings with stakeholders and reviewing submissions to the consultation paper received from industry, government, non-government organisations and consumer advocacy groups. </w:t>
      </w:r>
    </w:p>
    <w:p w14:paraId="659491CC" w14:textId="4A9CB719" w:rsidR="00646875" w:rsidRDefault="00410F09" w:rsidP="00410F09">
      <w:r>
        <w:t xml:space="preserve">In general, consultation confirmed </w:t>
      </w:r>
      <w:r w:rsidR="00D55349">
        <w:t>our</w:t>
      </w:r>
      <w:r>
        <w:t xml:space="preserve"> approach to options design. Most stakeholders acknowledged the value of these reforms and agreed with the proposed areas of reform.</w:t>
      </w:r>
      <w:r w:rsidR="005C5CCC">
        <w:t xml:space="preserve"> </w:t>
      </w:r>
      <w:r w:rsidR="00E843C3">
        <w:t>Stakeholder f</w:t>
      </w:r>
      <w:r>
        <w:t xml:space="preserve">eedback provided valuable insights about the complexity and challenges of some potential changes and the impacts these might have on consumers and retailers. </w:t>
      </w:r>
      <w:r w:rsidR="00D23038">
        <w:t>T</w:t>
      </w:r>
      <w:r>
        <w:t>his included feedback about</w:t>
      </w:r>
      <w:r w:rsidR="00646875">
        <w:t>:</w:t>
      </w:r>
    </w:p>
    <w:p w14:paraId="1A12A947" w14:textId="00E9FB35" w:rsidR="00646875" w:rsidRDefault="00410F09" w:rsidP="00A92E17">
      <w:pPr>
        <w:pStyle w:val="ListBullet"/>
      </w:pPr>
      <w:r>
        <w:t xml:space="preserve">the value customers place on </w:t>
      </w:r>
      <w:r w:rsidR="00895F6E">
        <w:t>different aspects</w:t>
      </w:r>
      <w:r>
        <w:t xml:space="preserve"> of energy plans</w:t>
      </w:r>
      <w:r w:rsidR="0094721E">
        <w:t xml:space="preserve"> (including </w:t>
      </w:r>
      <w:r w:rsidR="002C7121">
        <w:t xml:space="preserve">non-energy related </w:t>
      </w:r>
      <w:r w:rsidR="00721652">
        <w:t>benefit</w:t>
      </w:r>
      <w:r w:rsidR="003304EF">
        <w:t>s</w:t>
      </w:r>
      <w:r w:rsidR="006E7A34">
        <w:t>, offers and services</w:t>
      </w:r>
      <w:r w:rsidR="00721652">
        <w:t>)</w:t>
      </w:r>
    </w:p>
    <w:p w14:paraId="4054AFD3" w14:textId="479FFCEE" w:rsidR="00646875" w:rsidRDefault="00410F09" w:rsidP="00A92E17">
      <w:pPr>
        <w:pStyle w:val="ListBullet"/>
      </w:pPr>
      <w:r>
        <w:t xml:space="preserve">technical complexities of implementing </w:t>
      </w:r>
      <w:r w:rsidR="00314827">
        <w:t>forms</w:t>
      </w:r>
      <w:r>
        <w:t xml:space="preserve"> of automatic support for customers</w:t>
      </w:r>
    </w:p>
    <w:p w14:paraId="67BE9481" w14:textId="754710CB" w:rsidR="00646875" w:rsidRDefault="00646875" w:rsidP="00A92E17">
      <w:pPr>
        <w:pStyle w:val="ListBullet"/>
      </w:pPr>
      <w:r>
        <w:lastRenderedPageBreak/>
        <w:t>c</w:t>
      </w:r>
      <w:r w:rsidR="00410F09">
        <w:t xml:space="preserve">ertain conditions or restrictions on cheaper energy plans </w:t>
      </w:r>
      <w:r>
        <w:t xml:space="preserve">that </w:t>
      </w:r>
      <w:r w:rsidR="00410F09">
        <w:t>can make them inaccessible to customers</w:t>
      </w:r>
      <w:r w:rsidR="00D0290D">
        <w:t xml:space="preserve"> experiencing vulnerability</w:t>
      </w:r>
      <w:r w:rsidR="00410F09">
        <w:t>.</w:t>
      </w:r>
    </w:p>
    <w:p w14:paraId="28192AC8" w14:textId="0BD7D3AC" w:rsidR="00766976" w:rsidRDefault="00C237E4" w:rsidP="00410F09">
      <w:r>
        <w:t xml:space="preserve">We have outlined the key stakeholder feedback </w:t>
      </w:r>
      <w:r w:rsidR="0093179C">
        <w:t xml:space="preserve">we received </w:t>
      </w:r>
      <w:r w:rsidR="00C4721B">
        <w:t xml:space="preserve">on </w:t>
      </w:r>
      <w:r w:rsidR="00A329B8">
        <w:t xml:space="preserve">potential options </w:t>
      </w:r>
      <w:r w:rsidR="00FE71C2">
        <w:t>in</w:t>
      </w:r>
      <w:r w:rsidR="00A329B8">
        <w:t xml:space="preserve"> </w:t>
      </w:r>
      <w:r w:rsidR="008908AB">
        <w:t xml:space="preserve">the </w:t>
      </w:r>
      <w:r w:rsidR="00CD1724">
        <w:t>relevant chapters</w:t>
      </w:r>
      <w:r w:rsidR="00746AEE">
        <w:t xml:space="preserve"> of this RIS.</w:t>
      </w:r>
      <w:r w:rsidR="00250869">
        <w:t xml:space="preserve"> </w:t>
      </w:r>
      <w:r w:rsidR="00410F09">
        <w:t>In all cases, potential options were assessed for feasibility, scope and whether they were appropriately targeted at the relevant problem or harm.</w:t>
      </w:r>
    </w:p>
    <w:p w14:paraId="4005A465" w14:textId="6601DBC8" w:rsidR="00410F09" w:rsidRDefault="00766976" w:rsidP="00410F09">
      <w:r>
        <w:t>We</w:t>
      </w:r>
      <w:r w:rsidRPr="00766976">
        <w:t xml:space="preserve"> are working with the Vic</w:t>
      </w:r>
      <w:r>
        <w:t>torian</w:t>
      </w:r>
      <w:r w:rsidRPr="00766976">
        <w:t xml:space="preserve"> </w:t>
      </w:r>
      <w:r>
        <w:t>G</w:t>
      </w:r>
      <w:r w:rsidRPr="00766976">
        <w:t>overnment</w:t>
      </w:r>
      <w:r>
        <w:t xml:space="preserve"> to </w:t>
      </w:r>
      <w:r w:rsidR="7E42ECE0">
        <w:t xml:space="preserve">assess if </w:t>
      </w:r>
      <w:r w:rsidRPr="00766976">
        <w:t xml:space="preserve">any </w:t>
      </w:r>
      <w:r w:rsidR="0003536B">
        <w:t>subordinate legislation</w:t>
      </w:r>
      <w:r w:rsidR="0003536B" w:rsidRPr="00766976">
        <w:t xml:space="preserve"> </w:t>
      </w:r>
      <w:r w:rsidRPr="00766976">
        <w:t xml:space="preserve">or legislative </w:t>
      </w:r>
      <w:r w:rsidR="01294A12">
        <w:t xml:space="preserve">amendments </w:t>
      </w:r>
      <w:r w:rsidR="34465E75">
        <w:t>are required to support</w:t>
      </w:r>
      <w:r w:rsidRPr="00766976">
        <w:t xml:space="preserve"> the </w:t>
      </w:r>
      <w:r w:rsidR="4EE6717F">
        <w:t xml:space="preserve">implementation of any of the </w:t>
      </w:r>
      <w:r>
        <w:t>proposed reforms</w:t>
      </w:r>
      <w:r w:rsidR="00F679C0">
        <w:t>. This includes</w:t>
      </w:r>
      <w:r w:rsidRPr="00766976">
        <w:t xml:space="preserve"> </w:t>
      </w:r>
      <w:r w:rsidR="53555455">
        <w:t>potential</w:t>
      </w:r>
      <w:r w:rsidRPr="00766976">
        <w:t xml:space="preserve"> alternative prefe</w:t>
      </w:r>
      <w:r w:rsidR="00ED53B2">
        <w:t>rred</w:t>
      </w:r>
      <w:r w:rsidRPr="00766976">
        <w:t xml:space="preserve"> options</w:t>
      </w:r>
      <w:r w:rsidR="00410F09">
        <w:t xml:space="preserve"> </w:t>
      </w:r>
      <w:r w:rsidR="00ED53B2">
        <w:t xml:space="preserve">to </w:t>
      </w:r>
      <w:r w:rsidR="08C0A36D">
        <w:t xml:space="preserve">those </w:t>
      </w:r>
      <w:r w:rsidR="00ED53B2">
        <w:t>described in this RIS</w:t>
      </w:r>
      <w:r w:rsidR="779BAAC4">
        <w:t xml:space="preserve"> that may be raised by stakeholders as part of this consultation process</w:t>
      </w:r>
      <w:r w:rsidR="00ED53B2">
        <w:t>.</w:t>
      </w:r>
    </w:p>
    <w:p w14:paraId="0EA16892" w14:textId="4D486E92" w:rsidR="00410F09" w:rsidRDefault="00D318E4" w:rsidP="00410F09">
      <w:pPr>
        <w:pStyle w:val="Heading3numbered"/>
      </w:pPr>
      <w:bookmarkStart w:id="105" w:name="_Toc190957866"/>
      <w:r>
        <w:t>Options considered but not assessed</w:t>
      </w:r>
      <w:r w:rsidR="00410F09">
        <w:t xml:space="preserve"> and out of scope matters</w:t>
      </w:r>
      <w:bookmarkEnd w:id="105"/>
    </w:p>
    <w:p w14:paraId="64932680" w14:textId="5E2FB496" w:rsidR="00972B41" w:rsidRDefault="00F95346" w:rsidP="00F95346">
      <w:r>
        <w:t xml:space="preserve">A number of options were considered in the early policy development phase </w:t>
      </w:r>
      <w:r w:rsidR="008C765B">
        <w:t xml:space="preserve">and during consultation </w:t>
      </w:r>
      <w:r>
        <w:t xml:space="preserve">but not progressed to formal review as part of this RIS. </w:t>
      </w:r>
    </w:p>
    <w:p w14:paraId="0AEFF3A0" w14:textId="70596983" w:rsidR="00972B41" w:rsidRDefault="00972B41" w:rsidP="00972B41">
      <w:r>
        <w:t>Several options were not progressed due to their significant or unpredictable impact on the energy retail market</w:t>
      </w:r>
      <w:r w:rsidR="00BC3AD9">
        <w:t xml:space="preserve">, which could include </w:t>
      </w:r>
      <w:r w:rsidR="00031B30">
        <w:t xml:space="preserve">excessive price increases </w:t>
      </w:r>
      <w:r w:rsidR="009C3074">
        <w:t>for consumers</w:t>
      </w:r>
      <w:r>
        <w:t>. This included options to limit the total number of offers that can be provided by retailers, to require retailers to switch all customers to their best offer or otherwise restrict prices without targeting a specific consumer harm.</w:t>
      </w:r>
    </w:p>
    <w:p w14:paraId="30F9101C" w14:textId="55FC8748" w:rsidR="00F95346" w:rsidRDefault="004916AA" w:rsidP="00F95346">
      <w:r>
        <w:t>We also considered</w:t>
      </w:r>
      <w:r w:rsidR="00F95346">
        <w:t xml:space="preserve"> several non-regulatory options such as additional guidance (not supported by rule changes) or consumer education campaigns.</w:t>
      </w:r>
      <w:r>
        <w:t xml:space="preserve"> </w:t>
      </w:r>
      <w:r w:rsidR="00F95346">
        <w:t xml:space="preserve">These measures </w:t>
      </w:r>
      <w:r w:rsidR="00D36364">
        <w:t xml:space="preserve">were assessed as </w:t>
      </w:r>
      <w:r w:rsidR="00F95346">
        <w:t xml:space="preserve">unlikely to be effective in meaningfully addressing the problems identified in </w:t>
      </w:r>
      <w:r w:rsidR="00B67382">
        <w:rPr>
          <w:bCs/>
        </w:rPr>
        <w:t xml:space="preserve">Chapter 2 </w:t>
      </w:r>
      <w:r w:rsidR="00F95346">
        <w:t>or achieving the objectives of th</w:t>
      </w:r>
      <w:r w:rsidR="00726A5C">
        <w:t>ese</w:t>
      </w:r>
      <w:r w:rsidR="00F95346">
        <w:t xml:space="preserve"> reform</w:t>
      </w:r>
      <w:r w:rsidR="00726A5C">
        <w:t>s</w:t>
      </w:r>
      <w:r w:rsidR="00F95346">
        <w:t>. In particular, these mechanisms lack the enforceability and assurance that targeted rule changes can provide. However, guidance and other non-regulatory tools remain important parts of the ‘regulatory tool kit’ to complement and support legislative and regulatory frameworks</w:t>
      </w:r>
      <w:r w:rsidR="000908EF">
        <w:t xml:space="preserve"> and may be considered in </w:t>
      </w:r>
      <w:r w:rsidR="00D57282">
        <w:t>the future</w:t>
      </w:r>
      <w:r w:rsidR="00F95346">
        <w:t xml:space="preserve">. </w:t>
      </w:r>
    </w:p>
    <w:p w14:paraId="2EE3687A" w14:textId="5A6B94D6" w:rsidR="00E86320" w:rsidRDefault="00E86320" w:rsidP="00A864C6">
      <w:r>
        <w:t>We identified s</w:t>
      </w:r>
      <w:r w:rsidR="00F95346">
        <w:t>everal additional matters as being outside the scope of this reform. This include</w:t>
      </w:r>
      <w:r w:rsidR="00640A3F">
        <w:t>s</w:t>
      </w:r>
      <w:r w:rsidR="00F95346">
        <w:t xml:space="preserve"> proposals </w:t>
      </w:r>
      <w:r w:rsidR="00A864C6">
        <w:t xml:space="preserve">for </w:t>
      </w:r>
      <w:r w:rsidR="00F95346">
        <w:t>government</w:t>
      </w:r>
      <w:r w:rsidR="00A864C6">
        <w:t xml:space="preserve"> consideration, such as </w:t>
      </w:r>
      <w:r w:rsidR="00F95346">
        <w:t>a</w:t>
      </w:r>
      <w:r>
        <w:t xml:space="preserve"> </w:t>
      </w:r>
      <w:r w:rsidR="00F95346">
        <w:t xml:space="preserve">social tariff </w:t>
      </w:r>
      <w:r>
        <w:t xml:space="preserve">for customers experiencing payment difficulty </w:t>
      </w:r>
      <w:r w:rsidR="00F95346">
        <w:t xml:space="preserve">or a </w:t>
      </w:r>
      <w:r w:rsidR="00A864C6">
        <w:t xml:space="preserve">market-wide </w:t>
      </w:r>
      <w:r w:rsidR="00F95346">
        <w:t>cap</w:t>
      </w:r>
      <w:r w:rsidR="00DF46DD">
        <w:t xml:space="preserve"> on retail energy prices</w:t>
      </w:r>
      <w:r w:rsidR="00F95346">
        <w:t>.</w:t>
      </w:r>
    </w:p>
    <w:p w14:paraId="0F135FE4" w14:textId="3131A8F9" w:rsidR="00755994" w:rsidRDefault="00F95346" w:rsidP="00F95346">
      <w:r>
        <w:t xml:space="preserve">Other out of scope matters included options that would set obligations on or require actions from entities outside </w:t>
      </w:r>
      <w:r w:rsidR="003928DC">
        <w:t xml:space="preserve">industries </w:t>
      </w:r>
      <w:r>
        <w:t xml:space="preserve">regulated </w:t>
      </w:r>
      <w:r w:rsidR="00E07BC2">
        <w:t>by the commission</w:t>
      </w:r>
      <w:r>
        <w:t xml:space="preserve">. This includes </w:t>
      </w:r>
      <w:r w:rsidR="00EC159D">
        <w:t>automation of data-sharing between energy retailers and relevant Commonwealth agencies</w:t>
      </w:r>
      <w:r w:rsidR="00AC1E9C">
        <w:t xml:space="preserve"> to enable concessions to be automatically applied to bills for eligible customers</w:t>
      </w:r>
      <w:r w:rsidR="00EC159D">
        <w:t xml:space="preserve">. </w:t>
      </w:r>
    </w:p>
    <w:p w14:paraId="08144EE3" w14:textId="0CACC0A7" w:rsidR="007727F8" w:rsidRDefault="007727F8" w:rsidP="00F95346">
      <w:r w:rsidRPr="007727F8">
        <w:t xml:space="preserve">More generally, given the problems identified in Chapter 2, the base case of </w:t>
      </w:r>
      <w:r w:rsidR="004E6B3D">
        <w:t>retaining</w:t>
      </w:r>
      <w:r w:rsidR="004E6B3D" w:rsidRPr="007727F8">
        <w:t xml:space="preserve"> </w:t>
      </w:r>
      <w:r w:rsidRPr="007727F8">
        <w:t xml:space="preserve">the current arrangements is not considered a feasible option to achieve the </w:t>
      </w:r>
      <w:r w:rsidR="007371EA">
        <w:t>reform</w:t>
      </w:r>
      <w:r w:rsidR="007371EA" w:rsidRPr="007727F8">
        <w:t xml:space="preserve"> </w:t>
      </w:r>
      <w:r w:rsidRPr="007727F8">
        <w:t>objectives</w:t>
      </w:r>
      <w:r w:rsidR="007371EA">
        <w:t xml:space="preserve"> set out in Chapter 3</w:t>
      </w:r>
      <w:r w:rsidRPr="007727F8">
        <w:t>.</w:t>
      </w:r>
    </w:p>
    <w:p w14:paraId="1D2F4AF3" w14:textId="48C7C0DC" w:rsidR="00322EA6" w:rsidRDefault="00322EA6" w:rsidP="00322EA6">
      <w:pPr>
        <w:pStyle w:val="Heading2numbered"/>
      </w:pPr>
      <w:bookmarkStart w:id="106" w:name="_Toc197959429"/>
      <w:r>
        <w:lastRenderedPageBreak/>
        <w:t>Other matters that were considered</w:t>
      </w:r>
      <w:bookmarkEnd w:id="106"/>
    </w:p>
    <w:p w14:paraId="3A5B0C0B" w14:textId="77777777" w:rsidR="00322EA6" w:rsidRDefault="00322EA6" w:rsidP="00322EA6">
      <w:r>
        <w:t>The proposed amendments to the code prescribe two matters for which no other options were considered. These include:</w:t>
      </w:r>
    </w:p>
    <w:p w14:paraId="66DE07C3" w14:textId="69684CB3" w:rsidR="00A9331C" w:rsidRDefault="00A9331C" w:rsidP="00A92E17">
      <w:pPr>
        <w:pStyle w:val="TableBullet"/>
      </w:pPr>
      <w:r>
        <w:t xml:space="preserve">Increasing the threshold for </w:t>
      </w:r>
      <w:r w:rsidR="00DB73BD">
        <w:t>receiving a ‘b</w:t>
      </w:r>
      <w:r>
        <w:t>est offer</w:t>
      </w:r>
      <w:r w:rsidR="00DB73BD">
        <w:t>’</w:t>
      </w:r>
      <w:r>
        <w:t xml:space="preserve"> </w:t>
      </w:r>
      <w:r w:rsidR="00DB73BD">
        <w:t xml:space="preserve">message </w:t>
      </w:r>
      <w:r>
        <w:t>from $22 to $50</w:t>
      </w:r>
      <w:r w:rsidR="00DB73BD">
        <w:t xml:space="preserve"> in estimated annual savings</w:t>
      </w:r>
    </w:p>
    <w:p w14:paraId="0EB8044B" w14:textId="70C4E55A" w:rsidR="00A9331C" w:rsidRDefault="00A9331C" w:rsidP="00A92E17">
      <w:pPr>
        <w:pStyle w:val="TableBullet"/>
      </w:pPr>
      <w:r>
        <w:t xml:space="preserve">Increasing the minimum </w:t>
      </w:r>
      <w:r w:rsidR="002D5C27">
        <w:t>debt</w:t>
      </w:r>
      <w:r w:rsidR="00DB73BD">
        <w:t xml:space="preserve"> that a </w:t>
      </w:r>
      <w:r w:rsidR="002D5C27">
        <w:t xml:space="preserve">retailer can disconnect a </w:t>
      </w:r>
      <w:r w:rsidR="00DB73BD">
        <w:t>custome</w:t>
      </w:r>
      <w:r w:rsidR="002D5C27">
        <w:t>r,</w:t>
      </w:r>
      <w:r w:rsidR="00DB73BD">
        <w:t xml:space="preserve"> </w:t>
      </w:r>
      <w:r>
        <w:t>from $300 to $500.</w:t>
      </w:r>
    </w:p>
    <w:p w14:paraId="47F6321E" w14:textId="170CE58C" w:rsidR="000C1017" w:rsidRDefault="000C1017" w:rsidP="000C1017">
      <w:r>
        <w:t xml:space="preserve">These proposed changes have been </w:t>
      </w:r>
      <w:r w:rsidR="00E16E88">
        <w:t xml:space="preserve">considered, </w:t>
      </w:r>
      <w:r w:rsidR="00B35ACF">
        <w:t xml:space="preserve">to the extent </w:t>
      </w:r>
      <w:r w:rsidR="00E16E88">
        <w:t xml:space="preserve">possible, </w:t>
      </w:r>
      <w:r w:rsidR="001D63CF">
        <w:t>when assessing</w:t>
      </w:r>
      <w:r w:rsidR="00E16E88">
        <w:t xml:space="preserve"> </w:t>
      </w:r>
      <w:r w:rsidR="00B35ACF">
        <w:t xml:space="preserve">other </w:t>
      </w:r>
      <w:r w:rsidR="00BD2927">
        <w:t>proposed reforms presented</w:t>
      </w:r>
      <w:r w:rsidR="00B35ACF">
        <w:t xml:space="preserve"> in this RIS.</w:t>
      </w:r>
    </w:p>
    <w:p w14:paraId="2E378591" w14:textId="64CEE780" w:rsidR="00BC1EF6" w:rsidRDefault="00BC1EF6" w:rsidP="00BC1EF6">
      <w:pPr>
        <w:pStyle w:val="Heading3"/>
      </w:pPr>
      <w:r>
        <w:t xml:space="preserve">Increasing the threshold for </w:t>
      </w:r>
      <w:r w:rsidR="00DB73BD">
        <w:t>receiv</w:t>
      </w:r>
      <w:r w:rsidR="00BD2927">
        <w:t>ing</w:t>
      </w:r>
      <w:r w:rsidR="00DB73BD">
        <w:t xml:space="preserve"> a ‘</w:t>
      </w:r>
      <w:r>
        <w:t>best offer</w:t>
      </w:r>
      <w:r w:rsidR="00DB73BD">
        <w:t>’</w:t>
      </w:r>
      <w:r>
        <w:t xml:space="preserve"> </w:t>
      </w:r>
      <w:r w:rsidR="00DB73BD">
        <w:t>message</w:t>
      </w:r>
    </w:p>
    <w:p w14:paraId="170C6C18" w14:textId="616DB042" w:rsidR="00520B91" w:rsidRDefault="00BC1EF6" w:rsidP="00520B91">
      <w:r>
        <w:t xml:space="preserve">The current best offer requirements involve a calculation between the annual cost of a customer’s current plan against the annual cost of their best offer. </w:t>
      </w:r>
      <w:r w:rsidR="00807A80">
        <w:t>A retailer must provide a</w:t>
      </w:r>
      <w:r>
        <w:t xml:space="preserve"> best offer message on a customer’s bill</w:t>
      </w:r>
      <w:r w:rsidR="00807A80" w:rsidRPr="00807A80">
        <w:t xml:space="preserve"> </w:t>
      </w:r>
      <w:r w:rsidR="00807A80">
        <w:t>if the potential annual savings are above $22</w:t>
      </w:r>
      <w:r>
        <w:t>.</w:t>
      </w:r>
      <w:r>
        <w:rPr>
          <w:rStyle w:val="FootnoteReference"/>
        </w:rPr>
        <w:footnoteReference w:id="97"/>
      </w:r>
      <w:r>
        <w:t xml:space="preserve"> This threshold was set in 2018 </w:t>
      </w:r>
      <w:r w:rsidR="00807A80">
        <w:t xml:space="preserve">and </w:t>
      </w:r>
      <w:r w:rsidR="00CB0568">
        <w:t>w</w:t>
      </w:r>
      <w:r w:rsidR="00557AB6">
        <w:t>a</w:t>
      </w:r>
      <w:r w:rsidR="00CB0568">
        <w:t xml:space="preserve">s </w:t>
      </w:r>
      <w:r w:rsidR="00807A80">
        <w:t xml:space="preserve">based on </w:t>
      </w:r>
      <w:r>
        <w:t>the maximum exit fee retailers may charge.</w:t>
      </w:r>
      <w:r>
        <w:rPr>
          <w:rStyle w:val="FootnoteReference"/>
        </w:rPr>
        <w:footnoteReference w:id="98"/>
      </w:r>
      <w:r w:rsidR="00520B91" w:rsidRPr="00520B91">
        <w:t xml:space="preserve"> </w:t>
      </w:r>
      <w:r w:rsidR="00D3521E">
        <w:t xml:space="preserve">It has not been updated or adjusted for inflation </w:t>
      </w:r>
      <w:r w:rsidR="00CA258A">
        <w:t>since</w:t>
      </w:r>
      <w:r w:rsidR="00D3521E">
        <w:t>.</w:t>
      </w:r>
    </w:p>
    <w:p w14:paraId="7E344D72" w14:textId="646D0905" w:rsidR="00E851F4" w:rsidRDefault="00E93EE4" w:rsidP="002446AF">
      <w:r>
        <w:t xml:space="preserve">We </w:t>
      </w:r>
      <w:r w:rsidR="002446AF">
        <w:t xml:space="preserve">have reviewed the threshold to support the implementation of the </w:t>
      </w:r>
      <w:r w:rsidR="00BC1EF6">
        <w:t xml:space="preserve">proposed automatic best offer mechanism. </w:t>
      </w:r>
      <w:r w:rsidR="00152CB4">
        <w:t xml:space="preserve">The </w:t>
      </w:r>
      <w:r w:rsidR="00BC1EF6">
        <w:t xml:space="preserve">automatic best offer mechanism </w:t>
      </w:r>
      <w:r w:rsidR="00152CB4">
        <w:t xml:space="preserve">should provide </w:t>
      </w:r>
      <w:r w:rsidR="00BC1EF6">
        <w:t xml:space="preserve">customers </w:t>
      </w:r>
      <w:r w:rsidR="00152CB4">
        <w:t xml:space="preserve">with a substantial enough </w:t>
      </w:r>
      <w:r w:rsidR="00BC1EF6">
        <w:t xml:space="preserve">benefit </w:t>
      </w:r>
      <w:r w:rsidR="00152CB4">
        <w:t xml:space="preserve">for </w:t>
      </w:r>
      <w:r w:rsidR="00BC1EF6">
        <w:t xml:space="preserve">the additional </w:t>
      </w:r>
      <w:r w:rsidR="00152CB4">
        <w:t xml:space="preserve">regulatory and process </w:t>
      </w:r>
      <w:r w:rsidR="00BC1EF6">
        <w:t>burden on retailers.</w:t>
      </w:r>
    </w:p>
    <w:p w14:paraId="192BF93E" w14:textId="2155B0F3" w:rsidR="00BC1EF6" w:rsidRDefault="00514111" w:rsidP="002446AF">
      <w:r>
        <w:t xml:space="preserve">Setting </w:t>
      </w:r>
      <w:r w:rsidR="00E851F4">
        <w:t xml:space="preserve">too </w:t>
      </w:r>
      <w:r>
        <w:t xml:space="preserve">low </w:t>
      </w:r>
      <w:r w:rsidR="00E851F4">
        <w:t xml:space="preserve">a </w:t>
      </w:r>
      <w:r>
        <w:t xml:space="preserve">threshold </w:t>
      </w:r>
      <w:r w:rsidR="00072E74">
        <w:t xml:space="preserve">could lead to customers receiving repeated </w:t>
      </w:r>
      <w:r>
        <w:t xml:space="preserve">information </w:t>
      </w:r>
      <w:r w:rsidR="00072E74">
        <w:t>notices</w:t>
      </w:r>
      <w:r>
        <w:t xml:space="preserve"> and erode </w:t>
      </w:r>
      <w:r w:rsidR="00AB2D8B">
        <w:t xml:space="preserve">consumer trust. For example, a customer </w:t>
      </w:r>
      <w:r w:rsidR="00B46ED3">
        <w:t xml:space="preserve">in payment difficulty </w:t>
      </w:r>
      <w:r w:rsidR="00AB2D8B">
        <w:t>could receive several ‘best offer’ messages</w:t>
      </w:r>
      <w:r w:rsidR="001E5413">
        <w:t xml:space="preserve"> </w:t>
      </w:r>
      <w:r w:rsidR="00B46ED3">
        <w:t>within a year, for marginal savings.</w:t>
      </w:r>
      <w:r w:rsidR="00E851F4">
        <w:t xml:space="preserve"> </w:t>
      </w:r>
      <w:r w:rsidR="00A462FD">
        <w:t xml:space="preserve">In 2018, we conducted consumer behavioural testing which indicated that 90 per cent of customers would need </w:t>
      </w:r>
      <w:r w:rsidR="00A73A88">
        <w:t xml:space="preserve">to save at least </w:t>
      </w:r>
      <w:r w:rsidR="00A462FD">
        <w:t>$50 in order to switch.</w:t>
      </w:r>
      <w:r w:rsidR="00A462FD">
        <w:rPr>
          <w:rStyle w:val="FootnoteReference"/>
        </w:rPr>
        <w:footnoteReference w:id="99"/>
      </w:r>
      <w:r w:rsidR="00A462FD">
        <w:t xml:space="preserve"> Consumer</w:t>
      </w:r>
      <w:r w:rsidR="00A73A88">
        <w:t>s in our</w:t>
      </w:r>
      <w:r w:rsidR="00A462FD">
        <w:t xml:space="preserve"> focus groups also indicated that </w:t>
      </w:r>
      <w:r w:rsidR="001658BF">
        <w:t xml:space="preserve">seeing higher </w:t>
      </w:r>
      <w:r w:rsidR="00A462FD">
        <w:t xml:space="preserve">savings </w:t>
      </w:r>
      <w:r w:rsidR="001658BF">
        <w:t>from ‘</w:t>
      </w:r>
      <w:r w:rsidR="00A462FD">
        <w:t>best offer</w:t>
      </w:r>
      <w:r w:rsidR="001658BF">
        <w:t>’</w:t>
      </w:r>
      <w:r w:rsidR="00A462FD">
        <w:t xml:space="preserve"> </w:t>
      </w:r>
      <w:r w:rsidR="001658BF">
        <w:t xml:space="preserve">messages </w:t>
      </w:r>
      <w:r w:rsidR="00A462FD">
        <w:t>would improve consumer confidence</w:t>
      </w:r>
      <w:r w:rsidR="00A151B1">
        <w:t xml:space="preserve"> that they would actually benefit from the switch</w:t>
      </w:r>
      <w:r w:rsidR="00A462FD">
        <w:t>.</w:t>
      </w:r>
      <w:r w:rsidR="00A462FD">
        <w:rPr>
          <w:rStyle w:val="FootnoteReference"/>
        </w:rPr>
        <w:footnoteReference w:id="100"/>
      </w:r>
    </w:p>
    <w:p w14:paraId="4FBBFAF0" w14:textId="4FB9A413" w:rsidR="00AE1C7C" w:rsidRDefault="00486EE5" w:rsidP="00AE1C7C">
      <w:r>
        <w:t>On the other hand, s</w:t>
      </w:r>
      <w:r w:rsidR="00BC1EF6">
        <w:t xml:space="preserve">etting the threshold too high </w:t>
      </w:r>
      <w:r w:rsidR="00B46ED3">
        <w:t xml:space="preserve">could </w:t>
      </w:r>
      <w:r w:rsidR="00072E74">
        <w:t xml:space="preserve">lead </w:t>
      </w:r>
      <w:r w:rsidR="00B76DF9">
        <w:t xml:space="preserve">to </w:t>
      </w:r>
      <w:r w:rsidR="00BC1EF6">
        <w:t xml:space="preserve">customers </w:t>
      </w:r>
      <w:r w:rsidR="00E851F4">
        <w:t>missing out on</w:t>
      </w:r>
      <w:r w:rsidR="00B76DF9">
        <w:t xml:space="preserve"> </w:t>
      </w:r>
      <w:r w:rsidR="00E42178">
        <w:t xml:space="preserve">substantial </w:t>
      </w:r>
      <w:r w:rsidR="00B76DF9">
        <w:t>savings</w:t>
      </w:r>
      <w:r>
        <w:t xml:space="preserve">. This would </w:t>
      </w:r>
      <w:r w:rsidR="00E42178">
        <w:t xml:space="preserve">directly </w:t>
      </w:r>
      <w:r>
        <w:t xml:space="preserve">affect </w:t>
      </w:r>
      <w:r w:rsidR="00943184">
        <w:t>those in payment difficulty</w:t>
      </w:r>
      <w:r w:rsidR="00E42178">
        <w:t xml:space="preserve"> (who would receive an automatic best offer)</w:t>
      </w:r>
      <w:r w:rsidR="00BC1EF6">
        <w:t>.</w:t>
      </w:r>
      <w:r w:rsidR="00AE1C7C" w:rsidRPr="00AE1C7C">
        <w:t xml:space="preserve"> </w:t>
      </w:r>
    </w:p>
    <w:p w14:paraId="54CA007E" w14:textId="76FE7DD8" w:rsidR="006F0E50" w:rsidRDefault="00BC1EF6" w:rsidP="00D3521E">
      <w:r>
        <w:lastRenderedPageBreak/>
        <w:t xml:space="preserve">On balance, we </w:t>
      </w:r>
      <w:r w:rsidR="002C09EE">
        <w:t xml:space="preserve">propose </w:t>
      </w:r>
      <w:r w:rsidR="004F4A18">
        <w:t xml:space="preserve">increasing the ‘best offer’ check threshold to $50. This represents a </w:t>
      </w:r>
      <w:r w:rsidR="008D647E">
        <w:t>3</w:t>
      </w:r>
      <w:r w:rsidR="004F4A18">
        <w:t xml:space="preserve"> per</w:t>
      </w:r>
      <w:r w:rsidR="00A5302B">
        <w:t xml:space="preserve"> </w:t>
      </w:r>
      <w:r w:rsidR="004F4A18">
        <w:t>cent</w:t>
      </w:r>
      <w:r w:rsidR="004F4A18" w:rsidRPr="009E6FD3">
        <w:t xml:space="preserve"> </w:t>
      </w:r>
      <w:r w:rsidR="004F4A18">
        <w:t>annual saving</w:t>
      </w:r>
      <w:r w:rsidR="008F13C4">
        <w:t xml:space="preserve"> for a customer</w:t>
      </w:r>
      <w:r w:rsidR="004F4A18">
        <w:t>, compared to a 1.3 per cent under a $22 threshold.</w:t>
      </w:r>
      <w:r w:rsidR="004F4A18">
        <w:rPr>
          <w:rStyle w:val="FootnoteReference"/>
        </w:rPr>
        <w:footnoteReference w:id="101"/>
      </w:r>
      <w:r w:rsidR="004F4A18">
        <w:t xml:space="preserve"> </w:t>
      </w:r>
      <w:r w:rsidR="008F13C4">
        <w:t xml:space="preserve">This change </w:t>
      </w:r>
      <w:r w:rsidR="00914191">
        <w:t>w</w:t>
      </w:r>
      <w:r w:rsidR="008C0BC5">
        <w:t>ould</w:t>
      </w:r>
      <w:r w:rsidR="008F13C4">
        <w:t xml:space="preserve"> </w:t>
      </w:r>
      <w:r w:rsidR="00EA061E">
        <w:t>lower</w:t>
      </w:r>
      <w:r>
        <w:t xml:space="preserve"> costs for retailers</w:t>
      </w:r>
      <w:r w:rsidR="007E5248">
        <w:t xml:space="preserve"> </w:t>
      </w:r>
      <w:r w:rsidR="001E2310">
        <w:t xml:space="preserve">related to </w:t>
      </w:r>
      <w:r w:rsidR="00151AAE">
        <w:t xml:space="preserve">including </w:t>
      </w:r>
      <w:r w:rsidR="007E5248">
        <w:t>best offe</w:t>
      </w:r>
      <w:r w:rsidR="00BD2DF6">
        <w:t>r</w:t>
      </w:r>
      <w:r w:rsidR="007E5248">
        <w:t xml:space="preserve"> </w:t>
      </w:r>
      <w:r w:rsidR="00151AAE">
        <w:t>messages on bills</w:t>
      </w:r>
      <w:r w:rsidR="00902D93">
        <w:t xml:space="preserve">. </w:t>
      </w:r>
      <w:r w:rsidR="00977C78">
        <w:t>In addition, i</w:t>
      </w:r>
      <w:r w:rsidR="00902D93">
        <w:t xml:space="preserve">t would lower the implementation costs of </w:t>
      </w:r>
      <w:r w:rsidR="007E5248">
        <w:t xml:space="preserve">the </w:t>
      </w:r>
      <w:r w:rsidR="004C6CD4">
        <w:t xml:space="preserve">reform relating to </w:t>
      </w:r>
      <w:r w:rsidR="007E5248">
        <w:t>automatic switch</w:t>
      </w:r>
      <w:r w:rsidR="00676534">
        <w:t>ing</w:t>
      </w:r>
      <w:r w:rsidR="00902D93">
        <w:t xml:space="preserve"> to the best offer for customers experiencing payment difficulty</w:t>
      </w:r>
      <w:r w:rsidR="004C6CD4">
        <w:t>, which is proposed later in this RIS</w:t>
      </w:r>
      <w:r w:rsidR="007E5248">
        <w:t xml:space="preserve">. </w:t>
      </w:r>
    </w:p>
    <w:p w14:paraId="54EF6E55" w14:textId="7206BF3B" w:rsidR="00D3521E" w:rsidRDefault="006F0E50" w:rsidP="00D3521E">
      <w:r>
        <w:t xml:space="preserve">Increasing the threshold to $50 </w:t>
      </w:r>
      <w:r w:rsidR="007E5248">
        <w:t xml:space="preserve">could </w:t>
      </w:r>
      <w:r w:rsidR="00D3521E">
        <w:t xml:space="preserve">also </w:t>
      </w:r>
      <w:r w:rsidR="007E5248">
        <w:t xml:space="preserve">avoid some negative </w:t>
      </w:r>
      <w:r w:rsidR="00BC1EF6">
        <w:t>experience</w:t>
      </w:r>
      <w:r w:rsidR="007E5248">
        <w:t>s</w:t>
      </w:r>
      <w:r w:rsidR="006B6825">
        <w:t xml:space="preserve"> for customers</w:t>
      </w:r>
      <w:r>
        <w:t xml:space="preserve">. For example, </w:t>
      </w:r>
      <w:r w:rsidR="00C5316E">
        <w:t xml:space="preserve">if an automatic switch to the best offer is implemented for customers experiencing payment difficulty, </w:t>
      </w:r>
      <w:r w:rsidR="002D46BA">
        <w:t xml:space="preserve">a </w:t>
      </w:r>
      <w:r w:rsidR="0077627B">
        <w:t xml:space="preserve">customer could be frustrated by being </w:t>
      </w:r>
      <w:r w:rsidR="00C82C60">
        <w:t>switch</w:t>
      </w:r>
      <w:r w:rsidR="00E031F9">
        <w:t>ed</w:t>
      </w:r>
      <w:r w:rsidR="00C82C60">
        <w:t xml:space="preserve"> to a plan with </w:t>
      </w:r>
      <w:r w:rsidR="004D5D18">
        <w:t xml:space="preserve">marginally </w:t>
      </w:r>
      <w:r w:rsidR="00C82C60">
        <w:t xml:space="preserve">cheaper tariffs </w:t>
      </w:r>
      <w:r w:rsidR="00B24B8C">
        <w:t xml:space="preserve">which may not guarantee savings </w:t>
      </w:r>
      <w:r w:rsidR="00497113">
        <w:t>depending on the customer’s</w:t>
      </w:r>
      <w:r w:rsidR="00295D77">
        <w:t xml:space="preserve"> </w:t>
      </w:r>
      <w:r w:rsidR="00994737">
        <w:t xml:space="preserve">future </w:t>
      </w:r>
      <w:r w:rsidR="00295D77">
        <w:t>consumption patter</w:t>
      </w:r>
      <w:r w:rsidR="002D4389">
        <w:t>n</w:t>
      </w:r>
      <w:r w:rsidR="00295D77">
        <w:t>s</w:t>
      </w:r>
      <w:r w:rsidR="00BC1EF6">
        <w:t>.</w:t>
      </w:r>
      <w:r w:rsidR="00D3521E" w:rsidRPr="00D3521E">
        <w:t xml:space="preserve"> </w:t>
      </w:r>
    </w:p>
    <w:p w14:paraId="06A96CFE" w14:textId="72EDDD02" w:rsidR="00AD633C" w:rsidRDefault="00DD4A0B" w:rsidP="00BC1EF6">
      <w:r>
        <w:t xml:space="preserve">We </w:t>
      </w:r>
      <w:r w:rsidR="00B4253D">
        <w:t xml:space="preserve">consider that increasing the </w:t>
      </w:r>
      <w:r w:rsidR="009A61A0">
        <w:t xml:space="preserve">best offer threshold from $22 to $50 would have a small impact on </w:t>
      </w:r>
      <w:r w:rsidR="00AD633C">
        <w:t xml:space="preserve">retailers and consumers. </w:t>
      </w:r>
      <w:r w:rsidR="004312C8">
        <w:t xml:space="preserve">We estimate that around </w:t>
      </w:r>
      <w:r w:rsidR="005953F2">
        <w:t xml:space="preserve">95,350 customers </w:t>
      </w:r>
      <w:r w:rsidR="00C85EDE">
        <w:t>receive a message each quarter showing that they could save between $22 and $50 per year on their retailer’s best offer.</w:t>
      </w:r>
      <w:r w:rsidR="00570703">
        <w:t xml:space="preserve"> </w:t>
      </w:r>
      <w:r w:rsidR="00293E42">
        <w:t xml:space="preserve">A low proportion of these customers are likely to </w:t>
      </w:r>
      <w:r w:rsidR="006E60E2">
        <w:t>switch to their retailer’s best offer</w:t>
      </w:r>
      <w:r w:rsidR="00683CD5">
        <w:t xml:space="preserve">, given the low </w:t>
      </w:r>
      <w:r w:rsidR="00DC4B65">
        <w:t>savings reported on best offer messages for this group</w:t>
      </w:r>
      <w:r w:rsidR="006E60E2">
        <w:t xml:space="preserve">. </w:t>
      </w:r>
      <w:r w:rsidR="00A65089">
        <w:t xml:space="preserve">We estimate that </w:t>
      </w:r>
      <w:r w:rsidR="00FE6315">
        <w:t xml:space="preserve">with this change retailers would potentially earn (and consumers </w:t>
      </w:r>
      <w:r w:rsidR="003339D5">
        <w:t>forego savings) between $</w:t>
      </w:r>
      <w:r w:rsidR="00167692">
        <w:t>11,920 and $23,</w:t>
      </w:r>
      <w:r w:rsidR="007F0889">
        <w:t>840</w:t>
      </w:r>
      <w:r w:rsidR="00345EB4">
        <w:t xml:space="preserve"> per year.</w:t>
      </w:r>
      <w:r w:rsidR="00345EB4">
        <w:rPr>
          <w:rStyle w:val="FootnoteReference"/>
        </w:rPr>
        <w:footnoteReference w:id="102"/>
      </w:r>
      <w:r w:rsidR="00C25663">
        <w:t xml:space="preserve">This may be offset </w:t>
      </w:r>
      <w:r w:rsidR="00124219" w:rsidRPr="00124219">
        <w:t>by consumer benefits associated</w:t>
      </w:r>
      <w:r w:rsidR="00E358F7">
        <w:t xml:space="preserve"> </w:t>
      </w:r>
      <w:r w:rsidR="00CB1F3D">
        <w:t>to the proposed reform</w:t>
      </w:r>
      <w:r w:rsidR="00DF3F44">
        <w:t>, such as</w:t>
      </w:r>
      <w:r w:rsidR="00CB1F3D">
        <w:t xml:space="preserve"> r</w:t>
      </w:r>
      <w:r w:rsidR="00124219" w:rsidRPr="00124219">
        <w:t>educing information overload and focusing attention where action is most valuabl</w:t>
      </w:r>
      <w:r w:rsidR="00CB1F3D">
        <w:t xml:space="preserve">e. </w:t>
      </w:r>
    </w:p>
    <w:p w14:paraId="1A80D7C8" w14:textId="395109E6" w:rsidR="00BC1EF6" w:rsidRDefault="00BC1EF6" w:rsidP="00BC1EF6">
      <w:r>
        <w:t xml:space="preserve">We welcome feedback from stakeholders on </w:t>
      </w:r>
      <w:r w:rsidR="00A42E0B">
        <w:t>the proposed change</w:t>
      </w:r>
      <w:r>
        <w:t>.</w:t>
      </w:r>
    </w:p>
    <w:p w14:paraId="7CAB9A13" w14:textId="74F5829C" w:rsidR="006E140E" w:rsidRDefault="004B5DB4" w:rsidP="004B5DB4">
      <w:pPr>
        <w:pStyle w:val="Heading3"/>
      </w:pPr>
      <w:r>
        <w:t xml:space="preserve">Increasing the minimum </w:t>
      </w:r>
      <w:r w:rsidR="002D5C27">
        <w:t xml:space="preserve">debt amount for </w:t>
      </w:r>
      <w:r>
        <w:t xml:space="preserve">disconnection </w:t>
      </w:r>
    </w:p>
    <w:p w14:paraId="51843ED5" w14:textId="1C2EACD9" w:rsidR="007E35CA" w:rsidRDefault="007E35CA" w:rsidP="007E35CA">
      <w:r>
        <w:t>Retailers currently cannot disconnect customers who have debt of $300 or lower</w:t>
      </w:r>
      <w:r w:rsidR="00E55699">
        <w:t xml:space="preserve"> and </w:t>
      </w:r>
      <w:r w:rsidR="00077CF7">
        <w:t>are</w:t>
      </w:r>
      <w:r w:rsidR="00E55699">
        <w:t xml:space="preserve"> not receiving tailored assistance from their retailer</w:t>
      </w:r>
      <w:r>
        <w:t xml:space="preserve">. </w:t>
      </w:r>
      <w:r w:rsidR="00E55699">
        <w:t xml:space="preserve">The $300 </w:t>
      </w:r>
      <w:r w:rsidR="006E140E">
        <w:t>threshold was set in 2017 and has not been updated since.</w:t>
      </w:r>
      <w:r w:rsidR="006E140E">
        <w:rPr>
          <w:rStyle w:val="FootnoteReference"/>
        </w:rPr>
        <w:footnoteReference w:id="103"/>
      </w:r>
      <w:r w:rsidR="006E140E">
        <w:t xml:space="preserve"> </w:t>
      </w:r>
    </w:p>
    <w:p w14:paraId="1C7278B4" w14:textId="690D7B29" w:rsidR="00152701" w:rsidRDefault="00D428EA" w:rsidP="007E35CA">
      <w:r>
        <w:t xml:space="preserve">In this RIS, we considered </w:t>
      </w:r>
      <w:r w:rsidR="00CA143C">
        <w:t>further</w:t>
      </w:r>
      <w:r w:rsidR="00FA26F9">
        <w:t xml:space="preserve"> support </w:t>
      </w:r>
      <w:r>
        <w:t xml:space="preserve">for customers </w:t>
      </w:r>
      <w:r w:rsidR="00FA26F9">
        <w:t xml:space="preserve">in </w:t>
      </w:r>
      <w:r w:rsidR="00152701">
        <w:t xml:space="preserve">arrears </w:t>
      </w:r>
      <w:r w:rsidR="001E3B42">
        <w:t>who</w:t>
      </w:r>
      <w:r w:rsidR="00CA143C">
        <w:t xml:space="preserve"> are </w:t>
      </w:r>
      <w:r w:rsidR="00FA26F9">
        <w:t>not receiving assistance from their retailers. These customers are at greater risk of disconnection.</w:t>
      </w:r>
      <w:r w:rsidR="00430A16">
        <w:t xml:space="preserve"> </w:t>
      </w:r>
      <w:r w:rsidR="00152701">
        <w:t xml:space="preserve">To further support these customers, we propose increasing the debt-disconnection threshold to $500. </w:t>
      </w:r>
    </w:p>
    <w:p w14:paraId="2421993D" w14:textId="6B5BEAB1" w:rsidR="00B4660F" w:rsidRDefault="008467A1" w:rsidP="00B4660F">
      <w:r>
        <w:lastRenderedPageBreak/>
        <w:t xml:space="preserve">On balance, </w:t>
      </w:r>
      <w:r w:rsidR="00C04AC5">
        <w:t xml:space="preserve">we consider that </w:t>
      </w:r>
      <w:r w:rsidR="00AE143A">
        <w:t xml:space="preserve">this </w:t>
      </w:r>
      <w:r w:rsidR="001E3B42">
        <w:t xml:space="preserve">would </w:t>
      </w:r>
      <w:r w:rsidR="00AE143A">
        <w:t xml:space="preserve">increase </w:t>
      </w:r>
      <w:r>
        <w:t>protections for</w:t>
      </w:r>
      <w:r w:rsidR="00C706BA">
        <w:t xml:space="preserve"> some</w:t>
      </w:r>
      <w:r>
        <w:t xml:space="preserve"> customers</w:t>
      </w:r>
      <w:r w:rsidR="00C706BA">
        <w:t>,</w:t>
      </w:r>
      <w:r>
        <w:t xml:space="preserve"> with marginal </w:t>
      </w:r>
      <w:r w:rsidR="00815676">
        <w:t xml:space="preserve">additional </w:t>
      </w:r>
      <w:r>
        <w:t>burden on retailers.</w:t>
      </w:r>
      <w:r w:rsidR="00FA2D6C">
        <w:t xml:space="preserve"> </w:t>
      </w:r>
      <w:r w:rsidR="00A46C6A">
        <w:t xml:space="preserve">In practice, most retailers </w:t>
      </w:r>
      <w:r w:rsidR="00A11F75">
        <w:t xml:space="preserve">only </w:t>
      </w:r>
      <w:r w:rsidR="00A46C6A">
        <w:t xml:space="preserve">disconnect customers </w:t>
      </w:r>
      <w:r w:rsidR="00B4660F">
        <w:t xml:space="preserve">with </w:t>
      </w:r>
      <w:r w:rsidR="00A11F75">
        <w:t xml:space="preserve">higher </w:t>
      </w:r>
      <w:r w:rsidR="00B4660F">
        <w:t>arrears</w:t>
      </w:r>
      <w:r w:rsidR="00FA2D6C">
        <w:t xml:space="preserve"> levels</w:t>
      </w:r>
      <w:r w:rsidR="00B4660F">
        <w:t xml:space="preserve">. </w:t>
      </w:r>
      <w:r w:rsidR="00FA2D6C">
        <w:t>B</w:t>
      </w:r>
      <w:r w:rsidR="00B4660F">
        <w:t>etween January and December 2024:</w:t>
      </w:r>
    </w:p>
    <w:p w14:paraId="38007D32" w14:textId="77777777" w:rsidR="00B4660F" w:rsidRDefault="00B4660F" w:rsidP="00A92E17">
      <w:pPr>
        <w:pStyle w:val="ListBullet"/>
      </w:pPr>
      <w:r>
        <w:t>approximately 82 per cent of electricity and gas disconnections were for customers in arrears over $1,000</w:t>
      </w:r>
    </w:p>
    <w:p w14:paraId="05CFBE4F" w14:textId="77777777" w:rsidR="00B4660F" w:rsidRDefault="00B4660F" w:rsidP="00A92E17">
      <w:pPr>
        <w:pStyle w:val="ListBullet"/>
      </w:pPr>
      <w:r>
        <w:t>the average level of debt when at the point of disconnection was approximately $2,500</w:t>
      </w:r>
    </w:p>
    <w:p w14:paraId="0DC499B2" w14:textId="722AE56D" w:rsidR="00B4660F" w:rsidRDefault="00431EDF" w:rsidP="00A92E17">
      <w:pPr>
        <w:pStyle w:val="ListBullet"/>
      </w:pPr>
      <w:r>
        <w:t>no</w:t>
      </w:r>
      <w:r w:rsidR="00B4660F">
        <w:t xml:space="preserve"> retailer had average levels of debt at disconnection of </w:t>
      </w:r>
      <w:r>
        <w:t xml:space="preserve">below </w:t>
      </w:r>
      <w:r w:rsidR="00B4660F">
        <w:t>$500.</w:t>
      </w:r>
      <w:r w:rsidR="00B4660F">
        <w:rPr>
          <w:rStyle w:val="FootnoteReference"/>
        </w:rPr>
        <w:footnoteReference w:id="104"/>
      </w:r>
      <w:r w:rsidR="0058512C" w:rsidRPr="00F005D7" w:rsidDel="0058512C">
        <w:rPr>
          <w:rStyle w:val="FootnoteReference"/>
          <w:vertAlign w:val="baseline"/>
        </w:rPr>
        <w:t xml:space="preserve"> </w:t>
      </w:r>
    </w:p>
    <w:p w14:paraId="4A48EF98" w14:textId="453ABAFF" w:rsidR="00B4660F" w:rsidRDefault="00B4660F" w:rsidP="001E01BE">
      <w:pPr>
        <w:pStyle w:val="Figure-Table-BoxSubtitle"/>
        <w:keepNext/>
        <w:keepLines/>
      </w:pPr>
      <w:r w:rsidRPr="000F6481">
        <w:rPr>
          <w:rStyle w:val="Figure-Table-BoxHeadingChar"/>
        </w:rPr>
        <w:t>Figure 1</w:t>
      </w:r>
      <w:r w:rsidR="00DC2F32" w:rsidRPr="000F6481">
        <w:rPr>
          <w:rStyle w:val="Figure-Table-BoxHeadingChar"/>
        </w:rPr>
        <w:t>3</w:t>
      </w:r>
      <w:r w:rsidRPr="000F6481">
        <w:rPr>
          <w:rStyle w:val="Figure-Table-BoxHeadingChar"/>
        </w:rPr>
        <w:t>:</w:t>
      </w:r>
      <w:r>
        <w:t xml:space="preserve"> Average arrears at disconnection (electricity): January – December 2024</w:t>
      </w:r>
    </w:p>
    <w:p w14:paraId="413AB8FE" w14:textId="77777777" w:rsidR="00B4660F" w:rsidRDefault="002D2936" w:rsidP="00910ACF">
      <w:pPr>
        <w:pStyle w:val="Figure-Table-BoxSubtitle"/>
        <w:ind w:left="0"/>
      </w:pPr>
      <w:r>
        <w:rPr>
          <w:noProof/>
        </w:rPr>
        <w:drawing>
          <wp:inline distT="0" distB="0" distL="0" distR="0" wp14:anchorId="04D7C2A4" wp14:editId="6452C34D">
            <wp:extent cx="6120130" cy="3771900"/>
            <wp:effectExtent l="0" t="0" r="13970" b="0"/>
            <wp:docPr id="1556867134" name="Chart 1">
              <a:extLst xmlns:a="http://schemas.openxmlformats.org/drawingml/2006/main">
                <a:ext uri="{FF2B5EF4-FFF2-40B4-BE49-F238E27FC236}">
                  <a16:creationId xmlns:a16="http://schemas.microsoft.com/office/drawing/2014/main" id="{051F040B-EDAB-4F12-BA8E-9848988C1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99FE3B" w14:textId="77777777" w:rsidR="00B4660F" w:rsidRPr="006575C4" w:rsidRDefault="00B4660F" w:rsidP="001E01BE">
      <w:pPr>
        <w:pStyle w:val="Source"/>
        <w:keepNext/>
        <w:keepLines/>
        <w:spacing w:before="0" w:after="0"/>
        <w:ind w:left="1276" w:right="1276"/>
        <w:jc w:val="left"/>
      </w:pPr>
      <w:r w:rsidRPr="000F6481">
        <w:rPr>
          <w:b/>
          <w:bCs/>
        </w:rPr>
        <w:t>Source:</w:t>
      </w:r>
      <w:r w:rsidRPr="00447028">
        <w:t xml:space="preserve"> </w:t>
      </w:r>
      <w:r>
        <w:t>Compliance and Performance Reporting Guideline data.</w:t>
      </w:r>
    </w:p>
    <w:p w14:paraId="689E4953" w14:textId="0EEA3021" w:rsidR="004E4E12" w:rsidRDefault="004E4E12" w:rsidP="00443F61">
      <w:r>
        <w:t>As illustrated in F</w:t>
      </w:r>
      <w:r w:rsidR="004A6883">
        <w:t>igure 13,</w:t>
      </w:r>
      <w:r w:rsidR="009248ED">
        <w:t xml:space="preserve"> the retailer with the lowest average arrears at disconnection between January and December 2024 had average arrears of $650. </w:t>
      </w:r>
      <w:r w:rsidR="00083C37">
        <w:t>This retailer only had one disconnection completed in 2024</w:t>
      </w:r>
      <w:r w:rsidR="0088002B">
        <w:t xml:space="preserve"> (out of a total of 9,042 disconnections that year).</w:t>
      </w:r>
      <w:r w:rsidR="00B86976">
        <w:t xml:space="preserve"> </w:t>
      </w:r>
    </w:p>
    <w:p w14:paraId="785265DB" w14:textId="4D79709C" w:rsidR="003E7329" w:rsidRDefault="00660D2D" w:rsidP="00443F61">
      <w:r>
        <w:lastRenderedPageBreak/>
        <w:t>W</w:t>
      </w:r>
      <w:r w:rsidR="006E140E">
        <w:t xml:space="preserve">e </w:t>
      </w:r>
      <w:r>
        <w:t xml:space="preserve">also </w:t>
      </w:r>
      <w:r w:rsidR="006E140E">
        <w:t xml:space="preserve">considered the average prices of </w:t>
      </w:r>
      <w:r w:rsidR="003719DB">
        <w:t>energy bills</w:t>
      </w:r>
      <w:r w:rsidR="006E140E">
        <w:t xml:space="preserve">. For example, a quarterly gas bill </w:t>
      </w:r>
      <w:r w:rsidR="00D73844">
        <w:t xml:space="preserve">in </w:t>
      </w:r>
      <w:r w:rsidR="006E140E">
        <w:t>Victoria can often be over $300, especially during the winter period when gas consumption is higher.</w:t>
      </w:r>
      <w:r w:rsidR="006E140E">
        <w:rPr>
          <w:rStyle w:val="FootnoteReference"/>
        </w:rPr>
        <w:footnoteReference w:id="105"/>
      </w:r>
      <w:r w:rsidR="00DF40A9">
        <w:t xml:space="preserve"> This means that </w:t>
      </w:r>
      <w:r w:rsidR="002F646C">
        <w:t xml:space="preserve">a customer who misses a single bill could be </w:t>
      </w:r>
      <w:r w:rsidR="00413BC8">
        <w:t xml:space="preserve">at risk of </w:t>
      </w:r>
      <w:r w:rsidR="00CA143C">
        <w:t>disconnection</w:t>
      </w:r>
      <w:r w:rsidR="00413BC8">
        <w:t>.</w:t>
      </w:r>
      <w:r>
        <w:t xml:space="preserve"> We also note that adjusting the threshold for inflation (using the consumer price index (CPI) from 2017 to 2024 would result in an updated amount of approximately $375.</w:t>
      </w:r>
    </w:p>
    <w:p w14:paraId="44203871" w14:textId="1EBAA839" w:rsidR="008C5611" w:rsidRDefault="00820EB7" w:rsidP="006E140E">
      <w:r>
        <w:t xml:space="preserve">We understand </w:t>
      </w:r>
      <w:r w:rsidR="00D20771">
        <w:t>that t</w:t>
      </w:r>
      <w:r w:rsidR="003E7329">
        <w:t xml:space="preserve">he AER </w:t>
      </w:r>
      <w:r w:rsidR="006C0818">
        <w:t xml:space="preserve">is also </w:t>
      </w:r>
      <w:r w:rsidR="008C3B66">
        <w:t>considering raising</w:t>
      </w:r>
      <w:r w:rsidR="003E7329">
        <w:t xml:space="preserve"> this threshold in other NEM jurisdictions from $300 to $500. We note that aligning the debt-disconnection threshold could help reduce regulatory burden for retailers operating across jurisdictions.</w:t>
      </w:r>
    </w:p>
    <w:p w14:paraId="0E90A7CE" w14:textId="40317AF8" w:rsidR="00B6407B" w:rsidRDefault="00015E0D" w:rsidP="006E140E">
      <w:r>
        <w:t xml:space="preserve">Given the </w:t>
      </w:r>
      <w:r w:rsidR="00F60C2C">
        <w:t xml:space="preserve">analysis above, we expect this change would </w:t>
      </w:r>
      <w:r w:rsidR="00451C6F">
        <w:t>not impose</w:t>
      </w:r>
      <w:r w:rsidR="00F60C2C">
        <w:t xml:space="preserve"> a </w:t>
      </w:r>
      <w:r w:rsidR="00451C6F">
        <w:t>significant</w:t>
      </w:r>
      <w:r w:rsidR="00F60C2C">
        <w:t xml:space="preserve"> </w:t>
      </w:r>
      <w:r w:rsidR="00E672FE">
        <w:t>burden</w:t>
      </w:r>
      <w:r w:rsidR="00F60C2C">
        <w:t xml:space="preserve"> on </w:t>
      </w:r>
      <w:r w:rsidR="00E672FE">
        <w:t>retailers</w:t>
      </w:r>
      <w:r w:rsidR="00035BC7">
        <w:t>.</w:t>
      </w:r>
      <w:r w:rsidR="00E672FE">
        <w:t xml:space="preserve"> </w:t>
      </w:r>
      <w:r w:rsidR="00B43E95">
        <w:t xml:space="preserve">It would only affect </w:t>
      </w:r>
      <w:r w:rsidR="00891AB9">
        <w:t>the potential disconnection of a</w:t>
      </w:r>
      <w:r w:rsidR="00B43E95">
        <w:t xml:space="preserve"> very small </w:t>
      </w:r>
      <w:r w:rsidR="0058169C">
        <w:t xml:space="preserve">number of customers with arrears between $300 and $500. As the average arrears at disconnection for all retailers </w:t>
      </w:r>
      <w:r w:rsidR="00F0514F">
        <w:t xml:space="preserve">in 2024 were </w:t>
      </w:r>
      <w:r w:rsidR="009E56EF">
        <w:t xml:space="preserve">$650 or above, </w:t>
      </w:r>
      <w:r w:rsidR="003F7228">
        <w:t>we consider the overall impact of this change</w:t>
      </w:r>
      <w:r w:rsidR="002A4307">
        <w:t xml:space="preserve"> for retailers</w:t>
      </w:r>
      <w:r w:rsidR="003F7228">
        <w:t xml:space="preserve"> to be </w:t>
      </w:r>
      <w:r w:rsidR="004667B8">
        <w:t>marginal</w:t>
      </w:r>
      <w:r w:rsidR="002A4307">
        <w:t>.</w:t>
      </w:r>
      <w:r w:rsidR="00891AB9">
        <w:t xml:space="preserve"> </w:t>
      </w:r>
    </w:p>
    <w:p w14:paraId="049A633B" w14:textId="4EFB3E81" w:rsidR="00443F61" w:rsidRDefault="008C5611" w:rsidP="00443F61">
      <w:r>
        <w:t>We welcome feedback from stakeholders on the proposed change.</w:t>
      </w:r>
    </w:p>
    <w:p w14:paraId="6569934E" w14:textId="77777777" w:rsidR="006E140E" w:rsidRPr="00323792" w:rsidRDefault="006E140E" w:rsidP="00B53409">
      <w:pPr>
        <w:pStyle w:val="Heading3"/>
      </w:pPr>
      <w:r w:rsidRPr="00EF2D56">
        <w:t xml:space="preserve">Questions </w:t>
      </w:r>
      <w:r>
        <w:t xml:space="preserve">for stakeholders </w:t>
      </w:r>
    </w:p>
    <w:p w14:paraId="1DBBED08" w14:textId="280E1E66" w:rsidR="00B53409" w:rsidRPr="00B53409" w:rsidRDefault="00B53409" w:rsidP="00B43F3C">
      <w:pPr>
        <w:pStyle w:val="Pull-outBullet1"/>
        <w:numPr>
          <w:ilvl w:val="0"/>
          <w:numId w:val="23"/>
        </w:numPr>
      </w:pPr>
      <w:r w:rsidRPr="00B53409">
        <w:t>Do you agree with</w:t>
      </w:r>
      <w:r>
        <w:t xml:space="preserve"> increasing</w:t>
      </w:r>
      <w:r w:rsidRPr="00B53409">
        <w:t xml:space="preserve"> </w:t>
      </w:r>
      <w:r>
        <w:t>the threshold for the best offer check results from $22 to $50</w:t>
      </w:r>
      <w:r w:rsidRPr="00B53409">
        <w:t>? If not, what amount would be more appropriate</w:t>
      </w:r>
      <w:r w:rsidR="007A5954">
        <w:t>, and why</w:t>
      </w:r>
      <w:r w:rsidRPr="00B53409">
        <w:t xml:space="preserve">? </w:t>
      </w:r>
    </w:p>
    <w:p w14:paraId="2A50CF53" w14:textId="0779BD32" w:rsidR="00BD19E9" w:rsidRPr="00A934D4" w:rsidRDefault="006E140E" w:rsidP="00B43F3C">
      <w:pPr>
        <w:pStyle w:val="Pull-outBullet1"/>
        <w:numPr>
          <w:ilvl w:val="0"/>
          <w:numId w:val="23"/>
        </w:numPr>
      </w:pPr>
      <w:r w:rsidRPr="00B53409">
        <w:t>Do you agree with increasing the minimum disconnection amount to $500? If not, what amount would be more appropriate</w:t>
      </w:r>
      <w:r w:rsidR="007A5954">
        <w:t>, and why</w:t>
      </w:r>
      <w:r w:rsidRPr="00B53409">
        <w:t>?</w:t>
      </w:r>
      <w:r w:rsidR="0048147A">
        <w:t xml:space="preserve"> Should this amount be indexed to account for inflation or increases in energy prices?</w:t>
      </w:r>
    </w:p>
    <w:p w14:paraId="114403B2" w14:textId="6F6229B1" w:rsidR="00EC159D" w:rsidRDefault="00EC159D" w:rsidP="00EC159D">
      <w:pPr>
        <w:pStyle w:val="Heading2numbered"/>
      </w:pPr>
      <w:bookmarkStart w:id="109" w:name="_Toc197959430"/>
      <w:r>
        <w:t>Summary of options for assessment</w:t>
      </w:r>
      <w:bookmarkEnd w:id="109"/>
    </w:p>
    <w:p w14:paraId="4F76D5A7" w14:textId="5CAF240B" w:rsidR="00A01273" w:rsidRDefault="002354D2" w:rsidP="00EC159D">
      <w:r w:rsidRPr="00184AB3">
        <w:t xml:space="preserve">The options in </w:t>
      </w:r>
      <w:r w:rsidR="00712BB8">
        <w:t>T</w:t>
      </w:r>
      <w:r w:rsidRPr="00184AB3">
        <w:t>able</w:t>
      </w:r>
      <w:r w:rsidR="00712BB8">
        <w:t xml:space="preserve"> 4</w:t>
      </w:r>
      <w:r w:rsidRPr="00184AB3">
        <w:t xml:space="preserve"> below are considered feasible and practicable and are ass</w:t>
      </w:r>
      <w:r w:rsidR="008A4082" w:rsidRPr="00184AB3">
        <w:t>essed further in the following reform-specific chapter</w:t>
      </w:r>
      <w:r w:rsidR="008A4082" w:rsidRPr="003A431D">
        <w:t xml:space="preserve">s (Chapters </w:t>
      </w:r>
      <w:r w:rsidR="00184AB3" w:rsidRPr="003A431D">
        <w:t>5 to 11).</w:t>
      </w:r>
      <w:r w:rsidR="00184AB3" w:rsidRPr="00184AB3">
        <w:t xml:space="preserve"> </w:t>
      </w:r>
    </w:p>
    <w:p w14:paraId="15779670" w14:textId="17EAA895" w:rsidR="008B69ED" w:rsidRPr="000F6481" w:rsidRDefault="000F6481" w:rsidP="000F6481">
      <w:pPr>
        <w:pStyle w:val="Figure-Table-BoxHeading"/>
        <w:numPr>
          <w:ilvl w:val="0"/>
          <w:numId w:val="0"/>
        </w:numPr>
        <w:ind w:left="851" w:hanging="851"/>
        <w:rPr>
          <w:b w:val="0"/>
          <w:bCs/>
        </w:rPr>
      </w:pPr>
      <w:r w:rsidRPr="000F6481">
        <w:t>T</w:t>
      </w:r>
      <w:r w:rsidR="008B69ED" w:rsidRPr="000F6481">
        <w:t xml:space="preserve">able </w:t>
      </w:r>
      <w:r w:rsidR="00712BB8" w:rsidRPr="000F6481">
        <w:t>4</w:t>
      </w:r>
      <w:r w:rsidRPr="000F6481">
        <w:t>:</w:t>
      </w:r>
      <w:r w:rsidR="008B69ED" w:rsidRPr="000F6481">
        <w:t xml:space="preserve"> </w:t>
      </w:r>
      <w:r w:rsidR="008B69ED" w:rsidRPr="000F6481">
        <w:rPr>
          <w:b w:val="0"/>
          <w:bCs/>
        </w:rPr>
        <w:t>Summary of options progressed to assessment</w:t>
      </w:r>
    </w:p>
    <w:tbl>
      <w:tblPr>
        <w:tblStyle w:val="TableGrid"/>
        <w:tblW w:w="0" w:type="auto"/>
        <w:tblLook w:val="04A0" w:firstRow="1" w:lastRow="0" w:firstColumn="1" w:lastColumn="0" w:noHBand="0" w:noVBand="1"/>
      </w:tblPr>
      <w:tblGrid>
        <w:gridCol w:w="3119"/>
        <w:gridCol w:w="6519"/>
      </w:tblGrid>
      <w:tr w:rsidR="00184AB3" w14:paraId="22F9174D" w14:textId="77777777" w:rsidTr="008F5AB0">
        <w:trPr>
          <w:cnfStyle w:val="100000000000" w:firstRow="1" w:lastRow="0" w:firstColumn="0" w:lastColumn="0" w:oddVBand="0" w:evenVBand="0" w:oddHBand="0" w:evenHBand="0" w:firstRowFirstColumn="0" w:firstRowLastColumn="0" w:lastRowFirstColumn="0" w:lastRowLastColumn="0"/>
        </w:trPr>
        <w:tc>
          <w:tcPr>
            <w:tcW w:w="3119" w:type="dxa"/>
          </w:tcPr>
          <w:p w14:paraId="459040AF" w14:textId="644731B8" w:rsidR="00184AB3" w:rsidRDefault="00C538AA" w:rsidP="00C27192">
            <w:pPr>
              <w:spacing w:before="0" w:after="120" w:line="240" w:lineRule="auto"/>
            </w:pPr>
            <w:r>
              <w:t>Reform topic</w:t>
            </w:r>
          </w:p>
        </w:tc>
        <w:tc>
          <w:tcPr>
            <w:tcW w:w="6519" w:type="dxa"/>
          </w:tcPr>
          <w:p w14:paraId="4A0E55A9" w14:textId="534BA992" w:rsidR="00184AB3" w:rsidRDefault="00C538AA" w:rsidP="00C27192">
            <w:pPr>
              <w:spacing w:before="0" w:after="120" w:line="240" w:lineRule="auto"/>
            </w:pPr>
            <w:r>
              <w:t xml:space="preserve">Options </w:t>
            </w:r>
          </w:p>
        </w:tc>
      </w:tr>
      <w:tr w:rsidR="00394F89" w14:paraId="1D752543" w14:textId="77777777" w:rsidTr="00F52F5A">
        <w:trPr>
          <w:cnfStyle w:val="000000100000" w:firstRow="0" w:lastRow="0" w:firstColumn="0" w:lastColumn="0" w:oddVBand="0" w:evenVBand="0" w:oddHBand="1" w:evenHBand="0" w:firstRowFirstColumn="0" w:firstRowLastColumn="0" w:lastRowFirstColumn="0" w:lastRowLastColumn="0"/>
          <w:trHeight w:val="169"/>
        </w:trPr>
        <w:tc>
          <w:tcPr>
            <w:tcW w:w="3119" w:type="dxa"/>
            <w:vMerge w:val="restart"/>
          </w:tcPr>
          <w:p w14:paraId="352B3AC2" w14:textId="45427AA1" w:rsidR="00394F89" w:rsidRPr="00BD02AC" w:rsidRDefault="00394F89" w:rsidP="00D409D4">
            <w:pPr>
              <w:pStyle w:val="ListParagraph"/>
              <w:numPr>
                <w:ilvl w:val="0"/>
                <w:numId w:val="16"/>
              </w:numPr>
              <w:spacing w:before="0" w:after="120" w:line="240" w:lineRule="auto"/>
              <w:ind w:left="493"/>
              <w:rPr>
                <w:b/>
                <w:sz w:val="20"/>
                <w:szCs w:val="20"/>
              </w:rPr>
            </w:pPr>
            <w:r w:rsidRPr="00BD02AC">
              <w:rPr>
                <w:b/>
                <w:sz w:val="20"/>
                <w:szCs w:val="20"/>
              </w:rPr>
              <w:t xml:space="preserve">Automatic best offer for customers experiencing payment difficulty </w:t>
            </w:r>
          </w:p>
        </w:tc>
        <w:tc>
          <w:tcPr>
            <w:tcW w:w="6519" w:type="dxa"/>
            <w:shd w:val="clear" w:color="auto" w:fill="C9E0F2" w:themeFill="accent1" w:themeFillTint="33"/>
          </w:tcPr>
          <w:p w14:paraId="5679E5E3" w14:textId="7D7B39CD" w:rsidR="00394F89" w:rsidRPr="00BD02AC" w:rsidRDefault="0076051A" w:rsidP="00C27192">
            <w:pPr>
              <w:spacing w:before="0" w:after="120" w:line="240" w:lineRule="auto"/>
              <w:rPr>
                <w:b/>
                <w:i/>
                <w:sz w:val="20"/>
                <w:szCs w:val="20"/>
              </w:rPr>
            </w:pPr>
            <w:r w:rsidRPr="00BD02AC">
              <w:rPr>
                <w:b/>
                <w:i/>
                <w:sz w:val="20"/>
                <w:szCs w:val="20"/>
              </w:rPr>
              <w:t xml:space="preserve">Eligibility </w:t>
            </w:r>
            <w:r w:rsidR="00E13F1B">
              <w:rPr>
                <w:b/>
                <w:i/>
                <w:sz w:val="20"/>
                <w:szCs w:val="20"/>
              </w:rPr>
              <w:t>o</w:t>
            </w:r>
            <w:r w:rsidRPr="00BD02AC">
              <w:rPr>
                <w:b/>
                <w:i/>
                <w:sz w:val="20"/>
                <w:szCs w:val="20"/>
              </w:rPr>
              <w:t>ptions</w:t>
            </w:r>
          </w:p>
        </w:tc>
      </w:tr>
      <w:tr w:rsidR="00184AB3" w14:paraId="32AF4B4F" w14:textId="77777777" w:rsidTr="00CB20D8">
        <w:trPr>
          <w:cnfStyle w:val="000000010000" w:firstRow="0" w:lastRow="0" w:firstColumn="0" w:lastColumn="0" w:oddVBand="0" w:evenVBand="0" w:oddHBand="0" w:evenHBand="1" w:firstRowFirstColumn="0" w:firstRowLastColumn="0" w:lastRowFirstColumn="0" w:lastRowLastColumn="0"/>
        </w:trPr>
        <w:tc>
          <w:tcPr>
            <w:tcW w:w="3119" w:type="dxa"/>
            <w:vMerge/>
          </w:tcPr>
          <w:p w14:paraId="48FFB5D2" w14:textId="72346B45" w:rsidR="00184AB3" w:rsidRPr="00E111AB" w:rsidRDefault="00184AB3" w:rsidP="00D409D4">
            <w:pPr>
              <w:pStyle w:val="ListParagraph"/>
              <w:numPr>
                <w:ilvl w:val="0"/>
                <w:numId w:val="16"/>
              </w:numPr>
              <w:spacing w:before="0" w:after="120" w:line="240" w:lineRule="auto"/>
              <w:ind w:left="477"/>
              <w:rPr>
                <w:sz w:val="20"/>
                <w:szCs w:val="20"/>
              </w:rPr>
            </w:pPr>
          </w:p>
        </w:tc>
        <w:tc>
          <w:tcPr>
            <w:tcW w:w="6519" w:type="dxa"/>
            <w:shd w:val="clear" w:color="auto" w:fill="F2F2F2" w:themeFill="background1" w:themeFillShade="F2"/>
          </w:tcPr>
          <w:p w14:paraId="14EF12C2" w14:textId="7B6560EF" w:rsidR="00184AB3" w:rsidRPr="00E111AB" w:rsidRDefault="001D5BE5" w:rsidP="00C27192">
            <w:pPr>
              <w:spacing w:before="0" w:after="120" w:line="240" w:lineRule="auto"/>
              <w:rPr>
                <w:sz w:val="20"/>
                <w:szCs w:val="20"/>
              </w:rPr>
            </w:pPr>
            <w:r w:rsidRPr="00E111AB">
              <w:rPr>
                <w:b/>
                <w:sz w:val="20"/>
                <w:szCs w:val="20"/>
              </w:rPr>
              <w:t xml:space="preserve">Option </w:t>
            </w:r>
            <w:r w:rsidR="0076051A" w:rsidRPr="00E111AB">
              <w:rPr>
                <w:b/>
                <w:bCs/>
                <w:sz w:val="20"/>
                <w:szCs w:val="20"/>
              </w:rPr>
              <w:t>A</w:t>
            </w:r>
            <w:r w:rsidR="00CC4339">
              <w:rPr>
                <w:b/>
                <w:bCs/>
                <w:sz w:val="20"/>
                <w:szCs w:val="20"/>
              </w:rPr>
              <w:t>A</w:t>
            </w:r>
            <w:r w:rsidRPr="00E111AB">
              <w:rPr>
                <w:b/>
                <w:sz w:val="20"/>
                <w:szCs w:val="20"/>
              </w:rPr>
              <w:t>.1</w:t>
            </w:r>
            <w:r w:rsidRPr="00E111AB">
              <w:rPr>
                <w:sz w:val="20"/>
                <w:szCs w:val="20"/>
              </w:rPr>
              <w:t xml:space="preserve"> </w:t>
            </w:r>
            <w:r w:rsidR="00307766" w:rsidRPr="00E111AB">
              <w:rPr>
                <w:sz w:val="20"/>
                <w:szCs w:val="20"/>
              </w:rPr>
              <w:t>–</w:t>
            </w:r>
            <w:r w:rsidRPr="00E111AB">
              <w:rPr>
                <w:sz w:val="20"/>
                <w:szCs w:val="20"/>
              </w:rPr>
              <w:t xml:space="preserve"> </w:t>
            </w:r>
            <w:r w:rsidR="002F6429">
              <w:rPr>
                <w:sz w:val="20"/>
                <w:szCs w:val="20"/>
              </w:rPr>
              <w:t>C</w:t>
            </w:r>
            <w:r w:rsidR="00307766" w:rsidRPr="00E111AB">
              <w:rPr>
                <w:sz w:val="20"/>
                <w:szCs w:val="20"/>
              </w:rPr>
              <w:t>ustomers re</w:t>
            </w:r>
            <w:r w:rsidR="00F7126F">
              <w:rPr>
                <w:sz w:val="20"/>
                <w:szCs w:val="20"/>
              </w:rPr>
              <w:t>ceiving tailored assistance</w:t>
            </w:r>
            <w:r w:rsidR="002F6429">
              <w:rPr>
                <w:sz w:val="20"/>
                <w:szCs w:val="20"/>
              </w:rPr>
              <w:t>.</w:t>
            </w:r>
          </w:p>
        </w:tc>
      </w:tr>
      <w:tr w:rsidR="00184AB3" w14:paraId="53B0FECB" w14:textId="77777777" w:rsidTr="00CB20D8">
        <w:trPr>
          <w:cnfStyle w:val="000000100000" w:firstRow="0" w:lastRow="0" w:firstColumn="0" w:lastColumn="0" w:oddVBand="0" w:evenVBand="0" w:oddHBand="1" w:evenHBand="0" w:firstRowFirstColumn="0" w:firstRowLastColumn="0" w:lastRowFirstColumn="0" w:lastRowLastColumn="0"/>
        </w:trPr>
        <w:tc>
          <w:tcPr>
            <w:tcW w:w="3119" w:type="dxa"/>
            <w:vMerge/>
          </w:tcPr>
          <w:p w14:paraId="09E8DD56" w14:textId="77777777" w:rsidR="00184AB3" w:rsidRPr="00E111AB" w:rsidRDefault="00184AB3" w:rsidP="00C27192">
            <w:pPr>
              <w:spacing w:before="0" w:after="120" w:line="240" w:lineRule="auto"/>
              <w:rPr>
                <w:sz w:val="20"/>
                <w:szCs w:val="20"/>
              </w:rPr>
            </w:pPr>
          </w:p>
        </w:tc>
        <w:tc>
          <w:tcPr>
            <w:tcW w:w="6519" w:type="dxa"/>
          </w:tcPr>
          <w:p w14:paraId="457FD23B" w14:textId="08C2CCC0" w:rsidR="00184AB3" w:rsidRPr="00F7126F" w:rsidRDefault="0076051A" w:rsidP="00C27192">
            <w:pPr>
              <w:spacing w:before="0" w:after="120" w:line="240" w:lineRule="auto"/>
              <w:rPr>
                <w:b/>
                <w:sz w:val="20"/>
                <w:szCs w:val="20"/>
              </w:rPr>
            </w:pPr>
            <w:r>
              <w:rPr>
                <w:b/>
                <w:bCs/>
                <w:sz w:val="20"/>
                <w:szCs w:val="20"/>
              </w:rPr>
              <w:t>Option A</w:t>
            </w:r>
            <w:r w:rsidR="00CC4339">
              <w:rPr>
                <w:b/>
                <w:bCs/>
                <w:sz w:val="20"/>
                <w:szCs w:val="20"/>
              </w:rPr>
              <w:t>A</w:t>
            </w:r>
            <w:r>
              <w:rPr>
                <w:b/>
                <w:bCs/>
                <w:sz w:val="20"/>
                <w:szCs w:val="20"/>
              </w:rPr>
              <w:t>.2</w:t>
            </w:r>
            <w:r w:rsidR="00FD2BF1" w:rsidRPr="00FD2BF1">
              <w:rPr>
                <w:sz w:val="20"/>
                <w:szCs w:val="20"/>
              </w:rPr>
              <w:t xml:space="preserve"> – </w:t>
            </w:r>
            <w:r w:rsidR="002F6429">
              <w:rPr>
                <w:sz w:val="20"/>
                <w:szCs w:val="20"/>
              </w:rPr>
              <w:t>C</w:t>
            </w:r>
            <w:r w:rsidR="00FD2BF1" w:rsidRPr="00FD2BF1">
              <w:rPr>
                <w:sz w:val="20"/>
                <w:szCs w:val="20"/>
              </w:rPr>
              <w:t xml:space="preserve">ustomers receiving tailored assistance and customers in arrears </w:t>
            </w:r>
            <w:r w:rsidR="00A701DB">
              <w:rPr>
                <w:sz w:val="20"/>
                <w:szCs w:val="20"/>
              </w:rPr>
              <w:t xml:space="preserve">for </w:t>
            </w:r>
            <w:r w:rsidR="0011013B">
              <w:rPr>
                <w:sz w:val="20"/>
                <w:szCs w:val="20"/>
              </w:rPr>
              <w:t xml:space="preserve">at least </w:t>
            </w:r>
            <w:r w:rsidR="00AD2B63">
              <w:rPr>
                <w:sz w:val="20"/>
                <w:szCs w:val="20"/>
              </w:rPr>
              <w:t>three</w:t>
            </w:r>
            <w:r w:rsidR="00A701DB">
              <w:rPr>
                <w:sz w:val="20"/>
                <w:szCs w:val="20"/>
              </w:rPr>
              <w:t xml:space="preserve"> months and </w:t>
            </w:r>
            <w:r w:rsidR="00A20EE3">
              <w:rPr>
                <w:sz w:val="20"/>
                <w:szCs w:val="20"/>
              </w:rPr>
              <w:t>with arrears of</w:t>
            </w:r>
            <w:r w:rsidR="00FD2BF1" w:rsidRPr="00FD2BF1">
              <w:rPr>
                <w:sz w:val="20"/>
                <w:szCs w:val="20"/>
              </w:rPr>
              <w:t xml:space="preserve"> </w:t>
            </w:r>
            <w:r w:rsidR="002C2DEF">
              <w:rPr>
                <w:sz w:val="20"/>
                <w:szCs w:val="20"/>
              </w:rPr>
              <w:t>$1,000</w:t>
            </w:r>
            <w:r w:rsidR="00A20EE3">
              <w:rPr>
                <w:sz w:val="20"/>
                <w:szCs w:val="20"/>
              </w:rPr>
              <w:t xml:space="preserve"> or more</w:t>
            </w:r>
            <w:r w:rsidR="002F6429">
              <w:rPr>
                <w:sz w:val="20"/>
                <w:szCs w:val="20"/>
              </w:rPr>
              <w:t>.</w:t>
            </w:r>
          </w:p>
        </w:tc>
      </w:tr>
      <w:tr w:rsidR="00184AB3" w14:paraId="3AA58D7F" w14:textId="77777777" w:rsidTr="00F52F5A">
        <w:trPr>
          <w:cnfStyle w:val="000000010000" w:firstRow="0" w:lastRow="0" w:firstColumn="0" w:lastColumn="0" w:oddVBand="0" w:evenVBand="0" w:oddHBand="0" w:evenHBand="1" w:firstRowFirstColumn="0" w:firstRowLastColumn="0" w:lastRowFirstColumn="0" w:lastRowLastColumn="0"/>
          <w:trHeight w:val="166"/>
        </w:trPr>
        <w:tc>
          <w:tcPr>
            <w:tcW w:w="3119" w:type="dxa"/>
            <w:vMerge/>
          </w:tcPr>
          <w:p w14:paraId="482B9806" w14:textId="77777777" w:rsidR="00184AB3" w:rsidRPr="00E111AB" w:rsidRDefault="00184AB3" w:rsidP="00C27192">
            <w:pPr>
              <w:spacing w:before="0" w:after="120" w:line="240" w:lineRule="auto"/>
              <w:rPr>
                <w:sz w:val="20"/>
                <w:szCs w:val="20"/>
              </w:rPr>
            </w:pPr>
          </w:p>
        </w:tc>
        <w:tc>
          <w:tcPr>
            <w:tcW w:w="6519" w:type="dxa"/>
            <w:shd w:val="clear" w:color="auto" w:fill="C9E0F2" w:themeFill="accent1" w:themeFillTint="33"/>
          </w:tcPr>
          <w:p w14:paraId="4B73F5B2" w14:textId="73AEAD88" w:rsidR="00184AB3" w:rsidRPr="00BD02AC" w:rsidRDefault="0076051A" w:rsidP="00C27192">
            <w:pPr>
              <w:spacing w:before="0" w:after="120" w:line="240" w:lineRule="auto"/>
              <w:rPr>
                <w:b/>
                <w:i/>
                <w:sz w:val="20"/>
                <w:szCs w:val="20"/>
              </w:rPr>
            </w:pPr>
            <w:r w:rsidRPr="00BD02AC">
              <w:rPr>
                <w:b/>
                <w:i/>
                <w:sz w:val="20"/>
                <w:szCs w:val="20"/>
              </w:rPr>
              <w:t xml:space="preserve">Implementation </w:t>
            </w:r>
            <w:r w:rsidR="002F6429">
              <w:rPr>
                <w:b/>
                <w:i/>
                <w:sz w:val="20"/>
                <w:szCs w:val="20"/>
              </w:rPr>
              <w:t>o</w:t>
            </w:r>
            <w:r w:rsidRPr="00BD02AC">
              <w:rPr>
                <w:b/>
                <w:i/>
                <w:sz w:val="20"/>
                <w:szCs w:val="20"/>
              </w:rPr>
              <w:t>ptions</w:t>
            </w:r>
          </w:p>
        </w:tc>
      </w:tr>
      <w:tr w:rsidR="00184AB3" w14:paraId="1071B96B" w14:textId="77777777" w:rsidTr="00CB20D8">
        <w:trPr>
          <w:cnfStyle w:val="000000100000" w:firstRow="0" w:lastRow="0" w:firstColumn="0" w:lastColumn="0" w:oddVBand="0" w:evenVBand="0" w:oddHBand="1" w:evenHBand="0" w:firstRowFirstColumn="0" w:firstRowLastColumn="0" w:lastRowFirstColumn="0" w:lastRowLastColumn="0"/>
        </w:trPr>
        <w:tc>
          <w:tcPr>
            <w:tcW w:w="3119" w:type="dxa"/>
            <w:vMerge/>
          </w:tcPr>
          <w:p w14:paraId="7C322730" w14:textId="77777777" w:rsidR="00184AB3" w:rsidRPr="00E111AB" w:rsidRDefault="00184AB3" w:rsidP="00C27192">
            <w:pPr>
              <w:spacing w:before="0" w:after="120" w:line="240" w:lineRule="auto"/>
              <w:rPr>
                <w:sz w:val="20"/>
                <w:szCs w:val="20"/>
              </w:rPr>
            </w:pPr>
          </w:p>
        </w:tc>
        <w:tc>
          <w:tcPr>
            <w:tcW w:w="6519" w:type="dxa"/>
          </w:tcPr>
          <w:p w14:paraId="2B16456A" w14:textId="4350750C" w:rsidR="00184AB3" w:rsidRPr="00BD02AC" w:rsidRDefault="0076051A" w:rsidP="00C27192">
            <w:pPr>
              <w:spacing w:before="0" w:after="120" w:line="240" w:lineRule="auto"/>
              <w:rPr>
                <w:b/>
                <w:sz w:val="20"/>
                <w:szCs w:val="20"/>
              </w:rPr>
            </w:pPr>
            <w:r w:rsidRPr="00BD02AC">
              <w:rPr>
                <w:b/>
                <w:bCs/>
                <w:sz w:val="20"/>
                <w:szCs w:val="20"/>
              </w:rPr>
              <w:t>Option A</w:t>
            </w:r>
            <w:r w:rsidR="00EE0246" w:rsidRPr="00BD02AC">
              <w:rPr>
                <w:b/>
                <w:bCs/>
                <w:sz w:val="20"/>
                <w:szCs w:val="20"/>
              </w:rPr>
              <w:t>.1</w:t>
            </w:r>
            <w:r w:rsidR="007E7A6F">
              <w:rPr>
                <w:b/>
                <w:bCs/>
                <w:sz w:val="20"/>
                <w:szCs w:val="20"/>
              </w:rPr>
              <w:t xml:space="preserve"> </w:t>
            </w:r>
            <w:r w:rsidR="007E7A6F" w:rsidRPr="002C2DEF">
              <w:rPr>
                <w:sz w:val="20"/>
                <w:szCs w:val="20"/>
              </w:rPr>
              <w:t>–</w:t>
            </w:r>
            <w:r w:rsidR="007E7A6F">
              <w:rPr>
                <w:b/>
                <w:bCs/>
                <w:sz w:val="20"/>
                <w:szCs w:val="20"/>
              </w:rPr>
              <w:t xml:space="preserve"> </w:t>
            </w:r>
            <w:r w:rsidR="002F6429">
              <w:rPr>
                <w:sz w:val="20"/>
                <w:szCs w:val="20"/>
              </w:rPr>
              <w:t>A</w:t>
            </w:r>
            <w:r w:rsidR="007E7A6F" w:rsidRPr="007E7A6F">
              <w:rPr>
                <w:sz w:val="20"/>
                <w:szCs w:val="20"/>
              </w:rPr>
              <w:t>utomatic switch to best offer for all customers experiencing payment difficulty who meet the chosen eligibility criteria</w:t>
            </w:r>
            <w:r w:rsidR="002F6429">
              <w:rPr>
                <w:sz w:val="20"/>
                <w:szCs w:val="20"/>
              </w:rPr>
              <w:t>.</w:t>
            </w:r>
          </w:p>
        </w:tc>
      </w:tr>
      <w:tr w:rsidR="0076051A" w14:paraId="41089815" w14:textId="77777777" w:rsidTr="00CB20D8">
        <w:trPr>
          <w:cnfStyle w:val="000000010000" w:firstRow="0" w:lastRow="0" w:firstColumn="0" w:lastColumn="0" w:oddVBand="0" w:evenVBand="0" w:oddHBand="0" w:evenHBand="1" w:firstRowFirstColumn="0" w:firstRowLastColumn="0" w:lastRowFirstColumn="0" w:lastRowLastColumn="0"/>
        </w:trPr>
        <w:tc>
          <w:tcPr>
            <w:tcW w:w="3119" w:type="dxa"/>
            <w:vMerge/>
          </w:tcPr>
          <w:p w14:paraId="5922F446" w14:textId="77777777" w:rsidR="0076051A" w:rsidRPr="00E111AB" w:rsidRDefault="0076051A" w:rsidP="00C27192">
            <w:pPr>
              <w:spacing w:before="0" w:after="120" w:line="240" w:lineRule="auto"/>
              <w:rPr>
                <w:sz w:val="20"/>
                <w:szCs w:val="20"/>
              </w:rPr>
            </w:pPr>
          </w:p>
        </w:tc>
        <w:tc>
          <w:tcPr>
            <w:tcW w:w="6519" w:type="dxa"/>
            <w:shd w:val="clear" w:color="auto" w:fill="F2F2F2" w:themeFill="background1" w:themeFillShade="F2"/>
          </w:tcPr>
          <w:p w14:paraId="2D0201B7" w14:textId="2510DE4D" w:rsidR="0076051A" w:rsidRPr="00BD02AC" w:rsidRDefault="00EE0246" w:rsidP="00C27192">
            <w:pPr>
              <w:spacing w:before="0" w:after="120" w:line="240" w:lineRule="auto"/>
              <w:rPr>
                <w:b/>
                <w:sz w:val="20"/>
                <w:szCs w:val="20"/>
              </w:rPr>
            </w:pPr>
            <w:r w:rsidRPr="00BD02AC">
              <w:rPr>
                <w:b/>
                <w:bCs/>
                <w:sz w:val="20"/>
                <w:szCs w:val="20"/>
              </w:rPr>
              <w:t>Option A.</w:t>
            </w:r>
            <w:r w:rsidR="00B824BC" w:rsidRPr="00BD02AC">
              <w:rPr>
                <w:b/>
                <w:bCs/>
                <w:sz w:val="20"/>
                <w:szCs w:val="20"/>
              </w:rPr>
              <w:t>2</w:t>
            </w:r>
            <w:r w:rsidR="00634DF6">
              <w:rPr>
                <w:b/>
                <w:bCs/>
                <w:sz w:val="20"/>
                <w:szCs w:val="20"/>
              </w:rPr>
              <w:t xml:space="preserve"> </w:t>
            </w:r>
            <w:r w:rsidR="00634DF6" w:rsidRPr="00634DF6">
              <w:rPr>
                <w:sz w:val="20"/>
                <w:szCs w:val="20"/>
              </w:rPr>
              <w:t xml:space="preserve">– </w:t>
            </w:r>
            <w:r w:rsidR="002F6429">
              <w:rPr>
                <w:sz w:val="20"/>
                <w:szCs w:val="20"/>
              </w:rPr>
              <w:t>C</w:t>
            </w:r>
            <w:r w:rsidR="00634DF6" w:rsidRPr="00634DF6">
              <w:rPr>
                <w:sz w:val="20"/>
                <w:szCs w:val="20"/>
              </w:rPr>
              <w:t>hang</w:t>
            </w:r>
            <w:r w:rsidR="0077203F">
              <w:rPr>
                <w:sz w:val="20"/>
                <w:szCs w:val="20"/>
              </w:rPr>
              <w:t>e</w:t>
            </w:r>
            <w:r w:rsidR="00634DF6" w:rsidRPr="00634DF6">
              <w:rPr>
                <w:sz w:val="20"/>
                <w:szCs w:val="20"/>
              </w:rPr>
              <w:t xml:space="preserve"> customer</w:t>
            </w:r>
            <w:r w:rsidR="002C2DEF">
              <w:rPr>
                <w:sz w:val="20"/>
                <w:szCs w:val="20"/>
              </w:rPr>
              <w:t>’s</w:t>
            </w:r>
            <w:r w:rsidR="00634DF6" w:rsidRPr="00634DF6">
              <w:rPr>
                <w:sz w:val="20"/>
                <w:szCs w:val="20"/>
              </w:rPr>
              <w:t xml:space="preserve"> tariff to </w:t>
            </w:r>
            <w:r w:rsidR="00A55BFB">
              <w:rPr>
                <w:sz w:val="20"/>
                <w:szCs w:val="20"/>
              </w:rPr>
              <w:t>match</w:t>
            </w:r>
            <w:r w:rsidR="00634DF6" w:rsidRPr="00634DF6">
              <w:rPr>
                <w:sz w:val="20"/>
                <w:szCs w:val="20"/>
              </w:rPr>
              <w:t xml:space="preserve"> </w:t>
            </w:r>
            <w:r w:rsidR="00A55BFB">
              <w:rPr>
                <w:sz w:val="20"/>
                <w:szCs w:val="20"/>
              </w:rPr>
              <w:t>best offer</w:t>
            </w:r>
            <w:r w:rsidR="005813E6">
              <w:rPr>
                <w:sz w:val="20"/>
                <w:szCs w:val="20"/>
              </w:rPr>
              <w:t xml:space="preserve"> tariff</w:t>
            </w:r>
            <w:r w:rsidR="00634DF6" w:rsidRPr="00634DF6">
              <w:rPr>
                <w:sz w:val="20"/>
                <w:szCs w:val="20"/>
              </w:rPr>
              <w:t>, for customers who meet chosen eligibility criteria</w:t>
            </w:r>
            <w:r w:rsidR="002F6429">
              <w:rPr>
                <w:sz w:val="20"/>
                <w:szCs w:val="20"/>
              </w:rPr>
              <w:t>.</w:t>
            </w:r>
          </w:p>
        </w:tc>
      </w:tr>
      <w:tr w:rsidR="00184AB3" w14:paraId="0FE3707B" w14:textId="77777777" w:rsidTr="00CB20D8">
        <w:trPr>
          <w:cnfStyle w:val="000000100000" w:firstRow="0" w:lastRow="0" w:firstColumn="0" w:lastColumn="0" w:oddVBand="0" w:evenVBand="0" w:oddHBand="1" w:evenHBand="0" w:firstRowFirstColumn="0" w:firstRowLastColumn="0" w:lastRowFirstColumn="0" w:lastRowLastColumn="0"/>
        </w:trPr>
        <w:tc>
          <w:tcPr>
            <w:tcW w:w="3119" w:type="dxa"/>
            <w:vMerge/>
          </w:tcPr>
          <w:p w14:paraId="75E30367" w14:textId="77777777" w:rsidR="00184AB3" w:rsidRPr="00E111AB" w:rsidRDefault="00184AB3" w:rsidP="00C27192">
            <w:pPr>
              <w:spacing w:before="0" w:after="120" w:line="240" w:lineRule="auto"/>
              <w:rPr>
                <w:sz w:val="20"/>
                <w:szCs w:val="20"/>
              </w:rPr>
            </w:pPr>
          </w:p>
        </w:tc>
        <w:tc>
          <w:tcPr>
            <w:tcW w:w="6519" w:type="dxa"/>
          </w:tcPr>
          <w:p w14:paraId="210675D7" w14:textId="3D07657A" w:rsidR="00184AB3" w:rsidRPr="003225C8" w:rsidRDefault="00B824BC" w:rsidP="00C27192">
            <w:pPr>
              <w:spacing w:before="0" w:after="120" w:line="240" w:lineRule="auto"/>
              <w:rPr>
                <w:sz w:val="20"/>
                <w:szCs w:val="20"/>
              </w:rPr>
            </w:pPr>
            <w:r w:rsidRPr="00BD02AC">
              <w:rPr>
                <w:b/>
                <w:bCs/>
                <w:sz w:val="20"/>
                <w:szCs w:val="20"/>
              </w:rPr>
              <w:t>Option A.3</w:t>
            </w:r>
            <w:r w:rsidR="003225C8">
              <w:rPr>
                <w:b/>
                <w:bCs/>
                <w:sz w:val="20"/>
                <w:szCs w:val="20"/>
              </w:rPr>
              <w:t xml:space="preserve"> </w:t>
            </w:r>
            <w:r w:rsidR="003225C8" w:rsidRPr="003225C8">
              <w:rPr>
                <w:sz w:val="20"/>
                <w:szCs w:val="20"/>
              </w:rPr>
              <w:t xml:space="preserve">– </w:t>
            </w:r>
            <w:r w:rsidR="002F6429">
              <w:rPr>
                <w:sz w:val="20"/>
                <w:szCs w:val="20"/>
              </w:rPr>
              <w:t>C</w:t>
            </w:r>
            <w:r w:rsidR="003225C8" w:rsidRPr="003225C8">
              <w:rPr>
                <w:sz w:val="20"/>
                <w:szCs w:val="20"/>
              </w:rPr>
              <w:t xml:space="preserve">redit </w:t>
            </w:r>
            <w:r w:rsidR="003225C8">
              <w:rPr>
                <w:sz w:val="20"/>
                <w:szCs w:val="20"/>
              </w:rPr>
              <w:t xml:space="preserve">the </w:t>
            </w:r>
            <w:r w:rsidR="003225C8" w:rsidRPr="003225C8">
              <w:rPr>
                <w:sz w:val="20"/>
                <w:szCs w:val="20"/>
              </w:rPr>
              <w:t>difference between customer</w:t>
            </w:r>
            <w:r w:rsidR="002C2DEF">
              <w:rPr>
                <w:sz w:val="20"/>
                <w:szCs w:val="20"/>
              </w:rPr>
              <w:t>’s</w:t>
            </w:r>
            <w:r w:rsidR="003225C8" w:rsidRPr="003225C8">
              <w:rPr>
                <w:sz w:val="20"/>
                <w:szCs w:val="20"/>
              </w:rPr>
              <w:t xml:space="preserve"> offer and </w:t>
            </w:r>
            <w:r w:rsidR="002C2DEF">
              <w:rPr>
                <w:sz w:val="20"/>
                <w:szCs w:val="20"/>
              </w:rPr>
              <w:t xml:space="preserve">the </w:t>
            </w:r>
            <w:r w:rsidR="003225C8" w:rsidRPr="003225C8">
              <w:rPr>
                <w:sz w:val="20"/>
                <w:szCs w:val="20"/>
              </w:rPr>
              <w:t>best offer, for customers who meet chosen eligibility criteria</w:t>
            </w:r>
            <w:r w:rsidR="002F6429">
              <w:rPr>
                <w:sz w:val="20"/>
                <w:szCs w:val="20"/>
              </w:rPr>
              <w:t>.</w:t>
            </w:r>
          </w:p>
        </w:tc>
      </w:tr>
      <w:tr w:rsidR="0076051A" w14:paraId="7CB3C40D" w14:textId="77777777" w:rsidTr="00CB20D8">
        <w:trPr>
          <w:cnfStyle w:val="000000010000" w:firstRow="0" w:lastRow="0" w:firstColumn="0" w:lastColumn="0" w:oddVBand="0" w:evenVBand="0" w:oddHBand="0" w:evenHBand="1" w:firstRowFirstColumn="0" w:firstRowLastColumn="0" w:lastRowFirstColumn="0" w:lastRowLastColumn="0"/>
        </w:trPr>
        <w:tc>
          <w:tcPr>
            <w:tcW w:w="3119" w:type="dxa"/>
            <w:vMerge w:val="restart"/>
          </w:tcPr>
          <w:p w14:paraId="777013C5" w14:textId="1C954A3B" w:rsidR="0076051A" w:rsidRPr="00CE6788" w:rsidRDefault="00D71C5B" w:rsidP="00D409D4">
            <w:pPr>
              <w:pStyle w:val="ListParagraph"/>
              <w:numPr>
                <w:ilvl w:val="0"/>
                <w:numId w:val="16"/>
              </w:numPr>
              <w:spacing w:before="0" w:after="120" w:line="240" w:lineRule="auto"/>
              <w:ind w:left="493"/>
              <w:rPr>
                <w:b/>
                <w:sz w:val="20"/>
                <w:szCs w:val="20"/>
              </w:rPr>
            </w:pPr>
            <w:r w:rsidRPr="00CE6788">
              <w:rPr>
                <w:b/>
                <w:sz w:val="20"/>
                <w:szCs w:val="20"/>
              </w:rPr>
              <w:t>Im</w:t>
            </w:r>
            <w:r w:rsidR="009556E0" w:rsidRPr="00CE6788">
              <w:rPr>
                <w:b/>
                <w:sz w:val="20"/>
                <w:szCs w:val="20"/>
              </w:rPr>
              <w:t>proving access to cheaper offers</w:t>
            </w:r>
          </w:p>
        </w:tc>
        <w:tc>
          <w:tcPr>
            <w:tcW w:w="6519" w:type="dxa"/>
          </w:tcPr>
          <w:p w14:paraId="21B3759D" w14:textId="4DE66373" w:rsidR="0076051A" w:rsidRPr="00E111AB" w:rsidRDefault="008140E9" w:rsidP="00C27192">
            <w:pPr>
              <w:spacing w:before="0" w:after="120" w:line="240" w:lineRule="auto"/>
              <w:rPr>
                <w:sz w:val="20"/>
                <w:szCs w:val="20"/>
              </w:rPr>
            </w:pPr>
            <w:r>
              <w:rPr>
                <w:b/>
                <w:bCs/>
                <w:sz w:val="20"/>
                <w:szCs w:val="20"/>
              </w:rPr>
              <w:t xml:space="preserve">Option B.1 </w:t>
            </w:r>
            <w:r w:rsidR="002F6429">
              <w:rPr>
                <w:sz w:val="20"/>
                <w:szCs w:val="20"/>
              </w:rPr>
              <w:t xml:space="preserve">– </w:t>
            </w:r>
            <w:r w:rsidRPr="008140E9">
              <w:rPr>
                <w:sz w:val="20"/>
                <w:szCs w:val="20"/>
              </w:rPr>
              <w:t>Requir</w:t>
            </w:r>
            <w:r w:rsidR="0077203F">
              <w:rPr>
                <w:sz w:val="20"/>
                <w:szCs w:val="20"/>
              </w:rPr>
              <w:t>e</w:t>
            </w:r>
            <w:r w:rsidRPr="008140E9">
              <w:rPr>
                <w:sz w:val="20"/>
                <w:szCs w:val="20"/>
              </w:rPr>
              <w:t xml:space="preserve"> retailers to ensure plans are not restricted based on payment method (e.g. direct debit) or communication method (e-billing)</w:t>
            </w:r>
            <w:r w:rsidR="002F6429">
              <w:rPr>
                <w:sz w:val="20"/>
                <w:szCs w:val="20"/>
              </w:rPr>
              <w:t>.</w:t>
            </w:r>
          </w:p>
        </w:tc>
      </w:tr>
      <w:tr w:rsidR="0076051A" w14:paraId="09D819DB" w14:textId="77777777" w:rsidTr="00CB20D8">
        <w:trPr>
          <w:cnfStyle w:val="000000100000" w:firstRow="0" w:lastRow="0" w:firstColumn="0" w:lastColumn="0" w:oddVBand="0" w:evenVBand="0" w:oddHBand="1" w:evenHBand="0" w:firstRowFirstColumn="0" w:firstRowLastColumn="0" w:lastRowFirstColumn="0" w:lastRowLastColumn="0"/>
        </w:trPr>
        <w:tc>
          <w:tcPr>
            <w:tcW w:w="3119" w:type="dxa"/>
            <w:vMerge/>
          </w:tcPr>
          <w:p w14:paraId="3C5C8244" w14:textId="77777777" w:rsidR="0076051A" w:rsidRPr="00E111AB" w:rsidRDefault="0076051A" w:rsidP="00C27192">
            <w:pPr>
              <w:spacing w:before="0" w:after="120" w:line="240" w:lineRule="auto"/>
              <w:rPr>
                <w:sz w:val="20"/>
                <w:szCs w:val="20"/>
              </w:rPr>
            </w:pPr>
          </w:p>
        </w:tc>
        <w:tc>
          <w:tcPr>
            <w:tcW w:w="6519" w:type="dxa"/>
            <w:shd w:val="clear" w:color="auto" w:fill="E3E3E4" w:themeFill="background2" w:themeFillTint="33"/>
          </w:tcPr>
          <w:p w14:paraId="43FE322F" w14:textId="6BFD7106" w:rsidR="0076051A" w:rsidRPr="00E111AB" w:rsidRDefault="008140E9" w:rsidP="00C27192">
            <w:pPr>
              <w:spacing w:before="0" w:after="120" w:line="240" w:lineRule="auto"/>
              <w:rPr>
                <w:sz w:val="20"/>
                <w:szCs w:val="20"/>
              </w:rPr>
            </w:pPr>
            <w:r>
              <w:rPr>
                <w:b/>
                <w:bCs/>
                <w:sz w:val="20"/>
                <w:szCs w:val="20"/>
              </w:rPr>
              <w:t xml:space="preserve">Option B.2 </w:t>
            </w:r>
            <w:r>
              <w:rPr>
                <w:sz w:val="20"/>
                <w:szCs w:val="20"/>
              </w:rPr>
              <w:t xml:space="preserve">– </w:t>
            </w:r>
            <w:r w:rsidR="00CE6788" w:rsidRPr="00CE6788">
              <w:rPr>
                <w:sz w:val="20"/>
                <w:szCs w:val="20"/>
              </w:rPr>
              <w:t>Requir</w:t>
            </w:r>
            <w:r w:rsidR="0077203F">
              <w:rPr>
                <w:sz w:val="20"/>
                <w:szCs w:val="20"/>
              </w:rPr>
              <w:t>e</w:t>
            </w:r>
            <w:r w:rsidR="00CE6788" w:rsidRPr="00CE6788">
              <w:rPr>
                <w:sz w:val="20"/>
                <w:szCs w:val="20"/>
              </w:rPr>
              <w:t xml:space="preserve"> retailers to ensure plans are not restricted based on payment method (e.g. direct debit) or communication method (e.g. e-billing) and limiting </w:t>
            </w:r>
            <w:r w:rsidR="002C2DEF">
              <w:rPr>
                <w:sz w:val="20"/>
                <w:szCs w:val="20"/>
              </w:rPr>
              <w:t>conditional</w:t>
            </w:r>
            <w:r w:rsidR="00CE6788" w:rsidRPr="00CE6788">
              <w:rPr>
                <w:sz w:val="20"/>
                <w:szCs w:val="20"/>
              </w:rPr>
              <w:t xml:space="preserve"> fees and discounts to reasonable costs</w:t>
            </w:r>
            <w:r w:rsidR="002F6429">
              <w:rPr>
                <w:sz w:val="20"/>
                <w:szCs w:val="20"/>
              </w:rPr>
              <w:t>.</w:t>
            </w:r>
          </w:p>
        </w:tc>
      </w:tr>
      <w:tr w:rsidR="008A63EB" w14:paraId="5C047706" w14:textId="77777777" w:rsidTr="00CB20D8">
        <w:trPr>
          <w:cnfStyle w:val="000000010000" w:firstRow="0" w:lastRow="0" w:firstColumn="0" w:lastColumn="0" w:oddVBand="0" w:evenVBand="0" w:oddHBand="0" w:evenHBand="1" w:firstRowFirstColumn="0" w:firstRowLastColumn="0" w:lastRowFirstColumn="0" w:lastRowLastColumn="0"/>
        </w:trPr>
        <w:tc>
          <w:tcPr>
            <w:tcW w:w="3119" w:type="dxa"/>
            <w:vMerge w:val="restart"/>
            <w:shd w:val="clear" w:color="auto" w:fill="F2F2F2" w:themeFill="background1" w:themeFillShade="F2"/>
          </w:tcPr>
          <w:p w14:paraId="79A3E8F0" w14:textId="0141ADC6" w:rsidR="008A63EB" w:rsidRPr="00CE6788" w:rsidRDefault="00CE6788" w:rsidP="00D409D4">
            <w:pPr>
              <w:pStyle w:val="ListParagraph"/>
              <w:numPr>
                <w:ilvl w:val="0"/>
                <w:numId w:val="16"/>
              </w:numPr>
              <w:spacing w:before="0" w:after="120" w:line="240" w:lineRule="auto"/>
              <w:ind w:left="493"/>
              <w:rPr>
                <w:b/>
                <w:sz w:val="20"/>
                <w:szCs w:val="20"/>
              </w:rPr>
            </w:pPr>
            <w:r>
              <w:rPr>
                <w:b/>
                <w:bCs/>
                <w:sz w:val="20"/>
                <w:szCs w:val="20"/>
              </w:rPr>
              <w:t>Improved ability to switch to best offer</w:t>
            </w:r>
          </w:p>
        </w:tc>
        <w:tc>
          <w:tcPr>
            <w:tcW w:w="6519" w:type="dxa"/>
            <w:shd w:val="clear" w:color="auto" w:fill="F2F2F2" w:themeFill="background1" w:themeFillShade="F2"/>
          </w:tcPr>
          <w:p w14:paraId="202C3BF2" w14:textId="6377154F" w:rsidR="008A63EB" w:rsidRPr="00E111AB" w:rsidRDefault="00CE6788" w:rsidP="00C27192">
            <w:pPr>
              <w:spacing w:before="0" w:after="120" w:line="240" w:lineRule="auto"/>
              <w:rPr>
                <w:sz w:val="20"/>
                <w:szCs w:val="20"/>
              </w:rPr>
            </w:pPr>
            <w:r w:rsidRPr="008460A6">
              <w:rPr>
                <w:b/>
                <w:sz w:val="20"/>
                <w:szCs w:val="20"/>
              </w:rPr>
              <w:t>Option C.1</w:t>
            </w:r>
            <w:r>
              <w:rPr>
                <w:sz w:val="20"/>
                <w:szCs w:val="20"/>
              </w:rPr>
              <w:t xml:space="preserve"> – </w:t>
            </w:r>
            <w:r w:rsidR="002271A9">
              <w:rPr>
                <w:sz w:val="20"/>
                <w:szCs w:val="20"/>
              </w:rPr>
              <w:t>Outcomes</w:t>
            </w:r>
            <w:r>
              <w:rPr>
                <w:sz w:val="20"/>
                <w:szCs w:val="20"/>
              </w:rPr>
              <w:t>-based approach</w:t>
            </w:r>
            <w:r w:rsidR="00F303D4">
              <w:rPr>
                <w:sz w:val="20"/>
                <w:szCs w:val="20"/>
              </w:rPr>
              <w:t xml:space="preserve"> </w:t>
            </w:r>
            <w:r w:rsidR="007D5252">
              <w:rPr>
                <w:sz w:val="20"/>
                <w:szCs w:val="20"/>
              </w:rPr>
              <w:t>with</w:t>
            </w:r>
            <w:r w:rsidR="009A4142">
              <w:rPr>
                <w:sz w:val="20"/>
                <w:szCs w:val="20"/>
              </w:rPr>
              <w:t>out</w:t>
            </w:r>
            <w:r>
              <w:rPr>
                <w:sz w:val="20"/>
                <w:szCs w:val="20"/>
              </w:rPr>
              <w:t xml:space="preserve"> </w:t>
            </w:r>
            <w:r w:rsidR="008460A6" w:rsidRPr="008460A6">
              <w:rPr>
                <w:sz w:val="20"/>
                <w:szCs w:val="20"/>
              </w:rPr>
              <w:t>minimum requirements</w:t>
            </w:r>
            <w:r w:rsidR="002F6429">
              <w:rPr>
                <w:sz w:val="20"/>
                <w:szCs w:val="20"/>
              </w:rPr>
              <w:t>.</w:t>
            </w:r>
          </w:p>
        </w:tc>
      </w:tr>
      <w:tr w:rsidR="00CE6788" w14:paraId="78FC0035" w14:textId="77777777" w:rsidTr="00CB20D8">
        <w:trPr>
          <w:cnfStyle w:val="000000100000" w:firstRow="0" w:lastRow="0" w:firstColumn="0" w:lastColumn="0" w:oddVBand="0" w:evenVBand="0" w:oddHBand="1" w:evenHBand="0" w:firstRowFirstColumn="0" w:firstRowLastColumn="0" w:lastRowFirstColumn="0" w:lastRowLastColumn="0"/>
        </w:trPr>
        <w:tc>
          <w:tcPr>
            <w:tcW w:w="3119" w:type="dxa"/>
            <w:vMerge/>
          </w:tcPr>
          <w:p w14:paraId="3C51ABAE" w14:textId="77777777" w:rsidR="00CE6788" w:rsidRPr="00E111AB" w:rsidRDefault="00CE6788" w:rsidP="00C27192">
            <w:pPr>
              <w:spacing w:before="0" w:after="120" w:line="240" w:lineRule="auto"/>
              <w:rPr>
                <w:sz w:val="20"/>
                <w:szCs w:val="20"/>
              </w:rPr>
            </w:pPr>
          </w:p>
        </w:tc>
        <w:tc>
          <w:tcPr>
            <w:tcW w:w="6519" w:type="dxa"/>
          </w:tcPr>
          <w:p w14:paraId="2433F99F" w14:textId="0FAD7C84" w:rsidR="00CE6788" w:rsidRPr="00E111AB" w:rsidRDefault="008460A6" w:rsidP="00C27192">
            <w:pPr>
              <w:spacing w:before="0" w:after="120" w:line="240" w:lineRule="auto"/>
              <w:rPr>
                <w:sz w:val="20"/>
                <w:szCs w:val="20"/>
              </w:rPr>
            </w:pPr>
            <w:r>
              <w:rPr>
                <w:b/>
                <w:bCs/>
                <w:sz w:val="20"/>
                <w:szCs w:val="20"/>
              </w:rPr>
              <w:t>Option C.2</w:t>
            </w:r>
            <w:r>
              <w:rPr>
                <w:sz w:val="20"/>
                <w:szCs w:val="20"/>
              </w:rPr>
              <w:t xml:space="preserve"> – </w:t>
            </w:r>
            <w:r w:rsidR="002271A9">
              <w:rPr>
                <w:sz w:val="20"/>
                <w:szCs w:val="20"/>
              </w:rPr>
              <w:t>Outcomes</w:t>
            </w:r>
            <w:r w:rsidR="008F72E6" w:rsidRPr="008F72E6">
              <w:rPr>
                <w:sz w:val="20"/>
                <w:szCs w:val="20"/>
              </w:rPr>
              <w:t>-based approach</w:t>
            </w:r>
            <w:r w:rsidR="00461FCB">
              <w:rPr>
                <w:sz w:val="20"/>
                <w:szCs w:val="20"/>
              </w:rPr>
              <w:t xml:space="preserve"> </w:t>
            </w:r>
            <w:r w:rsidR="004B5556">
              <w:rPr>
                <w:sz w:val="20"/>
                <w:szCs w:val="20"/>
              </w:rPr>
              <w:t>requiring a retailer to have effective processes for customers to switch to the best offer</w:t>
            </w:r>
            <w:r w:rsidR="006813DA">
              <w:rPr>
                <w:sz w:val="20"/>
                <w:szCs w:val="20"/>
              </w:rPr>
              <w:t>,</w:t>
            </w:r>
            <w:r w:rsidR="004B5556" w:rsidRPr="00461FCB">
              <w:rPr>
                <w:sz w:val="20"/>
                <w:szCs w:val="20"/>
              </w:rPr>
              <w:t xml:space="preserve"> </w:t>
            </w:r>
            <w:r w:rsidR="00461FCB" w:rsidRPr="00461FCB">
              <w:rPr>
                <w:sz w:val="20"/>
                <w:szCs w:val="20"/>
              </w:rPr>
              <w:t xml:space="preserve">with minimum </w:t>
            </w:r>
            <w:r w:rsidR="006813DA">
              <w:rPr>
                <w:sz w:val="20"/>
                <w:szCs w:val="20"/>
              </w:rPr>
              <w:t>requirements for a retai</w:t>
            </w:r>
            <w:r w:rsidR="0033760F">
              <w:rPr>
                <w:sz w:val="20"/>
                <w:szCs w:val="20"/>
              </w:rPr>
              <w:t>ler’s processes</w:t>
            </w:r>
            <w:r w:rsidR="00F651B2">
              <w:rPr>
                <w:sz w:val="20"/>
                <w:szCs w:val="20"/>
              </w:rPr>
              <w:t xml:space="preserve"> (</w:t>
            </w:r>
            <w:r w:rsidR="009F7C94">
              <w:rPr>
                <w:sz w:val="20"/>
                <w:szCs w:val="20"/>
              </w:rPr>
              <w:t xml:space="preserve">e.g. </w:t>
            </w:r>
            <w:r w:rsidR="00F651B2">
              <w:rPr>
                <w:sz w:val="20"/>
                <w:szCs w:val="20"/>
              </w:rPr>
              <w:t>having a website and a telephone process; allowing customers to compare plans)</w:t>
            </w:r>
            <w:r w:rsidR="00532AA6">
              <w:rPr>
                <w:sz w:val="20"/>
                <w:szCs w:val="20"/>
              </w:rPr>
              <w:t>.</w:t>
            </w:r>
            <w:r w:rsidR="008F72E6" w:rsidRPr="008F72E6">
              <w:rPr>
                <w:sz w:val="20"/>
                <w:szCs w:val="20"/>
              </w:rPr>
              <w:t xml:space="preserve"> </w:t>
            </w:r>
          </w:p>
        </w:tc>
      </w:tr>
      <w:tr w:rsidR="00CE6788" w14:paraId="4915D99D" w14:textId="77777777" w:rsidTr="00CB20D8">
        <w:trPr>
          <w:cnfStyle w:val="000000010000" w:firstRow="0" w:lastRow="0" w:firstColumn="0" w:lastColumn="0" w:oddVBand="0" w:evenVBand="0" w:oddHBand="0" w:evenHBand="1" w:firstRowFirstColumn="0" w:firstRowLastColumn="0" w:lastRowFirstColumn="0" w:lastRowLastColumn="0"/>
        </w:trPr>
        <w:tc>
          <w:tcPr>
            <w:tcW w:w="3119" w:type="dxa"/>
            <w:vMerge/>
          </w:tcPr>
          <w:p w14:paraId="013F4B7D" w14:textId="77777777" w:rsidR="00CE6788" w:rsidRPr="00E111AB" w:rsidRDefault="00CE6788" w:rsidP="00C27192">
            <w:pPr>
              <w:spacing w:before="0" w:after="120" w:line="240" w:lineRule="auto"/>
              <w:rPr>
                <w:sz w:val="20"/>
                <w:szCs w:val="20"/>
              </w:rPr>
            </w:pPr>
          </w:p>
        </w:tc>
        <w:tc>
          <w:tcPr>
            <w:tcW w:w="6519" w:type="dxa"/>
            <w:shd w:val="clear" w:color="auto" w:fill="F2F2F2" w:themeFill="background1" w:themeFillShade="F2"/>
          </w:tcPr>
          <w:p w14:paraId="743FA7D0" w14:textId="7B8BBB4E" w:rsidR="00CE6788" w:rsidRPr="00E111AB" w:rsidRDefault="002943B7" w:rsidP="00C27192">
            <w:pPr>
              <w:spacing w:before="0" w:after="120" w:line="240" w:lineRule="auto"/>
              <w:rPr>
                <w:sz w:val="20"/>
                <w:szCs w:val="20"/>
              </w:rPr>
            </w:pPr>
            <w:r>
              <w:rPr>
                <w:b/>
                <w:bCs/>
                <w:sz w:val="20"/>
                <w:szCs w:val="20"/>
              </w:rPr>
              <w:t xml:space="preserve">Option C.3 </w:t>
            </w:r>
            <w:r>
              <w:rPr>
                <w:sz w:val="20"/>
                <w:szCs w:val="20"/>
              </w:rPr>
              <w:t xml:space="preserve">– </w:t>
            </w:r>
            <w:r w:rsidRPr="002943B7">
              <w:rPr>
                <w:sz w:val="20"/>
                <w:szCs w:val="20"/>
              </w:rPr>
              <w:t xml:space="preserve">Prescriptive </w:t>
            </w:r>
            <w:r w:rsidR="00075947">
              <w:rPr>
                <w:sz w:val="20"/>
                <w:szCs w:val="20"/>
              </w:rPr>
              <w:t xml:space="preserve">requirements </w:t>
            </w:r>
            <w:r w:rsidR="00701FB1">
              <w:rPr>
                <w:sz w:val="20"/>
                <w:szCs w:val="20"/>
              </w:rPr>
              <w:t>for</w:t>
            </w:r>
            <w:r w:rsidR="00D12D4F">
              <w:rPr>
                <w:sz w:val="20"/>
                <w:szCs w:val="20"/>
              </w:rPr>
              <w:t xml:space="preserve"> </w:t>
            </w:r>
            <w:r w:rsidR="00FC0934">
              <w:rPr>
                <w:sz w:val="20"/>
                <w:szCs w:val="20"/>
              </w:rPr>
              <w:t xml:space="preserve">a </w:t>
            </w:r>
            <w:r w:rsidR="00D12D4F">
              <w:rPr>
                <w:sz w:val="20"/>
                <w:szCs w:val="20"/>
              </w:rPr>
              <w:t>retailer</w:t>
            </w:r>
            <w:r w:rsidR="00FC0934">
              <w:rPr>
                <w:sz w:val="20"/>
                <w:szCs w:val="20"/>
              </w:rPr>
              <w:t>’s</w:t>
            </w:r>
            <w:r w:rsidR="00D12D4F">
              <w:rPr>
                <w:sz w:val="20"/>
                <w:szCs w:val="20"/>
              </w:rPr>
              <w:t xml:space="preserve"> processes </w:t>
            </w:r>
            <w:r w:rsidR="00075947" w:rsidRPr="00075947">
              <w:rPr>
                <w:sz w:val="20"/>
                <w:szCs w:val="20"/>
              </w:rPr>
              <w:t xml:space="preserve">for switching </w:t>
            </w:r>
            <w:r w:rsidR="00D12D4F">
              <w:rPr>
                <w:sz w:val="20"/>
                <w:szCs w:val="20"/>
              </w:rPr>
              <w:t>customers to the</w:t>
            </w:r>
            <w:r w:rsidR="00075947" w:rsidRPr="00075947">
              <w:rPr>
                <w:sz w:val="20"/>
                <w:szCs w:val="20"/>
              </w:rPr>
              <w:t xml:space="preserve"> best offer</w:t>
            </w:r>
            <w:r w:rsidR="00532AA6">
              <w:rPr>
                <w:sz w:val="20"/>
                <w:szCs w:val="20"/>
              </w:rPr>
              <w:t>.</w:t>
            </w:r>
          </w:p>
        </w:tc>
      </w:tr>
      <w:tr w:rsidR="008A63EB" w14:paraId="0D4634D2" w14:textId="77777777" w:rsidTr="00CB20D8">
        <w:trPr>
          <w:cnfStyle w:val="000000100000" w:firstRow="0" w:lastRow="0" w:firstColumn="0" w:lastColumn="0" w:oddVBand="0" w:evenVBand="0" w:oddHBand="1" w:evenHBand="0" w:firstRowFirstColumn="0" w:firstRowLastColumn="0" w:lastRowFirstColumn="0" w:lastRowLastColumn="0"/>
        </w:trPr>
        <w:tc>
          <w:tcPr>
            <w:tcW w:w="3119" w:type="dxa"/>
            <w:vMerge w:val="restart"/>
            <w:shd w:val="clear" w:color="auto" w:fill="E3E3E4" w:themeFill="background2" w:themeFillTint="33"/>
          </w:tcPr>
          <w:p w14:paraId="02DAE892" w14:textId="47F6F127" w:rsidR="008A63EB" w:rsidRPr="002943B7" w:rsidRDefault="00D50619" w:rsidP="00D409D4">
            <w:pPr>
              <w:pStyle w:val="ListParagraph"/>
              <w:numPr>
                <w:ilvl w:val="0"/>
                <w:numId w:val="16"/>
              </w:numPr>
              <w:spacing w:before="0" w:after="120" w:line="240" w:lineRule="auto"/>
              <w:ind w:left="493"/>
              <w:rPr>
                <w:b/>
                <w:sz w:val="20"/>
                <w:szCs w:val="20"/>
              </w:rPr>
            </w:pPr>
            <w:r w:rsidRPr="00D50619">
              <w:rPr>
                <w:b/>
                <w:bCs/>
                <w:sz w:val="20"/>
                <w:szCs w:val="20"/>
              </w:rPr>
              <w:t>Protections for customers paying high prices</w:t>
            </w:r>
          </w:p>
        </w:tc>
        <w:tc>
          <w:tcPr>
            <w:tcW w:w="6519" w:type="dxa"/>
            <w:shd w:val="clear" w:color="auto" w:fill="E3E3E4" w:themeFill="background2" w:themeFillTint="33"/>
          </w:tcPr>
          <w:p w14:paraId="2318E642" w14:textId="4B5D4A1F" w:rsidR="008A63EB" w:rsidRPr="00E111AB" w:rsidRDefault="002C0034" w:rsidP="00C27192">
            <w:pPr>
              <w:spacing w:before="0" w:after="120" w:line="240" w:lineRule="auto"/>
              <w:rPr>
                <w:sz w:val="20"/>
                <w:szCs w:val="20"/>
              </w:rPr>
            </w:pPr>
            <w:r w:rsidRPr="002C0034">
              <w:rPr>
                <w:b/>
                <w:bCs/>
                <w:sz w:val="20"/>
                <w:szCs w:val="20"/>
              </w:rPr>
              <w:t>Option D.1</w:t>
            </w:r>
            <w:r w:rsidRPr="002C0034">
              <w:rPr>
                <w:sz w:val="20"/>
                <w:szCs w:val="20"/>
              </w:rPr>
              <w:t xml:space="preserve"> – Principles-based approach requiring retailers to ensure that customers on older contracts </w:t>
            </w:r>
            <w:r w:rsidR="002C4710">
              <w:rPr>
                <w:sz w:val="20"/>
                <w:szCs w:val="20"/>
              </w:rPr>
              <w:t>pay</w:t>
            </w:r>
            <w:r w:rsidRPr="002C0034">
              <w:rPr>
                <w:sz w:val="20"/>
                <w:szCs w:val="20"/>
              </w:rPr>
              <w:t xml:space="preserve"> a ‘reasonable price’, without defining what a ‘reasonable price’ is</w:t>
            </w:r>
            <w:r w:rsidR="00532AA6">
              <w:rPr>
                <w:sz w:val="20"/>
                <w:szCs w:val="20"/>
              </w:rPr>
              <w:t>.</w:t>
            </w:r>
          </w:p>
        </w:tc>
      </w:tr>
      <w:tr w:rsidR="002943B7" w14:paraId="10F6E06B" w14:textId="77777777" w:rsidTr="00CB20D8">
        <w:trPr>
          <w:cnfStyle w:val="000000010000" w:firstRow="0" w:lastRow="0" w:firstColumn="0" w:lastColumn="0" w:oddVBand="0" w:evenVBand="0" w:oddHBand="0" w:evenHBand="1" w:firstRowFirstColumn="0" w:firstRowLastColumn="0" w:lastRowFirstColumn="0" w:lastRowLastColumn="0"/>
        </w:trPr>
        <w:tc>
          <w:tcPr>
            <w:tcW w:w="3119" w:type="dxa"/>
            <w:vMerge/>
          </w:tcPr>
          <w:p w14:paraId="205C0082" w14:textId="77777777" w:rsidR="002943B7" w:rsidRPr="00E111AB" w:rsidRDefault="002943B7" w:rsidP="00C27192">
            <w:pPr>
              <w:spacing w:before="0" w:after="120" w:line="240" w:lineRule="auto"/>
              <w:rPr>
                <w:sz w:val="20"/>
                <w:szCs w:val="20"/>
              </w:rPr>
            </w:pPr>
          </w:p>
        </w:tc>
        <w:tc>
          <w:tcPr>
            <w:tcW w:w="6519" w:type="dxa"/>
          </w:tcPr>
          <w:p w14:paraId="048C2F15" w14:textId="54F16838" w:rsidR="002943B7" w:rsidRPr="00E111AB" w:rsidRDefault="00FB06FE" w:rsidP="00C27192">
            <w:pPr>
              <w:tabs>
                <w:tab w:val="left" w:pos="1605"/>
              </w:tabs>
              <w:spacing w:before="0" w:after="120" w:line="240" w:lineRule="auto"/>
              <w:rPr>
                <w:sz w:val="20"/>
                <w:szCs w:val="20"/>
              </w:rPr>
            </w:pPr>
            <w:r w:rsidRPr="00FB06FE">
              <w:rPr>
                <w:b/>
                <w:bCs/>
                <w:sz w:val="20"/>
                <w:szCs w:val="20"/>
              </w:rPr>
              <w:t>Option D.2</w:t>
            </w:r>
            <w:r w:rsidRPr="00FB06FE">
              <w:rPr>
                <w:sz w:val="20"/>
                <w:szCs w:val="20"/>
              </w:rPr>
              <w:t xml:space="preserve"> – Principles-based approach requiring retailers to ensure customers on older contracts are paying a ‘reasonable price’, including a flexible definition of ‘reasonable price</w:t>
            </w:r>
            <w:r>
              <w:rPr>
                <w:sz w:val="20"/>
                <w:szCs w:val="20"/>
              </w:rPr>
              <w:t>’</w:t>
            </w:r>
            <w:r w:rsidR="00532AA6">
              <w:rPr>
                <w:sz w:val="20"/>
                <w:szCs w:val="20"/>
              </w:rPr>
              <w:t>.</w:t>
            </w:r>
          </w:p>
        </w:tc>
      </w:tr>
      <w:tr w:rsidR="002943B7" w14:paraId="1E6198AC" w14:textId="77777777" w:rsidTr="00CB20D8">
        <w:trPr>
          <w:cnfStyle w:val="000000100000" w:firstRow="0" w:lastRow="0" w:firstColumn="0" w:lastColumn="0" w:oddVBand="0" w:evenVBand="0" w:oddHBand="1" w:evenHBand="0" w:firstRowFirstColumn="0" w:firstRowLastColumn="0" w:lastRowFirstColumn="0" w:lastRowLastColumn="0"/>
        </w:trPr>
        <w:tc>
          <w:tcPr>
            <w:tcW w:w="3119" w:type="dxa"/>
            <w:vMerge/>
          </w:tcPr>
          <w:p w14:paraId="6F35107E" w14:textId="77777777" w:rsidR="002943B7" w:rsidRPr="00E111AB" w:rsidRDefault="002943B7" w:rsidP="00C27192">
            <w:pPr>
              <w:spacing w:before="0" w:after="120" w:line="240" w:lineRule="auto"/>
              <w:rPr>
                <w:sz w:val="20"/>
                <w:szCs w:val="20"/>
              </w:rPr>
            </w:pPr>
          </w:p>
        </w:tc>
        <w:tc>
          <w:tcPr>
            <w:tcW w:w="6519" w:type="dxa"/>
            <w:shd w:val="clear" w:color="auto" w:fill="E3E3E4" w:themeFill="background2" w:themeFillTint="33"/>
          </w:tcPr>
          <w:p w14:paraId="61C6B02D" w14:textId="6A79543C" w:rsidR="002943B7" w:rsidRPr="00E111AB" w:rsidRDefault="0038528C" w:rsidP="00C27192">
            <w:pPr>
              <w:spacing w:before="0" w:after="120" w:line="240" w:lineRule="auto"/>
              <w:rPr>
                <w:sz w:val="20"/>
                <w:szCs w:val="20"/>
              </w:rPr>
            </w:pPr>
            <w:r w:rsidRPr="0038528C">
              <w:rPr>
                <w:b/>
                <w:bCs/>
                <w:sz w:val="20"/>
                <w:szCs w:val="20"/>
              </w:rPr>
              <w:t>Option D.3</w:t>
            </w:r>
            <w:r w:rsidRPr="0038528C">
              <w:rPr>
                <w:sz w:val="20"/>
                <w:szCs w:val="20"/>
              </w:rPr>
              <w:t xml:space="preserve"> – Prescriptive approach requiring retailers to identify and review plans for customers on older contracts paying higher prices with a definition of ‘reasonable price’ (e.g. at or below the VDO for electricity).</w:t>
            </w:r>
          </w:p>
        </w:tc>
      </w:tr>
      <w:tr w:rsidR="002943B7" w14:paraId="162BDFDD" w14:textId="77777777" w:rsidTr="00CB20D8">
        <w:trPr>
          <w:cnfStyle w:val="000000010000" w:firstRow="0" w:lastRow="0" w:firstColumn="0" w:lastColumn="0" w:oddVBand="0" w:evenVBand="0" w:oddHBand="0" w:evenHBand="1" w:firstRowFirstColumn="0" w:firstRowLastColumn="0" w:lastRowFirstColumn="0" w:lastRowLastColumn="0"/>
        </w:trPr>
        <w:tc>
          <w:tcPr>
            <w:tcW w:w="3119" w:type="dxa"/>
            <w:vMerge w:val="restart"/>
            <w:shd w:val="clear" w:color="auto" w:fill="F2F2F2" w:themeFill="background1" w:themeFillShade="F2"/>
          </w:tcPr>
          <w:p w14:paraId="759F5125" w14:textId="4549E416" w:rsidR="002943B7" w:rsidRPr="00ED2AB4" w:rsidRDefault="00B51619" w:rsidP="00D409D4">
            <w:pPr>
              <w:pStyle w:val="ListParagraph"/>
              <w:numPr>
                <w:ilvl w:val="0"/>
                <w:numId w:val="16"/>
              </w:numPr>
              <w:spacing w:before="0" w:after="120" w:line="240" w:lineRule="auto"/>
              <w:ind w:left="493"/>
              <w:rPr>
                <w:b/>
                <w:sz w:val="20"/>
                <w:szCs w:val="20"/>
              </w:rPr>
            </w:pPr>
            <w:r>
              <w:rPr>
                <w:b/>
                <w:sz w:val="20"/>
                <w:szCs w:val="20"/>
              </w:rPr>
              <w:t>Improving the application of concessions on bills</w:t>
            </w:r>
          </w:p>
        </w:tc>
        <w:tc>
          <w:tcPr>
            <w:tcW w:w="6519" w:type="dxa"/>
            <w:shd w:val="clear" w:color="auto" w:fill="F2F2F2" w:themeFill="background1" w:themeFillShade="F2"/>
          </w:tcPr>
          <w:p w14:paraId="7BF8E310" w14:textId="2976DA7E" w:rsidR="002943B7" w:rsidRPr="00E111AB" w:rsidRDefault="00A711A0" w:rsidP="00C27192">
            <w:pPr>
              <w:spacing w:before="0" w:after="120" w:line="240" w:lineRule="auto"/>
              <w:rPr>
                <w:sz w:val="20"/>
                <w:szCs w:val="20"/>
              </w:rPr>
            </w:pPr>
            <w:r w:rsidRPr="00A711A0">
              <w:rPr>
                <w:b/>
                <w:bCs/>
                <w:sz w:val="20"/>
                <w:szCs w:val="20"/>
              </w:rPr>
              <w:t>Option E.1</w:t>
            </w:r>
            <w:r w:rsidRPr="00A711A0">
              <w:rPr>
                <w:sz w:val="20"/>
                <w:szCs w:val="20"/>
              </w:rPr>
              <w:t xml:space="preserve"> – Principles-based requirement for retailers to request concession eligibility information from customers at all times where it is relevant to do so.</w:t>
            </w:r>
          </w:p>
        </w:tc>
      </w:tr>
      <w:tr w:rsidR="0038528C" w14:paraId="2749B9C1" w14:textId="77777777" w:rsidTr="00CB20D8">
        <w:trPr>
          <w:cnfStyle w:val="000000100000" w:firstRow="0" w:lastRow="0" w:firstColumn="0" w:lastColumn="0" w:oddVBand="0" w:evenVBand="0" w:oddHBand="1" w:evenHBand="0" w:firstRowFirstColumn="0" w:firstRowLastColumn="0" w:lastRowFirstColumn="0" w:lastRowLastColumn="0"/>
        </w:trPr>
        <w:tc>
          <w:tcPr>
            <w:tcW w:w="3119" w:type="dxa"/>
            <w:vMerge/>
          </w:tcPr>
          <w:p w14:paraId="68C6817A" w14:textId="77777777" w:rsidR="0038528C" w:rsidRPr="00E111AB" w:rsidRDefault="0038528C" w:rsidP="00C27192">
            <w:pPr>
              <w:spacing w:before="0" w:after="120" w:line="240" w:lineRule="auto"/>
              <w:rPr>
                <w:sz w:val="20"/>
                <w:szCs w:val="20"/>
              </w:rPr>
            </w:pPr>
          </w:p>
        </w:tc>
        <w:tc>
          <w:tcPr>
            <w:tcW w:w="6519" w:type="dxa"/>
          </w:tcPr>
          <w:p w14:paraId="22621198" w14:textId="51BC61C5" w:rsidR="0038528C" w:rsidRPr="00E111AB" w:rsidRDefault="00D55B7A" w:rsidP="00C27192">
            <w:pPr>
              <w:spacing w:before="0" w:after="120" w:line="240" w:lineRule="auto"/>
              <w:rPr>
                <w:sz w:val="20"/>
                <w:szCs w:val="20"/>
              </w:rPr>
            </w:pPr>
            <w:r w:rsidRPr="00D55B7A">
              <w:rPr>
                <w:b/>
                <w:bCs/>
                <w:sz w:val="20"/>
                <w:szCs w:val="20"/>
              </w:rPr>
              <w:t>Option E.2</w:t>
            </w:r>
            <w:r w:rsidRPr="00D55B7A">
              <w:rPr>
                <w:sz w:val="20"/>
                <w:szCs w:val="20"/>
              </w:rPr>
              <w:t xml:space="preserve"> – Principles-based requirement for retailers to request concession eligibility information from customers at all times when it is </w:t>
            </w:r>
            <w:r w:rsidRPr="00D55B7A">
              <w:rPr>
                <w:sz w:val="20"/>
                <w:szCs w:val="20"/>
              </w:rPr>
              <w:lastRenderedPageBreak/>
              <w:t>relevant to do so and minimum requirements to request this information at specific contact points (e.g. at sign up)</w:t>
            </w:r>
            <w:r w:rsidR="00D04975">
              <w:rPr>
                <w:sz w:val="20"/>
                <w:szCs w:val="20"/>
              </w:rPr>
              <w:t>.</w:t>
            </w:r>
          </w:p>
        </w:tc>
      </w:tr>
      <w:tr w:rsidR="00D66676" w14:paraId="28F6C91E" w14:textId="77777777" w:rsidTr="00E6502F">
        <w:trPr>
          <w:cnfStyle w:val="000000010000" w:firstRow="0" w:lastRow="0" w:firstColumn="0" w:lastColumn="0" w:oddVBand="0" w:evenVBand="0" w:oddHBand="0" w:evenHBand="1" w:firstRowFirstColumn="0" w:firstRowLastColumn="0" w:lastRowFirstColumn="0" w:lastRowLastColumn="0"/>
          <w:trHeight w:val="898"/>
        </w:trPr>
        <w:tc>
          <w:tcPr>
            <w:tcW w:w="3119" w:type="dxa"/>
          </w:tcPr>
          <w:p w14:paraId="502E12F1" w14:textId="20F3241A" w:rsidR="00D66676" w:rsidRPr="003031AB" w:rsidRDefault="00D66676" w:rsidP="00D409D4">
            <w:pPr>
              <w:pStyle w:val="ListParagraph"/>
              <w:numPr>
                <w:ilvl w:val="0"/>
                <w:numId w:val="16"/>
              </w:numPr>
              <w:spacing w:before="0" w:after="120" w:line="240" w:lineRule="auto"/>
              <w:ind w:left="493"/>
              <w:rPr>
                <w:b/>
                <w:sz w:val="20"/>
                <w:szCs w:val="20"/>
              </w:rPr>
            </w:pPr>
            <w:r>
              <w:rPr>
                <w:b/>
                <w:bCs/>
                <w:sz w:val="20"/>
                <w:szCs w:val="20"/>
              </w:rPr>
              <w:lastRenderedPageBreak/>
              <w:t>Extending protections for customers on legacy contracts</w:t>
            </w:r>
          </w:p>
        </w:tc>
        <w:tc>
          <w:tcPr>
            <w:tcW w:w="6519" w:type="dxa"/>
          </w:tcPr>
          <w:p w14:paraId="12999506" w14:textId="0F39F254" w:rsidR="00D66676" w:rsidRPr="00EC3E0F" w:rsidRDefault="00D66676" w:rsidP="00C27192">
            <w:pPr>
              <w:spacing w:before="0" w:after="120" w:line="240" w:lineRule="auto"/>
              <w:rPr>
                <w:b/>
                <w:sz w:val="20"/>
                <w:szCs w:val="20"/>
              </w:rPr>
            </w:pPr>
            <w:r w:rsidRPr="00EC3E0F">
              <w:rPr>
                <w:b/>
                <w:bCs/>
                <w:color w:val="000000"/>
                <w:sz w:val="20"/>
                <w:szCs w:val="20"/>
              </w:rPr>
              <w:t>Option F.</w:t>
            </w:r>
            <w:r>
              <w:rPr>
                <w:b/>
                <w:bCs/>
                <w:color w:val="000000"/>
                <w:sz w:val="20"/>
                <w:szCs w:val="20"/>
              </w:rPr>
              <w:t>1</w:t>
            </w:r>
            <w:r w:rsidRPr="00EC3E0F">
              <w:rPr>
                <w:b/>
                <w:bCs/>
                <w:color w:val="000000"/>
                <w:sz w:val="20"/>
                <w:szCs w:val="20"/>
              </w:rPr>
              <w:t xml:space="preserve"> – </w:t>
            </w:r>
            <w:r w:rsidRPr="00EC3E0F">
              <w:rPr>
                <w:color w:val="000000"/>
                <w:sz w:val="20"/>
                <w:szCs w:val="20"/>
              </w:rPr>
              <w:t xml:space="preserve">Extend protections </w:t>
            </w:r>
            <w:r w:rsidR="0093740F">
              <w:rPr>
                <w:color w:val="000000"/>
                <w:sz w:val="20"/>
                <w:szCs w:val="20"/>
              </w:rPr>
              <w:t xml:space="preserve">limiting pay-on-time discounts and </w:t>
            </w:r>
            <w:r w:rsidR="00CB20D8">
              <w:rPr>
                <w:color w:val="000000"/>
                <w:sz w:val="20"/>
                <w:szCs w:val="20"/>
              </w:rPr>
              <w:t>on benefit periods</w:t>
            </w:r>
            <w:r w:rsidRPr="00EC3E0F">
              <w:rPr>
                <w:color w:val="000000"/>
                <w:sz w:val="20"/>
                <w:szCs w:val="20"/>
              </w:rPr>
              <w:t xml:space="preserve"> to all contracts (extending to contracts</w:t>
            </w:r>
            <w:r w:rsidR="00E6502F">
              <w:rPr>
                <w:color w:val="000000"/>
                <w:sz w:val="20"/>
                <w:szCs w:val="20"/>
              </w:rPr>
              <w:t xml:space="preserve"> entered</w:t>
            </w:r>
            <w:r w:rsidRPr="00EC3E0F">
              <w:rPr>
                <w:color w:val="000000"/>
                <w:sz w:val="20"/>
                <w:szCs w:val="20"/>
              </w:rPr>
              <w:t xml:space="preserve"> into before 1 July 2020).</w:t>
            </w:r>
          </w:p>
        </w:tc>
      </w:tr>
      <w:tr w:rsidR="00D66676" w14:paraId="3E127B02" w14:textId="77777777" w:rsidTr="00CB20D8">
        <w:trPr>
          <w:cnfStyle w:val="000000100000" w:firstRow="0" w:lastRow="0" w:firstColumn="0" w:lastColumn="0" w:oddVBand="0" w:evenVBand="0" w:oddHBand="1" w:evenHBand="0" w:firstRowFirstColumn="0" w:firstRowLastColumn="0" w:lastRowFirstColumn="0" w:lastRowLastColumn="0"/>
          <w:trHeight w:val="884"/>
        </w:trPr>
        <w:tc>
          <w:tcPr>
            <w:tcW w:w="3119" w:type="dxa"/>
          </w:tcPr>
          <w:p w14:paraId="5B4F4BD2" w14:textId="36690509" w:rsidR="00D66676" w:rsidRPr="009B04F0" w:rsidRDefault="00D66676" w:rsidP="00D409D4">
            <w:pPr>
              <w:pStyle w:val="ListParagraph"/>
              <w:numPr>
                <w:ilvl w:val="0"/>
                <w:numId w:val="16"/>
              </w:numPr>
              <w:spacing w:before="0" w:after="120" w:line="240" w:lineRule="auto"/>
              <w:ind w:left="493"/>
              <w:rPr>
                <w:b/>
                <w:sz w:val="20"/>
                <w:szCs w:val="20"/>
              </w:rPr>
            </w:pPr>
            <w:r>
              <w:rPr>
                <w:b/>
                <w:bCs/>
                <w:sz w:val="20"/>
                <w:szCs w:val="20"/>
              </w:rPr>
              <w:t>Improving awareness of independent dispute resolution services</w:t>
            </w:r>
          </w:p>
        </w:tc>
        <w:tc>
          <w:tcPr>
            <w:tcW w:w="6519" w:type="dxa"/>
          </w:tcPr>
          <w:p w14:paraId="0C1C8B23" w14:textId="67DD113C" w:rsidR="00D66676" w:rsidRPr="00E111AB" w:rsidRDefault="00D66676" w:rsidP="00C27192">
            <w:pPr>
              <w:spacing w:before="0" w:after="120" w:line="240" w:lineRule="auto"/>
              <w:rPr>
                <w:sz w:val="20"/>
                <w:szCs w:val="20"/>
              </w:rPr>
            </w:pPr>
            <w:r w:rsidRPr="00FB4BC3">
              <w:rPr>
                <w:b/>
                <w:bCs/>
                <w:color w:val="000000"/>
                <w:sz w:val="20"/>
                <w:szCs w:val="20"/>
              </w:rPr>
              <w:t>Option G.</w:t>
            </w:r>
            <w:r>
              <w:rPr>
                <w:b/>
                <w:bCs/>
                <w:color w:val="000000"/>
                <w:sz w:val="20"/>
                <w:szCs w:val="20"/>
              </w:rPr>
              <w:t>1</w:t>
            </w:r>
            <w:r w:rsidRPr="00FB4BC3">
              <w:rPr>
                <w:b/>
                <w:bCs/>
                <w:color w:val="000000"/>
                <w:sz w:val="20"/>
                <w:szCs w:val="20"/>
              </w:rPr>
              <w:t xml:space="preserve"> – </w:t>
            </w:r>
            <w:r w:rsidR="00881EC4">
              <w:rPr>
                <w:color w:val="000000"/>
                <w:sz w:val="20"/>
                <w:szCs w:val="20"/>
              </w:rPr>
              <w:t>R</w:t>
            </w:r>
            <w:r>
              <w:rPr>
                <w:color w:val="000000"/>
                <w:sz w:val="20"/>
                <w:szCs w:val="20"/>
              </w:rPr>
              <w:t>equi</w:t>
            </w:r>
            <w:r w:rsidR="004D4944">
              <w:rPr>
                <w:color w:val="000000"/>
                <w:sz w:val="20"/>
                <w:szCs w:val="20"/>
              </w:rPr>
              <w:t>re</w:t>
            </w:r>
            <w:r>
              <w:rPr>
                <w:color w:val="000000"/>
                <w:sz w:val="20"/>
                <w:szCs w:val="20"/>
              </w:rPr>
              <w:t xml:space="preserve"> the inclusion of EWOV’s phone number on the front page of bills</w:t>
            </w:r>
            <w:r w:rsidR="00D04975">
              <w:rPr>
                <w:color w:val="000000"/>
                <w:sz w:val="20"/>
                <w:szCs w:val="20"/>
              </w:rPr>
              <w:t>.</w:t>
            </w:r>
          </w:p>
        </w:tc>
      </w:tr>
      <w:tr w:rsidR="00CB20D8" w14:paraId="7927B44D" w14:textId="77777777" w:rsidTr="00CB20D8">
        <w:trPr>
          <w:cnfStyle w:val="000000010000" w:firstRow="0" w:lastRow="0" w:firstColumn="0" w:lastColumn="0" w:oddVBand="0" w:evenVBand="0" w:oddHBand="0" w:evenHBand="1" w:firstRowFirstColumn="0" w:firstRowLastColumn="0" w:lastRowFirstColumn="0" w:lastRowLastColumn="0"/>
          <w:trHeight w:val="292"/>
        </w:trPr>
        <w:tc>
          <w:tcPr>
            <w:tcW w:w="9638" w:type="dxa"/>
            <w:gridSpan w:val="2"/>
            <w:shd w:val="clear" w:color="auto" w:fill="4986A0" w:themeFill="accent3"/>
          </w:tcPr>
          <w:p w14:paraId="7AADD094" w14:textId="187D706F" w:rsidR="00CB20D8" w:rsidRPr="00CB20D8" w:rsidRDefault="00861D49" w:rsidP="00CB20D8">
            <w:pPr>
              <w:spacing w:before="0" w:after="120" w:line="240" w:lineRule="auto"/>
              <w:rPr>
                <w:b/>
                <w:bCs/>
                <w:color w:val="FFFFFF" w:themeColor="background1"/>
                <w:sz w:val="20"/>
                <w:szCs w:val="20"/>
              </w:rPr>
            </w:pPr>
            <w:r>
              <w:rPr>
                <w:b/>
                <w:bCs/>
                <w:color w:val="FFFFFF" w:themeColor="background1"/>
                <w:sz w:val="20"/>
                <w:szCs w:val="20"/>
              </w:rPr>
              <w:t>Other proposed changes (not assessed</w:t>
            </w:r>
            <w:r w:rsidR="00B94FBC">
              <w:rPr>
                <w:b/>
                <w:bCs/>
                <w:color w:val="FFFFFF" w:themeColor="background1"/>
                <w:sz w:val="20"/>
                <w:szCs w:val="20"/>
              </w:rPr>
              <w:t xml:space="preserve"> </w:t>
            </w:r>
            <w:r w:rsidR="001D15CF">
              <w:rPr>
                <w:b/>
                <w:bCs/>
                <w:color w:val="FFFFFF" w:themeColor="background1"/>
                <w:sz w:val="20"/>
                <w:szCs w:val="20"/>
              </w:rPr>
              <w:t>using a</w:t>
            </w:r>
            <w:r w:rsidR="003E290A">
              <w:rPr>
                <w:b/>
                <w:bCs/>
                <w:color w:val="FFFFFF" w:themeColor="background1"/>
                <w:sz w:val="20"/>
                <w:szCs w:val="20"/>
              </w:rPr>
              <w:t>n</w:t>
            </w:r>
            <w:r w:rsidR="001D15CF">
              <w:rPr>
                <w:b/>
                <w:bCs/>
                <w:color w:val="FFFFFF" w:themeColor="background1"/>
                <w:sz w:val="20"/>
                <w:szCs w:val="20"/>
              </w:rPr>
              <w:t xml:space="preserve"> MCA</w:t>
            </w:r>
            <w:r>
              <w:rPr>
                <w:b/>
                <w:bCs/>
                <w:color w:val="FFFFFF" w:themeColor="background1"/>
                <w:sz w:val="20"/>
                <w:szCs w:val="20"/>
              </w:rPr>
              <w:t>)</w:t>
            </w:r>
          </w:p>
        </w:tc>
      </w:tr>
      <w:tr w:rsidR="00CB20D8" w14:paraId="7DA671D8" w14:textId="77777777" w:rsidTr="00861D49">
        <w:trPr>
          <w:cnfStyle w:val="000000100000" w:firstRow="0" w:lastRow="0" w:firstColumn="0" w:lastColumn="0" w:oddVBand="0" w:evenVBand="0" w:oddHBand="1" w:evenHBand="0" w:firstRowFirstColumn="0" w:firstRowLastColumn="0" w:lastRowFirstColumn="0" w:lastRowLastColumn="0"/>
          <w:trHeight w:val="396"/>
        </w:trPr>
        <w:tc>
          <w:tcPr>
            <w:tcW w:w="3119" w:type="dxa"/>
          </w:tcPr>
          <w:p w14:paraId="47146CBA" w14:textId="58188740" w:rsidR="00CB20D8" w:rsidRPr="00CB20D8" w:rsidRDefault="00CB20D8" w:rsidP="00CB20D8">
            <w:pPr>
              <w:spacing w:before="0" w:after="120" w:line="240" w:lineRule="auto"/>
              <w:rPr>
                <w:sz w:val="20"/>
                <w:szCs w:val="20"/>
              </w:rPr>
            </w:pPr>
            <w:r>
              <w:rPr>
                <w:b/>
                <w:sz w:val="20"/>
                <w:szCs w:val="20"/>
              </w:rPr>
              <w:t>Increasing the best offer threshold</w:t>
            </w:r>
          </w:p>
        </w:tc>
        <w:tc>
          <w:tcPr>
            <w:tcW w:w="6519" w:type="dxa"/>
          </w:tcPr>
          <w:p w14:paraId="759C0631" w14:textId="26EB21B6" w:rsidR="00CB20D8" w:rsidRPr="00FB4BC3" w:rsidRDefault="00CB20D8" w:rsidP="00CB20D8">
            <w:pPr>
              <w:spacing w:before="0" w:after="120" w:line="240" w:lineRule="auto"/>
              <w:rPr>
                <w:color w:val="000000"/>
                <w:sz w:val="20"/>
                <w:szCs w:val="20"/>
              </w:rPr>
            </w:pPr>
            <w:r w:rsidRPr="000D1795">
              <w:rPr>
                <w:sz w:val="20"/>
                <w:szCs w:val="20"/>
              </w:rPr>
              <w:t>Increa</w:t>
            </w:r>
            <w:r w:rsidR="005F610C">
              <w:rPr>
                <w:sz w:val="20"/>
                <w:szCs w:val="20"/>
              </w:rPr>
              <w:t>s</w:t>
            </w:r>
            <w:r w:rsidR="004D4944">
              <w:rPr>
                <w:sz w:val="20"/>
                <w:szCs w:val="20"/>
              </w:rPr>
              <w:t>e</w:t>
            </w:r>
            <w:r w:rsidRPr="000D1795">
              <w:rPr>
                <w:sz w:val="20"/>
                <w:szCs w:val="20"/>
              </w:rPr>
              <w:t xml:space="preserve"> the minimum </w:t>
            </w:r>
            <w:r>
              <w:rPr>
                <w:sz w:val="20"/>
                <w:szCs w:val="20"/>
              </w:rPr>
              <w:t>potential savings for a negative best offer check from $22 to $50</w:t>
            </w:r>
            <w:r w:rsidR="00F45D5C">
              <w:rPr>
                <w:sz w:val="20"/>
                <w:szCs w:val="20"/>
              </w:rPr>
              <w:t>.</w:t>
            </w:r>
          </w:p>
        </w:tc>
      </w:tr>
      <w:tr w:rsidR="00861D49" w14:paraId="143E406C" w14:textId="77777777" w:rsidTr="00861D49">
        <w:trPr>
          <w:cnfStyle w:val="000000010000" w:firstRow="0" w:lastRow="0" w:firstColumn="0" w:lastColumn="0" w:oddVBand="0" w:evenVBand="0" w:oddHBand="0" w:evenHBand="1" w:firstRowFirstColumn="0" w:firstRowLastColumn="0" w:lastRowFirstColumn="0" w:lastRowLastColumn="0"/>
          <w:trHeight w:val="194"/>
        </w:trPr>
        <w:tc>
          <w:tcPr>
            <w:tcW w:w="3119" w:type="dxa"/>
          </w:tcPr>
          <w:p w14:paraId="55CFD40B" w14:textId="62810A56" w:rsidR="00861D49" w:rsidRDefault="00861D49" w:rsidP="00861D49">
            <w:pPr>
              <w:spacing w:before="0" w:after="120" w:line="240" w:lineRule="auto"/>
              <w:rPr>
                <w:b/>
                <w:sz w:val="20"/>
                <w:szCs w:val="20"/>
              </w:rPr>
            </w:pPr>
            <w:r>
              <w:rPr>
                <w:b/>
                <w:sz w:val="20"/>
                <w:szCs w:val="20"/>
              </w:rPr>
              <w:t>Increasing the minimum disconnection amount</w:t>
            </w:r>
          </w:p>
        </w:tc>
        <w:tc>
          <w:tcPr>
            <w:tcW w:w="6519" w:type="dxa"/>
          </w:tcPr>
          <w:p w14:paraId="210692E6" w14:textId="257900B6" w:rsidR="00861D49" w:rsidRPr="000D1795" w:rsidRDefault="00861D49" w:rsidP="00861D49">
            <w:pPr>
              <w:spacing w:before="0" w:after="120" w:line="240" w:lineRule="auto"/>
              <w:rPr>
                <w:sz w:val="20"/>
                <w:szCs w:val="20"/>
              </w:rPr>
            </w:pPr>
            <w:r w:rsidRPr="00FC5634">
              <w:rPr>
                <w:sz w:val="20"/>
                <w:szCs w:val="20"/>
              </w:rPr>
              <w:t>Increas</w:t>
            </w:r>
            <w:r w:rsidR="005F610C">
              <w:rPr>
                <w:sz w:val="20"/>
                <w:szCs w:val="20"/>
              </w:rPr>
              <w:t>e</w:t>
            </w:r>
            <w:r w:rsidRPr="00FC5634">
              <w:rPr>
                <w:sz w:val="20"/>
                <w:szCs w:val="20"/>
              </w:rPr>
              <w:t xml:space="preserve"> the minimum debt threshold for disconnections from $300 to $500</w:t>
            </w:r>
            <w:r w:rsidR="00F45D5C">
              <w:rPr>
                <w:sz w:val="20"/>
                <w:szCs w:val="20"/>
              </w:rPr>
              <w:t>.</w:t>
            </w:r>
          </w:p>
        </w:tc>
      </w:tr>
    </w:tbl>
    <w:p w14:paraId="75D4AE33" w14:textId="25EA19A9" w:rsidR="00EC159D" w:rsidRDefault="00EC159D" w:rsidP="00EC159D">
      <w:pPr>
        <w:pStyle w:val="Heading2numbered"/>
      </w:pPr>
      <w:bookmarkStart w:id="110" w:name="_Toc195088480"/>
      <w:bookmarkStart w:id="111" w:name="_Toc195088579"/>
      <w:bookmarkStart w:id="112" w:name="_Toc195184828"/>
      <w:bookmarkStart w:id="113" w:name="_Toc195261876"/>
      <w:bookmarkStart w:id="114" w:name="_Toc195617161"/>
      <w:bookmarkStart w:id="115" w:name="_Toc195642846"/>
      <w:bookmarkStart w:id="116" w:name="_Toc195692558"/>
      <w:bookmarkStart w:id="117" w:name="_Toc195701850"/>
      <w:bookmarkStart w:id="118" w:name="_Toc197959431"/>
      <w:bookmarkEnd w:id="110"/>
      <w:bookmarkEnd w:id="111"/>
      <w:bookmarkEnd w:id="112"/>
      <w:bookmarkEnd w:id="113"/>
      <w:bookmarkEnd w:id="114"/>
      <w:bookmarkEnd w:id="115"/>
      <w:bookmarkEnd w:id="116"/>
      <w:bookmarkEnd w:id="117"/>
      <w:r>
        <w:t>Approach to impact analysis</w:t>
      </w:r>
      <w:bookmarkEnd w:id="118"/>
    </w:p>
    <w:p w14:paraId="303C59F1" w14:textId="0A25584B" w:rsidR="006F1A19" w:rsidRPr="004606CC" w:rsidRDefault="00704EF9" w:rsidP="00704EF9">
      <w:r>
        <w:t xml:space="preserve">The proposed reforms considered in this RIS have been assessed using a </w:t>
      </w:r>
      <w:r w:rsidR="00300130">
        <w:t>m</w:t>
      </w:r>
      <w:r>
        <w:t>ulti</w:t>
      </w:r>
      <w:r w:rsidR="000F7DDC">
        <w:t>-</w:t>
      </w:r>
      <w:r>
        <w:t xml:space="preserve">criteria </w:t>
      </w:r>
      <w:r w:rsidR="00300130">
        <w:t>a</w:t>
      </w:r>
      <w:r>
        <w:t>nalysis (MCA). A separate MCA has been conducted to assess options under each reform area</w:t>
      </w:r>
      <w:r w:rsidR="006F1A19">
        <w:t xml:space="preserve"> and each reform is assessed independently of one another</w:t>
      </w:r>
      <w:r>
        <w:t>.</w:t>
      </w:r>
      <w:r w:rsidR="00D20BB5">
        <w:t xml:space="preserve"> Interactions between the preferred options </w:t>
      </w:r>
      <w:r w:rsidR="00FF7B70">
        <w:t>are</w:t>
      </w:r>
      <w:r w:rsidR="00D20BB5">
        <w:t xml:space="preserve"> </w:t>
      </w:r>
      <w:r w:rsidR="004B232D">
        <w:t xml:space="preserve">examined further </w:t>
      </w:r>
      <w:r w:rsidR="004B232D" w:rsidRPr="004606CC">
        <w:t>in Chapter 1</w:t>
      </w:r>
      <w:r w:rsidR="00C05187" w:rsidRPr="004606CC">
        <w:t>2</w:t>
      </w:r>
      <w:r w:rsidR="004B232D" w:rsidRPr="004606CC">
        <w:t xml:space="preserve">. </w:t>
      </w:r>
    </w:p>
    <w:p w14:paraId="0FF4FCFE" w14:textId="79D46619" w:rsidR="00704EF9" w:rsidRDefault="00704EF9" w:rsidP="00704EF9">
      <w:r w:rsidRPr="004606CC">
        <w:t xml:space="preserve">Reforms relating to extending protections for customers on legacy contracts (Chapter </w:t>
      </w:r>
      <w:r w:rsidR="00C05187" w:rsidRPr="004606CC">
        <w:t>10</w:t>
      </w:r>
      <w:r w:rsidRPr="004606CC">
        <w:t xml:space="preserve">) and improving awareness of dispute resolution services (Chapter </w:t>
      </w:r>
      <w:r w:rsidR="00716492" w:rsidRPr="004606CC">
        <w:t>1</w:t>
      </w:r>
      <w:r w:rsidR="00C05187" w:rsidRPr="004606CC">
        <w:t>1</w:t>
      </w:r>
      <w:r w:rsidRPr="004606CC">
        <w:t>)</w:t>
      </w:r>
      <w:r>
        <w:t xml:space="preserve"> involve </w:t>
      </w:r>
      <w:r w:rsidR="003779DB">
        <w:t>a</w:t>
      </w:r>
      <w:r w:rsidR="00B4242E">
        <w:t xml:space="preserve"> </w:t>
      </w:r>
      <w:r>
        <w:t xml:space="preserve">comparison of a single intervention against the base case. </w:t>
      </w:r>
      <w:r w:rsidR="00B715AA">
        <w:t>No MCA was conducted for the proposal</w:t>
      </w:r>
      <w:r w:rsidR="00397207">
        <w:t>s</w:t>
      </w:r>
      <w:r w:rsidR="00B715AA">
        <w:t xml:space="preserve"> to increase the </w:t>
      </w:r>
      <w:r w:rsidR="00202F15">
        <w:t xml:space="preserve">threshold for the best offer check </w:t>
      </w:r>
      <w:r w:rsidR="00397207">
        <w:t xml:space="preserve">results and </w:t>
      </w:r>
      <w:r w:rsidR="00B358E6">
        <w:t xml:space="preserve">the </w:t>
      </w:r>
      <w:r w:rsidR="00B715AA">
        <w:t>minimum disconnection amount (</w:t>
      </w:r>
      <w:r w:rsidR="00B358E6">
        <w:t>Section 4.3</w:t>
      </w:r>
      <w:r w:rsidR="00B715AA">
        <w:t xml:space="preserve">) due to the low </w:t>
      </w:r>
      <w:r w:rsidR="00A97185">
        <w:t xml:space="preserve">implementation </w:t>
      </w:r>
      <w:r w:rsidR="00B715AA">
        <w:t xml:space="preserve">burden expected from </w:t>
      </w:r>
      <w:r w:rsidR="00A97185">
        <w:t>these changes</w:t>
      </w:r>
      <w:r w:rsidR="00B715AA">
        <w:t>.</w:t>
      </w:r>
    </w:p>
    <w:p w14:paraId="77B1ED9A" w14:textId="01D244C3" w:rsidR="00704EF9" w:rsidRDefault="009D1A79" w:rsidP="009D1A79">
      <w:pPr>
        <w:pStyle w:val="Heading3numbered"/>
      </w:pPr>
      <w:bookmarkStart w:id="119" w:name="_Toc190957869"/>
      <w:r>
        <w:t>Multi</w:t>
      </w:r>
      <w:r w:rsidR="000F7DDC">
        <w:t>-</w:t>
      </w:r>
      <w:r>
        <w:t>criteria analysis</w:t>
      </w:r>
      <w:bookmarkEnd w:id="119"/>
    </w:p>
    <w:p w14:paraId="6A549535" w14:textId="7CF279EB" w:rsidR="003B5D4E" w:rsidRDefault="003B5D4E" w:rsidP="00092115">
      <w:bookmarkStart w:id="120" w:name="_Hlk194415316"/>
      <w:r>
        <w:t>MCA is an analysis process that scores and rates options against multiple criteria that are linked to the objectives of a proposal. MCA provides a way of analysing options against impacts that are important to decision</w:t>
      </w:r>
      <w:r w:rsidR="003E2FB7">
        <w:t xml:space="preserve"> </w:t>
      </w:r>
      <w:r>
        <w:t>makers, but which cannot be readily quantified and monetised.</w:t>
      </w:r>
    </w:p>
    <w:p w14:paraId="49ECF156" w14:textId="645DD3A7" w:rsidR="003B5D4E" w:rsidRDefault="003B5D4E" w:rsidP="00092115">
      <w:r>
        <w:t xml:space="preserve">Under this type of analysis, each option is scored against criteria relative to the base case as illustrated below in </w:t>
      </w:r>
      <w:r w:rsidRPr="004606CC">
        <w:t xml:space="preserve">Figure </w:t>
      </w:r>
      <w:r w:rsidR="00C05187" w:rsidRPr="004606CC">
        <w:t>14</w:t>
      </w:r>
      <w:r>
        <w:t>. In this case</w:t>
      </w:r>
      <w:r w:rsidR="00F634E5">
        <w:t>,</w:t>
      </w:r>
      <w:r>
        <w:t xml:space="preserve"> benefits mean achievement of </w:t>
      </w:r>
      <w:r w:rsidR="007204F8">
        <w:t xml:space="preserve">reform </w:t>
      </w:r>
      <w:r>
        <w:t xml:space="preserve">objectives which are to help households pay less for energy and enhance protections for energy consumers, and include increasing support for people experiencing payment difficulty, supporting eligible people to access concessions, and </w:t>
      </w:r>
      <w:r w:rsidR="005A6AC5">
        <w:t>improving</w:t>
      </w:r>
      <w:r>
        <w:t xml:space="preserve"> awa</w:t>
      </w:r>
      <w:r w:rsidR="005F610C">
        <w:t>r</w:t>
      </w:r>
      <w:r>
        <w:t>eness of independent dispute resolution services.</w:t>
      </w:r>
    </w:p>
    <w:p w14:paraId="214D711E" w14:textId="09A64838" w:rsidR="0060604D" w:rsidRDefault="00C77DEC" w:rsidP="00092115">
      <w:pPr>
        <w:rPr>
          <w:iCs/>
          <w:color w:val="4986A0" w:themeColor="text2"/>
          <w:sz w:val="18"/>
          <w:szCs w:val="18"/>
          <w:highlight w:val="yellow"/>
        </w:rPr>
      </w:pPr>
      <w:r>
        <w:t>B</w:t>
      </w:r>
      <w:r w:rsidR="003B5D4E">
        <w:t xml:space="preserve">enefits are scored between 0 and </w:t>
      </w:r>
      <w:r w:rsidR="000D22DC">
        <w:t>+</w:t>
      </w:r>
      <w:r w:rsidR="003B5D4E">
        <w:t xml:space="preserve">10. A score of 0 means that the option does not add or reduce any </w:t>
      </w:r>
      <w:r w:rsidR="003E298E">
        <w:t xml:space="preserve">net </w:t>
      </w:r>
      <w:r w:rsidR="008A3347">
        <w:t>benefit</w:t>
      </w:r>
      <w:r w:rsidR="003B5D4E">
        <w:t>s over the base case (</w:t>
      </w:r>
      <w:r w:rsidR="00DF2122">
        <w:t>that is</w:t>
      </w:r>
      <w:r w:rsidR="003B5D4E">
        <w:t xml:space="preserve">, has the same impact as the current arrangements). A </w:t>
      </w:r>
      <w:r w:rsidR="003B5D4E">
        <w:lastRenderedPageBreak/>
        <w:t xml:space="preserve">score of +10 means that the option furthers the objectives of the proposals to the optimum extent possible. Costs are scored from +10 to -10. A score of -10 means that the option imposes costs significantly higher than the base case. A positive score would be given where the regulations reduce costs relative to the base case. </w:t>
      </w:r>
      <w:bookmarkEnd w:id="120"/>
    </w:p>
    <w:p w14:paraId="5450939D" w14:textId="437992C0" w:rsidR="006A576E" w:rsidRPr="00B478DE" w:rsidRDefault="003B5D4E" w:rsidP="00361E40">
      <w:pPr>
        <w:pStyle w:val="Figure-Table-BoxSubtitle"/>
        <w:ind w:left="0"/>
        <w:rPr>
          <w:sz w:val="18"/>
          <w:szCs w:val="18"/>
          <w:highlight w:val="yellow"/>
        </w:rPr>
      </w:pPr>
      <w:r w:rsidRPr="000F6481">
        <w:rPr>
          <w:b/>
          <w:bCs/>
        </w:rPr>
        <w:t xml:space="preserve">Figure </w:t>
      </w:r>
      <w:r w:rsidR="004751DA" w:rsidRPr="000F6481">
        <w:rPr>
          <w:b/>
          <w:bCs/>
        </w:rPr>
        <w:t>1</w:t>
      </w:r>
      <w:r w:rsidR="000A40AE" w:rsidRPr="000F6481">
        <w:rPr>
          <w:b/>
          <w:bCs/>
        </w:rPr>
        <w:t>4</w:t>
      </w:r>
      <w:r w:rsidR="000F6481" w:rsidRPr="000F6481">
        <w:rPr>
          <w:b/>
          <w:bCs/>
        </w:rPr>
        <w:t>:</w:t>
      </w:r>
      <w:r w:rsidR="000F6481" w:rsidRPr="000F6481">
        <w:t xml:space="preserve"> </w:t>
      </w:r>
      <w:r w:rsidR="006A576E" w:rsidRPr="000F6481">
        <w:t>Options assessment MCA scoring scale</w:t>
      </w:r>
    </w:p>
    <w:p w14:paraId="6B9C518E" w14:textId="73B6163D" w:rsidR="002443F8" w:rsidRDefault="00DA2167" w:rsidP="0082571C">
      <w:r>
        <w:rPr>
          <w:noProof/>
        </w:rPr>
        <w:drawing>
          <wp:inline distT="0" distB="0" distL="0" distR="0" wp14:anchorId="33BD896A" wp14:editId="7471724D">
            <wp:extent cx="6120130" cy="2914650"/>
            <wp:effectExtent l="0" t="0" r="0" b="0"/>
            <wp:docPr id="439993364" name="Picture 1" descr="A diagram of benefits and co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93364" name="Picture 1" descr="A diagram of benefits and costs&#10;&#10;AI-generated content may be incorrect."/>
                    <pic:cNvPicPr/>
                  </pic:nvPicPr>
                  <pic:blipFill>
                    <a:blip r:embed="rId47"/>
                    <a:stretch>
                      <a:fillRect/>
                    </a:stretch>
                  </pic:blipFill>
                  <pic:spPr>
                    <a:xfrm>
                      <a:off x="0" y="0"/>
                      <a:ext cx="6120130" cy="2914650"/>
                    </a:xfrm>
                    <a:prstGeom prst="rect">
                      <a:avLst/>
                    </a:prstGeom>
                  </pic:spPr>
                </pic:pic>
              </a:graphicData>
            </a:graphic>
          </wp:inline>
        </w:drawing>
      </w:r>
    </w:p>
    <w:p w14:paraId="3386F347" w14:textId="389222BE" w:rsidR="00ED5BC6" w:rsidRDefault="0040705F" w:rsidP="00800122">
      <w:pPr>
        <w:pStyle w:val="Heading3numbered"/>
      </w:pPr>
      <w:r>
        <w:t>Types</w:t>
      </w:r>
      <w:r w:rsidR="00AA48EB">
        <w:t xml:space="preserve"> </w:t>
      </w:r>
      <w:r w:rsidR="00F15DBE">
        <w:t>o</w:t>
      </w:r>
      <w:r w:rsidR="002D4954">
        <w:t>f</w:t>
      </w:r>
      <w:r w:rsidR="00FD4E29">
        <w:t xml:space="preserve"> costs and benefits</w:t>
      </w:r>
    </w:p>
    <w:p w14:paraId="2A9AD875" w14:textId="77777777" w:rsidR="002C4271" w:rsidRDefault="002A109E" w:rsidP="0040705F">
      <w:r w:rsidDel="00AA48EB">
        <w:t xml:space="preserve">We have considered </w:t>
      </w:r>
      <w:r w:rsidR="007973BD" w:rsidDel="00AA48EB">
        <w:t>specific costs and benefits that are specific to customers, retailers</w:t>
      </w:r>
      <w:r w:rsidR="003C0E7D" w:rsidDel="00AA48EB">
        <w:t xml:space="preserve">, the regulator (the commission) and other parties. </w:t>
      </w:r>
      <w:r w:rsidR="00E35566" w:rsidDel="00AA48EB">
        <w:t>The following section outlines the type of costs and benefits we have considered in assessing each reform option.</w:t>
      </w:r>
      <w:r w:rsidR="002C4271">
        <w:t xml:space="preserve"> </w:t>
      </w:r>
    </w:p>
    <w:p w14:paraId="5E49670E" w14:textId="594B97CE" w:rsidR="002A109E" w:rsidRPr="002A109E" w:rsidDel="00AA48EB" w:rsidRDefault="002C4271" w:rsidP="0040705F">
      <w:r>
        <w:t>We also summarise the impacts to consumers and energy retailers of the preferred reform options in chapter 12.</w:t>
      </w:r>
    </w:p>
    <w:p w14:paraId="71C2EA38" w14:textId="3618CB9C" w:rsidR="00476BC3" w:rsidRDefault="0000781F" w:rsidP="00AA48EB">
      <w:pPr>
        <w:pStyle w:val="Heading4"/>
      </w:pPr>
      <w:r w:rsidRPr="00506916">
        <w:t>Consumers</w:t>
      </w:r>
    </w:p>
    <w:p w14:paraId="60949503" w14:textId="17E1C8E6" w:rsidR="00D05C49" w:rsidRDefault="009F0EA0" w:rsidP="00D05C49">
      <w:r>
        <w:t>Consumers</w:t>
      </w:r>
      <w:r w:rsidR="007D6BF5">
        <w:t xml:space="preserve"> </w:t>
      </w:r>
      <w:r w:rsidR="00582747">
        <w:t>who</w:t>
      </w:r>
      <w:r w:rsidR="007D6BF5">
        <w:t xml:space="preserve"> access </w:t>
      </w:r>
      <w:r w:rsidR="00AA333E">
        <w:t xml:space="preserve">cheaper </w:t>
      </w:r>
      <w:r w:rsidR="007D6BF5">
        <w:t xml:space="preserve">electricity and gas </w:t>
      </w:r>
      <w:r w:rsidR="00AA333E">
        <w:t>plans</w:t>
      </w:r>
      <w:r>
        <w:t xml:space="preserve"> as </w:t>
      </w:r>
      <w:r w:rsidR="00582747">
        <w:t xml:space="preserve">a </w:t>
      </w:r>
      <w:r>
        <w:t>result of the propose</w:t>
      </w:r>
      <w:r w:rsidR="007D1755">
        <w:t>d</w:t>
      </w:r>
      <w:r>
        <w:t xml:space="preserve"> reforms are expected to </w:t>
      </w:r>
      <w:r w:rsidR="007D1755">
        <w:t xml:space="preserve">decrease their </w:t>
      </w:r>
      <w:r w:rsidR="00582747">
        <w:t>energy</w:t>
      </w:r>
      <w:r w:rsidR="007D1755">
        <w:t xml:space="preserve"> bills and save money</w:t>
      </w:r>
      <w:r w:rsidR="007D6BF5">
        <w:t xml:space="preserve">. </w:t>
      </w:r>
      <w:r w:rsidR="00E704F7">
        <w:t>We have quantified the magnitude of these savings where possible</w:t>
      </w:r>
      <w:r w:rsidR="007D6BF5">
        <w:t xml:space="preserve">. </w:t>
      </w:r>
      <w:r w:rsidR="00D05C49">
        <w:t>It is worth noting that consumers would already be accessing the best offers in an efficient market with ‘perfect information’ and without behavioural constraints.</w:t>
      </w:r>
      <w:r w:rsidR="00D05C49" w:rsidRPr="009362CA">
        <w:t xml:space="preserve"> </w:t>
      </w:r>
      <w:r w:rsidR="00D05C49">
        <w:t xml:space="preserve">Despite receiving better information, some consumers may not </w:t>
      </w:r>
      <w:r w:rsidR="00E81996">
        <w:t>be able to, or may</w:t>
      </w:r>
      <w:r w:rsidR="00D05C49">
        <w:t xml:space="preserve"> choose </w:t>
      </w:r>
      <w:r w:rsidR="00957EA5">
        <w:t xml:space="preserve">not </w:t>
      </w:r>
      <w:r w:rsidR="00D05C49">
        <w:t>to</w:t>
      </w:r>
      <w:r w:rsidR="00C814D6">
        <w:t>,</w:t>
      </w:r>
      <w:r w:rsidR="00D05C49">
        <w:t xml:space="preserve"> switch contracts, and this proportion cannot be </w:t>
      </w:r>
      <w:r w:rsidR="00921B8C">
        <w:t>determined</w:t>
      </w:r>
      <w:r w:rsidR="00D05C49">
        <w:t>.</w:t>
      </w:r>
    </w:p>
    <w:p w14:paraId="583D201F" w14:textId="74B6F33B" w:rsidR="00D05C49" w:rsidRDefault="00B13132" w:rsidP="001C0357">
      <w:r>
        <w:t>Some outcomes will occur regardless of consumer action (for example, automatic switching to the best offer), and other changes will rely on proactive consumer action</w:t>
      </w:r>
      <w:r w:rsidR="00634AB4">
        <w:t xml:space="preserve"> to enable </w:t>
      </w:r>
      <w:r w:rsidR="009C4B63">
        <w:t xml:space="preserve">benefits to be </w:t>
      </w:r>
      <w:r w:rsidR="009C4B63">
        <w:lastRenderedPageBreak/>
        <w:t>realised</w:t>
      </w:r>
      <w:r>
        <w:t xml:space="preserve">. In these cases, the proposals will rely on the retailer providing better information and customers changing </w:t>
      </w:r>
      <w:r w:rsidR="00BA053C">
        <w:t xml:space="preserve">their </w:t>
      </w:r>
      <w:r>
        <w:t xml:space="preserve">behaviour to access better deals. </w:t>
      </w:r>
    </w:p>
    <w:p w14:paraId="61D382C5" w14:textId="51DB485C" w:rsidR="001578C0" w:rsidDel="00477FEF" w:rsidRDefault="00363B78" w:rsidP="00E21409">
      <w:r w:rsidRPr="00363B78">
        <w:t xml:space="preserve">The proposed reforms aim to support customers, particularly customers experiencing vulnerability, to save on their energy bills. </w:t>
      </w:r>
      <w:r w:rsidR="000B4422">
        <w:t xml:space="preserve">Retailers may choose to </w:t>
      </w:r>
      <w:r w:rsidR="000F28BC">
        <w:t>pass</w:t>
      </w:r>
      <w:r w:rsidR="00A040AE">
        <w:t xml:space="preserve"> on the costs </w:t>
      </w:r>
      <w:r w:rsidR="002A1C3F">
        <w:t xml:space="preserve">of some </w:t>
      </w:r>
      <w:r w:rsidR="007248E6">
        <w:t>changes</w:t>
      </w:r>
      <w:r w:rsidR="00A040AE">
        <w:t xml:space="preserve">, which could increase energy bills for some customers. </w:t>
      </w:r>
      <w:r w:rsidR="003F3BAB">
        <w:t xml:space="preserve">However, </w:t>
      </w:r>
      <w:r w:rsidR="00005667">
        <w:t xml:space="preserve">the competitive energy retail market </w:t>
      </w:r>
      <w:r w:rsidR="00584D71">
        <w:t xml:space="preserve">would </w:t>
      </w:r>
      <w:r w:rsidR="00914A0C">
        <w:t>constrain</w:t>
      </w:r>
      <w:r w:rsidR="00584D71">
        <w:t xml:space="preserve"> </w:t>
      </w:r>
      <w:r w:rsidR="00923BCE">
        <w:t>retailer</w:t>
      </w:r>
      <w:r w:rsidR="005B34A7">
        <w:t>s</w:t>
      </w:r>
      <w:r w:rsidR="00B03F81">
        <w:t>’</w:t>
      </w:r>
      <w:r w:rsidR="00923BCE">
        <w:t xml:space="preserve"> ability </w:t>
      </w:r>
      <w:r w:rsidR="00E920D4">
        <w:t xml:space="preserve">to pass on costs. </w:t>
      </w:r>
      <w:r w:rsidR="00826CA3">
        <w:t xml:space="preserve">While it is not </w:t>
      </w:r>
      <w:r w:rsidR="0001213D">
        <w:t xml:space="preserve">possible to anticipate retailers’ behaviour, </w:t>
      </w:r>
      <w:r w:rsidR="00A21ACC">
        <w:t xml:space="preserve">if any costs </w:t>
      </w:r>
      <w:r w:rsidR="00416649">
        <w:t>are transferred</w:t>
      </w:r>
      <w:r w:rsidR="00A21ACC">
        <w:t xml:space="preserve"> to other customers, </w:t>
      </w:r>
      <w:r w:rsidR="001578C0">
        <w:t>w</w:t>
      </w:r>
      <w:r w:rsidR="00F50979">
        <w:t xml:space="preserve">e recognise that a dollar saved by </w:t>
      </w:r>
      <w:r w:rsidR="00394711">
        <w:t>customers</w:t>
      </w:r>
      <w:r w:rsidR="00F50979">
        <w:t xml:space="preserve"> </w:t>
      </w:r>
      <w:r w:rsidR="00382C34">
        <w:t>experiencing vulnerability</w:t>
      </w:r>
      <w:r w:rsidR="00F50979">
        <w:t xml:space="preserve"> is </w:t>
      </w:r>
      <w:r w:rsidR="0017671D">
        <w:t xml:space="preserve">likely </w:t>
      </w:r>
      <w:r w:rsidR="00F50979">
        <w:t>worth more than an extra dollar to a customer who is better off.</w:t>
      </w:r>
    </w:p>
    <w:p w14:paraId="768B6697" w14:textId="6730D1E8" w:rsidR="00FB3D87" w:rsidRDefault="002B0399" w:rsidP="00576199">
      <w:r>
        <w:t xml:space="preserve">In addition to monetary </w:t>
      </w:r>
      <w:r w:rsidR="00470FE4">
        <w:t xml:space="preserve">benefits </w:t>
      </w:r>
      <w:r w:rsidR="00A21ACC">
        <w:t xml:space="preserve">for consumers experiencing </w:t>
      </w:r>
      <w:r w:rsidR="00416649">
        <w:t xml:space="preserve">vulnerability </w:t>
      </w:r>
      <w:r w:rsidR="00470FE4">
        <w:t>from energy bill savings</w:t>
      </w:r>
      <w:r w:rsidR="005E42EC">
        <w:t xml:space="preserve"> and </w:t>
      </w:r>
      <w:r w:rsidR="00D96255">
        <w:t>mak</w:t>
      </w:r>
      <w:r w:rsidR="005E42EC">
        <w:t>ing</w:t>
      </w:r>
      <w:r w:rsidR="00D96255">
        <w:t xml:space="preserve"> energy more affordable</w:t>
      </w:r>
      <w:r w:rsidR="005E42EC">
        <w:t xml:space="preserve">, we expect the proposed reforms to deliver non-monetary benefits and </w:t>
      </w:r>
      <w:r w:rsidR="00FB3D87">
        <w:t xml:space="preserve">improve customers’ wellbeing, especially for those experiencing </w:t>
      </w:r>
      <w:r w:rsidR="00A70041">
        <w:t>payment difficulty</w:t>
      </w:r>
      <w:r w:rsidR="00FB3D87">
        <w:t xml:space="preserve">. Customers may </w:t>
      </w:r>
      <w:r w:rsidR="00B118D2">
        <w:t xml:space="preserve">have </w:t>
      </w:r>
      <w:r w:rsidR="00FB3D87">
        <w:t>less stress and anxiety</w:t>
      </w:r>
      <w:r w:rsidR="008D2806">
        <w:t xml:space="preserve"> from having more manageable </w:t>
      </w:r>
      <w:r w:rsidR="00FB3D87">
        <w:t xml:space="preserve">payments. A recent report from the </w:t>
      </w:r>
      <w:r w:rsidR="00FB3D87" w:rsidRPr="00AB4497">
        <w:t>Australian Council of Social Service</w:t>
      </w:r>
      <w:r w:rsidR="00FB3D87">
        <w:t xml:space="preserve"> shows that </w:t>
      </w:r>
      <w:r w:rsidR="00B118D2">
        <w:t xml:space="preserve">some </w:t>
      </w:r>
      <w:r w:rsidR="00FB3D87">
        <w:t xml:space="preserve">customers are </w:t>
      </w:r>
      <w:r w:rsidR="00B118D2">
        <w:t>sharply</w:t>
      </w:r>
      <w:r w:rsidR="00FB3D87">
        <w:t xml:space="preserve"> cutting back on </w:t>
      </w:r>
      <w:r w:rsidR="00B118D2">
        <w:t>lighting</w:t>
      </w:r>
      <w:r w:rsidR="00FB3D87">
        <w:t>, cooling and heating</w:t>
      </w:r>
      <w:r w:rsidR="00B118D2">
        <w:t xml:space="preserve"> to afford energy bills</w:t>
      </w:r>
      <w:r w:rsidR="00FB3D87">
        <w:t xml:space="preserve">. </w:t>
      </w:r>
      <w:r w:rsidR="00B118D2">
        <w:t>S</w:t>
      </w:r>
      <w:r w:rsidR="00FB3D87">
        <w:t>ome are paying energy bills by going without food, medicine or other essentials.</w:t>
      </w:r>
      <w:r w:rsidR="00FB3D87">
        <w:rPr>
          <w:rStyle w:val="FootnoteReference"/>
        </w:rPr>
        <w:footnoteReference w:id="106"/>
      </w:r>
    </w:p>
    <w:p w14:paraId="1599EE73" w14:textId="09DFD647" w:rsidR="00863EE6" w:rsidRDefault="008B53C7" w:rsidP="00437340">
      <w:r>
        <w:t>Overal</w:t>
      </w:r>
      <w:r w:rsidR="00056DAD">
        <w:t>l</w:t>
      </w:r>
      <w:r>
        <w:t>, the proposed reforms</w:t>
      </w:r>
      <w:r w:rsidR="00836041">
        <w:t xml:space="preserve"> are likely to</w:t>
      </w:r>
      <w:r w:rsidR="00D70F11">
        <w:t xml:space="preserve"> improve</w:t>
      </w:r>
      <w:r w:rsidR="00836041">
        <w:t xml:space="preserve"> the</w:t>
      </w:r>
      <w:r w:rsidR="00D70F11">
        <w:t xml:space="preserve"> </w:t>
      </w:r>
      <w:r w:rsidR="000F5DE4">
        <w:t xml:space="preserve">functioning of the </w:t>
      </w:r>
      <w:r w:rsidR="00D70F11">
        <w:t>energy marke</w:t>
      </w:r>
      <w:r w:rsidR="00581A3E">
        <w:t>t</w:t>
      </w:r>
      <w:r w:rsidR="00D70F11">
        <w:t xml:space="preserve"> </w:t>
      </w:r>
      <w:r w:rsidR="001045D2">
        <w:t>by</w:t>
      </w:r>
      <w:r w:rsidR="000F5DE4">
        <w:t xml:space="preserve"> </w:t>
      </w:r>
      <w:r w:rsidR="00DD4EBF">
        <w:t>increasing consumer trust</w:t>
      </w:r>
      <w:r w:rsidR="00802AC9">
        <w:t>, promoting greater participation, boosting</w:t>
      </w:r>
      <w:r w:rsidR="00DD4EBF">
        <w:t xml:space="preserve"> </w:t>
      </w:r>
      <w:r w:rsidR="00DD4EBF" w:rsidRPr="00DD4EBF">
        <w:t xml:space="preserve">market efficiency and </w:t>
      </w:r>
      <w:r w:rsidR="00002176">
        <w:t>reducing</w:t>
      </w:r>
      <w:r w:rsidR="00DD4EBF" w:rsidRPr="00DD4EBF">
        <w:t xml:space="preserve"> transaction costs.</w:t>
      </w:r>
      <w:r w:rsidR="00B60E41">
        <w:t xml:space="preserve"> Customers will </w:t>
      </w:r>
      <w:r w:rsidR="00851CC4">
        <w:t>also</w:t>
      </w:r>
      <w:r w:rsidR="00B60E41">
        <w:t xml:space="preserve"> benefit from </w:t>
      </w:r>
      <w:r w:rsidR="00437340">
        <w:t xml:space="preserve">retailers competing </w:t>
      </w:r>
      <w:r w:rsidR="00863EE6" w:rsidRPr="00600157">
        <w:t>more fairly</w:t>
      </w:r>
      <w:r w:rsidR="005F5D5C">
        <w:t xml:space="preserve">, particularly where industry </w:t>
      </w:r>
      <w:r w:rsidR="00863EE6" w:rsidRPr="00600157">
        <w:t xml:space="preserve">costs </w:t>
      </w:r>
      <w:r w:rsidR="005F5D5C">
        <w:t xml:space="preserve">are </w:t>
      </w:r>
      <w:r w:rsidR="00863EE6" w:rsidRPr="00600157">
        <w:t xml:space="preserve">more transparent and </w:t>
      </w:r>
      <w:r w:rsidR="00F429E3">
        <w:t xml:space="preserve">the effectiveness of </w:t>
      </w:r>
      <w:r w:rsidR="00863EE6" w:rsidRPr="00600157">
        <w:t>competition</w:t>
      </w:r>
      <w:r w:rsidR="005F5D5C">
        <w:t xml:space="preserve"> </w:t>
      </w:r>
      <w:r w:rsidR="00F429E3">
        <w:t>is</w:t>
      </w:r>
      <w:r w:rsidR="005F5D5C">
        <w:t xml:space="preserve"> improved</w:t>
      </w:r>
      <w:r w:rsidR="00863EE6" w:rsidRPr="00600157">
        <w:t>.</w:t>
      </w:r>
    </w:p>
    <w:p w14:paraId="7D76A38D" w14:textId="77777777" w:rsidR="002D6909" w:rsidRDefault="002D6909" w:rsidP="002D6909">
      <w:pPr>
        <w:pStyle w:val="Heading4"/>
        <w:rPr>
          <w:bCs/>
        </w:rPr>
      </w:pPr>
      <w:r w:rsidRPr="002C16BE">
        <w:rPr>
          <w:bCs/>
        </w:rPr>
        <w:t>Energy retailers</w:t>
      </w:r>
    </w:p>
    <w:p w14:paraId="6137FA15" w14:textId="5C166F21" w:rsidR="007E2826" w:rsidRDefault="00E9136B" w:rsidP="007E2826">
      <w:r>
        <w:t xml:space="preserve">The commission expects all Victorian retailers to fully comply </w:t>
      </w:r>
      <w:r w:rsidR="00710BDB">
        <w:t>with</w:t>
      </w:r>
      <w:r w:rsidR="00170156">
        <w:t xml:space="preserve"> </w:t>
      </w:r>
      <w:r>
        <w:t xml:space="preserve">any new obligations. </w:t>
      </w:r>
      <w:r w:rsidR="007E2826">
        <w:t xml:space="preserve">To comply, retailers may need to update </w:t>
      </w:r>
      <w:r w:rsidR="001D29B2">
        <w:t>their</w:t>
      </w:r>
      <w:r w:rsidR="007E2826">
        <w:t xml:space="preserve"> systems, processes and training needs. These changes </w:t>
      </w:r>
      <w:r w:rsidR="00B27480">
        <w:t xml:space="preserve">will lead to added </w:t>
      </w:r>
      <w:r w:rsidR="00441046">
        <w:t>implementation</w:t>
      </w:r>
      <w:r w:rsidR="00B27480">
        <w:t xml:space="preserve"> costs to industry, and </w:t>
      </w:r>
      <w:r w:rsidR="007E2826">
        <w:t>include:</w:t>
      </w:r>
    </w:p>
    <w:p w14:paraId="28160B78" w14:textId="31C14C83" w:rsidR="007E2826" w:rsidRDefault="007E2826" w:rsidP="00B43F3C">
      <w:pPr>
        <w:pStyle w:val="ListParagraph"/>
        <w:numPr>
          <w:ilvl w:val="0"/>
          <w:numId w:val="22"/>
        </w:numPr>
      </w:pPr>
      <w:r w:rsidRPr="00232762">
        <w:rPr>
          <w:b/>
        </w:rPr>
        <w:t xml:space="preserve">Accounts and billing systems. </w:t>
      </w:r>
      <w:r>
        <w:t xml:space="preserve">This includes automating processes to send information to customers and switching customers to </w:t>
      </w:r>
      <w:r w:rsidR="00815FFD">
        <w:t xml:space="preserve">the </w:t>
      </w:r>
      <w:r>
        <w:t xml:space="preserve">best offer. </w:t>
      </w:r>
      <w:r w:rsidR="00710BDB">
        <w:t>This can also include once-off costs, such as changes to IT system</w:t>
      </w:r>
      <w:r w:rsidR="00815FFD">
        <w:t>s (</w:t>
      </w:r>
      <w:r w:rsidR="00710BDB">
        <w:t>for example</w:t>
      </w:r>
      <w:r w:rsidR="00F40F18">
        <w:t>,</w:t>
      </w:r>
      <w:r w:rsidR="00710BDB">
        <w:t xml:space="preserve"> to </w:t>
      </w:r>
      <w:r w:rsidR="00815FFD">
        <w:t>update</w:t>
      </w:r>
      <w:r>
        <w:t xml:space="preserve"> the content of energy bills</w:t>
      </w:r>
      <w:r w:rsidR="00815FFD">
        <w:t>)</w:t>
      </w:r>
      <w:r>
        <w:t>.</w:t>
      </w:r>
    </w:p>
    <w:p w14:paraId="70C2CCA3" w14:textId="4A0B221B" w:rsidR="007E2826" w:rsidRDefault="007E2826" w:rsidP="00B43F3C">
      <w:pPr>
        <w:pStyle w:val="ListParagraph"/>
        <w:numPr>
          <w:ilvl w:val="0"/>
          <w:numId w:val="22"/>
        </w:numPr>
      </w:pPr>
      <w:r w:rsidRPr="00232762">
        <w:rPr>
          <w:b/>
        </w:rPr>
        <w:t>Support for customer service agents.</w:t>
      </w:r>
      <w:r>
        <w:t xml:space="preserve"> This may include templates for information to customers and </w:t>
      </w:r>
      <w:r w:rsidR="003B3EE5">
        <w:t>additional</w:t>
      </w:r>
      <w:r>
        <w:t xml:space="preserve"> training for staff.</w:t>
      </w:r>
    </w:p>
    <w:p w14:paraId="7C318571" w14:textId="69D01285" w:rsidR="007E2826" w:rsidRDefault="007E2826" w:rsidP="00B43F3C">
      <w:pPr>
        <w:pStyle w:val="ListParagraph"/>
        <w:numPr>
          <w:ilvl w:val="0"/>
          <w:numId w:val="22"/>
        </w:numPr>
      </w:pPr>
      <w:r w:rsidRPr="00232762">
        <w:rPr>
          <w:b/>
        </w:rPr>
        <w:t>Internal processes, including compliance and reporting.</w:t>
      </w:r>
      <w:r>
        <w:t xml:space="preserve"> Retailers may </w:t>
      </w:r>
      <w:r w:rsidR="00152090">
        <w:t>need to review their</w:t>
      </w:r>
      <w:r>
        <w:t xml:space="preserve"> internal practices, such as changing </w:t>
      </w:r>
      <w:r w:rsidR="00F006AA">
        <w:t>their</w:t>
      </w:r>
      <w:r>
        <w:t xml:space="preserve"> pricing approach to avoid non-compliance with the </w:t>
      </w:r>
      <w:r w:rsidR="00F006AA">
        <w:lastRenderedPageBreak/>
        <w:t xml:space="preserve">proposed </w:t>
      </w:r>
      <w:r>
        <w:t xml:space="preserve">reforms. Retailers </w:t>
      </w:r>
      <w:r w:rsidR="00F006AA">
        <w:t>would</w:t>
      </w:r>
      <w:r>
        <w:t xml:space="preserve"> also </w:t>
      </w:r>
      <w:r w:rsidR="00F006AA">
        <w:t xml:space="preserve">need to </w:t>
      </w:r>
      <w:r>
        <w:t xml:space="preserve">monitor compliance with the </w:t>
      </w:r>
      <w:r w:rsidR="00F006AA">
        <w:t xml:space="preserve">proposed </w:t>
      </w:r>
      <w:r>
        <w:t>new rules and self-report any potential non-compliance to the commission.</w:t>
      </w:r>
    </w:p>
    <w:p w14:paraId="4D83AA8A" w14:textId="2B5D838D" w:rsidR="006030EE" w:rsidRDefault="006030EE" w:rsidP="007E2826">
      <w:r>
        <w:t>The scale and complexity of these changes will depend on the size and sophistication of an individual retailer. This makes it difficult to accurately estimate the entire cost to industry for various reforms.</w:t>
      </w:r>
      <w:r w:rsidR="00FD3009">
        <w:rPr>
          <w:rStyle w:val="FootnoteReference"/>
        </w:rPr>
        <w:footnoteReference w:id="107"/>
      </w:r>
      <w:r>
        <w:t xml:space="preserve"> It </w:t>
      </w:r>
      <w:r w:rsidR="007E2826">
        <w:t xml:space="preserve">is </w:t>
      </w:r>
      <w:r>
        <w:t xml:space="preserve">also </w:t>
      </w:r>
      <w:r w:rsidR="007E2826">
        <w:t xml:space="preserve">normal business practice </w:t>
      </w:r>
      <w:r w:rsidR="00F40F18">
        <w:t>for</w:t>
      </w:r>
      <w:r w:rsidR="007E2826">
        <w:t xml:space="preserve"> retailers to regularly review and update </w:t>
      </w:r>
      <w:r w:rsidR="005A5620">
        <w:t>their</w:t>
      </w:r>
      <w:r w:rsidR="007E2826">
        <w:t xml:space="preserve"> systems and processes for efficiency gains, and to improve customer experience. Retailers that have already invested in wa</w:t>
      </w:r>
      <w:r w:rsidR="005A5620">
        <w:t>y</w:t>
      </w:r>
      <w:r w:rsidR="007E2826">
        <w:t>s to support better customer experiences might face less costs to implement the</w:t>
      </w:r>
      <w:r w:rsidR="005A5620">
        <w:t xml:space="preserve"> proposed</w:t>
      </w:r>
      <w:r w:rsidR="007E2826">
        <w:t xml:space="preserve"> reforms.</w:t>
      </w:r>
      <w:r>
        <w:t xml:space="preserve"> </w:t>
      </w:r>
    </w:p>
    <w:p w14:paraId="3474447F" w14:textId="33B10A95" w:rsidR="007E2826" w:rsidRDefault="007E2826" w:rsidP="007E2826">
      <w:r>
        <w:t xml:space="preserve">For example, some retailers are already providing most customers </w:t>
      </w:r>
      <w:r w:rsidR="00117DC2">
        <w:t xml:space="preserve">who are </w:t>
      </w:r>
      <w:r>
        <w:t xml:space="preserve">receiving tailored assistance with </w:t>
      </w:r>
      <w:r w:rsidR="00783B33">
        <w:t>their</w:t>
      </w:r>
      <w:r>
        <w:t xml:space="preserve"> best offer</w:t>
      </w:r>
      <w:r w:rsidR="0030793E">
        <w:t xml:space="preserve"> </w:t>
      </w:r>
      <w:r>
        <w:t>or ensur</w:t>
      </w:r>
      <w:r w:rsidR="00340DA2">
        <w:t xml:space="preserve">ing </w:t>
      </w:r>
      <w:r>
        <w:t xml:space="preserve">that </w:t>
      </w:r>
      <w:r w:rsidR="00340DA2">
        <w:t>their</w:t>
      </w:r>
      <w:r>
        <w:t xml:space="preserve"> long-standing customers are already paying below the VDO. </w:t>
      </w:r>
      <w:r w:rsidR="003F670B">
        <w:t>Likewise, s</w:t>
      </w:r>
      <w:r w:rsidR="000E6F34">
        <w:t>ome</w:t>
      </w:r>
      <w:r>
        <w:t xml:space="preserve"> retailers already </w:t>
      </w:r>
      <w:r w:rsidR="00081DA1">
        <w:t>regularly request</w:t>
      </w:r>
      <w:r>
        <w:t xml:space="preserve"> concessions eligibility from customers</w:t>
      </w:r>
      <w:r w:rsidR="00FD6E96">
        <w:t xml:space="preserve"> </w:t>
      </w:r>
      <w:r w:rsidR="00081DA1">
        <w:t xml:space="preserve">or have put </w:t>
      </w:r>
      <w:r>
        <w:t>EWOV</w:t>
      </w:r>
      <w:r w:rsidR="00081DA1">
        <w:t>’s</w:t>
      </w:r>
      <w:r>
        <w:t xml:space="preserve"> contact details on energy bills.</w:t>
      </w:r>
    </w:p>
    <w:p w14:paraId="69DDF875" w14:textId="34DBBE83" w:rsidR="00E35566" w:rsidRDefault="00E35566" w:rsidP="00E35566">
      <w:r>
        <w:t>We also recognise that some retailers may receive indirect benefits (or avoidance of costs) from the proposals, including fewer disputes and more timely payments of bills.</w:t>
      </w:r>
      <w:r w:rsidR="00D85526">
        <w:t xml:space="preserve"> </w:t>
      </w:r>
      <w:r w:rsidR="004A449D">
        <w:t xml:space="preserve">Some retailers </w:t>
      </w:r>
      <w:r w:rsidR="007A27E4">
        <w:t>may also benefit from fairer competition</w:t>
      </w:r>
      <w:r w:rsidR="00101340">
        <w:t xml:space="preserve"> across the market. F</w:t>
      </w:r>
      <w:r w:rsidR="007A27E4">
        <w:t>or example</w:t>
      </w:r>
      <w:r w:rsidR="00101340">
        <w:t>,</w:t>
      </w:r>
      <w:r w:rsidR="007A27E4">
        <w:t xml:space="preserve"> </w:t>
      </w:r>
      <w:r w:rsidR="00544CD7">
        <w:t xml:space="preserve">if </w:t>
      </w:r>
      <w:r w:rsidR="00101340">
        <w:t>a retailer</w:t>
      </w:r>
      <w:r w:rsidR="00544CD7">
        <w:t xml:space="preserve"> already provide</w:t>
      </w:r>
      <w:r w:rsidR="00101340">
        <w:t>s</w:t>
      </w:r>
      <w:r w:rsidR="00544CD7">
        <w:t xml:space="preserve"> multiple payment options to all cu</w:t>
      </w:r>
      <w:r w:rsidR="00886D16">
        <w:t>stomers</w:t>
      </w:r>
      <w:r w:rsidR="00101340">
        <w:t xml:space="preserve"> it may benefit from </w:t>
      </w:r>
      <w:r w:rsidR="00367A12">
        <w:t xml:space="preserve">other retailers being required to </w:t>
      </w:r>
      <w:r w:rsidR="003C4E21">
        <w:t xml:space="preserve">provide the same level of </w:t>
      </w:r>
      <w:r w:rsidR="000A3F0F">
        <w:t xml:space="preserve">protections </w:t>
      </w:r>
      <w:r w:rsidR="007D22F8">
        <w:t>to their customers</w:t>
      </w:r>
      <w:r w:rsidR="0073374B">
        <w:t xml:space="preserve"> (therefore competing </w:t>
      </w:r>
      <w:r w:rsidR="002218AD">
        <w:t>on a fairer level).</w:t>
      </w:r>
    </w:p>
    <w:p w14:paraId="028B1972" w14:textId="05E9DCDF" w:rsidR="003A2086" w:rsidRDefault="00EC3BA9" w:rsidP="003A2086">
      <w:r>
        <w:t xml:space="preserve">Some reforms </w:t>
      </w:r>
      <w:r w:rsidR="002C4271">
        <w:t xml:space="preserve">may </w:t>
      </w:r>
      <w:r w:rsidR="003A2086">
        <w:t xml:space="preserve">reduce </w:t>
      </w:r>
      <w:r>
        <w:t xml:space="preserve">revenue for </w:t>
      </w:r>
      <w:r w:rsidR="003A2086">
        <w:t xml:space="preserve">certain </w:t>
      </w:r>
      <w:r>
        <w:t xml:space="preserve">retailers, </w:t>
      </w:r>
      <w:r w:rsidR="003A2086">
        <w:t xml:space="preserve">as previously disengaged </w:t>
      </w:r>
      <w:r>
        <w:t>customers</w:t>
      </w:r>
      <w:r w:rsidR="00044C23">
        <w:t xml:space="preserve">, who are </w:t>
      </w:r>
      <w:r w:rsidR="003A2086">
        <w:t>often paying high prices due to limited information or trust</w:t>
      </w:r>
      <w:r w:rsidR="00044C23">
        <w:t xml:space="preserve">, </w:t>
      </w:r>
      <w:r w:rsidR="003A2086">
        <w:t>move to better offers. These higher prices, commonly referred to as a ‘loyalty penalty’, reflect market power and information asymmetries rather than genuine cost differences.</w:t>
      </w:r>
    </w:p>
    <w:p w14:paraId="2D5BDAD2" w14:textId="77777777" w:rsidR="003A2086" w:rsidRDefault="003A2086" w:rsidP="003A2086">
      <w:r>
        <w:t>Retailers may seek to offset</w:t>
      </w:r>
      <w:r w:rsidR="00EC3BA9">
        <w:t xml:space="preserve"> lower </w:t>
      </w:r>
      <w:r>
        <w:t>revenue by raising prices for other customers, but their ability to do so is constrained by effective competition. Revenue that is competed away in this context is not necessarily an economic cost, but a sign of more efficient and fair market outcomes.</w:t>
      </w:r>
    </w:p>
    <w:p w14:paraId="0AA82084" w14:textId="2EB95CE7" w:rsidR="000A01AD" w:rsidRDefault="003A2086" w:rsidP="009D583D">
      <w:r>
        <w:t>To the extent that retailers absorb some of the reduced revenue, there may be short-term impacts on profitability. In turn, lower margins could lead to reduced investment or innovation in the sector over time. However, any revenue loss should be weighed against the clear consumer benefits of more equitable pricing. Our assessment recognises this trade-off</w:t>
      </w:r>
      <w:r w:rsidR="00550D2A">
        <w:t xml:space="preserve">, </w:t>
      </w:r>
      <w:r>
        <w:t>accounting for lower retailer revenue as a cost, while also recognising the corresponding consumer savings as a benefit</w:t>
      </w:r>
      <w:r w:rsidR="005E1ED6">
        <w:t>.</w:t>
      </w:r>
    </w:p>
    <w:p w14:paraId="69D80466" w14:textId="6D7B1204" w:rsidR="007E2826" w:rsidRPr="00784307" w:rsidRDefault="00784307" w:rsidP="00784307">
      <w:pPr>
        <w:pStyle w:val="Heading4"/>
        <w:rPr>
          <w:bCs/>
        </w:rPr>
      </w:pPr>
      <w:r w:rsidRPr="00784307">
        <w:rPr>
          <w:bCs/>
        </w:rPr>
        <w:lastRenderedPageBreak/>
        <w:t>Regulator (</w:t>
      </w:r>
      <w:r w:rsidR="00710BDB">
        <w:rPr>
          <w:bCs/>
        </w:rPr>
        <w:t>government</w:t>
      </w:r>
      <w:r w:rsidRPr="00784307">
        <w:rPr>
          <w:bCs/>
        </w:rPr>
        <w:t>)</w:t>
      </w:r>
    </w:p>
    <w:p w14:paraId="7B734832" w14:textId="0BFD3F30" w:rsidR="00EE6C97" w:rsidRDefault="00EE6C97" w:rsidP="00EE6C97">
      <w:r>
        <w:t xml:space="preserve">The </w:t>
      </w:r>
      <w:r w:rsidR="00E427CF">
        <w:t>commission</w:t>
      </w:r>
      <w:r>
        <w:t xml:space="preserve"> already incurs costs </w:t>
      </w:r>
      <w:r w:rsidR="003261B0">
        <w:t xml:space="preserve">for </w:t>
      </w:r>
      <w:r>
        <w:t>administering and enforcing the code</w:t>
      </w:r>
      <w:r w:rsidR="0094224A">
        <w:t>. W</w:t>
      </w:r>
      <w:r w:rsidR="003F3567">
        <w:t xml:space="preserve">e do not forecast any additional costs for </w:t>
      </w:r>
      <w:r>
        <w:t xml:space="preserve">implementing these </w:t>
      </w:r>
      <w:r w:rsidR="003261B0">
        <w:t>reforms</w:t>
      </w:r>
      <w:r>
        <w:t xml:space="preserve">. </w:t>
      </w:r>
      <w:r w:rsidR="00B90A38">
        <w:t>We</w:t>
      </w:r>
      <w:r w:rsidR="00AA7442">
        <w:t xml:space="preserve"> will </w:t>
      </w:r>
      <w:r>
        <w:t xml:space="preserve">monitor and enforce the </w:t>
      </w:r>
      <w:r w:rsidR="00AA7442">
        <w:t xml:space="preserve">new reforms using </w:t>
      </w:r>
      <w:r w:rsidR="00B90A38">
        <w:t>our</w:t>
      </w:r>
      <w:r w:rsidR="00AA7442">
        <w:t xml:space="preserve"> </w:t>
      </w:r>
      <w:r>
        <w:t>existing resources</w:t>
      </w:r>
      <w:r w:rsidR="00AA7442">
        <w:t xml:space="preserve">, applying </w:t>
      </w:r>
      <w:r w:rsidR="00B90A38">
        <w:t>our</w:t>
      </w:r>
      <w:r w:rsidR="00AA7442">
        <w:t xml:space="preserve"> compliance and enforcement approach as described in section 13.2</w:t>
      </w:r>
      <w:r>
        <w:t xml:space="preserve">. </w:t>
      </w:r>
    </w:p>
    <w:p w14:paraId="62920B3E" w14:textId="4B973665" w:rsidR="00942772" w:rsidRDefault="00B90A38" w:rsidP="00EE6C97">
      <w:r>
        <w:t xml:space="preserve">However, we may reallocate existing resources from current compliance activities to implement the reforms. </w:t>
      </w:r>
      <w:r w:rsidR="004A22AE">
        <w:t xml:space="preserve">As such, there may be an </w:t>
      </w:r>
      <w:r w:rsidR="000C2751">
        <w:t>opportunity cost associated with the reforms.</w:t>
      </w:r>
      <w:r>
        <w:t xml:space="preserve"> New activities may include communicating the new protections to consumers, </w:t>
      </w:r>
      <w:r w:rsidR="00B73905">
        <w:t xml:space="preserve">updating </w:t>
      </w:r>
      <w:r w:rsidR="003925A3">
        <w:t xml:space="preserve">reporting requirements </w:t>
      </w:r>
      <w:r w:rsidR="00866E5E">
        <w:t xml:space="preserve">and guidelines </w:t>
      </w:r>
      <w:r>
        <w:t>for industry.</w:t>
      </w:r>
      <w:r w:rsidR="002F6DB0">
        <w:t xml:space="preserve"> </w:t>
      </w:r>
      <w:r w:rsidR="00626330">
        <w:t>We may also gain some efficiencies</w:t>
      </w:r>
      <w:r w:rsidR="005F7F4E">
        <w:t xml:space="preserve"> by leveraging data </w:t>
      </w:r>
      <w:r w:rsidR="00662069">
        <w:t xml:space="preserve">to monitor or </w:t>
      </w:r>
      <w:r w:rsidR="005F7F4E">
        <w:t xml:space="preserve">promote compliance, rather than </w:t>
      </w:r>
      <w:r w:rsidR="00662069">
        <w:t xml:space="preserve">undertake </w:t>
      </w:r>
      <w:r w:rsidR="005F7F4E">
        <w:t>costlier enforcement interventions.</w:t>
      </w:r>
    </w:p>
    <w:p w14:paraId="2FD48EB7" w14:textId="6AE00F64" w:rsidR="00E12075" w:rsidRPr="00680E44" w:rsidRDefault="006E11E4" w:rsidP="00680E44">
      <w:pPr>
        <w:pStyle w:val="Heading4"/>
        <w:rPr>
          <w:bCs/>
        </w:rPr>
      </w:pPr>
      <w:r w:rsidRPr="00680E44">
        <w:rPr>
          <w:bCs/>
        </w:rPr>
        <w:t xml:space="preserve">Other </w:t>
      </w:r>
      <w:r w:rsidR="00680E44">
        <w:rPr>
          <w:bCs/>
        </w:rPr>
        <w:t>bodies</w:t>
      </w:r>
    </w:p>
    <w:p w14:paraId="6ECE8413" w14:textId="77777777" w:rsidR="004606CC" w:rsidRDefault="00EE6C97" w:rsidP="00260423">
      <w:r>
        <w:t xml:space="preserve">EWOV may incur additional costs if it receives more complaints as a result of greater </w:t>
      </w:r>
      <w:r w:rsidR="005E1893">
        <w:t>consumer</w:t>
      </w:r>
      <w:r>
        <w:t xml:space="preserve"> knowledge of its complaints process. EWOV is funded by industry participants who are members of the scheme. This funding comes through a combination of membership fees and case-based fees for handling complaints. Therefore, there is an economic incentive for energy providers to reduce the number of complaints to minimise these costs. The extent to which the number of complaints to EWOV might increase costs, if at all, cannot be currently estimated.</w:t>
      </w:r>
    </w:p>
    <w:p w14:paraId="5D8E10D3" w14:textId="5204B04E" w:rsidR="0008239B" w:rsidRDefault="00C73E93" w:rsidP="00260423">
      <w:r>
        <w:t xml:space="preserve">It </w:t>
      </w:r>
      <w:r w:rsidR="00AB540E">
        <w:t xml:space="preserve">has also been shown that engaging with external dispute resolution schemes allows businesses to identify and address systemic issues, </w:t>
      </w:r>
      <w:r w:rsidR="00214EE6">
        <w:t xml:space="preserve">leading to </w:t>
      </w:r>
      <w:r w:rsidR="00242473">
        <w:t xml:space="preserve">reduced </w:t>
      </w:r>
      <w:r w:rsidR="0067797C">
        <w:t xml:space="preserve">compliance </w:t>
      </w:r>
      <w:r w:rsidR="00242473">
        <w:t>costs,</w:t>
      </w:r>
      <w:r w:rsidR="00214EE6">
        <w:t xml:space="preserve"> </w:t>
      </w:r>
      <w:r w:rsidR="00C344B5">
        <w:t>better customer satisfaction</w:t>
      </w:r>
      <w:r w:rsidR="00242473">
        <w:t xml:space="preserve"> </w:t>
      </w:r>
      <w:r w:rsidR="00FA610E">
        <w:t xml:space="preserve">and </w:t>
      </w:r>
      <w:r w:rsidR="00F9255D">
        <w:t>continuous improvement in processes and practices over time. In the long</w:t>
      </w:r>
      <w:r w:rsidR="00B14543">
        <w:t xml:space="preserve"> term, </w:t>
      </w:r>
      <w:r w:rsidR="0023214F">
        <w:t xml:space="preserve">increasing </w:t>
      </w:r>
      <w:r w:rsidR="001149DD">
        <w:t>consumer</w:t>
      </w:r>
      <w:r w:rsidR="0023214F">
        <w:t xml:space="preserve"> awareness of external dispute resolution </w:t>
      </w:r>
      <w:r w:rsidR="001149DD">
        <w:t>can</w:t>
      </w:r>
      <w:r w:rsidR="007B0376">
        <w:t xml:space="preserve"> </w:t>
      </w:r>
      <w:r w:rsidR="0074593E">
        <w:t>lead to</w:t>
      </w:r>
      <w:r w:rsidR="001149DD">
        <w:t xml:space="preserve"> net </w:t>
      </w:r>
      <w:r w:rsidR="0074593E">
        <w:t>benefits</w:t>
      </w:r>
      <w:r w:rsidR="001149DD">
        <w:t xml:space="preserve"> for businesses.</w:t>
      </w:r>
    </w:p>
    <w:p w14:paraId="57F7DC67" w14:textId="77777777" w:rsidR="004606CC" w:rsidRDefault="004606CC" w:rsidP="00260423">
      <w:pPr>
        <w:sectPr w:rsidR="004606CC" w:rsidSect="005E5FCE">
          <w:footerReference w:type="default" r:id="rId48"/>
          <w:type w:val="continuous"/>
          <w:pgSz w:w="11906" w:h="16838" w:code="9"/>
          <w:pgMar w:top="1134" w:right="1134" w:bottom="1134" w:left="1134" w:header="709" w:footer="692" w:gutter="0"/>
          <w:cols w:space="708"/>
          <w:docGrid w:linePitch="360"/>
        </w:sectPr>
      </w:pPr>
    </w:p>
    <w:p w14:paraId="46EE3321" w14:textId="77777777" w:rsidR="00D67F95" w:rsidRDefault="00D67F95" w:rsidP="00D67F95">
      <w:pPr>
        <w:pStyle w:val="Heading3numbered"/>
      </w:pPr>
      <w:r>
        <w:t>Choice of criteria</w:t>
      </w:r>
    </w:p>
    <w:p w14:paraId="3B2C560D" w14:textId="18BF1910" w:rsidR="00D67F95" w:rsidRDefault="00D67F95" w:rsidP="00D67F95">
      <w:r w:rsidRPr="00A8597F">
        <w:t xml:space="preserve">The assessment criteria used to test options in this RIS align with </w:t>
      </w:r>
      <w:r w:rsidR="00553AF5">
        <w:t xml:space="preserve">our </w:t>
      </w:r>
      <w:r w:rsidRPr="00A8597F">
        <w:t xml:space="preserve">objectives outlined in </w:t>
      </w:r>
      <w:r w:rsidRPr="004606CC">
        <w:t>Chapter 3.</w:t>
      </w:r>
      <w:r w:rsidRPr="00A8597F">
        <w:t xml:space="preserve"> The criteria ensure that both the strengths and limitations of each option are appropriately considered. The criteria </w:t>
      </w:r>
      <w:r w:rsidR="00803D0C">
        <w:t xml:space="preserve">have </w:t>
      </w:r>
      <w:r w:rsidRPr="00A8597F">
        <w:t xml:space="preserve">also been </w:t>
      </w:r>
      <w:r w:rsidR="00803D0C">
        <w:t xml:space="preserve">weighted </w:t>
      </w:r>
      <w:r w:rsidRPr="00A8597F">
        <w:t>to reflect its relative importance to the policy decision.</w:t>
      </w:r>
      <w:r>
        <w:t xml:space="preserve"> </w:t>
      </w:r>
      <w:r w:rsidR="00803D0C">
        <w:t>B</w:t>
      </w:r>
      <w:r>
        <w:t xml:space="preserve">enefit-related criteria and cost-related criteria have been neutrally weighted at 50 per cent each. </w:t>
      </w:r>
    </w:p>
    <w:p w14:paraId="40C7A93B" w14:textId="77777777" w:rsidR="00FF0A83" w:rsidRDefault="00FF0A83">
      <w:pPr>
        <w:spacing w:before="0" w:line="259" w:lineRule="auto"/>
      </w:pPr>
      <w:r>
        <w:br w:type="page"/>
      </w:r>
    </w:p>
    <w:p w14:paraId="095A0F7C" w14:textId="77777777" w:rsidR="00D67F95" w:rsidRPr="000F6481" w:rsidRDefault="00D67F95" w:rsidP="00D67F95">
      <w:pPr>
        <w:pStyle w:val="Figure-Table-BoxSubtitle"/>
        <w:ind w:left="0"/>
      </w:pPr>
      <w:r w:rsidRPr="000F6481">
        <w:rPr>
          <w:rStyle w:val="Figure-Table-BoxHeadingChar"/>
        </w:rPr>
        <w:lastRenderedPageBreak/>
        <w:t>Table 5:</w:t>
      </w:r>
      <w:r w:rsidRPr="000F6481">
        <w:t xml:space="preserve"> Criteria for MCA analysis</w:t>
      </w:r>
    </w:p>
    <w:tbl>
      <w:tblPr>
        <w:tblStyle w:val="ListTable6Colorful-Accent3"/>
        <w:tblW w:w="0" w:type="auto"/>
        <w:tblLayout w:type="fixed"/>
        <w:tblLook w:val="04A0" w:firstRow="1" w:lastRow="0" w:firstColumn="1" w:lastColumn="0" w:noHBand="0" w:noVBand="1"/>
      </w:tblPr>
      <w:tblGrid>
        <w:gridCol w:w="1691"/>
        <w:gridCol w:w="5397"/>
        <w:gridCol w:w="2550"/>
      </w:tblGrid>
      <w:tr w:rsidR="00D67F95" w:rsidRPr="000A0DBB" w14:paraId="0251836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4986A0" w:themeFill="accent3"/>
          </w:tcPr>
          <w:p w14:paraId="5F10C0C4" w14:textId="77777777" w:rsidR="00D67F95" w:rsidRPr="008B69ED" w:rsidRDefault="00D67F95">
            <w:pPr>
              <w:spacing w:before="0" w:after="120" w:line="240" w:lineRule="auto"/>
              <w:rPr>
                <w:rFonts w:cstheme="minorHAnsi"/>
                <w:bCs w:val="0"/>
                <w:color w:val="FFFFFF" w:themeColor="background1"/>
                <w:sz w:val="20"/>
                <w:szCs w:val="20"/>
              </w:rPr>
            </w:pPr>
            <w:r w:rsidRPr="008B69ED">
              <w:rPr>
                <w:rFonts w:cstheme="minorHAnsi"/>
                <w:bCs w:val="0"/>
                <w:color w:val="FFFFFF" w:themeColor="background1"/>
                <w:sz w:val="20"/>
                <w:szCs w:val="20"/>
              </w:rPr>
              <w:t>Criteria</w:t>
            </w:r>
          </w:p>
        </w:tc>
        <w:tc>
          <w:tcPr>
            <w:tcW w:w="5397" w:type="dxa"/>
            <w:shd w:val="clear" w:color="auto" w:fill="4986A0" w:themeFill="accent3"/>
          </w:tcPr>
          <w:p w14:paraId="20C00C4D" w14:textId="77777777" w:rsidR="00D67F95" w:rsidRPr="008B69ED" w:rsidRDefault="00D67F95">
            <w:pPr>
              <w:spacing w:before="0" w:after="120" w:line="240" w:lineRule="auto"/>
              <w:cnfStyle w:val="100000000000" w:firstRow="1" w:lastRow="0" w:firstColumn="0" w:lastColumn="0" w:oddVBand="0" w:evenVBand="0" w:oddHBand="0" w:evenHBand="0" w:firstRowFirstColumn="0" w:firstRowLastColumn="0" w:lastRowFirstColumn="0" w:lastRowLastColumn="0"/>
              <w:rPr>
                <w:rFonts w:cstheme="minorHAnsi"/>
                <w:bCs w:val="0"/>
                <w:color w:val="FFFFFF" w:themeColor="background1"/>
                <w:sz w:val="20"/>
                <w:szCs w:val="20"/>
              </w:rPr>
            </w:pPr>
            <w:r w:rsidRPr="008B69ED">
              <w:rPr>
                <w:rFonts w:cstheme="minorHAnsi"/>
                <w:bCs w:val="0"/>
                <w:color w:val="FFFFFF" w:themeColor="background1"/>
                <w:sz w:val="20"/>
                <w:szCs w:val="20"/>
              </w:rPr>
              <w:t>Description</w:t>
            </w:r>
          </w:p>
        </w:tc>
        <w:tc>
          <w:tcPr>
            <w:tcW w:w="2550" w:type="dxa"/>
            <w:shd w:val="clear" w:color="auto" w:fill="4986A0" w:themeFill="accent3"/>
          </w:tcPr>
          <w:p w14:paraId="02A4AB6F" w14:textId="77777777" w:rsidR="00D67F95" w:rsidRPr="008B69ED" w:rsidRDefault="00D67F95">
            <w:pPr>
              <w:spacing w:before="0" w:after="120" w:line="240" w:lineRule="auto"/>
              <w:cnfStyle w:val="100000000000" w:firstRow="1" w:lastRow="0" w:firstColumn="0" w:lastColumn="0" w:oddVBand="0" w:evenVBand="0" w:oddHBand="0" w:evenHBand="0" w:firstRowFirstColumn="0" w:firstRowLastColumn="0" w:lastRowFirstColumn="0" w:lastRowLastColumn="0"/>
              <w:rPr>
                <w:rFonts w:cstheme="minorHAnsi"/>
                <w:bCs w:val="0"/>
                <w:color w:val="FFFFFF" w:themeColor="background1"/>
                <w:sz w:val="20"/>
                <w:szCs w:val="20"/>
              </w:rPr>
            </w:pPr>
            <w:r w:rsidRPr="008B69ED">
              <w:rPr>
                <w:rFonts w:cstheme="minorHAnsi"/>
                <w:bCs w:val="0"/>
                <w:color w:val="FFFFFF" w:themeColor="background1"/>
                <w:sz w:val="20"/>
                <w:szCs w:val="20"/>
              </w:rPr>
              <w:t>Weighting</w:t>
            </w:r>
          </w:p>
        </w:tc>
      </w:tr>
      <w:tr w:rsidR="00D67F95" w:rsidRPr="00C12B98" w14:paraId="4703F5E1" w14:textId="77777777">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691" w:type="dxa"/>
            <w:shd w:val="clear" w:color="auto" w:fill="F2F2F2" w:themeFill="background1" w:themeFillShade="F2"/>
          </w:tcPr>
          <w:p w14:paraId="0C2B34EF" w14:textId="77777777" w:rsidR="00D67F95" w:rsidRPr="008B69ED" w:rsidRDefault="00D67F95">
            <w:pPr>
              <w:spacing w:before="0" w:after="120" w:line="240" w:lineRule="auto"/>
              <w:rPr>
                <w:rFonts w:cstheme="minorHAnsi"/>
                <w:color w:val="auto"/>
                <w:sz w:val="20"/>
                <w:szCs w:val="20"/>
              </w:rPr>
            </w:pPr>
            <w:r w:rsidRPr="008B69ED">
              <w:rPr>
                <w:rFonts w:cstheme="minorHAnsi"/>
                <w:color w:val="auto"/>
                <w:sz w:val="20"/>
                <w:szCs w:val="20"/>
              </w:rPr>
              <w:t>Effectiveness</w:t>
            </w:r>
          </w:p>
        </w:tc>
        <w:tc>
          <w:tcPr>
            <w:tcW w:w="5397" w:type="dxa"/>
            <w:shd w:val="clear" w:color="auto" w:fill="F2F2F2" w:themeFill="background1" w:themeFillShade="F2"/>
          </w:tcPr>
          <w:p w14:paraId="3E7D3932" w14:textId="3D156FB9" w:rsidR="00D80521" w:rsidRDefault="00D67F95">
            <w:pPr>
              <w:spacing w:before="0" w:after="120" w:line="240"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B69ED">
              <w:rPr>
                <w:color w:val="auto"/>
                <w:sz w:val="20"/>
                <w:szCs w:val="20"/>
              </w:rPr>
              <w:t xml:space="preserve">This criterion measures the extent to which the option supports </w:t>
            </w:r>
            <w:r w:rsidR="00DA0264">
              <w:rPr>
                <w:color w:val="auto"/>
                <w:sz w:val="20"/>
                <w:szCs w:val="20"/>
              </w:rPr>
              <w:t xml:space="preserve">the </w:t>
            </w:r>
            <w:r w:rsidRPr="008B69ED">
              <w:rPr>
                <w:color w:val="auto"/>
                <w:sz w:val="20"/>
                <w:szCs w:val="20"/>
              </w:rPr>
              <w:t xml:space="preserve">achievement of the primary and sub-objectives of these reforms. As individual reform areas </w:t>
            </w:r>
            <w:r w:rsidR="007C3873">
              <w:rPr>
                <w:color w:val="auto"/>
                <w:sz w:val="20"/>
                <w:szCs w:val="20"/>
              </w:rPr>
              <w:t xml:space="preserve">target </w:t>
            </w:r>
            <w:r w:rsidRPr="008B69ED">
              <w:rPr>
                <w:color w:val="auto"/>
                <w:sz w:val="20"/>
                <w:szCs w:val="20"/>
              </w:rPr>
              <w:t xml:space="preserve">certain customers and objectives, what constitutes ‘effectiveness’ is specifically described for each reform area. </w:t>
            </w:r>
          </w:p>
          <w:p w14:paraId="709A5A81" w14:textId="221A8E53" w:rsidR="00D67F95" w:rsidRPr="008B69ED" w:rsidRDefault="00D67F95">
            <w:pPr>
              <w:spacing w:before="0"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B69ED">
              <w:rPr>
                <w:color w:val="auto"/>
                <w:sz w:val="20"/>
                <w:szCs w:val="20"/>
              </w:rPr>
              <w:t xml:space="preserve">We provide this description in the analysis section of the chapter dedicated to each individual reform area. </w:t>
            </w:r>
            <w:r w:rsidR="00D80521">
              <w:rPr>
                <w:color w:val="auto"/>
                <w:sz w:val="20"/>
                <w:szCs w:val="20"/>
              </w:rPr>
              <w:t xml:space="preserve">For example, </w:t>
            </w:r>
            <w:r w:rsidR="00CD377C">
              <w:rPr>
                <w:color w:val="auto"/>
                <w:sz w:val="20"/>
                <w:szCs w:val="20"/>
              </w:rPr>
              <w:t>this criteri</w:t>
            </w:r>
            <w:r w:rsidR="00DA0264">
              <w:rPr>
                <w:color w:val="auto"/>
                <w:sz w:val="20"/>
                <w:szCs w:val="20"/>
              </w:rPr>
              <w:t>on</w:t>
            </w:r>
            <w:r w:rsidR="00CD377C">
              <w:rPr>
                <w:color w:val="auto"/>
                <w:sz w:val="20"/>
                <w:szCs w:val="20"/>
              </w:rPr>
              <w:t xml:space="preserve"> recognises the extent of benefits gained by specific customers.</w:t>
            </w:r>
          </w:p>
        </w:tc>
        <w:tc>
          <w:tcPr>
            <w:tcW w:w="2550" w:type="dxa"/>
            <w:shd w:val="clear" w:color="auto" w:fill="F2F2F2" w:themeFill="background1" w:themeFillShade="F2"/>
          </w:tcPr>
          <w:p w14:paraId="6C8F0D73" w14:textId="77777777" w:rsidR="00D67F95" w:rsidRPr="008B69ED" w:rsidRDefault="00D67F95">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B69ED">
              <w:rPr>
                <w:rFonts w:cstheme="minorHAnsi"/>
                <w:color w:val="auto"/>
                <w:sz w:val="20"/>
                <w:szCs w:val="20"/>
              </w:rPr>
              <w:t>50</w:t>
            </w:r>
            <w:r>
              <w:rPr>
                <w:rFonts w:cstheme="minorHAnsi"/>
                <w:color w:val="auto"/>
                <w:sz w:val="20"/>
                <w:szCs w:val="20"/>
              </w:rPr>
              <w:t>%</w:t>
            </w:r>
            <w:r w:rsidRPr="008B69ED">
              <w:rPr>
                <w:rFonts w:cstheme="minorHAnsi"/>
                <w:color w:val="auto"/>
                <w:sz w:val="20"/>
                <w:szCs w:val="20"/>
              </w:rPr>
              <w:t xml:space="preserve"> </w:t>
            </w:r>
          </w:p>
        </w:tc>
      </w:tr>
      <w:tr w:rsidR="00D67F95" w:rsidRPr="00C12B98" w14:paraId="29DC74FD" w14:textId="77777777">
        <w:tc>
          <w:tcPr>
            <w:cnfStyle w:val="001000000000" w:firstRow="0" w:lastRow="0" w:firstColumn="1" w:lastColumn="0" w:oddVBand="0" w:evenVBand="0" w:oddHBand="0" w:evenHBand="0" w:firstRowFirstColumn="0" w:firstRowLastColumn="0" w:lastRowFirstColumn="0" w:lastRowLastColumn="0"/>
            <w:tcW w:w="1691" w:type="dxa"/>
            <w:tcBorders>
              <w:bottom w:val="nil"/>
            </w:tcBorders>
            <w:shd w:val="clear" w:color="auto" w:fill="D9D9D9" w:themeFill="background1" w:themeFillShade="D9"/>
          </w:tcPr>
          <w:p w14:paraId="7DFC9160" w14:textId="77777777" w:rsidR="00D67F95" w:rsidRPr="008B69ED" w:rsidRDefault="00D67F95">
            <w:pPr>
              <w:spacing w:before="0" w:after="120" w:line="240" w:lineRule="auto"/>
              <w:rPr>
                <w:rFonts w:cstheme="minorHAnsi"/>
                <w:color w:val="auto"/>
                <w:sz w:val="20"/>
                <w:szCs w:val="20"/>
              </w:rPr>
            </w:pPr>
            <w:r w:rsidRPr="008B69ED">
              <w:rPr>
                <w:rFonts w:cstheme="minorHAnsi"/>
                <w:color w:val="auto"/>
                <w:sz w:val="20"/>
                <w:szCs w:val="20"/>
              </w:rPr>
              <w:t>Cost to industry</w:t>
            </w:r>
          </w:p>
        </w:tc>
        <w:tc>
          <w:tcPr>
            <w:tcW w:w="5397" w:type="dxa"/>
            <w:tcBorders>
              <w:bottom w:val="nil"/>
            </w:tcBorders>
            <w:shd w:val="clear" w:color="auto" w:fill="D9D9D9" w:themeFill="background1" w:themeFillShade="D9"/>
          </w:tcPr>
          <w:p w14:paraId="7EFC2486" w14:textId="3E7A029C" w:rsidR="00AC2F57" w:rsidRDefault="00D67F95" w:rsidP="00AC2F57">
            <w:pPr>
              <w:spacing w:before="0"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8B69ED">
              <w:rPr>
                <w:rFonts w:cstheme="minorHAnsi"/>
                <w:color w:val="auto"/>
                <w:sz w:val="20"/>
                <w:szCs w:val="20"/>
              </w:rPr>
              <w:t>Cost to industry to implement and administer the proposed option</w:t>
            </w:r>
            <w:r w:rsidR="00077D63">
              <w:rPr>
                <w:rFonts w:cstheme="minorHAnsi"/>
                <w:color w:val="auto"/>
                <w:sz w:val="20"/>
                <w:szCs w:val="20"/>
              </w:rPr>
              <w:t>, such as costs to upgrade IT systems</w:t>
            </w:r>
            <w:r w:rsidRPr="008B69ED">
              <w:rPr>
                <w:rFonts w:cstheme="minorHAnsi"/>
                <w:color w:val="auto"/>
                <w:sz w:val="20"/>
                <w:szCs w:val="20"/>
              </w:rPr>
              <w:t>.</w:t>
            </w:r>
            <w:r w:rsidR="001F3E01">
              <w:rPr>
                <w:rFonts w:cstheme="minorHAnsi"/>
                <w:color w:val="auto"/>
                <w:sz w:val="20"/>
                <w:szCs w:val="20"/>
              </w:rPr>
              <w:t xml:space="preserve"> </w:t>
            </w:r>
          </w:p>
          <w:p w14:paraId="5D620B81" w14:textId="64A903AA" w:rsidR="00F07ABD" w:rsidRPr="008B69ED" w:rsidRDefault="001771A3" w:rsidP="00AC2F57">
            <w:pPr>
              <w:spacing w:before="0"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1771A3">
              <w:rPr>
                <w:rFonts w:cstheme="minorHAnsi"/>
                <w:color w:val="auto"/>
                <w:sz w:val="20"/>
                <w:szCs w:val="20"/>
              </w:rPr>
              <w:t xml:space="preserve">We also separately consider the potential for </w:t>
            </w:r>
            <w:r w:rsidR="00245814">
              <w:rPr>
                <w:rFonts w:cstheme="minorHAnsi"/>
                <w:color w:val="auto"/>
                <w:sz w:val="20"/>
                <w:szCs w:val="20"/>
              </w:rPr>
              <w:t xml:space="preserve">total </w:t>
            </w:r>
            <w:r w:rsidRPr="001771A3">
              <w:rPr>
                <w:rFonts w:cstheme="minorHAnsi"/>
                <w:color w:val="auto"/>
                <w:sz w:val="20"/>
                <w:szCs w:val="20"/>
              </w:rPr>
              <w:t xml:space="preserve">reduced revenue to retailers under the proposed reforms. </w:t>
            </w:r>
            <w:r w:rsidR="0055029F">
              <w:rPr>
                <w:rFonts w:cstheme="minorHAnsi"/>
                <w:color w:val="auto"/>
                <w:sz w:val="20"/>
                <w:szCs w:val="20"/>
              </w:rPr>
              <w:t>S</w:t>
            </w:r>
            <w:r w:rsidRPr="001771A3">
              <w:rPr>
                <w:rFonts w:cstheme="minorHAnsi"/>
                <w:color w:val="auto"/>
                <w:sz w:val="20"/>
                <w:szCs w:val="20"/>
              </w:rPr>
              <w:t>ome retailers may attempt to recover this revenue by increasing prices for other customers</w:t>
            </w:r>
            <w:r w:rsidR="009F7F3E">
              <w:rPr>
                <w:rFonts w:cstheme="minorHAnsi"/>
                <w:color w:val="auto"/>
                <w:sz w:val="20"/>
                <w:szCs w:val="20"/>
              </w:rPr>
              <w:t xml:space="preserve">. </w:t>
            </w:r>
            <w:r w:rsidR="002E06DE">
              <w:rPr>
                <w:rFonts w:cstheme="minorHAnsi"/>
                <w:color w:val="auto"/>
                <w:sz w:val="20"/>
                <w:szCs w:val="20"/>
              </w:rPr>
              <w:t>R</w:t>
            </w:r>
            <w:r w:rsidRPr="001771A3">
              <w:rPr>
                <w:rFonts w:cstheme="minorHAnsi"/>
                <w:color w:val="auto"/>
                <w:sz w:val="20"/>
                <w:szCs w:val="20"/>
              </w:rPr>
              <w:t xml:space="preserve">etailers </w:t>
            </w:r>
            <w:r w:rsidR="00507AF4">
              <w:rPr>
                <w:rFonts w:cstheme="minorHAnsi"/>
                <w:color w:val="auto"/>
                <w:sz w:val="20"/>
                <w:szCs w:val="20"/>
              </w:rPr>
              <w:t>could also</w:t>
            </w:r>
            <w:r w:rsidRPr="001771A3">
              <w:rPr>
                <w:rFonts w:cstheme="minorHAnsi"/>
                <w:color w:val="auto"/>
                <w:sz w:val="20"/>
                <w:szCs w:val="20"/>
              </w:rPr>
              <w:t xml:space="preserve"> absorb part of the revenue reduction. </w:t>
            </w:r>
          </w:p>
        </w:tc>
        <w:tc>
          <w:tcPr>
            <w:tcW w:w="2550" w:type="dxa"/>
            <w:tcBorders>
              <w:bottom w:val="nil"/>
            </w:tcBorders>
            <w:shd w:val="clear" w:color="auto" w:fill="D9D9D9" w:themeFill="background1" w:themeFillShade="D9"/>
          </w:tcPr>
          <w:p w14:paraId="156048FB" w14:textId="77777777" w:rsidR="00D67F95" w:rsidRPr="008B69ED" w:rsidRDefault="00D67F95">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8B69ED">
              <w:rPr>
                <w:rFonts w:cstheme="minorHAnsi"/>
                <w:color w:val="auto"/>
                <w:sz w:val="20"/>
                <w:szCs w:val="20"/>
              </w:rPr>
              <w:t>40</w:t>
            </w:r>
            <w:r>
              <w:rPr>
                <w:rFonts w:cstheme="minorHAnsi"/>
                <w:color w:val="auto"/>
                <w:sz w:val="20"/>
                <w:szCs w:val="20"/>
              </w:rPr>
              <w:t>%</w:t>
            </w:r>
          </w:p>
        </w:tc>
      </w:tr>
      <w:tr w:rsidR="00D67F95" w:rsidRPr="00C12B98" w14:paraId="7EB596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il"/>
              <w:bottom w:val="nil"/>
            </w:tcBorders>
            <w:shd w:val="clear" w:color="auto" w:fill="F2F2F2" w:themeFill="background1" w:themeFillShade="F2"/>
          </w:tcPr>
          <w:p w14:paraId="0980E368" w14:textId="77777777" w:rsidR="00D67F95" w:rsidRPr="008B69ED" w:rsidRDefault="00D67F95">
            <w:pPr>
              <w:spacing w:before="0" w:after="120" w:line="240" w:lineRule="auto"/>
              <w:rPr>
                <w:rFonts w:cstheme="minorHAnsi"/>
                <w:color w:val="auto"/>
                <w:sz w:val="20"/>
                <w:szCs w:val="20"/>
              </w:rPr>
            </w:pPr>
            <w:r w:rsidRPr="008B69ED">
              <w:rPr>
                <w:rFonts w:cstheme="minorHAnsi"/>
                <w:color w:val="auto"/>
                <w:sz w:val="20"/>
                <w:szCs w:val="20"/>
              </w:rPr>
              <w:t>Cost to government</w:t>
            </w:r>
          </w:p>
        </w:tc>
        <w:tc>
          <w:tcPr>
            <w:tcW w:w="5397" w:type="dxa"/>
            <w:tcBorders>
              <w:top w:val="nil"/>
              <w:bottom w:val="nil"/>
            </w:tcBorders>
            <w:shd w:val="clear" w:color="auto" w:fill="F2F2F2" w:themeFill="background1" w:themeFillShade="F2"/>
          </w:tcPr>
          <w:p w14:paraId="30A0C9ED" w14:textId="77777777" w:rsidR="00D67F95" w:rsidRPr="008B69ED" w:rsidRDefault="00D67F95">
            <w:pPr>
              <w:spacing w:before="0"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B69ED">
              <w:rPr>
                <w:rFonts w:cstheme="minorHAnsi"/>
                <w:color w:val="auto"/>
                <w:sz w:val="20"/>
                <w:szCs w:val="20"/>
              </w:rPr>
              <w:t xml:space="preserve">Cost to government of implementing and administering the proposed option. This includes consideration of the administrative simplicity of an option </w:t>
            </w:r>
            <w:r>
              <w:rPr>
                <w:rFonts w:cstheme="minorHAnsi"/>
                <w:color w:val="auto"/>
                <w:sz w:val="20"/>
                <w:szCs w:val="20"/>
              </w:rPr>
              <w:t>(</w:t>
            </w:r>
            <w:r w:rsidRPr="008B69ED">
              <w:rPr>
                <w:rFonts w:cstheme="minorHAnsi"/>
                <w:color w:val="auto"/>
                <w:sz w:val="20"/>
                <w:szCs w:val="20"/>
              </w:rPr>
              <w:t>e.g. whether an option would be more complicated to assess compliance against and to enforce</w:t>
            </w:r>
            <w:r>
              <w:rPr>
                <w:rFonts w:cstheme="minorHAnsi"/>
                <w:color w:val="auto"/>
                <w:sz w:val="20"/>
                <w:szCs w:val="20"/>
              </w:rPr>
              <w:t>)</w:t>
            </w:r>
            <w:r w:rsidRPr="008B69ED">
              <w:rPr>
                <w:rFonts w:cstheme="minorHAnsi"/>
                <w:color w:val="auto"/>
                <w:sz w:val="20"/>
                <w:szCs w:val="20"/>
              </w:rPr>
              <w:t>.</w:t>
            </w:r>
          </w:p>
        </w:tc>
        <w:tc>
          <w:tcPr>
            <w:tcW w:w="2550" w:type="dxa"/>
            <w:tcBorders>
              <w:top w:val="nil"/>
              <w:bottom w:val="nil"/>
            </w:tcBorders>
            <w:shd w:val="clear" w:color="auto" w:fill="F2F2F2" w:themeFill="background1" w:themeFillShade="F2"/>
          </w:tcPr>
          <w:p w14:paraId="236F44F8" w14:textId="4F96B25F" w:rsidR="00D67F95" w:rsidRPr="008B69ED" w:rsidRDefault="00D67F95">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B69ED">
              <w:rPr>
                <w:rFonts w:cstheme="minorHAnsi"/>
                <w:color w:val="auto"/>
                <w:sz w:val="20"/>
                <w:szCs w:val="20"/>
              </w:rPr>
              <w:t>10</w:t>
            </w:r>
            <w:r>
              <w:rPr>
                <w:rFonts w:cstheme="minorHAnsi"/>
                <w:color w:val="auto"/>
                <w:sz w:val="20"/>
                <w:szCs w:val="20"/>
              </w:rPr>
              <w:t>%</w:t>
            </w:r>
            <w:r w:rsidRPr="008B69ED">
              <w:rPr>
                <w:rStyle w:val="FootnoteReference"/>
                <w:rFonts w:cstheme="minorHAnsi"/>
                <w:color w:val="auto"/>
                <w:sz w:val="20"/>
                <w:szCs w:val="20"/>
              </w:rPr>
              <w:footnoteReference w:id="108"/>
            </w:r>
          </w:p>
        </w:tc>
      </w:tr>
    </w:tbl>
    <w:p w14:paraId="2E4F8103" w14:textId="27086240" w:rsidR="0071191A" w:rsidRDefault="0071191A" w:rsidP="0071191A">
      <w:r>
        <w:t xml:space="preserve">Economic theory </w:t>
      </w:r>
      <w:r w:rsidR="0008763A">
        <w:t xml:space="preserve">recognises that </w:t>
      </w:r>
      <w:r>
        <w:t>the value of a dollar depends on its context.</w:t>
      </w:r>
      <w:r>
        <w:rPr>
          <w:rFonts w:ascii="Arial" w:eastAsia="Arial" w:hAnsi="Arial" w:cs="Arial"/>
          <w:color w:val="000000"/>
          <w:sz w:val="18"/>
          <w:szCs w:val="18"/>
          <w:vertAlign w:val="superscript"/>
        </w:rPr>
        <w:footnoteReference w:id="109"/>
      </w:r>
      <w:r>
        <w:t xml:space="preserve"> For a person experiencing </w:t>
      </w:r>
      <w:r w:rsidR="001536F0">
        <w:t>vulnerability</w:t>
      </w:r>
      <w:r>
        <w:t xml:space="preserve">, an additional dollar is a significant portion of their disposable income used to meet necessities such as food, housing, or healthcare. Since these needs are essential, the benefit from each additional dollar is extremely high. Conversely, for a large corporation, an additional dollar is a negligible fraction of its total revenue or assets – a small amount does not significantly impact their overall financial position or operational decisions. For a person experiencing </w:t>
      </w:r>
      <w:r w:rsidR="00080ECF">
        <w:t>vulnerability</w:t>
      </w:r>
      <w:r>
        <w:t>, financial resources are scarce, and every dollar spent on an essential service means sacrificing another essential good or service.</w:t>
      </w:r>
    </w:p>
    <w:p w14:paraId="3B15256F" w14:textId="07AE0A45" w:rsidR="0071191A" w:rsidRDefault="0071191A" w:rsidP="0071191A">
      <w:r>
        <w:t xml:space="preserve">Therefore, an additional dollar to a large corporation may be valued lower than to a person struggling with financial difficulties. We have accounted for this asymmetry when scoring the MCA </w:t>
      </w:r>
      <w:r>
        <w:lastRenderedPageBreak/>
        <w:t>results</w:t>
      </w:r>
      <w:r w:rsidR="00080ECF">
        <w:t xml:space="preserve">, while </w:t>
      </w:r>
      <w:r w:rsidR="00F20694">
        <w:t>maintaining a reasonable proportion</w:t>
      </w:r>
      <w:r w:rsidR="00C20A87">
        <w:t>ality between the estimated impacts of options</w:t>
      </w:r>
      <w:r w:rsidR="00821C58">
        <w:t xml:space="preserve"> where we were able to quantify </w:t>
      </w:r>
      <w:r w:rsidR="00666625">
        <w:t>these impacts.</w:t>
      </w:r>
    </w:p>
    <w:p w14:paraId="77FB1CAA" w14:textId="01DD6836" w:rsidR="0071191A" w:rsidRDefault="00077DCA" w:rsidP="0071191A">
      <w:r>
        <w:t>For the purposes of our assessment</w:t>
      </w:r>
      <w:r w:rsidR="00473489">
        <w:t>, w</w:t>
      </w:r>
      <w:r w:rsidR="004A6224">
        <w:t xml:space="preserve">e have </w:t>
      </w:r>
      <w:r w:rsidR="00FC6631">
        <w:t xml:space="preserve">directly </w:t>
      </w:r>
      <w:r w:rsidR="004A6224">
        <w:t xml:space="preserve">considered </w:t>
      </w:r>
      <w:r w:rsidR="00FC6631">
        <w:t xml:space="preserve">the </w:t>
      </w:r>
      <w:r w:rsidR="003214D5">
        <w:t xml:space="preserve">total </w:t>
      </w:r>
      <w:r w:rsidR="00FC6631">
        <w:t xml:space="preserve">potential reduced revenue </w:t>
      </w:r>
      <w:r>
        <w:t xml:space="preserve">as a cost to </w:t>
      </w:r>
      <w:r w:rsidR="00473489">
        <w:t>retailers</w:t>
      </w:r>
      <w:r w:rsidR="00FC6631">
        <w:t xml:space="preserve">. </w:t>
      </w:r>
      <w:r>
        <w:t xml:space="preserve">However, we </w:t>
      </w:r>
      <w:r w:rsidR="00A95096">
        <w:t>note</w:t>
      </w:r>
      <w:r>
        <w:t xml:space="preserve"> that </w:t>
      </w:r>
      <w:r w:rsidR="00FB2E73">
        <w:t>in practice,</w:t>
      </w:r>
      <w:r w:rsidR="004A6224" w:rsidRPr="004A6224">
        <w:t xml:space="preserve"> retailers </w:t>
      </w:r>
      <w:r w:rsidR="00FB2E73">
        <w:t xml:space="preserve">may </w:t>
      </w:r>
      <w:r w:rsidR="004A6224" w:rsidRPr="004A6224">
        <w:t xml:space="preserve">attempt to recover </w:t>
      </w:r>
      <w:r w:rsidR="00531DDA">
        <w:t xml:space="preserve">reduced </w:t>
      </w:r>
      <w:r w:rsidR="004A6224" w:rsidRPr="004A6224">
        <w:t xml:space="preserve">revenue </w:t>
      </w:r>
      <w:r w:rsidR="00531DDA">
        <w:t>from</w:t>
      </w:r>
      <w:r w:rsidR="004A6224" w:rsidRPr="004A6224">
        <w:t xml:space="preserve"> other customers. </w:t>
      </w:r>
      <w:r w:rsidR="00475CFD">
        <w:t>I</w:t>
      </w:r>
      <w:r w:rsidR="008E0B7F">
        <w:t xml:space="preserve">f retailers </w:t>
      </w:r>
      <w:r w:rsidR="00E55CFE">
        <w:t xml:space="preserve">choose to absorb </w:t>
      </w:r>
      <w:r w:rsidR="006F249D">
        <w:t xml:space="preserve">this lost revenue, this </w:t>
      </w:r>
      <w:r w:rsidR="00796645">
        <w:t>would be an accounting loss for the retailer</w:t>
      </w:r>
      <w:r w:rsidR="004A6224" w:rsidRPr="004A6224">
        <w:t>.</w:t>
      </w:r>
      <w:r w:rsidR="009A17E7">
        <w:t xml:space="preserve"> </w:t>
      </w:r>
    </w:p>
    <w:p w14:paraId="463A114F" w14:textId="7DC07104" w:rsidR="00865ECE" w:rsidRDefault="00A03734" w:rsidP="00A03734">
      <w:pPr>
        <w:pStyle w:val="Heading1numbered"/>
      </w:pPr>
      <w:bookmarkStart w:id="121" w:name="_Toc197958246"/>
      <w:bookmarkStart w:id="122" w:name="_Toc197958247"/>
      <w:bookmarkStart w:id="123" w:name="_Toc197958248"/>
      <w:bookmarkStart w:id="124" w:name="_Toc197958249"/>
      <w:bookmarkStart w:id="125" w:name="_Toc195617163"/>
      <w:bookmarkStart w:id="126" w:name="_Toc195642848"/>
      <w:bookmarkStart w:id="127" w:name="_Toc195692560"/>
      <w:bookmarkStart w:id="128" w:name="_Toc195701852"/>
      <w:bookmarkStart w:id="129" w:name="_Toc195617164"/>
      <w:bookmarkStart w:id="130" w:name="_Toc195642849"/>
      <w:bookmarkStart w:id="131" w:name="_Toc195692561"/>
      <w:bookmarkStart w:id="132" w:name="_Toc195701853"/>
      <w:bookmarkStart w:id="133" w:name="_Toc197959432"/>
      <w:bookmarkEnd w:id="121"/>
      <w:bookmarkEnd w:id="122"/>
      <w:bookmarkEnd w:id="123"/>
      <w:bookmarkEnd w:id="124"/>
      <w:bookmarkEnd w:id="125"/>
      <w:bookmarkEnd w:id="126"/>
      <w:bookmarkEnd w:id="127"/>
      <w:bookmarkEnd w:id="128"/>
      <w:bookmarkEnd w:id="129"/>
      <w:bookmarkEnd w:id="130"/>
      <w:bookmarkEnd w:id="131"/>
      <w:bookmarkEnd w:id="132"/>
      <w:r>
        <w:lastRenderedPageBreak/>
        <w:t>Automatic best offer for customers experiencing payment difficulty</w:t>
      </w:r>
      <w:bookmarkEnd w:id="133"/>
    </w:p>
    <w:p w14:paraId="0D107189" w14:textId="77777777" w:rsidR="006849B2" w:rsidRDefault="006849B2" w:rsidP="000101BA">
      <w:pPr>
        <w:pStyle w:val="Pull-outHeading"/>
      </w:pPr>
      <w:r>
        <w:t>Preferred</w:t>
      </w:r>
      <w:r w:rsidR="003C0D30">
        <w:t xml:space="preserve"> option</w:t>
      </w:r>
    </w:p>
    <w:p w14:paraId="4AE051D6" w14:textId="77777777" w:rsidR="0068114F" w:rsidRPr="0068114F" w:rsidRDefault="006849B2" w:rsidP="000101BA">
      <w:pPr>
        <w:pStyle w:val="Pull-out"/>
      </w:pPr>
      <w:r>
        <w:t>A</w:t>
      </w:r>
      <w:r w:rsidR="000851D1">
        <w:t xml:space="preserve"> retailer </w:t>
      </w:r>
      <w:r>
        <w:t xml:space="preserve">would be required </w:t>
      </w:r>
      <w:r w:rsidR="000851D1">
        <w:t xml:space="preserve">to </w:t>
      </w:r>
      <w:r w:rsidR="000C67C0">
        <w:t>automatically</w:t>
      </w:r>
      <w:r w:rsidR="000851D1">
        <w:t xml:space="preserve"> switch to the best offer</w:t>
      </w:r>
      <w:r w:rsidR="00A244BD">
        <w:t xml:space="preserve"> residential customers who</w:t>
      </w:r>
      <w:r w:rsidR="00EA68E3">
        <w:t xml:space="preserve"> are</w:t>
      </w:r>
      <w:r w:rsidR="00A244BD">
        <w:t>:</w:t>
      </w:r>
    </w:p>
    <w:p w14:paraId="1AB05A02" w14:textId="3D550928" w:rsidR="000101BA" w:rsidRDefault="000101BA" w:rsidP="00847FA7">
      <w:pPr>
        <w:pStyle w:val="Pull-outListNumber2"/>
      </w:pPr>
      <w:r>
        <w:t>receiving tailored assistance or</w:t>
      </w:r>
    </w:p>
    <w:p w14:paraId="7A79BB57" w14:textId="25F38B3A" w:rsidR="000101BA" w:rsidRDefault="000101BA" w:rsidP="00847FA7">
      <w:pPr>
        <w:pStyle w:val="Pull-outListNumber2"/>
      </w:pPr>
      <w:r>
        <w:t>in arrears for at least at least three months and with arrears of $1,000 or more.</w:t>
      </w:r>
    </w:p>
    <w:p w14:paraId="2B14F6C9" w14:textId="77777777" w:rsidR="00E974E2" w:rsidRDefault="00E974E2" w:rsidP="000101BA">
      <w:pPr>
        <w:pStyle w:val="Pull-out"/>
      </w:pPr>
      <w:r>
        <w:t xml:space="preserve">Automatic switching </w:t>
      </w:r>
      <w:r w:rsidR="00041411">
        <w:t xml:space="preserve">would require an amendment </w:t>
      </w:r>
      <w:r w:rsidR="00626B64">
        <w:t xml:space="preserve">to </w:t>
      </w:r>
      <w:r w:rsidR="00C271A9">
        <w:t xml:space="preserve">existing explicit informed consent requirements in the code. </w:t>
      </w:r>
    </w:p>
    <w:p w14:paraId="5E4C525D" w14:textId="77777777" w:rsidR="00C23465" w:rsidRPr="0068114F" w:rsidRDefault="000C67C0" w:rsidP="000101BA">
      <w:pPr>
        <w:pStyle w:val="Pull-out"/>
      </w:pPr>
      <w:r>
        <w:t>Customers switched to the best offer would have opt-out and post-switch reversal protections.</w:t>
      </w:r>
    </w:p>
    <w:p w14:paraId="2DBE57AF" w14:textId="31008F5B" w:rsidR="006528A0" w:rsidRPr="0068114F" w:rsidRDefault="006528A0" w:rsidP="000101BA">
      <w:pPr>
        <w:pStyle w:val="Pull-out"/>
      </w:pPr>
      <w:r>
        <w:t xml:space="preserve">A retailer would be required to </w:t>
      </w:r>
      <w:r w:rsidR="00F07104">
        <w:t>ensure</w:t>
      </w:r>
      <w:r w:rsidR="00ED1FC3">
        <w:t xml:space="preserve"> a customer eligible for this support is on the best offer at least </w:t>
      </w:r>
      <w:r w:rsidR="00C43617">
        <w:t>every six months for elect</w:t>
      </w:r>
      <w:r w:rsidR="008100BD">
        <w:t>ricity and every eight months for gas.</w:t>
      </w:r>
    </w:p>
    <w:p w14:paraId="4743DD35" w14:textId="2024400C" w:rsidR="00865ECE" w:rsidRDefault="00872B48" w:rsidP="00872B48">
      <w:pPr>
        <w:pStyle w:val="Heading2numbered"/>
      </w:pPr>
      <w:bookmarkStart w:id="134" w:name="_Toc197959433"/>
      <w:r>
        <w:t>Scope of reform</w:t>
      </w:r>
      <w:bookmarkEnd w:id="134"/>
    </w:p>
    <w:p w14:paraId="12CBE76C" w14:textId="77777777" w:rsidR="002607B4" w:rsidRPr="007506B4" w:rsidRDefault="002607B4" w:rsidP="002607B4">
      <w:pPr>
        <w:pStyle w:val="Heading3numbered"/>
      </w:pPr>
      <w:r>
        <w:t>Purpose of reform</w:t>
      </w:r>
    </w:p>
    <w:p w14:paraId="3379E550" w14:textId="1BE272AD" w:rsidR="002607B4" w:rsidRDefault="002607B4" w:rsidP="002607B4">
      <w:r>
        <w:t xml:space="preserve">The proposed automatic best offer reform seeks to enhance support </w:t>
      </w:r>
      <w:r w:rsidR="004A374E">
        <w:t xml:space="preserve">for </w:t>
      </w:r>
      <w:r>
        <w:t xml:space="preserve">customers experiencing payment difficulty to ensure they are not paying more for energy than they need to. Automatic best offer refers to any mechanism </w:t>
      </w:r>
      <w:r w:rsidR="006E7ACC">
        <w:t>that</w:t>
      </w:r>
      <w:r>
        <w:t xml:space="preserve"> leverages the best offer calculation to provide </w:t>
      </w:r>
      <w:r w:rsidR="00BC6C27">
        <w:t xml:space="preserve">automatic </w:t>
      </w:r>
      <w:r>
        <w:t xml:space="preserve">cost relief to consumers. </w:t>
      </w:r>
    </w:p>
    <w:p w14:paraId="665F080D" w14:textId="77777777" w:rsidR="002607B4" w:rsidRDefault="002607B4" w:rsidP="002607B4">
      <w:r>
        <w:t>The specific outcomes we want to achieve include:</w:t>
      </w:r>
    </w:p>
    <w:p w14:paraId="66C4BA54" w14:textId="343DD478" w:rsidR="002607B4" w:rsidRDefault="002607B4" w:rsidP="00A92E17">
      <w:pPr>
        <w:pStyle w:val="TableBullet"/>
      </w:pPr>
      <w:r>
        <w:t>an increase in the number of customers in payment difficulty on their retailer’s best offer</w:t>
      </w:r>
      <w:r w:rsidRPr="0045019A">
        <w:t xml:space="preserve"> </w:t>
      </w:r>
    </w:p>
    <w:p w14:paraId="72327B84" w14:textId="77777777" w:rsidR="002607B4" w:rsidRDefault="002607B4" w:rsidP="00A92E17">
      <w:pPr>
        <w:pStyle w:val="TableBullet"/>
      </w:pPr>
      <w:r>
        <w:t>a reduction in length of time that customers spend in payment difficulty</w:t>
      </w:r>
    </w:p>
    <w:p w14:paraId="15B96207" w14:textId="5C7479AB" w:rsidR="002607B4" w:rsidRDefault="002607B4" w:rsidP="00A92E17">
      <w:pPr>
        <w:pStyle w:val="TableBullet"/>
      </w:pPr>
      <w:r>
        <w:t>a decrease in the average arrears of customers in payment difficulty.</w:t>
      </w:r>
    </w:p>
    <w:p w14:paraId="03F26FC0" w14:textId="17148135" w:rsidR="002607B4" w:rsidRDefault="002607B4" w:rsidP="002607B4">
      <w:r>
        <w:t>As outlined in</w:t>
      </w:r>
      <w:r w:rsidR="00633027">
        <w:t xml:space="preserve"> Section 2.1.1</w:t>
      </w:r>
      <w:r>
        <w:t>, an increasing number of customers are missing bill payments, in debt and at risk of disconnection.</w:t>
      </w:r>
      <w:r>
        <w:rPr>
          <w:rStyle w:val="FootnoteReference"/>
        </w:rPr>
        <w:footnoteReference w:id="110"/>
      </w:r>
      <w:r>
        <w:t xml:space="preserve"> Since 2022, there has been a gradual increase in the monthly average number of customers with missed bill payments.</w:t>
      </w:r>
      <w:r>
        <w:rPr>
          <w:rStyle w:val="FootnoteReference"/>
        </w:rPr>
        <w:footnoteReference w:id="111"/>
      </w:r>
      <w:r>
        <w:t xml:space="preserve"> This has led to more customers </w:t>
      </w:r>
      <w:r>
        <w:lastRenderedPageBreak/>
        <w:t>entering and remaining in energy debt. From 2019</w:t>
      </w:r>
      <w:r w:rsidR="007462D6">
        <w:rPr>
          <w:rFonts w:cstheme="minorHAnsi"/>
        </w:rPr>
        <w:t>–</w:t>
      </w:r>
      <w:r>
        <w:t>20 to 2023</w:t>
      </w:r>
      <w:r w:rsidR="007462D6">
        <w:rPr>
          <w:rFonts w:cstheme="minorHAnsi"/>
        </w:rPr>
        <w:t>–</w:t>
      </w:r>
      <w:r>
        <w:t xml:space="preserve">24, the monthly average number of customers receiving tailored assistance increased from 52,722 to 69,518 for electricity and </w:t>
      </w:r>
      <w:r w:rsidR="00214DB8">
        <w:t xml:space="preserve">from </w:t>
      </w:r>
      <w:r>
        <w:t>41,869 to 62,806 for gas.</w:t>
      </w:r>
      <w:r>
        <w:rPr>
          <w:rStyle w:val="FootnoteReference"/>
        </w:rPr>
        <w:footnoteReference w:id="112"/>
      </w:r>
      <w:r>
        <w:t xml:space="preserve"> </w:t>
      </w:r>
    </w:p>
    <w:p w14:paraId="06B5DDFD" w14:textId="46E83DFF" w:rsidR="002607B4" w:rsidRDefault="002607B4" w:rsidP="002607B4">
      <w:r>
        <w:t>The Payment Difficulty Framework (implemented in 2019</w:t>
      </w:r>
      <w:r w:rsidR="007462D6">
        <w:t>)</w:t>
      </w:r>
      <w:r>
        <w:t xml:space="preserve"> requires retailers to provide customers with standard or tailored assistance to help them avoid or manage debt.</w:t>
      </w:r>
      <w:r>
        <w:rPr>
          <w:rStyle w:val="FootnoteReference"/>
        </w:rPr>
        <w:footnoteReference w:id="113"/>
      </w:r>
      <w:r>
        <w:t xml:space="preserve"> Standard assistance is available to any </w:t>
      </w:r>
      <w:r w:rsidR="003D7A9D">
        <w:t xml:space="preserve">residential </w:t>
      </w:r>
      <w:r>
        <w:t>customer who want</w:t>
      </w:r>
      <w:r w:rsidR="007462D6">
        <w:t>s</w:t>
      </w:r>
      <w:r>
        <w:t xml:space="preserve"> to avoid getting into arrears and consists of a range of payment arrangements and options to better suit that customer’s needs. Tailored assistance is available to all residential customers in arrears and seeks to make it easier for them to pay for their ongoing energy use, repay their arrears and lower their energy costs. </w:t>
      </w:r>
    </w:p>
    <w:p w14:paraId="0A11E018" w14:textId="77777777" w:rsidR="002607B4" w:rsidRDefault="002607B4" w:rsidP="002607B4">
      <w:r>
        <w:t>Retailers must provide practical assistance to residential customers to lower their energy costs by checking which tariff will most likely minimise their costs based on their patterns of energy use and payment history (a tariff check).</w:t>
      </w:r>
      <w:r>
        <w:rPr>
          <w:rStyle w:val="FootnoteReference"/>
        </w:rPr>
        <w:footnoteReference w:id="114"/>
      </w:r>
      <w:r>
        <w:t xml:space="preserve"> </w:t>
      </w:r>
    </w:p>
    <w:p w14:paraId="6ACEC07F" w14:textId="240DBDD1" w:rsidR="002607B4" w:rsidRDefault="002607B4" w:rsidP="002607B4">
      <w:r>
        <w:t>The P</w:t>
      </w:r>
      <w:r w:rsidR="007462D6">
        <w:t xml:space="preserve">ayment </w:t>
      </w:r>
      <w:r>
        <w:t>D</w:t>
      </w:r>
      <w:r w:rsidR="007462D6">
        <w:t xml:space="preserve">ifficulty </w:t>
      </w:r>
      <w:r>
        <w:t>F</w:t>
      </w:r>
      <w:r w:rsidR="007462D6">
        <w:t>ramework</w:t>
      </w:r>
      <w:r>
        <w:t xml:space="preserve"> has resulted in several improvements to customer outcomes</w:t>
      </w:r>
      <w:r w:rsidR="007462D6">
        <w:t>,</w:t>
      </w:r>
      <w:r>
        <w:t xml:space="preserve"> including:</w:t>
      </w:r>
    </w:p>
    <w:p w14:paraId="18BBC8CB" w14:textId="77777777" w:rsidR="002607B4" w:rsidRDefault="002607B4" w:rsidP="00A92E17">
      <w:pPr>
        <w:pStyle w:val="ListBullet"/>
      </w:pPr>
      <w:r>
        <w:t>an increase in the number of customers receiving assistance</w:t>
      </w:r>
    </w:p>
    <w:p w14:paraId="7712C293" w14:textId="77777777" w:rsidR="002607B4" w:rsidRDefault="002607B4" w:rsidP="00A92E17">
      <w:pPr>
        <w:pStyle w:val="ListBullet"/>
      </w:pPr>
      <w:r>
        <w:t>a decrease in disconnections</w:t>
      </w:r>
    </w:p>
    <w:p w14:paraId="25BF6F66" w14:textId="77777777" w:rsidR="002607B4" w:rsidRDefault="002607B4" w:rsidP="00A92E17">
      <w:pPr>
        <w:pStyle w:val="ListBullet"/>
      </w:pPr>
      <w:r>
        <w:t>most customers receiving tailored assistance paying less for energy than other customers.</w:t>
      </w:r>
      <w:r>
        <w:rPr>
          <w:rStyle w:val="FootnoteReference"/>
        </w:rPr>
        <w:footnoteReference w:id="115"/>
      </w:r>
    </w:p>
    <w:p w14:paraId="3C216868" w14:textId="569F3DF8" w:rsidR="002607B4" w:rsidRPr="003D50B5" w:rsidRDefault="002607B4" w:rsidP="002607B4">
      <w:r w:rsidRPr="003D50B5">
        <w:t>We have heard concerns from consumer advocacy groups that some customers receiving assistance are not receiving tariff checks in a timely and appropriate manner.</w:t>
      </w:r>
      <w:r w:rsidRPr="003D50B5">
        <w:rPr>
          <w:rStyle w:val="FootnoteReference"/>
        </w:rPr>
        <w:footnoteReference w:id="116"/>
      </w:r>
      <w:r w:rsidRPr="003D50B5">
        <w:t xml:space="preserve"> </w:t>
      </w:r>
    </w:p>
    <w:p w14:paraId="68AF3B24" w14:textId="3619473C" w:rsidR="002607B4" w:rsidRPr="003D50B5" w:rsidRDefault="002607B4" w:rsidP="002607B4">
      <w:r w:rsidRPr="003D50B5">
        <w:t>Retailers have commented that they cannot easily move these customers to their best offer due to existing explicit informed consent requirements.</w:t>
      </w:r>
      <w:r w:rsidRPr="003D50B5">
        <w:rPr>
          <w:rStyle w:val="FootnoteReference"/>
        </w:rPr>
        <w:footnoteReference w:id="117"/>
      </w:r>
      <w:r w:rsidRPr="003D50B5">
        <w:t xml:space="preserve"> This means customers experiencing payment difficulty are remaining on plans where </w:t>
      </w:r>
      <w:r w:rsidR="005B4650" w:rsidRPr="003D50B5">
        <w:t xml:space="preserve">their </w:t>
      </w:r>
      <w:r w:rsidRPr="003D50B5">
        <w:t xml:space="preserve">ongoing energy costs are higher than they need to be. As a result, the remaining assistance options to pay off arrears and afford ongoing energy costs are less effective. </w:t>
      </w:r>
    </w:p>
    <w:p w14:paraId="257CBA5B" w14:textId="79484626" w:rsidR="002607B4" w:rsidRDefault="002607B4" w:rsidP="002607B4">
      <w:r>
        <w:lastRenderedPageBreak/>
        <w:t>There also continues to be an increase in the number of customers with arrears above $300 not receiving the assistance they are entitled to under the P</w:t>
      </w:r>
      <w:r w:rsidR="005B4650">
        <w:t xml:space="preserve">ayment </w:t>
      </w:r>
      <w:r>
        <w:t>D</w:t>
      </w:r>
      <w:r w:rsidR="005B4650">
        <w:t xml:space="preserve">ifficulty </w:t>
      </w:r>
      <w:r>
        <w:t>F</w:t>
      </w:r>
      <w:r w:rsidR="005B4650">
        <w:t>ramework</w:t>
      </w:r>
      <w:r>
        <w:t>.</w:t>
      </w:r>
      <w:r>
        <w:rPr>
          <w:rStyle w:val="FootnoteReference"/>
        </w:rPr>
        <w:footnoteReference w:id="118"/>
      </w:r>
      <w:r>
        <w:t xml:space="preserve"> This </w:t>
      </w:r>
      <w:r w:rsidR="009F171F">
        <w:t>can</w:t>
      </w:r>
      <w:r w:rsidR="00706312">
        <w:t xml:space="preserve"> be</w:t>
      </w:r>
      <w:r w:rsidR="009F171F">
        <w:t xml:space="preserve"> </w:t>
      </w:r>
      <w:r w:rsidR="00706312">
        <w:t>for</w:t>
      </w:r>
      <w:r w:rsidR="009F171F">
        <w:t xml:space="preserve"> a number of reasons, </w:t>
      </w:r>
      <w:r w:rsidR="00110738">
        <w:t xml:space="preserve">including </w:t>
      </w:r>
      <w:r w:rsidR="00A30056">
        <w:t xml:space="preserve">average energy bills increasing </w:t>
      </w:r>
      <w:r w:rsidR="00251D90">
        <w:t>(</w:t>
      </w:r>
      <w:r w:rsidR="00A30056">
        <w:t>due to</w:t>
      </w:r>
      <w:r>
        <w:t xml:space="preserve"> </w:t>
      </w:r>
      <w:r w:rsidR="00354E2F">
        <w:t xml:space="preserve">increased </w:t>
      </w:r>
      <w:r w:rsidR="00961692">
        <w:t xml:space="preserve">wholesale and network </w:t>
      </w:r>
      <w:r w:rsidR="00354E2F">
        <w:t>costs</w:t>
      </w:r>
      <w:r w:rsidR="00251D90">
        <w:t xml:space="preserve"> or </w:t>
      </w:r>
      <w:r w:rsidR="00FE2BDD">
        <w:t>changes in consumption patterns</w:t>
      </w:r>
      <w:r w:rsidR="00716215">
        <w:t>)</w:t>
      </w:r>
      <w:r w:rsidR="00DC7434">
        <w:t xml:space="preserve"> as well as some</w:t>
      </w:r>
      <w:r w:rsidR="00D652B7">
        <w:t xml:space="preserve"> </w:t>
      </w:r>
      <w:r>
        <w:t>customers experienc</w:t>
      </w:r>
      <w:r w:rsidR="00D652B7">
        <w:t>ing</w:t>
      </w:r>
      <w:r>
        <w:t xml:space="preserve"> barriers to enter</w:t>
      </w:r>
      <w:r w:rsidR="009D0D6C">
        <w:t>ing</w:t>
      </w:r>
      <w:r w:rsidR="00DC7434">
        <w:t xml:space="preserve"> and remain</w:t>
      </w:r>
      <w:r w:rsidR="009D0D6C">
        <w:t>ing</w:t>
      </w:r>
      <w:r w:rsidR="00DC7434">
        <w:t xml:space="preserve"> in</w:t>
      </w:r>
      <w:r>
        <w:t xml:space="preserve"> tailored assistance. </w:t>
      </w:r>
    </w:p>
    <w:p w14:paraId="3D060C93" w14:textId="7CFE770E" w:rsidR="002607B4" w:rsidRDefault="002607B4" w:rsidP="002607B4">
      <w:r>
        <w:t>Many customers are unable to engage with their retailer</w:t>
      </w:r>
      <w:r w:rsidR="00F01919">
        <w:t>. This is problematic, as they need to engage with their retailer in order</w:t>
      </w:r>
      <w:r>
        <w:t xml:space="preserve"> to receive assistance </w:t>
      </w:r>
      <w:r w:rsidR="00EA5FEF">
        <w:t xml:space="preserve">that is currently available </w:t>
      </w:r>
      <w:r>
        <w:t>in the first place. Additionally, retailers are able to stop providing tailored assistance to customers if they fail to meet their payment plan requirements (such as not being able to pay their instalment on time).</w:t>
      </w:r>
      <w:r>
        <w:rPr>
          <w:rStyle w:val="FootnoteReference"/>
        </w:rPr>
        <w:footnoteReference w:id="119"/>
      </w:r>
      <w:r>
        <w:t xml:space="preserve"> </w:t>
      </w:r>
      <w:r w:rsidR="00E66CED">
        <w:t>As</w:t>
      </w:r>
      <w:r w:rsidR="003A1503">
        <w:t xml:space="preserve"> customers’ debt </w:t>
      </w:r>
      <w:r w:rsidR="00E66CED">
        <w:t>can</w:t>
      </w:r>
      <w:r w:rsidR="003A1503">
        <w:t xml:space="preserve"> accumulate, making it</w:t>
      </w:r>
      <w:r w:rsidR="00E66CED">
        <w:t xml:space="preserve"> </w:t>
      </w:r>
      <w:r w:rsidR="003A1503">
        <w:t>more difficult for them to pay off their arrears over</w:t>
      </w:r>
      <w:r w:rsidR="00E66CED">
        <w:t xml:space="preserve"> </w:t>
      </w:r>
      <w:r w:rsidR="003A1503">
        <w:t>time</w:t>
      </w:r>
      <w:r w:rsidR="00E66CED">
        <w:t>, since</w:t>
      </w:r>
      <w:r w:rsidR="00D23160">
        <w:t xml:space="preserve"> 2022</w:t>
      </w:r>
      <w:r w:rsidR="00AC6CE8">
        <w:rPr>
          <w:rFonts w:cstheme="minorHAnsi"/>
        </w:rPr>
        <w:t>–</w:t>
      </w:r>
      <w:r w:rsidR="00D23160">
        <w:t xml:space="preserve">23 </w:t>
      </w:r>
      <w:r w:rsidR="003A1503">
        <w:t>we have seen a lower</w:t>
      </w:r>
      <w:r w:rsidR="00D23160">
        <w:t xml:space="preserve"> </w:t>
      </w:r>
      <w:r w:rsidR="003A1503">
        <w:t>percentage of customers successfully ending their</w:t>
      </w:r>
      <w:r w:rsidR="00D23160">
        <w:t xml:space="preserve"> </w:t>
      </w:r>
      <w:r w:rsidR="003A1503">
        <w:t>need for tailored assistance with no arrears</w:t>
      </w:r>
      <w:r>
        <w:t>.</w:t>
      </w:r>
      <w:r>
        <w:rPr>
          <w:rStyle w:val="FootnoteReference"/>
        </w:rPr>
        <w:footnoteReference w:id="120"/>
      </w:r>
      <w:r>
        <w:t xml:space="preserve"> An increasing proportion of customers are also exiting </w:t>
      </w:r>
      <w:r w:rsidR="00195745">
        <w:t xml:space="preserve">tailored </w:t>
      </w:r>
      <w:r w:rsidR="00666E6D">
        <w:t xml:space="preserve">assistance </w:t>
      </w:r>
      <w:r>
        <w:t>after failing to meet their payment plan requirements.</w:t>
      </w:r>
      <w:r>
        <w:rPr>
          <w:rStyle w:val="FootnoteReference"/>
        </w:rPr>
        <w:footnoteReference w:id="121"/>
      </w:r>
      <w:r>
        <w:t xml:space="preserve"> </w:t>
      </w:r>
    </w:p>
    <w:p w14:paraId="2C1D433D" w14:textId="561B5EA4" w:rsidR="002607B4" w:rsidRDefault="002607B4" w:rsidP="002607B4">
      <w:pPr>
        <w:pStyle w:val="Heading4"/>
      </w:pPr>
      <w:r>
        <w:t>Why is the best offer a good way to strengthen support for customers experiencing payment difficulty?</w:t>
      </w:r>
    </w:p>
    <w:p w14:paraId="79A93AD9" w14:textId="09BD24BC" w:rsidR="002607B4" w:rsidRDefault="002607B4" w:rsidP="002607B4">
      <w:r>
        <w:t>Best offer messages provide consumers with clear information about how much they could save</w:t>
      </w:r>
      <w:r w:rsidR="00180EC0">
        <w:t xml:space="preserve"> by switching plans</w:t>
      </w:r>
      <w:r>
        <w:t xml:space="preserve"> and encourage their engagement with the energy market.</w:t>
      </w:r>
      <w:r>
        <w:rPr>
          <w:rStyle w:val="FootnoteReference"/>
        </w:rPr>
        <w:footnoteReference w:id="122"/>
      </w:r>
    </w:p>
    <w:p w14:paraId="6C437FCE" w14:textId="59C27000" w:rsidR="002607B4" w:rsidRDefault="002607B4" w:rsidP="002607B4">
      <w:r>
        <w:t>Retailers are required to regularly calculate and inform customers if they are on</w:t>
      </w:r>
      <w:r w:rsidR="001A2F3C">
        <w:t xml:space="preserve"> their best offer (</w:t>
      </w:r>
      <w:r>
        <w:t>the lowest cost generally available plan based on their past energy usage</w:t>
      </w:r>
      <w:r w:rsidR="001A2F3C">
        <w:t>)</w:t>
      </w:r>
      <w:r>
        <w:t>.</w:t>
      </w:r>
      <w:r>
        <w:rPr>
          <w:rStyle w:val="FootnoteReference"/>
        </w:rPr>
        <w:footnoteReference w:id="123"/>
      </w:r>
      <w:r>
        <w:t xml:space="preserve"> Retailers are required to do this for all </w:t>
      </w:r>
      <w:r w:rsidR="00180EC0">
        <w:t>r</w:t>
      </w:r>
      <w:r>
        <w:t>esidential and small business customers at least once every three months for electricity and once every four months for gas.</w:t>
      </w:r>
    </w:p>
    <w:p w14:paraId="748AEE1B" w14:textId="0CA98E17" w:rsidR="002607B4" w:rsidRDefault="002607B4" w:rsidP="002607B4">
      <w:r>
        <w:t>The proposed reform considers whether an a</w:t>
      </w:r>
      <w:r w:rsidRPr="00E644B1">
        <w:t xml:space="preserve">utomatic best offer </w:t>
      </w:r>
      <w:r>
        <w:t>would improve outcomes</w:t>
      </w:r>
      <w:r w:rsidRPr="00E644B1">
        <w:t xml:space="preserve"> </w:t>
      </w:r>
      <w:r>
        <w:t xml:space="preserve">for </w:t>
      </w:r>
      <w:r w:rsidRPr="00E644B1">
        <w:t>customers experiencing payment difficulty</w:t>
      </w:r>
      <w:r>
        <w:t xml:space="preserve">. We are exploring the ways in which an automatic best offer could be implemented (for example, via switching plans, changing tariffs or a crediting mechanism). </w:t>
      </w:r>
    </w:p>
    <w:p w14:paraId="10DD6DC9" w14:textId="5FBCC738" w:rsidR="002607B4" w:rsidRDefault="002607B4" w:rsidP="002607B4">
      <w:r>
        <w:lastRenderedPageBreak/>
        <w:t xml:space="preserve">An automatic best offer reform would leverage the existing best offer calculation used for best offer messages on bills. It would seek to </w:t>
      </w:r>
      <w:r w:rsidR="5CAE951B">
        <w:t xml:space="preserve">automatically </w:t>
      </w:r>
      <w:r>
        <w:t>give customers experiencing payment difficulty the savings indicated by this calculation.</w:t>
      </w:r>
    </w:p>
    <w:p w14:paraId="694920B9" w14:textId="16CCA324" w:rsidR="0012485F" w:rsidRDefault="0012485F" w:rsidP="00FC2E32">
      <w:pPr>
        <w:pStyle w:val="Heading3numbered"/>
      </w:pPr>
      <w:r>
        <w:t>What we heard from st</w:t>
      </w:r>
      <w:r w:rsidR="00801564">
        <w:t xml:space="preserve">akeholders </w:t>
      </w:r>
    </w:p>
    <w:p w14:paraId="6FE551D9" w14:textId="2829BF7B" w:rsidR="00744192" w:rsidRDefault="006978AE" w:rsidP="00A61459">
      <w:r>
        <w:t xml:space="preserve">Energy retailers and industry </w:t>
      </w:r>
      <w:r w:rsidR="00642C36">
        <w:t>have a preference for incentivising</w:t>
      </w:r>
      <w:r w:rsidR="00E04A98">
        <w:t xml:space="preserve"> customer engagement over a</w:t>
      </w:r>
      <w:r w:rsidR="0084021C">
        <w:t xml:space="preserve">n automatic best offer </w:t>
      </w:r>
      <w:r w:rsidR="00E04A98">
        <w:t>for customers experiencing payment difficulty.</w:t>
      </w:r>
      <w:r w:rsidR="00044A0C">
        <w:rPr>
          <w:rStyle w:val="FootnoteReference"/>
        </w:rPr>
        <w:footnoteReference w:id="124"/>
      </w:r>
      <w:r w:rsidR="00733B4A">
        <w:t xml:space="preserve"> There was </w:t>
      </w:r>
      <w:r w:rsidR="005F651A">
        <w:t xml:space="preserve">a </w:t>
      </w:r>
      <w:r w:rsidR="00733B4A">
        <w:t xml:space="preserve">broad </w:t>
      </w:r>
      <w:r w:rsidR="005F651A">
        <w:t>view</w:t>
      </w:r>
      <w:r w:rsidR="00733B4A">
        <w:t xml:space="preserve"> that the existing </w:t>
      </w:r>
      <w:r w:rsidR="0004079E">
        <w:t xml:space="preserve">support under the </w:t>
      </w:r>
      <w:r w:rsidR="00101766">
        <w:t>P</w:t>
      </w:r>
      <w:r w:rsidR="006A18CA">
        <w:t xml:space="preserve">ayment </w:t>
      </w:r>
      <w:r w:rsidR="00101766">
        <w:t>D</w:t>
      </w:r>
      <w:r w:rsidR="006A18CA">
        <w:t xml:space="preserve">ifficulty </w:t>
      </w:r>
      <w:r w:rsidR="00101766">
        <w:t>F</w:t>
      </w:r>
      <w:r w:rsidR="006A18CA">
        <w:t>ramework</w:t>
      </w:r>
      <w:r w:rsidR="0004079E">
        <w:t xml:space="preserve"> w</w:t>
      </w:r>
      <w:r w:rsidR="00E400A9">
        <w:t>as</w:t>
      </w:r>
      <w:r w:rsidR="0004079E">
        <w:t xml:space="preserve"> sufficient</w:t>
      </w:r>
      <w:r w:rsidR="003D6F22">
        <w:t xml:space="preserve"> and allowed retailers to tailor their support to an individual</w:t>
      </w:r>
      <w:r w:rsidR="0084021C">
        <w:t xml:space="preserve"> customer</w:t>
      </w:r>
      <w:r w:rsidR="003D6F22">
        <w:t>’s needs</w:t>
      </w:r>
      <w:r w:rsidR="001C191A">
        <w:t>.</w:t>
      </w:r>
    </w:p>
    <w:p w14:paraId="2310FB3A" w14:textId="73F85C5E" w:rsidR="00DF497E" w:rsidRDefault="009F4703" w:rsidP="00A61459">
      <w:r>
        <w:t>Retailers expressed concerns that any auto</w:t>
      </w:r>
      <w:r w:rsidR="0084021C">
        <w:t>matic best offer</w:t>
      </w:r>
      <w:r>
        <w:t xml:space="preserve"> could limit </w:t>
      </w:r>
      <w:r w:rsidR="004514A2">
        <w:t xml:space="preserve">customer agency and prevent customers from benefitting from more innovative, longer-term products. They also noted that </w:t>
      </w:r>
      <w:r w:rsidR="009A4897">
        <w:t>the automatic best offer reform</w:t>
      </w:r>
      <w:r w:rsidR="003D6F22">
        <w:t xml:space="preserve"> would be</w:t>
      </w:r>
      <w:r w:rsidR="004514A2">
        <w:t xml:space="preserve"> </w:t>
      </w:r>
      <w:r w:rsidR="004F124C">
        <w:t>expensive for retailers to implement</w:t>
      </w:r>
      <w:r w:rsidR="007A3E88">
        <w:t xml:space="preserve"> and create compliance risks</w:t>
      </w:r>
      <w:r w:rsidR="004F124C">
        <w:t xml:space="preserve">. </w:t>
      </w:r>
      <w:r w:rsidR="002840D7">
        <w:t xml:space="preserve">Potential compliance risks </w:t>
      </w:r>
      <w:r w:rsidR="00A6168B">
        <w:t>w</w:t>
      </w:r>
      <w:r w:rsidR="00C33ECE">
        <w:t xml:space="preserve">ould include </w:t>
      </w:r>
      <w:r w:rsidR="00CE2AEC">
        <w:t xml:space="preserve">greater difficulty </w:t>
      </w:r>
      <w:r w:rsidR="007B534B">
        <w:t>compl</w:t>
      </w:r>
      <w:r w:rsidR="00CE2AEC">
        <w:t>ying</w:t>
      </w:r>
      <w:r w:rsidR="007B534B">
        <w:t xml:space="preserve"> with existing explicit informed consent</w:t>
      </w:r>
      <w:r w:rsidR="006457D4">
        <w:t>, customer notification and timeline requirements</w:t>
      </w:r>
      <w:r w:rsidR="005E6E97">
        <w:t>.</w:t>
      </w:r>
    </w:p>
    <w:p w14:paraId="2D39F970" w14:textId="7F61CB3B" w:rsidR="00A438C0" w:rsidRPr="00A61459" w:rsidRDefault="00A438C0" w:rsidP="00A61459">
      <w:r>
        <w:t xml:space="preserve">Consumer advocacy and community groups were generally supportive of </w:t>
      </w:r>
      <w:r w:rsidR="00B2275E">
        <w:t xml:space="preserve">an </w:t>
      </w:r>
      <w:r w:rsidR="00DF497E">
        <w:t>automatic best offer and expressed support for a variety of implementation and eligibility options.</w:t>
      </w:r>
      <w:r w:rsidR="00044A0C">
        <w:rPr>
          <w:rStyle w:val="FootnoteReference"/>
        </w:rPr>
        <w:footnoteReference w:id="125"/>
      </w:r>
      <w:r w:rsidR="002F526A">
        <w:t xml:space="preserve"> </w:t>
      </w:r>
      <w:r w:rsidR="00771C4D">
        <w:t>They</w:t>
      </w:r>
      <w:r w:rsidR="00E4705C">
        <w:t xml:space="preserve"> </w:t>
      </w:r>
      <w:r w:rsidR="00CC0E2A">
        <w:t>acknowledged</w:t>
      </w:r>
      <w:r w:rsidR="00E4705C">
        <w:t xml:space="preserve"> the harm caused by high bills and</w:t>
      </w:r>
      <w:r w:rsidR="00771C4D">
        <w:t xml:space="preserve"> agreed that customers experiencing payment difficulty </w:t>
      </w:r>
      <w:r w:rsidR="00FE6046">
        <w:t>should be paying less for energy</w:t>
      </w:r>
      <w:r w:rsidR="0082100C">
        <w:t>.</w:t>
      </w:r>
      <w:r w:rsidR="00DB355C">
        <w:rPr>
          <w:rStyle w:val="FootnoteReference"/>
        </w:rPr>
        <w:footnoteReference w:id="126"/>
      </w:r>
      <w:r w:rsidR="0082100C">
        <w:t xml:space="preserve"> However, they also</w:t>
      </w:r>
      <w:r w:rsidR="00FE6046">
        <w:t xml:space="preserve"> </w:t>
      </w:r>
      <w:r w:rsidR="002F526A">
        <w:t xml:space="preserve">emphasised the importance of maintaining customer agency and consent processes. </w:t>
      </w:r>
    </w:p>
    <w:p w14:paraId="3AE8E59A" w14:textId="19FC868D" w:rsidR="008F78BD" w:rsidRPr="00A61459" w:rsidRDefault="008F78BD" w:rsidP="00A61459">
      <w:r>
        <w:t xml:space="preserve">Other public entities were supportive of </w:t>
      </w:r>
      <w:r w:rsidR="00B2275E">
        <w:t>a</w:t>
      </w:r>
      <w:r w:rsidR="00C11CB5">
        <w:t>n</w:t>
      </w:r>
      <w:r w:rsidR="00B2275E">
        <w:t xml:space="preserve"> </w:t>
      </w:r>
      <w:r>
        <w:t>automatic best offer reform.</w:t>
      </w:r>
      <w:r w:rsidR="00044A0C">
        <w:rPr>
          <w:rStyle w:val="FootnoteReference"/>
        </w:rPr>
        <w:footnoteReference w:id="127"/>
      </w:r>
      <w:r>
        <w:t xml:space="preserve"> In particular, they suggested that there was potential </w:t>
      </w:r>
      <w:r w:rsidR="00A973B2">
        <w:t>for</w:t>
      </w:r>
      <w:r>
        <w:t xml:space="preserve"> this reform to lead to </w:t>
      </w:r>
      <w:r w:rsidR="00595D9E">
        <w:t xml:space="preserve">better </w:t>
      </w:r>
      <w:r w:rsidR="00057A98">
        <w:t>consumer trust and customer engagement with retailers as well as improved customer outcomes.</w:t>
      </w:r>
      <w:r w:rsidR="002F2757">
        <w:rPr>
          <w:rStyle w:val="FootnoteReference"/>
        </w:rPr>
        <w:footnoteReference w:id="128"/>
      </w:r>
      <w:r w:rsidR="007E32B9">
        <w:t xml:space="preserve"> We also note that </w:t>
      </w:r>
      <w:r w:rsidR="007E32B9" w:rsidRPr="00005E3F">
        <w:t xml:space="preserve">the AER </w:t>
      </w:r>
      <w:r w:rsidR="007E32B9">
        <w:t xml:space="preserve">have previously </w:t>
      </w:r>
      <w:r w:rsidR="007E32B9" w:rsidRPr="00005E3F">
        <w:t xml:space="preserve">recommended automated </w:t>
      </w:r>
      <w:r w:rsidR="007E32B9">
        <w:t>better offers</w:t>
      </w:r>
      <w:r w:rsidR="007E32B9" w:rsidRPr="00005E3F">
        <w:t xml:space="preserve"> </w:t>
      </w:r>
      <w:r w:rsidR="007E32B9">
        <w:t>for customers in hardship programs,</w:t>
      </w:r>
      <w:r w:rsidR="007E32B9" w:rsidRPr="00005E3F">
        <w:t xml:space="preserve"> as part of its Game</w:t>
      </w:r>
      <w:r w:rsidR="007E32B9">
        <w:t xml:space="preserve"> c</w:t>
      </w:r>
      <w:r w:rsidR="007E32B9" w:rsidRPr="00005E3F">
        <w:t xml:space="preserve">hanger report in </w:t>
      </w:r>
      <w:r w:rsidR="007E32B9">
        <w:t>November 2023</w:t>
      </w:r>
      <w:r w:rsidR="007E32B9" w:rsidRPr="00005E3F">
        <w:t>.</w:t>
      </w:r>
      <w:r w:rsidR="007E32B9">
        <w:rPr>
          <w:rStyle w:val="FootnoteReference"/>
        </w:rPr>
        <w:footnoteReference w:id="129"/>
      </w:r>
    </w:p>
    <w:p w14:paraId="36ED07BD" w14:textId="1EF7F374" w:rsidR="00801564" w:rsidRDefault="00801564" w:rsidP="00FC2E32">
      <w:pPr>
        <w:pStyle w:val="Heading3numbered"/>
      </w:pPr>
      <w:r>
        <w:t xml:space="preserve">Approach to options development </w:t>
      </w:r>
    </w:p>
    <w:p w14:paraId="64BDDFD0" w14:textId="77777777" w:rsidR="0056600D" w:rsidRDefault="004B638B">
      <w:r>
        <w:t>Our key considerations when developing options for this reform w</w:t>
      </w:r>
      <w:r w:rsidR="007D0A80">
        <w:t>ere</w:t>
      </w:r>
      <w:r>
        <w:t xml:space="preserve"> to understand</w:t>
      </w:r>
      <w:r w:rsidR="0056600D">
        <w:t>:</w:t>
      </w:r>
    </w:p>
    <w:p w14:paraId="19C25A86" w14:textId="6979ED94" w:rsidR="00337D9D" w:rsidRDefault="00616632" w:rsidP="00A92E17">
      <w:pPr>
        <w:pStyle w:val="ListBullet"/>
      </w:pPr>
      <w:r>
        <w:lastRenderedPageBreak/>
        <w:t xml:space="preserve">how </w:t>
      </w:r>
      <w:r w:rsidR="007D0A80">
        <w:t xml:space="preserve">retailers could switch </w:t>
      </w:r>
      <w:r>
        <w:t xml:space="preserve">customers to the best offer </w:t>
      </w:r>
    </w:p>
    <w:p w14:paraId="18EB855E" w14:textId="059C3AAF" w:rsidR="007D0A80" w:rsidRDefault="00616632" w:rsidP="00A92E17">
      <w:pPr>
        <w:pStyle w:val="ListBullet"/>
      </w:pPr>
      <w:r>
        <w:t xml:space="preserve">who </w:t>
      </w:r>
      <w:r w:rsidR="00820729">
        <w:t>sh</w:t>
      </w:r>
      <w:r>
        <w:t xml:space="preserve">ould be eligible for this </w:t>
      </w:r>
      <w:r w:rsidR="00A97759">
        <w:t>switch</w:t>
      </w:r>
      <w:r>
        <w:t>.</w:t>
      </w:r>
    </w:p>
    <w:p w14:paraId="741649CC" w14:textId="43D98786" w:rsidR="00972ADE" w:rsidRPr="00972ADE" w:rsidRDefault="003A7A67" w:rsidP="00FC2E32">
      <w:r>
        <w:t>We look</w:t>
      </w:r>
      <w:r w:rsidR="007C4A2E">
        <w:t>ed</w:t>
      </w:r>
      <w:r>
        <w:t xml:space="preserve"> at the Victorian Energy Market Dashboard</w:t>
      </w:r>
      <w:r w:rsidR="00707BE6">
        <w:t>,</w:t>
      </w:r>
      <w:r>
        <w:t xml:space="preserve"> Victorian Energy Market Reports </w:t>
      </w:r>
      <w:r w:rsidR="00707BE6">
        <w:t xml:space="preserve">and other datasets to develop eligibility options. We </w:t>
      </w:r>
      <w:r w:rsidR="00DB177E">
        <w:t>review</w:t>
      </w:r>
      <w:r w:rsidR="007A09E6">
        <w:t>ed</w:t>
      </w:r>
      <w:r w:rsidR="002F4C76">
        <w:t xml:space="preserve"> </w:t>
      </w:r>
      <w:r w:rsidR="004F797D">
        <w:t>other</w:t>
      </w:r>
      <w:r w:rsidR="007A09E6">
        <w:t xml:space="preserve"> relevant reports</w:t>
      </w:r>
      <w:r w:rsidR="004B2062">
        <w:t>, research</w:t>
      </w:r>
      <w:r w:rsidR="007A09E6">
        <w:t xml:space="preserve"> and papers</w:t>
      </w:r>
      <w:r w:rsidR="004F797D">
        <w:t xml:space="preserve"> which </w:t>
      </w:r>
      <w:r w:rsidR="003C7D4F">
        <w:t>consider similar reforms.</w:t>
      </w:r>
      <w:r w:rsidR="001F0200">
        <w:rPr>
          <w:rStyle w:val="FootnoteReference"/>
        </w:rPr>
        <w:footnoteReference w:id="130"/>
      </w:r>
      <w:r w:rsidR="007A09E6">
        <w:t xml:space="preserve"> </w:t>
      </w:r>
      <w:r w:rsidR="003C7D4F">
        <w:t>We</w:t>
      </w:r>
      <w:r w:rsidR="007A09E6">
        <w:t xml:space="preserve"> conducted </w:t>
      </w:r>
      <w:r w:rsidR="009A2080">
        <w:t>internal discussions o</w:t>
      </w:r>
      <w:r w:rsidR="003C7D4F">
        <w:t>n</w:t>
      </w:r>
      <w:r w:rsidR="009A2080">
        <w:t xml:space="preserve"> key </w:t>
      </w:r>
      <w:r w:rsidR="007A09E6">
        <w:t>opportunities, risks and benefits to determine potential mechanisms to move customers to the best offer</w:t>
      </w:r>
      <w:r w:rsidR="00D751E3">
        <w:t>.</w:t>
      </w:r>
      <w:r w:rsidR="0049300D">
        <w:t xml:space="preserve"> </w:t>
      </w:r>
    </w:p>
    <w:p w14:paraId="5AD83F8B" w14:textId="69B79C74" w:rsidR="006A5CB8" w:rsidRDefault="006A5CB8" w:rsidP="006A5CB8">
      <w:pPr>
        <w:pStyle w:val="Heading4"/>
      </w:pPr>
      <w:r>
        <w:t xml:space="preserve">Concurrent </w:t>
      </w:r>
      <w:r w:rsidR="0030038A">
        <w:t>consideration</w:t>
      </w:r>
      <w:r>
        <w:t xml:space="preserve"> of a similar reform </w:t>
      </w:r>
      <w:r w:rsidR="006A4148">
        <w:t xml:space="preserve">by </w:t>
      </w:r>
      <w:r w:rsidR="0030038A">
        <w:t>the Australian Energy Market Commission</w:t>
      </w:r>
    </w:p>
    <w:p w14:paraId="441A3D57" w14:textId="6D180C9A" w:rsidR="00A8139C" w:rsidRDefault="006A5CB8" w:rsidP="00B40B32">
      <w:r>
        <w:t xml:space="preserve">We </w:t>
      </w:r>
      <w:r w:rsidR="003C04D1">
        <w:t xml:space="preserve">note </w:t>
      </w:r>
      <w:r w:rsidR="00842C52">
        <w:t xml:space="preserve">the </w:t>
      </w:r>
      <w:r>
        <w:t xml:space="preserve">AEMC’s concurrent review of the rule change request to assist hardship customers. </w:t>
      </w:r>
      <w:r w:rsidR="00B40B32">
        <w:t>T</w:t>
      </w:r>
      <w:r w:rsidR="009142A0">
        <w:t xml:space="preserve">he AEMC released a draft </w:t>
      </w:r>
      <w:r w:rsidR="0055167A">
        <w:t>determination</w:t>
      </w:r>
      <w:r w:rsidR="009142A0">
        <w:t xml:space="preserve"> on 27 March 2025.</w:t>
      </w:r>
      <w:r w:rsidR="002828DE">
        <w:rPr>
          <w:rStyle w:val="FootnoteReference"/>
        </w:rPr>
        <w:footnoteReference w:id="131"/>
      </w:r>
    </w:p>
    <w:p w14:paraId="7CDE595F" w14:textId="01F5DA75" w:rsidR="00A8139C" w:rsidRDefault="002837D4" w:rsidP="00B40B32">
      <w:r>
        <w:t xml:space="preserve">In </w:t>
      </w:r>
      <w:r w:rsidR="00A8139C">
        <w:t>its draft</w:t>
      </w:r>
      <w:r>
        <w:t xml:space="preserve"> </w:t>
      </w:r>
      <w:r w:rsidR="00A8139C">
        <w:t>determination</w:t>
      </w:r>
      <w:r w:rsidR="00912C82">
        <w:t xml:space="preserve">, the AEMC proposed to introduce a new </w:t>
      </w:r>
      <w:r w:rsidR="0056481D">
        <w:t>obligation on retailers to ensure hardship customers pay no more than the deemed better offer for that customer.</w:t>
      </w:r>
      <w:r w:rsidR="00901A77">
        <w:rPr>
          <w:rStyle w:val="FootnoteReference"/>
        </w:rPr>
        <w:footnoteReference w:id="132"/>
      </w:r>
      <w:r w:rsidR="0056481D">
        <w:t xml:space="preserve"> </w:t>
      </w:r>
    </w:p>
    <w:p w14:paraId="283CDB63" w14:textId="77CDD21D" w:rsidR="00C1060B" w:rsidRDefault="00CA4936" w:rsidP="00B40B32">
      <w:r>
        <w:t xml:space="preserve">Retailers </w:t>
      </w:r>
      <w:r w:rsidR="00D828F5">
        <w:t xml:space="preserve">would </w:t>
      </w:r>
      <w:r w:rsidR="0066282C">
        <w:t>be able</w:t>
      </w:r>
      <w:r>
        <w:t xml:space="preserve"> to comply with this obligation </w:t>
      </w:r>
      <w:r w:rsidR="006F7FD3">
        <w:t>e</w:t>
      </w:r>
      <w:r>
        <w:t>ither by providing a financial benefit (</w:t>
      </w:r>
      <w:r w:rsidR="006F7FD3">
        <w:t>a credit or discount</w:t>
      </w:r>
      <w:r>
        <w:t>) on the customer</w:t>
      </w:r>
      <w:r w:rsidR="00FA5123">
        <w:t>’</w:t>
      </w:r>
      <w:r>
        <w:t xml:space="preserve">s </w:t>
      </w:r>
      <w:r w:rsidR="00FA5123">
        <w:t>bill</w:t>
      </w:r>
      <w:r w:rsidR="006D78F3">
        <w:t xml:space="preserve"> or </w:t>
      </w:r>
      <w:r w:rsidR="00BF33E4">
        <w:t xml:space="preserve">by </w:t>
      </w:r>
      <w:r w:rsidR="006D78F3">
        <w:t>moving the customer to the deemed be</w:t>
      </w:r>
      <w:r w:rsidR="00E5145E">
        <w:t>tter</w:t>
      </w:r>
      <w:r w:rsidR="006D78F3">
        <w:t xml:space="preserve"> offer after obtaining their explicit informed consen</w:t>
      </w:r>
      <w:r w:rsidR="00753634">
        <w:t xml:space="preserve">t. </w:t>
      </w:r>
    </w:p>
    <w:p w14:paraId="3A55DBE3" w14:textId="5320B141" w:rsidR="0092627A" w:rsidRDefault="00E01A53" w:rsidP="006A5CB8">
      <w:r>
        <w:t xml:space="preserve">The AEMC also proposes </w:t>
      </w:r>
      <w:r w:rsidR="006C1B69">
        <w:t>to introduce new reporting obligations which will measure the total number and percentage of hardship customers</w:t>
      </w:r>
      <w:r w:rsidR="00E5145E">
        <w:t xml:space="preserve"> on offers that are a deemed better offer, not a deemed better offer (and why) and above and below the standing offer. </w:t>
      </w:r>
    </w:p>
    <w:p w14:paraId="4B32E5B9" w14:textId="5CB67849" w:rsidR="000D3FC2" w:rsidRDefault="006F18F6" w:rsidP="00FC2E32">
      <w:r>
        <w:t>W</w:t>
      </w:r>
      <w:r w:rsidR="00D97AF8">
        <w:t>e</w:t>
      </w:r>
      <w:r w:rsidR="00992B24">
        <w:t xml:space="preserve"> considered </w:t>
      </w:r>
      <w:r w:rsidR="00EF0BBC">
        <w:t>adopting in Victoria</w:t>
      </w:r>
      <w:r w:rsidR="00BB53B8">
        <w:t xml:space="preserve"> a similar approach to the AEMC</w:t>
      </w:r>
      <w:r w:rsidR="000D3FC2">
        <w:t xml:space="preserve">. However, we </w:t>
      </w:r>
      <w:r w:rsidR="00784921">
        <w:t>consider</w:t>
      </w:r>
      <w:r w:rsidR="000D3FC2">
        <w:t xml:space="preserve"> there are important differences between the </w:t>
      </w:r>
      <w:r w:rsidR="00D606B1">
        <w:t>base case for</w:t>
      </w:r>
      <w:r w:rsidR="00C56C5A">
        <w:t xml:space="preserve"> our reforms and for</w:t>
      </w:r>
      <w:r w:rsidR="00D606B1">
        <w:t xml:space="preserve"> the AEMC’s draft determinatio</w:t>
      </w:r>
      <w:r w:rsidR="00BF3EFC">
        <w:t>n. These differences include</w:t>
      </w:r>
      <w:r w:rsidR="00E862DE">
        <w:t>:</w:t>
      </w:r>
    </w:p>
    <w:p w14:paraId="7AC353F6" w14:textId="2E181C20" w:rsidR="00E862DE" w:rsidRPr="002B54E1" w:rsidRDefault="00FF4AD6" w:rsidP="00A92E17">
      <w:pPr>
        <w:pStyle w:val="ListBullet"/>
      </w:pPr>
      <w:r w:rsidRPr="002B54E1">
        <w:t>T</w:t>
      </w:r>
      <w:r w:rsidR="007B6337" w:rsidRPr="002B54E1">
        <w:t xml:space="preserve">he </w:t>
      </w:r>
      <w:r w:rsidR="00BF3EFC" w:rsidRPr="002B54E1">
        <w:t>lack</w:t>
      </w:r>
      <w:r w:rsidR="00255A12" w:rsidRPr="002B54E1">
        <w:t xml:space="preserve"> of a Payment Difficulty Framework in the N</w:t>
      </w:r>
      <w:r w:rsidR="009B0F3F" w:rsidRPr="002B54E1">
        <w:t xml:space="preserve">ational </w:t>
      </w:r>
      <w:r w:rsidR="00255A12" w:rsidRPr="002B54E1">
        <w:t>E</w:t>
      </w:r>
      <w:r w:rsidR="009B0F3F" w:rsidRPr="002B54E1">
        <w:t xml:space="preserve">nergy </w:t>
      </w:r>
      <w:r w:rsidR="00255A12" w:rsidRPr="002B54E1">
        <w:t>C</w:t>
      </w:r>
      <w:r w:rsidR="009B0F3F" w:rsidRPr="002B54E1">
        <w:t xml:space="preserve">ustomer </w:t>
      </w:r>
      <w:r w:rsidR="00255A12" w:rsidRPr="002B54E1">
        <w:t>F</w:t>
      </w:r>
      <w:r w:rsidR="009B0F3F" w:rsidRPr="002B54E1">
        <w:t>ramework</w:t>
      </w:r>
      <w:r w:rsidR="00C76C4C" w:rsidRPr="002B54E1">
        <w:t xml:space="preserve"> (NECF)</w:t>
      </w:r>
      <w:r w:rsidRPr="002B54E1">
        <w:t>. This</w:t>
      </w:r>
      <w:r w:rsidR="00255A12" w:rsidRPr="002B54E1">
        <w:t xml:space="preserve"> means </w:t>
      </w:r>
      <w:r w:rsidR="00CB3907" w:rsidRPr="002B54E1">
        <w:t>the</w:t>
      </w:r>
      <w:r w:rsidR="006D7866" w:rsidRPr="002B54E1">
        <w:t xml:space="preserve">re is no clear set criterion to define eligibility for </w:t>
      </w:r>
      <w:r w:rsidR="00EE2E50" w:rsidRPr="002B54E1">
        <w:t>an automatic best offer mechanism</w:t>
      </w:r>
      <w:r w:rsidR="005B1F2C" w:rsidRPr="002B54E1">
        <w:t xml:space="preserve"> (which would rely on each retailer’s criteria for accepting customers into </w:t>
      </w:r>
      <w:r w:rsidR="001F7659" w:rsidRPr="002B54E1">
        <w:t>its</w:t>
      </w:r>
      <w:r w:rsidR="005B1F2C" w:rsidRPr="002B54E1">
        <w:t xml:space="preserve"> hardship program)</w:t>
      </w:r>
      <w:r w:rsidR="003D2DEB" w:rsidRPr="002B54E1">
        <w:t>.</w:t>
      </w:r>
    </w:p>
    <w:p w14:paraId="6E2D251F" w14:textId="49F95F3E" w:rsidR="0033229D" w:rsidRDefault="001C6649" w:rsidP="00A92E17">
      <w:pPr>
        <w:pStyle w:val="ListBullet"/>
      </w:pPr>
      <w:r>
        <w:lastRenderedPageBreak/>
        <w:t>T</w:t>
      </w:r>
      <w:r w:rsidR="00DE06C8">
        <w:t>he</w:t>
      </w:r>
      <w:r w:rsidR="00C57D52">
        <w:t xml:space="preserve"> </w:t>
      </w:r>
      <w:r w:rsidR="00DE06C8">
        <w:t>commission has the statutory power</w:t>
      </w:r>
      <w:r w:rsidR="00B67BAD">
        <w:t xml:space="preserve"> to </w:t>
      </w:r>
      <w:r w:rsidR="00DE06C8">
        <w:t>review and amend</w:t>
      </w:r>
      <w:r w:rsidR="00B67BAD">
        <w:t xml:space="preserve"> </w:t>
      </w:r>
      <w:r>
        <w:t xml:space="preserve">the </w:t>
      </w:r>
      <w:r w:rsidR="00B67BAD">
        <w:t xml:space="preserve">explicit informed consent requirements </w:t>
      </w:r>
      <w:r>
        <w:t xml:space="preserve">that are set </w:t>
      </w:r>
      <w:r w:rsidR="00B67BAD">
        <w:t xml:space="preserve">in </w:t>
      </w:r>
      <w:r w:rsidR="00715FBD">
        <w:t>the code</w:t>
      </w:r>
      <w:r>
        <w:t xml:space="preserve">. </w:t>
      </w:r>
      <w:r w:rsidR="00C92CFF">
        <w:t>To make similar amendments in the NECF, a legislative process would be required to amend the</w:t>
      </w:r>
      <w:r w:rsidR="00810BB6">
        <w:t xml:space="preserve"> National Energy Retail Law.</w:t>
      </w:r>
    </w:p>
    <w:p w14:paraId="3C48CA77" w14:textId="2C063475" w:rsidR="006A5CB8" w:rsidRDefault="00895CAB" w:rsidP="00A92E17">
      <w:pPr>
        <w:pStyle w:val="ListBullet"/>
      </w:pPr>
      <w:r>
        <w:t xml:space="preserve">Stakeholder feedback </w:t>
      </w:r>
      <w:r w:rsidR="00F317A3">
        <w:t xml:space="preserve">on the comparative </w:t>
      </w:r>
      <w:r w:rsidR="00B53A8E">
        <w:t>advantages and disad</w:t>
      </w:r>
      <w:r w:rsidR="00002A6D">
        <w:t xml:space="preserve">vantages of </w:t>
      </w:r>
      <w:r w:rsidR="004B6F35">
        <w:t xml:space="preserve">the potential mechanisms to implement this reform, which was </w:t>
      </w:r>
      <w:r w:rsidR="00A4661D">
        <w:t xml:space="preserve">more </w:t>
      </w:r>
      <w:r w:rsidR="00AB443F">
        <w:t>unfavourable</w:t>
      </w:r>
      <w:r w:rsidR="004B6F35">
        <w:t xml:space="preserve"> </w:t>
      </w:r>
      <w:r w:rsidR="00062FC9">
        <w:t>towards the crediting mechanism.</w:t>
      </w:r>
    </w:p>
    <w:p w14:paraId="17C36A15" w14:textId="3EF89247" w:rsidR="00351698" w:rsidRPr="00972ADE" w:rsidRDefault="00351698" w:rsidP="00415E1D">
      <w:pPr>
        <w:pStyle w:val="Heading4"/>
      </w:pPr>
      <w:r>
        <w:t>What options are we presenting and assessing?</w:t>
      </w:r>
    </w:p>
    <w:p w14:paraId="232A1879" w14:textId="1404D80B" w:rsidR="00820729" w:rsidRPr="00972ADE" w:rsidRDefault="00801597" w:rsidP="00FC2E32">
      <w:r>
        <w:t xml:space="preserve">We have conducted an initial assessment of </w:t>
      </w:r>
      <w:r w:rsidR="006027A4">
        <w:t xml:space="preserve">the </w:t>
      </w:r>
      <w:r>
        <w:t xml:space="preserve">options </w:t>
      </w:r>
      <w:r w:rsidR="006027A4">
        <w:t>that</w:t>
      </w:r>
      <w:r>
        <w:t xml:space="preserve"> are </w:t>
      </w:r>
      <w:r w:rsidR="00A97759">
        <w:t>appropriate to progress for further a</w:t>
      </w:r>
      <w:r w:rsidR="007F45BC">
        <w:t>s</w:t>
      </w:r>
      <w:r w:rsidR="00A97759">
        <w:t>sessment</w:t>
      </w:r>
      <w:r>
        <w:t xml:space="preserve">. This is based on how </w:t>
      </w:r>
      <w:r w:rsidR="004801E0">
        <w:t xml:space="preserve">likely the options are to achieve our desired </w:t>
      </w:r>
      <w:r w:rsidR="00E1001D">
        <w:t>outcomes</w:t>
      </w:r>
      <w:r w:rsidR="0020444B">
        <w:t>,</w:t>
      </w:r>
      <w:r w:rsidR="00513D7A">
        <w:t xml:space="preserve"> ease </w:t>
      </w:r>
      <w:r w:rsidR="003000AE">
        <w:t xml:space="preserve">of implementation and other practical </w:t>
      </w:r>
      <w:r w:rsidR="00E74EE3">
        <w:t>considerations as well as</w:t>
      </w:r>
      <w:r w:rsidR="003000AE">
        <w:t xml:space="preserve"> initial feedback from stakeholders </w:t>
      </w:r>
      <w:r w:rsidR="00EB2CD7">
        <w:t xml:space="preserve">in their submissions and </w:t>
      </w:r>
      <w:r w:rsidR="003000AE">
        <w:t xml:space="preserve">during </w:t>
      </w:r>
      <w:r w:rsidR="00912BF2">
        <w:t>workshops we held in December 2024.</w:t>
      </w:r>
      <w:r w:rsidR="00E2222C">
        <w:t xml:space="preserve"> </w:t>
      </w:r>
    </w:p>
    <w:p w14:paraId="096D6579" w14:textId="4D88B39B" w:rsidR="009F373D" w:rsidRDefault="002139B8">
      <w:r>
        <w:t xml:space="preserve">There are </w:t>
      </w:r>
      <w:r w:rsidR="003E146D">
        <w:t>several</w:t>
      </w:r>
      <w:r w:rsidR="00BA752B">
        <w:t xml:space="preserve"> implementation considerations on which we are not presenting multiple options. </w:t>
      </w:r>
      <w:r w:rsidR="009F373D">
        <w:t>These include:</w:t>
      </w:r>
    </w:p>
    <w:p w14:paraId="5BB2E0EE" w14:textId="105F0E0A" w:rsidR="009F373D" w:rsidRDefault="00F276BA" w:rsidP="00A92E17">
      <w:pPr>
        <w:pStyle w:val="ListBullet"/>
      </w:pPr>
      <w:r>
        <w:t xml:space="preserve">the frequency </w:t>
      </w:r>
      <w:r w:rsidR="00B32DBC">
        <w:t>of when eligibility checks need to occur</w:t>
      </w:r>
    </w:p>
    <w:p w14:paraId="009DB11B" w14:textId="29AA491C" w:rsidR="009F373D" w:rsidRDefault="00B32DBC" w:rsidP="00A92E17">
      <w:pPr>
        <w:pStyle w:val="ListBullet"/>
      </w:pPr>
      <w:r>
        <w:t>how quickly a customer needs to be moved to the best offer</w:t>
      </w:r>
    </w:p>
    <w:p w14:paraId="0E5537A6" w14:textId="04C388D9" w:rsidR="009F373D" w:rsidRDefault="00B32DBC" w:rsidP="00A92E17">
      <w:pPr>
        <w:pStyle w:val="ListBullet"/>
      </w:pPr>
      <w:r>
        <w:t xml:space="preserve">how </w:t>
      </w:r>
      <w:r w:rsidR="003964B8">
        <w:t>opt-out</w:t>
      </w:r>
      <w:r w:rsidR="00E22001">
        <w:t>s</w:t>
      </w:r>
      <w:r w:rsidR="003964B8">
        <w:t xml:space="preserve"> or additional protections would operate.</w:t>
      </w:r>
    </w:p>
    <w:p w14:paraId="282035A6" w14:textId="42E7B2C6" w:rsidR="00410D25" w:rsidRPr="00972ADE" w:rsidRDefault="0088392A" w:rsidP="00FC2E32">
      <w:r>
        <w:t>We consider that testing multiple options for each of the</w:t>
      </w:r>
      <w:r w:rsidR="009B056C">
        <w:t>se considerations would be too complex</w:t>
      </w:r>
      <w:r w:rsidR="00D354FB">
        <w:t xml:space="preserve"> for the purposes of </w:t>
      </w:r>
      <w:r w:rsidR="003E140B">
        <w:t>assessing the impact of this reform</w:t>
      </w:r>
      <w:r w:rsidR="00D354FB">
        <w:t xml:space="preserve">. </w:t>
      </w:r>
      <w:r w:rsidR="00E92ABF">
        <w:t>However,</w:t>
      </w:r>
      <w:r w:rsidR="0024062F">
        <w:t xml:space="preserve"> we encourage stakeholders to provide feedback </w:t>
      </w:r>
      <w:r w:rsidR="004624F9">
        <w:t xml:space="preserve">on these considerations, </w:t>
      </w:r>
      <w:r w:rsidR="00133B62">
        <w:t>particularly in relation to</w:t>
      </w:r>
      <w:r w:rsidR="0024062F">
        <w:t xml:space="preserve"> </w:t>
      </w:r>
      <w:r w:rsidR="00156FCC">
        <w:t>appropriate</w:t>
      </w:r>
      <w:r w:rsidR="0024062F">
        <w:t xml:space="preserve"> </w:t>
      </w:r>
      <w:r w:rsidR="004F6EF0">
        <w:t xml:space="preserve">timelines and protections </w:t>
      </w:r>
      <w:r w:rsidR="00156FCC">
        <w:t>for the proposed mechanism</w:t>
      </w:r>
      <w:r w:rsidR="004F6EF0">
        <w:t xml:space="preserve">. </w:t>
      </w:r>
    </w:p>
    <w:p w14:paraId="0A4404E7" w14:textId="77777777" w:rsidR="00E4230E" w:rsidRDefault="00E4230E" w:rsidP="00E4230E">
      <w:pPr>
        <w:pStyle w:val="Heading2numbered"/>
      </w:pPr>
      <w:bookmarkStart w:id="135" w:name="_Toc197959434"/>
      <w:r>
        <w:t>Options considered but not progressed to assessment</w:t>
      </w:r>
      <w:bookmarkEnd w:id="135"/>
    </w:p>
    <w:p w14:paraId="4D39B83C" w14:textId="016A0F56" w:rsidR="00D9355A" w:rsidRDefault="00D9355A" w:rsidP="0081076A">
      <w:pPr>
        <w:pStyle w:val="Heading3numbered"/>
      </w:pPr>
      <w:r>
        <w:t>Automa</w:t>
      </w:r>
      <w:r w:rsidR="003B27B0">
        <w:t>tic switching of all customers eligible for a concession</w:t>
      </w:r>
    </w:p>
    <w:p w14:paraId="156EF4AA" w14:textId="77777777" w:rsidR="00110AF2" w:rsidRDefault="00FC274C" w:rsidP="00FC274C">
      <w:r>
        <w:t>We consider</w:t>
      </w:r>
      <w:r w:rsidR="005D73EC">
        <w:t>ed</w:t>
      </w:r>
      <w:r>
        <w:t xml:space="preserve"> the option of applying the automatic best offer reform to all customers </w:t>
      </w:r>
      <w:r w:rsidR="005D73EC">
        <w:t>receiving energy</w:t>
      </w:r>
      <w:r>
        <w:t xml:space="preserve"> concessions to be non-viable. </w:t>
      </w:r>
    </w:p>
    <w:p w14:paraId="51F026DF" w14:textId="574675E0" w:rsidR="005D73EC" w:rsidRDefault="001C686F" w:rsidP="00FC274C">
      <w:r>
        <w:t xml:space="preserve">We consider it </w:t>
      </w:r>
      <w:r w:rsidR="00FC274C">
        <w:t xml:space="preserve">is </w:t>
      </w:r>
      <w:r>
        <w:t xml:space="preserve">unlikely that all customers with concessions are experiencing payment difficulty or require additional support from the automatic best offer. </w:t>
      </w:r>
      <w:r w:rsidR="00295436">
        <w:t xml:space="preserve">This is because </w:t>
      </w:r>
      <w:r w:rsidR="00CA5048">
        <w:t>concessions are offered to make energy affordable for low-income households</w:t>
      </w:r>
      <w:r w:rsidR="00AD75A8">
        <w:t xml:space="preserve"> </w:t>
      </w:r>
      <w:r w:rsidR="00CA5048">
        <w:t xml:space="preserve">– </w:t>
      </w:r>
      <w:r w:rsidR="00661DA4">
        <w:t xml:space="preserve">not all of which </w:t>
      </w:r>
      <w:r w:rsidR="009D6F5F">
        <w:t>may be experiencing payment difficulty</w:t>
      </w:r>
      <w:r w:rsidR="00AD75A8">
        <w:t>.</w:t>
      </w:r>
      <w:r w:rsidR="00AD75A8">
        <w:rPr>
          <w:rStyle w:val="FootnoteReference"/>
        </w:rPr>
        <w:footnoteReference w:id="133"/>
      </w:r>
      <w:r w:rsidR="00AD75A8">
        <w:t xml:space="preserve"> </w:t>
      </w:r>
      <w:r>
        <w:t>The Department of Families, Fairness and Housing states that more than 900,000 Victorian households receive help from concessions.</w:t>
      </w:r>
      <w:r>
        <w:rPr>
          <w:rStyle w:val="FootnoteReference"/>
        </w:rPr>
        <w:footnoteReference w:id="134"/>
      </w:r>
      <w:r>
        <w:t xml:space="preserve"> In comparison, the monthly </w:t>
      </w:r>
      <w:r>
        <w:lastRenderedPageBreak/>
        <w:t xml:space="preserve">average number of electricity customers </w:t>
      </w:r>
      <w:r w:rsidR="003D17D5">
        <w:t>receiv</w:t>
      </w:r>
      <w:r>
        <w:t>ing tailored assistance in 2023</w:t>
      </w:r>
      <w:r w:rsidR="002B0D7F">
        <w:rPr>
          <w:rFonts w:cstheme="minorHAnsi"/>
        </w:rPr>
        <w:t>–</w:t>
      </w:r>
      <w:r>
        <w:t>24 was 69,518.</w:t>
      </w:r>
      <w:r w:rsidR="007E2A3C">
        <w:t xml:space="preserve"> F</w:t>
      </w:r>
      <w:r>
        <w:t>urther, this option</w:t>
      </w:r>
      <w:r w:rsidR="001521E4">
        <w:t xml:space="preserve"> would </w:t>
      </w:r>
      <w:r w:rsidR="00C918A0">
        <w:t xml:space="preserve">substantially increase the scope, cost and complexity of the reform </w:t>
      </w:r>
      <w:r w:rsidR="00E637A0">
        <w:t xml:space="preserve">and </w:t>
      </w:r>
      <w:r w:rsidR="00C918A0">
        <w:t>provide less targeted support to those experiencing payment difficulty</w:t>
      </w:r>
      <w:r w:rsidR="006D7C24">
        <w:t>.</w:t>
      </w:r>
    </w:p>
    <w:p w14:paraId="7D92078A" w14:textId="68D59B29" w:rsidR="00872B48" w:rsidRDefault="00872B48" w:rsidP="00872B48">
      <w:pPr>
        <w:pStyle w:val="Heading2numbered"/>
      </w:pPr>
      <w:bookmarkStart w:id="138" w:name="_Toc195088485"/>
      <w:bookmarkStart w:id="139" w:name="_Toc195088584"/>
      <w:bookmarkStart w:id="140" w:name="_Toc195184833"/>
      <w:bookmarkStart w:id="141" w:name="_Toc195261881"/>
      <w:bookmarkStart w:id="142" w:name="_Toc195617168"/>
      <w:bookmarkStart w:id="143" w:name="_Toc195642853"/>
      <w:bookmarkStart w:id="144" w:name="_Toc195692565"/>
      <w:bookmarkStart w:id="145" w:name="_Toc195701857"/>
      <w:bookmarkStart w:id="146" w:name="_Toc195088486"/>
      <w:bookmarkStart w:id="147" w:name="_Toc195088585"/>
      <w:bookmarkStart w:id="148" w:name="_Toc195184834"/>
      <w:bookmarkStart w:id="149" w:name="_Toc195261882"/>
      <w:bookmarkStart w:id="150" w:name="_Toc195617169"/>
      <w:bookmarkStart w:id="151" w:name="_Toc195642854"/>
      <w:bookmarkStart w:id="152" w:name="_Toc195692566"/>
      <w:bookmarkStart w:id="153" w:name="_Toc195701858"/>
      <w:bookmarkStart w:id="154" w:name="_Toc197959435"/>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t>Options</w:t>
      </w:r>
      <w:bookmarkEnd w:id="154"/>
    </w:p>
    <w:p w14:paraId="02E45738" w14:textId="134A9DE3" w:rsidR="00204CB1" w:rsidRPr="00204CB1" w:rsidRDefault="002D4244" w:rsidP="00415E1D">
      <w:r w:rsidRPr="00DC6742">
        <w:t>In this section w</w:t>
      </w:r>
      <w:r w:rsidR="00F06467" w:rsidRPr="00DC6742">
        <w:t>e</w:t>
      </w:r>
      <w:r w:rsidR="00D76AAB" w:rsidRPr="00DC6742">
        <w:t xml:space="preserve"> describe and</w:t>
      </w:r>
      <w:r w:rsidR="003A6281" w:rsidRPr="00DC6742">
        <w:t xml:space="preserve"> </w:t>
      </w:r>
      <w:r w:rsidR="000A6217" w:rsidRPr="00DC6742">
        <w:t>consider the base case</w:t>
      </w:r>
      <w:r w:rsidR="001B3CC9" w:rsidRPr="00DC6742">
        <w:t>.</w:t>
      </w:r>
      <w:r w:rsidR="000A6217" w:rsidRPr="00DC6742">
        <w:t xml:space="preserve"> </w:t>
      </w:r>
      <w:r w:rsidR="001671EE" w:rsidRPr="00DC6742">
        <w:t>We then</w:t>
      </w:r>
      <w:r w:rsidR="000A6217" w:rsidRPr="00DC6742">
        <w:t xml:space="preserve"> </w:t>
      </w:r>
      <w:r w:rsidR="00A57544" w:rsidRPr="00DC6742">
        <w:t>discuss</w:t>
      </w:r>
      <w:r w:rsidR="00F3216A" w:rsidRPr="00DC6742">
        <w:t xml:space="preserve"> the frequency </w:t>
      </w:r>
      <w:r w:rsidR="00662050" w:rsidRPr="00DC6742">
        <w:t>of applying the</w:t>
      </w:r>
      <w:r w:rsidR="00F3216A" w:rsidRPr="00DC6742">
        <w:t xml:space="preserve"> automatic best offer reform </w:t>
      </w:r>
      <w:r w:rsidR="00662050" w:rsidRPr="00DC6742">
        <w:t>to each individual customer</w:t>
      </w:r>
      <w:r w:rsidR="00F3216A" w:rsidRPr="00DC6742">
        <w:t xml:space="preserve">. We are </w:t>
      </w:r>
      <w:r w:rsidR="00A52769" w:rsidRPr="00DC6742">
        <w:t>proposing a</w:t>
      </w:r>
      <w:r w:rsidR="00604EB1" w:rsidRPr="00DC6742">
        <w:t xml:space="preserve"> single option for frequency </w:t>
      </w:r>
      <w:r w:rsidR="0074163B" w:rsidRPr="00DC6742">
        <w:t xml:space="preserve">but invite stakeholders </w:t>
      </w:r>
      <w:r w:rsidR="006A3E45" w:rsidRPr="00DC6742">
        <w:t xml:space="preserve">to suggest alternatives </w:t>
      </w:r>
      <w:r w:rsidR="00520170" w:rsidRPr="00DC6742">
        <w:t xml:space="preserve">that may be more effective or </w:t>
      </w:r>
      <w:r w:rsidR="00D62195" w:rsidRPr="00DC6742">
        <w:t>easier to implement</w:t>
      </w:r>
      <w:r w:rsidR="00520170" w:rsidRPr="00DC6742">
        <w:t xml:space="preserve">. </w:t>
      </w:r>
      <w:r w:rsidR="00B604ED" w:rsidRPr="00DC6742">
        <w:t>W</w:t>
      </w:r>
      <w:r w:rsidR="00283EFC" w:rsidRPr="00DC6742">
        <w:t xml:space="preserve">e </w:t>
      </w:r>
      <w:r w:rsidR="00B82996" w:rsidRPr="00DC6742">
        <w:t>outline</w:t>
      </w:r>
      <w:r w:rsidR="00283EFC" w:rsidRPr="00DC6742">
        <w:t xml:space="preserve"> </w:t>
      </w:r>
      <w:r w:rsidR="00B604ED" w:rsidRPr="00DC6742">
        <w:t xml:space="preserve">two </w:t>
      </w:r>
      <w:r w:rsidR="00283EFC" w:rsidRPr="00DC6742">
        <w:t xml:space="preserve">different options </w:t>
      </w:r>
      <w:r w:rsidR="00D62195" w:rsidRPr="00DC6742">
        <w:t>for eligibility</w:t>
      </w:r>
      <w:r w:rsidR="00283EFC" w:rsidRPr="00DC6742">
        <w:t xml:space="preserve"> to receive the </w:t>
      </w:r>
      <w:r w:rsidR="00A15A56" w:rsidRPr="00DC6742">
        <w:t>automatic best offer</w:t>
      </w:r>
      <w:r w:rsidR="00B604ED" w:rsidRPr="00DC6742">
        <w:t xml:space="preserve">, followed by three options </w:t>
      </w:r>
      <w:r w:rsidR="006D5158" w:rsidRPr="00DC6742">
        <w:t xml:space="preserve">for </w:t>
      </w:r>
      <w:r w:rsidR="00855639" w:rsidRPr="00DC6742">
        <w:t>how this reform could be implemen</w:t>
      </w:r>
      <w:r w:rsidR="00D84133" w:rsidRPr="00DC6742">
        <w:t>t</w:t>
      </w:r>
      <w:r w:rsidR="00F06467" w:rsidRPr="00DC6742">
        <w:t>ed</w:t>
      </w:r>
      <w:r w:rsidR="00D84133" w:rsidRPr="00DC6742">
        <w:t xml:space="preserve"> using a variety of mechanisms. </w:t>
      </w:r>
    </w:p>
    <w:p w14:paraId="7ED1E6EE" w14:textId="1C723210" w:rsidR="00A047A2" w:rsidRPr="00204CB1" w:rsidRDefault="00A047A2" w:rsidP="00415E1D">
      <w:r>
        <w:t>All proposed options to implement an automatic best offer would require updating the commission’s payment difficulty framework guideline, compliance and performance reporting guideline, best offer guideline and retailers’ financial hardship policies.</w:t>
      </w:r>
      <w:r>
        <w:rPr>
          <w:rStyle w:val="FootnoteReference"/>
        </w:rPr>
        <w:footnoteReference w:id="135"/>
      </w:r>
      <w:r>
        <w:t xml:space="preserve"> </w:t>
      </w:r>
    </w:p>
    <w:p w14:paraId="6DD97FAB" w14:textId="77777777" w:rsidR="00131703" w:rsidRDefault="00131703" w:rsidP="00FC2E32">
      <w:pPr>
        <w:pStyle w:val="Heading3numbered"/>
      </w:pPr>
      <w:r>
        <w:t xml:space="preserve">Base case </w:t>
      </w:r>
    </w:p>
    <w:p w14:paraId="24838C2E" w14:textId="7421676B" w:rsidR="00027F0F" w:rsidRPr="00027F0F" w:rsidRDefault="00027F0F" w:rsidP="00027F0F">
      <w:pPr>
        <w:pStyle w:val="Heading4"/>
      </w:pPr>
      <w:r>
        <w:t>Payment difficulty assistance requirements</w:t>
      </w:r>
    </w:p>
    <w:p w14:paraId="255BE83C" w14:textId="63F74409" w:rsidR="00D979EE" w:rsidRDefault="00131703" w:rsidP="00131703">
      <w:r>
        <w:t>The base case for this reform would be that the existing P</w:t>
      </w:r>
      <w:r w:rsidR="00ED5BCC">
        <w:t xml:space="preserve">ayment </w:t>
      </w:r>
      <w:r>
        <w:t>D</w:t>
      </w:r>
      <w:r w:rsidR="00ED5BCC">
        <w:t xml:space="preserve">ifficulty </w:t>
      </w:r>
      <w:r>
        <w:t>F</w:t>
      </w:r>
      <w:r w:rsidR="00ED5BCC">
        <w:t>ramework</w:t>
      </w:r>
      <w:r>
        <w:t xml:space="preserve"> and best offer requirements in the </w:t>
      </w:r>
      <w:r w:rsidR="00140D95">
        <w:t xml:space="preserve">code </w:t>
      </w:r>
      <w:r>
        <w:t xml:space="preserve">continue to apply. </w:t>
      </w:r>
    </w:p>
    <w:p w14:paraId="141E2B5C" w14:textId="1FF9FE44" w:rsidR="00A003B2" w:rsidRDefault="00A003B2" w:rsidP="00A003B2">
      <w:r>
        <w:t xml:space="preserve">Under the </w:t>
      </w:r>
      <w:r w:rsidR="00ED5BCC">
        <w:t>framework</w:t>
      </w:r>
      <w:r>
        <w:t>, customers are eligible to receive tailored assistance when they are in any amount of energy debt.</w:t>
      </w:r>
      <w:r>
        <w:rPr>
          <w:rStyle w:val="FootnoteReference"/>
        </w:rPr>
        <w:footnoteReference w:id="136"/>
      </w:r>
      <w:r>
        <w:t xml:space="preserve"> </w:t>
      </w:r>
      <w:r w:rsidR="00DF274A">
        <w:t>To receive this assistance</w:t>
      </w:r>
      <w:r>
        <w:t xml:space="preserve">, customers </w:t>
      </w:r>
      <w:r w:rsidR="00DF274A">
        <w:t>are required</w:t>
      </w:r>
      <w:r>
        <w:t xml:space="preserve"> to engage and communicate with their retailer.</w:t>
      </w:r>
      <w:r w:rsidR="00866B92">
        <w:t xml:space="preserve"> </w:t>
      </w:r>
    </w:p>
    <w:p w14:paraId="489252A8" w14:textId="22BA333F" w:rsidR="000A6ADF" w:rsidRDefault="000A6ADF" w:rsidP="00A003B2">
      <w:r>
        <w:t>All tailored assistance customers are entitled to:</w:t>
      </w:r>
    </w:p>
    <w:p w14:paraId="4546A27D" w14:textId="53109F38" w:rsidR="00367EE1" w:rsidRPr="002B602A" w:rsidRDefault="00367EE1" w:rsidP="00A92E17">
      <w:pPr>
        <w:pStyle w:val="ListBullet"/>
      </w:pPr>
      <w:r w:rsidRPr="002B602A">
        <w:t>specific advice about the likely cost of a residential customer’s future energy use and how this cost may be lowered</w:t>
      </w:r>
    </w:p>
    <w:p w14:paraId="20B57D22" w14:textId="1FC91754" w:rsidR="00483917" w:rsidRPr="002B602A" w:rsidRDefault="00367EE1" w:rsidP="00A92E17">
      <w:pPr>
        <w:pStyle w:val="ListBullet"/>
      </w:pPr>
      <w:r w:rsidRPr="002B602A">
        <w:lastRenderedPageBreak/>
        <w:t>specific advice about any government and non-government assistance (including Utility Relief Grants and energy concessions) available to help a residential customer meet their energy costs.</w:t>
      </w:r>
    </w:p>
    <w:p w14:paraId="0FAB4773" w14:textId="4524FA00" w:rsidR="0036751C" w:rsidRDefault="00A003B2" w:rsidP="00131703">
      <w:r>
        <w:t xml:space="preserve">Currently, retailers are only required to conduct a tariff check for customers </w:t>
      </w:r>
      <w:r w:rsidR="00973D2D">
        <w:t>receiv</w:t>
      </w:r>
      <w:r>
        <w:t>ing tailored assistance who are in arrears and cannot afford to pay for their ongoing energy costs.</w:t>
      </w:r>
      <w:r>
        <w:rPr>
          <w:rStyle w:val="FootnoteReference"/>
        </w:rPr>
        <w:footnoteReference w:id="137"/>
      </w:r>
      <w:r>
        <w:t xml:space="preserve"> </w:t>
      </w:r>
    </w:p>
    <w:p w14:paraId="68DD5464" w14:textId="26D563FF" w:rsidR="004A5DCE" w:rsidRDefault="004A5DCE" w:rsidP="00027F0F">
      <w:r>
        <w:t>A tariff check</w:t>
      </w:r>
      <w:r w:rsidR="002643F9">
        <w:t xml:space="preserve"> requires the retailer to identify the tariff that is most likely to minimise a residential customer’s energy costs, based on that customer’s pattern of energy use and payment history.</w:t>
      </w:r>
      <w:r w:rsidR="00CF57D8">
        <w:t xml:space="preserve"> </w:t>
      </w:r>
      <w:r w:rsidR="009C5ED7">
        <w:t xml:space="preserve">In contrast, a best offer is calculated </w:t>
      </w:r>
      <w:r w:rsidR="00B03D8F">
        <w:t xml:space="preserve">having regard to that customer’s annual </w:t>
      </w:r>
      <w:r w:rsidR="00430BA8">
        <w:t>usage history</w:t>
      </w:r>
      <w:r w:rsidR="009E262A">
        <w:t xml:space="preserve"> and indicates the lowest cost generally available plan</w:t>
      </w:r>
      <w:r w:rsidR="008E5BF0">
        <w:t xml:space="preserve"> to that customer</w:t>
      </w:r>
      <w:r w:rsidR="00607D31">
        <w:t>.</w:t>
      </w:r>
      <w:r w:rsidR="005261A8">
        <w:t xml:space="preserve"> </w:t>
      </w:r>
      <w:r w:rsidR="008E5BF0">
        <w:t>While a tariff check is more flexible</w:t>
      </w:r>
      <w:r w:rsidR="00B835C4">
        <w:t>, we understand that in practice it is often the case that a retailer’s best offer would be the plan most likely to minimise a customer’s energy costs. Currently, both methods require the same process of</w:t>
      </w:r>
      <w:r w:rsidR="00023047">
        <w:t xml:space="preserve"> obtaining a customer’s</w:t>
      </w:r>
      <w:r w:rsidR="00B835C4">
        <w:t xml:space="preserve"> explicit informed consent to switch</w:t>
      </w:r>
      <w:r w:rsidR="00023047">
        <w:t xml:space="preserve"> to a new plan.</w:t>
      </w:r>
      <w:r w:rsidR="00E35F1C">
        <w:t xml:space="preserve"> </w:t>
      </w:r>
    </w:p>
    <w:p w14:paraId="592E8626" w14:textId="48A722E4" w:rsidR="004A5DCE" w:rsidRDefault="00FD30DD" w:rsidP="00FD30DD">
      <w:pPr>
        <w:pStyle w:val="Heading4"/>
      </w:pPr>
      <w:r>
        <w:t>Best offer message requirements</w:t>
      </w:r>
    </w:p>
    <w:p w14:paraId="1B910549" w14:textId="45BB88C3" w:rsidR="00DF274A" w:rsidRDefault="007C0AD3" w:rsidP="00131703">
      <w:r>
        <w:t>Best offer messages on bills are</w:t>
      </w:r>
      <w:r w:rsidR="006B6033">
        <w:t xml:space="preserve"> required for all </w:t>
      </w:r>
      <w:r w:rsidR="00915CC4">
        <w:t xml:space="preserve">Victorian residential and </w:t>
      </w:r>
      <w:r w:rsidR="006B6033">
        <w:t xml:space="preserve">small </w:t>
      </w:r>
      <w:r w:rsidR="00915CC4">
        <w:t>business</w:t>
      </w:r>
      <w:r w:rsidR="006B6033">
        <w:t xml:space="preserve"> customers. </w:t>
      </w:r>
      <w:r w:rsidR="00A14A6C">
        <w:t>The base case would mean that</w:t>
      </w:r>
      <w:r w:rsidR="006F0C5B">
        <w:t xml:space="preserve"> these customers continue to receive the best offer message on their bills at least once every three months for electricity and once every four months for gas.</w:t>
      </w:r>
      <w:r w:rsidR="00952EE2">
        <w:t xml:space="preserve"> </w:t>
      </w:r>
      <w:r w:rsidR="00C054C1">
        <w:t xml:space="preserve">A customer would </w:t>
      </w:r>
      <w:r w:rsidR="00D43E64">
        <w:t xml:space="preserve">still </w:t>
      </w:r>
      <w:r w:rsidR="00C054C1">
        <w:t xml:space="preserve">need to </w:t>
      </w:r>
      <w:r w:rsidR="000D64EE">
        <w:t xml:space="preserve">contact </w:t>
      </w:r>
      <w:r w:rsidR="00CD3F85">
        <w:t xml:space="preserve">and give their explicit informed consent to </w:t>
      </w:r>
      <w:r w:rsidR="000D64EE">
        <w:t xml:space="preserve">their retailer </w:t>
      </w:r>
      <w:r w:rsidR="007B4428">
        <w:t xml:space="preserve">to switch to </w:t>
      </w:r>
      <w:r w:rsidR="00D43E64">
        <w:t xml:space="preserve">a </w:t>
      </w:r>
      <w:r w:rsidR="007B4428">
        <w:t>best offer</w:t>
      </w:r>
      <w:r w:rsidR="00D43E64">
        <w:t>.</w:t>
      </w:r>
    </w:p>
    <w:p w14:paraId="4EE1D53D" w14:textId="73AE5AE5" w:rsidR="00393536" w:rsidRDefault="00393536" w:rsidP="00393536">
      <w:pPr>
        <w:pStyle w:val="Heading3numbered"/>
      </w:pPr>
      <w:r>
        <w:t xml:space="preserve">Proposed </w:t>
      </w:r>
      <w:r w:rsidR="00012E3B">
        <w:t xml:space="preserve">process </w:t>
      </w:r>
      <w:r w:rsidR="00853484">
        <w:t xml:space="preserve">for </w:t>
      </w:r>
      <w:r w:rsidR="00642A1F">
        <w:t>automatic best offer and regular reviews</w:t>
      </w:r>
      <w:r w:rsidR="00012E3B">
        <w:t xml:space="preserve"> </w:t>
      </w:r>
    </w:p>
    <w:p w14:paraId="1D941E3B" w14:textId="0CA01A4C" w:rsidR="00C41A82" w:rsidRDefault="00880FD7" w:rsidP="00131703">
      <w:r>
        <w:t xml:space="preserve">We propose that any </w:t>
      </w:r>
      <w:r w:rsidR="00465C0B">
        <w:t xml:space="preserve">automatic best offer </w:t>
      </w:r>
      <w:r w:rsidR="005E2810">
        <w:t>mechanism would</w:t>
      </w:r>
      <w:r w:rsidR="00465C0B">
        <w:t xml:space="preserve"> </w:t>
      </w:r>
      <w:r w:rsidR="00BC58D9">
        <w:t xml:space="preserve">require a retailer to </w:t>
      </w:r>
      <w:r w:rsidR="00096AE0">
        <w:t xml:space="preserve">undertake a best offer check within 10 business days </w:t>
      </w:r>
      <w:r w:rsidR="00815791">
        <w:t>fr</w:t>
      </w:r>
      <w:r w:rsidR="0067306C">
        <w:t xml:space="preserve">om the date a customer becomes </w:t>
      </w:r>
      <w:r w:rsidR="009C516A">
        <w:t>eligible. Retailers would then be</w:t>
      </w:r>
      <w:r w:rsidR="00393536">
        <w:t xml:space="preserve"> require</w:t>
      </w:r>
      <w:r w:rsidR="009C516A">
        <w:t>d</w:t>
      </w:r>
      <w:r w:rsidR="00393536">
        <w:t xml:space="preserve"> to </w:t>
      </w:r>
      <w:r w:rsidR="00F62116">
        <w:t>check whether</w:t>
      </w:r>
      <w:r w:rsidR="003A3EAB">
        <w:t xml:space="preserve"> eligible</w:t>
      </w:r>
      <w:r w:rsidR="00393536">
        <w:t xml:space="preserve"> customers </w:t>
      </w:r>
      <w:r w:rsidR="0063309E">
        <w:t>are on the retailer’s best offer</w:t>
      </w:r>
      <w:r w:rsidR="00393536">
        <w:t xml:space="preserve"> </w:t>
      </w:r>
      <w:r w:rsidR="002E7742">
        <w:t xml:space="preserve">at least </w:t>
      </w:r>
      <w:r w:rsidR="00393536">
        <w:t>once every six months</w:t>
      </w:r>
      <w:r w:rsidR="0097602F">
        <w:t xml:space="preserve"> for electricity and once every eight months </w:t>
      </w:r>
      <w:r w:rsidR="00D5546B">
        <w:t>for gas</w:t>
      </w:r>
      <w:r w:rsidR="00861D70">
        <w:t>,</w:t>
      </w:r>
      <w:r w:rsidR="009C516A">
        <w:t xml:space="preserve"> for as long as the customer remains eligible</w:t>
      </w:r>
      <w:r w:rsidR="00393536">
        <w:t>.</w:t>
      </w:r>
      <w:r w:rsidR="00D5546B">
        <w:t xml:space="preserve"> This </w:t>
      </w:r>
      <w:r w:rsidR="0034622B">
        <w:t xml:space="preserve">aligns with the </w:t>
      </w:r>
      <w:r w:rsidR="003C4A3A">
        <w:t xml:space="preserve">existing </w:t>
      </w:r>
      <w:r w:rsidR="00401C0B">
        <w:t>frequency requirements of the best offer message</w:t>
      </w:r>
      <w:r w:rsidR="001061AA">
        <w:t xml:space="preserve"> on bills and would involve </w:t>
      </w:r>
      <w:r w:rsidR="00EE409A">
        <w:t xml:space="preserve">a </w:t>
      </w:r>
      <w:r w:rsidR="001061AA">
        <w:t xml:space="preserve">maximum </w:t>
      </w:r>
      <w:r w:rsidR="00EE409A">
        <w:t>of two</w:t>
      </w:r>
      <w:r w:rsidR="001061AA">
        <w:t xml:space="preserve"> billing cycles</w:t>
      </w:r>
      <w:r w:rsidR="00A75583">
        <w:t>.</w:t>
      </w:r>
      <w:r w:rsidR="006C751A">
        <w:rPr>
          <w:rStyle w:val="FootnoteReference"/>
        </w:rPr>
        <w:footnoteReference w:id="138"/>
      </w:r>
      <w:r w:rsidR="00D00DE6">
        <w:t xml:space="preserve"> </w:t>
      </w:r>
      <w:r w:rsidR="00490C7F">
        <w:t xml:space="preserve">This would be </w:t>
      </w:r>
      <w:r w:rsidR="00C51308">
        <w:t>less frequent than</w:t>
      </w:r>
      <w:r w:rsidR="00490C7F">
        <w:t xml:space="preserve"> the AEMC’s proposed </w:t>
      </w:r>
      <w:r w:rsidR="00B613BB">
        <w:t xml:space="preserve">frequency of 100 days for </w:t>
      </w:r>
      <w:r w:rsidR="00C51308">
        <w:t xml:space="preserve">retailers to check and offer a hardship customer the better offer. The difference in timeframes is </w:t>
      </w:r>
      <w:r w:rsidR="00157B0B">
        <w:t xml:space="preserve">to align with existing best offer message requirements </w:t>
      </w:r>
      <w:r w:rsidR="00E25346">
        <w:t>in each jurisdiction.</w:t>
      </w:r>
      <w:r w:rsidR="00981721">
        <w:rPr>
          <w:rStyle w:val="FootnoteReference"/>
        </w:rPr>
        <w:footnoteReference w:id="139"/>
      </w:r>
    </w:p>
    <w:p w14:paraId="4DC2F589" w14:textId="74C4CF77" w:rsidR="00F62116" w:rsidRDefault="00C25194" w:rsidP="000F15D9">
      <w:r>
        <w:lastRenderedPageBreak/>
        <w:t>To mitigate regulatory burden, this frequency would leverage existing requirements for a retailer to perform a best offer calculation to determine which plan is the customer’s best offer.</w:t>
      </w:r>
      <w:r w:rsidR="000F15D9" w:rsidRPr="000F15D9">
        <w:t xml:space="preserve"> </w:t>
      </w:r>
      <w:r w:rsidR="000F15D9">
        <w:t>A retailer would only be required to conduct one additional best offer check (when the customer first becomes eligible) compared to what is currently required</w:t>
      </w:r>
      <w:r w:rsidR="00B10EB5">
        <w:t xml:space="preserve"> </w:t>
      </w:r>
      <w:r w:rsidR="00B10EB5" w:rsidRPr="006311D1">
        <w:t>and would perform the best offer check in lieu of the tariff check required today</w:t>
      </w:r>
      <w:r w:rsidR="000F15D9">
        <w:t>.</w:t>
      </w:r>
    </w:p>
    <w:p w14:paraId="45C56BC8" w14:textId="0B26EAB9" w:rsidR="00131703" w:rsidRDefault="00393536" w:rsidP="00131703">
      <w:r>
        <w:t xml:space="preserve">We welcome </w:t>
      </w:r>
      <w:r w:rsidR="007F74CD">
        <w:t>feedback on</w:t>
      </w:r>
      <w:r>
        <w:t xml:space="preserve"> alternative </w:t>
      </w:r>
      <w:r w:rsidR="007F74CD">
        <w:t xml:space="preserve">timeframes for </w:t>
      </w:r>
      <w:r w:rsidR="004E7F17">
        <w:t>how often</w:t>
      </w:r>
      <w:r w:rsidR="000F15D9">
        <w:t xml:space="preserve"> a</w:t>
      </w:r>
      <w:r w:rsidR="007F74CD">
        <w:t xml:space="preserve"> </w:t>
      </w:r>
      <w:r w:rsidR="001B74FD">
        <w:t>retailer should be required to check eligible customers are on their best offer.</w:t>
      </w:r>
      <w:r>
        <w:t xml:space="preserve"> </w:t>
      </w:r>
    </w:p>
    <w:p w14:paraId="1CB82B84" w14:textId="4B9E9F39" w:rsidR="008112FB" w:rsidRDefault="008112FB" w:rsidP="00FC2E32">
      <w:pPr>
        <w:pStyle w:val="Heading3numbered"/>
        <w:numPr>
          <w:ilvl w:val="0"/>
          <w:numId w:val="0"/>
        </w:numPr>
        <w:ind w:left="1134" w:hanging="1134"/>
      </w:pPr>
      <w:r>
        <w:t xml:space="preserve">Eligibility </w:t>
      </w:r>
    </w:p>
    <w:p w14:paraId="41C4ABE0" w14:textId="3D57FC85" w:rsidR="00131703" w:rsidRPr="001777C0" w:rsidRDefault="00393536" w:rsidP="00131703">
      <w:pPr>
        <w:pStyle w:val="Heading3numbered"/>
      </w:pPr>
      <w:r>
        <w:t>E</w:t>
      </w:r>
      <w:r w:rsidR="00131703">
        <w:t>ligibility</w:t>
      </w:r>
      <w:r>
        <w:t xml:space="preserve"> </w:t>
      </w:r>
      <w:r w:rsidR="000B2D6A">
        <w:t>o</w:t>
      </w:r>
      <w:r>
        <w:t>ption A</w:t>
      </w:r>
      <w:r w:rsidR="00924BEC">
        <w:t>A.1</w:t>
      </w:r>
      <w:r>
        <w:t xml:space="preserve"> – customers receiving tailored assistance</w:t>
      </w:r>
      <w:r w:rsidR="00131703">
        <w:t xml:space="preserve"> </w:t>
      </w:r>
    </w:p>
    <w:p w14:paraId="1818233B" w14:textId="737F508E" w:rsidR="000127F1" w:rsidRDefault="006255EE" w:rsidP="006255EE">
      <w:r>
        <w:t>The</w:t>
      </w:r>
      <w:r w:rsidR="00787D5A">
        <w:t xml:space="preserve"> first eligibility option is to make the automatic best offer reform available </w:t>
      </w:r>
      <w:r w:rsidR="00B64BF1">
        <w:t xml:space="preserve">only </w:t>
      </w:r>
      <w:r w:rsidR="00787D5A">
        <w:t xml:space="preserve">to customers </w:t>
      </w:r>
      <w:r w:rsidR="002E242A">
        <w:t xml:space="preserve">in arrears </w:t>
      </w:r>
      <w:r w:rsidR="009F7BEA">
        <w:t xml:space="preserve">receiving tailored assistance from </w:t>
      </w:r>
      <w:r w:rsidR="00A2153D">
        <w:t xml:space="preserve">their </w:t>
      </w:r>
      <w:r w:rsidR="009F7BEA">
        <w:t>reta</w:t>
      </w:r>
      <w:r w:rsidR="005B0E69">
        <w:t>iler</w:t>
      </w:r>
      <w:r w:rsidR="0008428B">
        <w:t>, regardless of whether they can or ca</w:t>
      </w:r>
      <w:r w:rsidR="0008428B" w:rsidRPr="0008428B">
        <w:t>nnot pay the full cost of their ongoing energy us</w:t>
      </w:r>
      <w:r w:rsidR="0008428B">
        <w:t xml:space="preserve">e. </w:t>
      </w:r>
    </w:p>
    <w:p w14:paraId="526784D9" w14:textId="6A934DAD" w:rsidR="00033391" w:rsidRDefault="0069554F" w:rsidP="006255EE">
      <w:r>
        <w:t>A</w:t>
      </w:r>
      <w:r w:rsidR="00F113E3">
        <w:t xml:space="preserve"> retailer would be required to switch </w:t>
      </w:r>
      <w:r w:rsidR="00E8129A">
        <w:t xml:space="preserve">to the best offer </w:t>
      </w:r>
      <w:r w:rsidR="00456770">
        <w:t>every</w:t>
      </w:r>
      <w:r w:rsidR="00E82EFC">
        <w:t xml:space="preserve"> customer </w:t>
      </w:r>
      <w:r w:rsidR="007D0154">
        <w:t>that engage</w:t>
      </w:r>
      <w:r w:rsidR="00456770">
        <w:t>s</w:t>
      </w:r>
      <w:r w:rsidR="007D0154">
        <w:t xml:space="preserve"> with their retailer to receive </w:t>
      </w:r>
      <w:r w:rsidR="00B26A39">
        <w:t xml:space="preserve">any </w:t>
      </w:r>
      <w:r w:rsidR="0018073E">
        <w:t xml:space="preserve">type </w:t>
      </w:r>
      <w:r w:rsidR="00456770">
        <w:t xml:space="preserve">of tailored </w:t>
      </w:r>
      <w:r w:rsidR="00EF4AA4">
        <w:t xml:space="preserve">assistance </w:t>
      </w:r>
      <w:r w:rsidR="00456770">
        <w:t xml:space="preserve">available </w:t>
      </w:r>
      <w:r>
        <w:t>under th</w:t>
      </w:r>
      <w:r w:rsidR="001E3B69">
        <w:t xml:space="preserve">e </w:t>
      </w:r>
      <w:r w:rsidR="00800387">
        <w:t>Payment Difficulty Framework</w:t>
      </w:r>
      <w:r w:rsidR="003B4A69">
        <w:t>.</w:t>
      </w:r>
      <w:r w:rsidR="00800387">
        <w:rPr>
          <w:rStyle w:val="FootnoteReference"/>
        </w:rPr>
        <w:footnoteReference w:id="140"/>
      </w:r>
      <w:r w:rsidR="00126B88">
        <w:t xml:space="preserve"> </w:t>
      </w:r>
      <w:r w:rsidR="003B4A69">
        <w:t>This includes</w:t>
      </w:r>
      <w:r w:rsidR="00126B88">
        <w:t xml:space="preserve"> </w:t>
      </w:r>
      <w:r w:rsidR="00F24A98">
        <w:t>receiving</w:t>
      </w:r>
      <w:r w:rsidR="00033391">
        <w:t>:</w:t>
      </w:r>
    </w:p>
    <w:p w14:paraId="4836EB96" w14:textId="1D8B6D4C" w:rsidR="00033391" w:rsidRDefault="00F24A98" w:rsidP="00A92E17">
      <w:pPr>
        <w:pStyle w:val="ListBullet"/>
      </w:pPr>
      <w:r>
        <w:t>advice about payment options to repay their arrears</w:t>
      </w:r>
      <w:r w:rsidR="00C67FCB">
        <w:t xml:space="preserve"> </w:t>
      </w:r>
    </w:p>
    <w:p w14:paraId="3E60DCB2" w14:textId="1ED75D90" w:rsidR="00033391" w:rsidRDefault="00C67FCB" w:rsidP="00A92E17">
      <w:pPr>
        <w:pStyle w:val="ListBullet"/>
      </w:pPr>
      <w:r>
        <w:t>advice on</w:t>
      </w:r>
      <w:r w:rsidR="00FB7E61">
        <w:t xml:space="preserve"> </w:t>
      </w:r>
      <w:r>
        <w:t xml:space="preserve">any government and non-government assistance (including Utility Relief Grants and energy concessions) available to </w:t>
      </w:r>
      <w:r w:rsidR="009838E2">
        <w:t>them</w:t>
      </w:r>
      <w:r w:rsidR="009562F6">
        <w:t xml:space="preserve"> </w:t>
      </w:r>
    </w:p>
    <w:p w14:paraId="7A1241E7" w14:textId="472D1E93" w:rsidR="00033391" w:rsidRDefault="002E0D63" w:rsidP="00A92E17">
      <w:pPr>
        <w:pStyle w:val="ListBullet"/>
      </w:pPr>
      <w:r>
        <w:t xml:space="preserve">practical assistance to </w:t>
      </w:r>
      <w:r w:rsidR="00A57BCE">
        <w:t>complete an application for a Utility Relief Grant</w:t>
      </w:r>
      <w:r w:rsidR="0086536C">
        <w:t xml:space="preserve"> </w:t>
      </w:r>
    </w:p>
    <w:p w14:paraId="6ABE86DC" w14:textId="64F3DA80" w:rsidR="00CD6E78" w:rsidRDefault="0086536C" w:rsidP="00A92E17">
      <w:pPr>
        <w:pStyle w:val="ListBullet"/>
      </w:pPr>
      <w:r>
        <w:t>p</w:t>
      </w:r>
      <w:r w:rsidRPr="0086536C">
        <w:t xml:space="preserve">ractical assistance to help </w:t>
      </w:r>
      <w:r w:rsidR="009838E2">
        <w:t>them</w:t>
      </w:r>
      <w:r w:rsidRPr="0086536C">
        <w:t xml:space="preserve"> lower their energy costs</w:t>
      </w:r>
      <w:r w:rsidR="009838E2">
        <w:t>.</w:t>
      </w:r>
    </w:p>
    <w:p w14:paraId="4013D4BA" w14:textId="38EDF95C" w:rsidR="00902E1E" w:rsidRDefault="0009457D" w:rsidP="006255EE">
      <w:r>
        <w:t>Th</w:t>
      </w:r>
      <w:r w:rsidR="00522D1E">
        <w:t>e</w:t>
      </w:r>
      <w:r>
        <w:t xml:space="preserve"> automatic best offer would </w:t>
      </w:r>
      <w:r w:rsidR="007F3DC9">
        <w:t>replace</w:t>
      </w:r>
      <w:r>
        <w:t xml:space="preserve"> the existing tariff check available to all customers receiving tailored assistance who cannot pay for their ongoing energy costs.</w:t>
      </w:r>
      <w:r w:rsidR="005A768A">
        <w:t xml:space="preserve"> </w:t>
      </w:r>
      <w:r w:rsidR="008E4B4F">
        <w:t>This would simplify the assistance required from retailers</w:t>
      </w:r>
      <w:r w:rsidR="0064432A">
        <w:t xml:space="preserve"> </w:t>
      </w:r>
      <w:r w:rsidR="00BE5AFD">
        <w:t>and</w:t>
      </w:r>
      <w:r w:rsidR="0049618F">
        <w:t xml:space="preserve"> </w:t>
      </w:r>
      <w:r w:rsidR="00AD2120">
        <w:t xml:space="preserve">avoid divergent </w:t>
      </w:r>
      <w:r w:rsidR="006C2B83">
        <w:t xml:space="preserve">outcomes </w:t>
      </w:r>
      <w:r w:rsidR="00305B5A">
        <w:t>resulting from</w:t>
      </w:r>
      <w:r w:rsidR="006C2B83">
        <w:t xml:space="preserve"> tariff check</w:t>
      </w:r>
      <w:r w:rsidR="00305B5A">
        <w:t>s.</w:t>
      </w:r>
      <w:r w:rsidR="00211EA3">
        <w:t xml:space="preserve"> </w:t>
      </w:r>
    </w:p>
    <w:p w14:paraId="5B9437B5" w14:textId="1C8404DB" w:rsidR="00131703" w:rsidRDefault="00EC34DE" w:rsidP="00131703">
      <w:pPr>
        <w:pStyle w:val="Heading3numbered"/>
      </w:pPr>
      <w:r>
        <w:t xml:space="preserve">Eligibility </w:t>
      </w:r>
      <w:r w:rsidR="000B2D6A">
        <w:t>o</w:t>
      </w:r>
      <w:r>
        <w:t xml:space="preserve">ption </w:t>
      </w:r>
      <w:r w:rsidR="00924BEC">
        <w:t>AA.2</w:t>
      </w:r>
      <w:r>
        <w:t xml:space="preserve"> – customers receiving tailored assistance and customers in arrears above a certain </w:t>
      </w:r>
      <w:r w:rsidR="00F03029">
        <w:t>amount</w:t>
      </w:r>
    </w:p>
    <w:p w14:paraId="082736AB" w14:textId="1C869C92" w:rsidR="00CC1A77" w:rsidRDefault="00AB031C" w:rsidP="00131703">
      <w:r>
        <w:t xml:space="preserve">An alternative </w:t>
      </w:r>
      <w:r w:rsidR="5194FDE4">
        <w:t xml:space="preserve">broader </w:t>
      </w:r>
      <w:r>
        <w:t>eligibility option is to</w:t>
      </w:r>
      <w:r w:rsidR="00EB0992">
        <w:t xml:space="preserve"> capture customers experiencing payment difficulty beyond those </w:t>
      </w:r>
      <w:r w:rsidR="00A36E72">
        <w:t>engaging with their retailer and</w:t>
      </w:r>
      <w:r w:rsidR="00EB0992">
        <w:t xml:space="preserve"> accessing tailored assistance.</w:t>
      </w:r>
      <w:r w:rsidR="00B212D6">
        <w:t xml:space="preserve"> </w:t>
      </w:r>
    </w:p>
    <w:p w14:paraId="45B55680" w14:textId="0FBB1583" w:rsidR="005B2862" w:rsidRDefault="00AE7D2E" w:rsidP="00131703">
      <w:r>
        <w:t>R</w:t>
      </w:r>
      <w:r w:rsidR="005B2862">
        <w:t>etailers are required to contact and offer assistance to any residential customer in arrears over $55</w:t>
      </w:r>
      <w:r>
        <w:t>.</w:t>
      </w:r>
      <w:r>
        <w:rPr>
          <w:rStyle w:val="FootnoteReference"/>
        </w:rPr>
        <w:footnoteReference w:id="141"/>
      </w:r>
      <w:r w:rsidR="005B2862">
        <w:t xml:space="preserve"> </w:t>
      </w:r>
      <w:r>
        <w:t>However</w:t>
      </w:r>
      <w:r w:rsidR="005B2862">
        <w:t xml:space="preserve">, not all customers can engage with </w:t>
      </w:r>
      <w:r w:rsidR="0034721A">
        <w:t>their retailer</w:t>
      </w:r>
      <w:r w:rsidR="005B2862">
        <w:t xml:space="preserve"> </w:t>
      </w:r>
      <w:r w:rsidR="0034721A">
        <w:t xml:space="preserve">to </w:t>
      </w:r>
      <w:r w:rsidR="005B2862">
        <w:t xml:space="preserve">receive this assistance. </w:t>
      </w:r>
      <w:r w:rsidR="00943756">
        <w:t>We</w:t>
      </w:r>
      <w:r w:rsidR="005B2862">
        <w:t xml:space="preserve"> </w:t>
      </w:r>
      <w:r w:rsidR="005B2862">
        <w:lastRenderedPageBreak/>
        <w:t>propose extending this reform to other customers experiencing payment difficulty</w:t>
      </w:r>
      <w:r w:rsidR="006235AF">
        <w:t xml:space="preserve">, who </w:t>
      </w:r>
      <w:r w:rsidR="00C57830">
        <w:t xml:space="preserve">may be facing barriers </w:t>
      </w:r>
      <w:r w:rsidR="0034721A">
        <w:t xml:space="preserve">that are </w:t>
      </w:r>
      <w:r w:rsidR="00C57830">
        <w:t>preventing them from engaging with their retailer</w:t>
      </w:r>
      <w:r w:rsidR="005B2862">
        <w:t xml:space="preserve">. </w:t>
      </w:r>
    </w:p>
    <w:p w14:paraId="7254C860" w14:textId="4B152DD4" w:rsidR="006D5662" w:rsidRDefault="00D95D01" w:rsidP="00131703">
      <w:r>
        <w:t xml:space="preserve">This option acknowledges that there are many customers experiencing payment difficulty who </w:t>
      </w:r>
      <w:r w:rsidR="00CD4D5C">
        <w:t xml:space="preserve">face barriers to </w:t>
      </w:r>
      <w:r>
        <w:t>access tailored assistance or who are exiting tailored assistance that still require support.</w:t>
      </w:r>
      <w:r w:rsidR="00643E06">
        <w:t xml:space="preserve"> </w:t>
      </w:r>
      <w:r w:rsidR="000451AB">
        <w:t>Since 2022</w:t>
      </w:r>
      <w:r w:rsidR="0053505F">
        <w:t>, t</w:t>
      </w:r>
      <w:r w:rsidR="0061284A">
        <w:t xml:space="preserve">here has been an increase in the number of customers in arrears not accessing assistance and </w:t>
      </w:r>
      <w:r w:rsidR="00A36BA5">
        <w:t xml:space="preserve">in </w:t>
      </w:r>
      <w:r w:rsidR="0061284A">
        <w:t>the average amount of those arrears.</w:t>
      </w:r>
      <w:r w:rsidR="00343C68">
        <w:rPr>
          <w:rStyle w:val="FootnoteReference"/>
        </w:rPr>
        <w:footnoteReference w:id="142"/>
      </w:r>
      <w:r w:rsidR="0061284A">
        <w:t xml:space="preserve"> </w:t>
      </w:r>
      <w:r w:rsidR="00F618B9">
        <w:t xml:space="preserve">There has also been an increase in the number of customers exiting tailored assistance </w:t>
      </w:r>
      <w:r w:rsidR="00B73D63">
        <w:t>after failing to meet payment plan requirements.</w:t>
      </w:r>
      <w:r w:rsidR="00B31226">
        <w:rPr>
          <w:rStyle w:val="FootnoteReference"/>
        </w:rPr>
        <w:footnoteReference w:id="143"/>
      </w:r>
      <w:r w:rsidR="00B73D63">
        <w:t xml:space="preserve"> </w:t>
      </w:r>
    </w:p>
    <w:p w14:paraId="40CB1B50" w14:textId="39C2B887" w:rsidR="00105CA9" w:rsidRDefault="00B276B0" w:rsidP="00105CA9">
      <w:r>
        <w:t xml:space="preserve">We suggest that the best way to capture these customers </w:t>
      </w:r>
      <w:r w:rsidR="0A6C4B26">
        <w:t>and customers accessing</w:t>
      </w:r>
      <w:r>
        <w:t xml:space="preserve"> </w:t>
      </w:r>
      <w:r w:rsidR="0A6C4B26">
        <w:t>tailored assistance</w:t>
      </w:r>
      <w:r>
        <w:t xml:space="preserve"> is to establish a debt threshold to be eligible for the automatic best offer.</w:t>
      </w:r>
    </w:p>
    <w:p w14:paraId="44264210" w14:textId="068BEE45" w:rsidR="00131703" w:rsidRDefault="00105CA9" w:rsidP="00FC2E32">
      <w:pPr>
        <w:pStyle w:val="Heading4"/>
      </w:pPr>
      <w:r>
        <w:t>Customers with debt o</w:t>
      </w:r>
      <w:r w:rsidR="00066C84">
        <w:t>f</w:t>
      </w:r>
      <w:r>
        <w:t xml:space="preserve"> $1,000 </w:t>
      </w:r>
      <w:r w:rsidR="00C10077">
        <w:t xml:space="preserve">or more </w:t>
      </w:r>
      <w:r>
        <w:t xml:space="preserve">would be eligible for </w:t>
      </w:r>
      <w:r w:rsidR="00455385">
        <w:t>the automatic best offer</w:t>
      </w:r>
    </w:p>
    <w:p w14:paraId="33713A76" w14:textId="41406EC9" w:rsidR="00131703" w:rsidRDefault="00131703" w:rsidP="00131703">
      <w:r>
        <w:t xml:space="preserve">The </w:t>
      </w:r>
      <w:r w:rsidR="1017311B">
        <w:t xml:space="preserve">proposed </w:t>
      </w:r>
      <w:r>
        <w:t>debt threshold for this reform needs to be sufficiently high so that it captures customers who are truly experiencing payment difficulty. It can be common for customers to miss a pay-by</w:t>
      </w:r>
      <w:r w:rsidR="005C4FC9">
        <w:t xml:space="preserve"> </w:t>
      </w:r>
      <w:r>
        <w:t>date for one bill</w:t>
      </w:r>
      <w:r w:rsidR="00B13108">
        <w:t>,</w:t>
      </w:r>
      <w:r>
        <w:t xml:space="preserve"> which will put them in arrears with their retailer. Moreover, a single missed gas bill over a winter period could be high, resulting in large arrears when </w:t>
      </w:r>
      <w:r w:rsidR="000836D2">
        <w:t>a single</w:t>
      </w:r>
      <w:r>
        <w:t xml:space="preserve"> payment is missed. </w:t>
      </w:r>
      <w:r w:rsidR="002E7109">
        <w:t>S</w:t>
      </w:r>
      <w:r w:rsidR="000836D2">
        <w:t xml:space="preserve">ome of </w:t>
      </w:r>
      <w:r>
        <w:t xml:space="preserve">these customers may </w:t>
      </w:r>
      <w:r w:rsidR="000836D2">
        <w:t>b</w:t>
      </w:r>
      <w:r>
        <w:t xml:space="preserve">e able to pay off these arrears </w:t>
      </w:r>
      <w:r w:rsidR="002E7109">
        <w:t>quickly</w:t>
      </w:r>
      <w:r>
        <w:t xml:space="preserve"> </w:t>
      </w:r>
      <w:r w:rsidR="000836D2">
        <w:t xml:space="preserve">if they are </w:t>
      </w:r>
      <w:r>
        <w:t xml:space="preserve">not experiencing payment difficulty. Therefore, we propose that the level of debt needs to be sufficiently high over a significant period of time to ensure </w:t>
      </w:r>
      <w:r w:rsidR="00F374D9">
        <w:t xml:space="preserve">this reform is targeting </w:t>
      </w:r>
      <w:r>
        <w:t xml:space="preserve">customers </w:t>
      </w:r>
      <w:r w:rsidR="00F374D9">
        <w:t>who are</w:t>
      </w:r>
      <w:r>
        <w:t xml:space="preserve"> experiencing payment difficulty. </w:t>
      </w:r>
    </w:p>
    <w:p w14:paraId="52458AB0" w14:textId="564BBA83" w:rsidR="00C74366" w:rsidRDefault="00131703" w:rsidP="00131703">
      <w:r>
        <w:t>An existing debt threshold of $300 is already central to the energy rules. Under the G</w:t>
      </w:r>
      <w:r w:rsidR="002E0EE4">
        <w:t xml:space="preserve">as </w:t>
      </w:r>
      <w:r>
        <w:t>I</w:t>
      </w:r>
      <w:r w:rsidR="002E0EE4">
        <w:t xml:space="preserve">ndustry </w:t>
      </w:r>
      <w:r>
        <w:t>A</w:t>
      </w:r>
      <w:r w:rsidR="002E0EE4">
        <w:t>ct</w:t>
      </w:r>
      <w:r>
        <w:t xml:space="preserve"> and </w:t>
      </w:r>
      <w:r w:rsidR="002E0EE4">
        <w:t xml:space="preserve">the </w:t>
      </w:r>
      <w:r>
        <w:t>E</w:t>
      </w:r>
      <w:r w:rsidR="002E0EE4">
        <w:t xml:space="preserve">lectricity </w:t>
      </w:r>
      <w:r>
        <w:t>I</w:t>
      </w:r>
      <w:r w:rsidR="002E0EE4">
        <w:t xml:space="preserve">ndustry </w:t>
      </w:r>
      <w:r>
        <w:t>A</w:t>
      </w:r>
      <w:r w:rsidR="002E0EE4">
        <w:t>ct</w:t>
      </w:r>
      <w:r>
        <w:t>, a customer can only b</w:t>
      </w:r>
      <w:r w:rsidR="0070336E">
        <w:t>e</w:t>
      </w:r>
      <w:r>
        <w:t xml:space="preserve"> disconnected for non-payment of their bill or failure to comply with a relevant assistance program if they are in arrears of more than $300.</w:t>
      </w:r>
      <w:r>
        <w:rPr>
          <w:rStyle w:val="FootnoteReference"/>
        </w:rPr>
        <w:footnoteReference w:id="144"/>
      </w:r>
      <w:r>
        <w:t xml:space="preserve"> </w:t>
      </w:r>
      <w:r w:rsidR="00F832B4">
        <w:t>We</w:t>
      </w:r>
      <w:r>
        <w:t xml:space="preserve"> consider this threshold could be too low </w:t>
      </w:r>
      <w:r w:rsidR="00ED577F">
        <w:t xml:space="preserve">for the purposes of this reform. </w:t>
      </w:r>
      <w:r w:rsidR="0050765F">
        <w:t>It</w:t>
      </w:r>
      <w:r w:rsidR="00C11929">
        <w:t xml:space="preserve"> is not unusual for a single m</w:t>
      </w:r>
      <w:r>
        <w:t xml:space="preserve">issed </w:t>
      </w:r>
      <w:r w:rsidR="00C11929">
        <w:t xml:space="preserve">energy </w:t>
      </w:r>
      <w:r>
        <w:t>bill</w:t>
      </w:r>
      <w:r w:rsidR="00C11929">
        <w:t xml:space="preserve"> to go beyond this threshold, particularly in higher usage households and if billing is quarterly</w:t>
      </w:r>
      <w:r>
        <w:t xml:space="preserve">. As such, </w:t>
      </w:r>
      <w:r w:rsidR="004C75B6">
        <w:t>this threshold</w:t>
      </w:r>
      <w:r>
        <w:t xml:space="preserve"> </w:t>
      </w:r>
      <w:r w:rsidR="00653E7C">
        <w:t>c</w:t>
      </w:r>
      <w:r>
        <w:t xml:space="preserve">ould include many customers who are not experiencing payment difficulty. </w:t>
      </w:r>
      <w:r w:rsidR="009E30BB">
        <w:t>We</w:t>
      </w:r>
      <w:r w:rsidR="00872A36">
        <w:t xml:space="preserve"> </w:t>
      </w:r>
      <w:r w:rsidR="001C545C">
        <w:t>no</w:t>
      </w:r>
      <w:r w:rsidR="00872A36">
        <w:t xml:space="preserve">te that we </w:t>
      </w:r>
      <w:r w:rsidR="009E30BB">
        <w:t>are proposing to increase this threshold fro</w:t>
      </w:r>
      <w:r w:rsidR="005C5707">
        <w:t>m $300 to $500</w:t>
      </w:r>
      <w:r w:rsidR="00872A36">
        <w:t xml:space="preserve">, as explained in </w:t>
      </w:r>
      <w:r w:rsidR="005C5707">
        <w:t>Section 4.3.</w:t>
      </w:r>
    </w:p>
    <w:p w14:paraId="57A52D1B" w14:textId="1DF02437" w:rsidR="002A779E" w:rsidRDefault="00504815" w:rsidP="00131703">
      <w:r>
        <w:t>O</w:t>
      </w:r>
      <w:r w:rsidR="002D13CC">
        <w:t>ur analysis shows that</w:t>
      </w:r>
      <w:r w:rsidR="00131703">
        <w:t xml:space="preserve"> most customers in arrears over $300 have significantly higher debt levels. </w:t>
      </w:r>
      <w:r w:rsidR="00A316C4">
        <w:t>I</w:t>
      </w:r>
      <w:r w:rsidR="00A47D7F">
        <w:t>n</w:t>
      </w:r>
      <w:r w:rsidR="00131703">
        <w:t xml:space="preserve"> 2023</w:t>
      </w:r>
      <w:r w:rsidR="002E0EE4">
        <w:rPr>
          <w:rFonts w:cstheme="minorHAnsi"/>
        </w:rPr>
        <w:t>–</w:t>
      </w:r>
      <w:r w:rsidR="00131703">
        <w:t>24, the average arrears for customers owing more than $300 was $1,</w:t>
      </w:r>
      <w:r w:rsidR="00CE7210">
        <w:t>311</w:t>
      </w:r>
      <w:r w:rsidR="00131703">
        <w:t xml:space="preserve"> for electricity and $1,3</w:t>
      </w:r>
      <w:r w:rsidR="0018459F">
        <w:t>17</w:t>
      </w:r>
      <w:r w:rsidR="00131703">
        <w:t xml:space="preserve"> for gas.</w:t>
      </w:r>
      <w:r w:rsidR="00131703">
        <w:rPr>
          <w:rStyle w:val="FootnoteReference"/>
        </w:rPr>
        <w:footnoteReference w:id="145"/>
      </w:r>
      <w:r w:rsidR="00131703">
        <w:t xml:space="preserve"> This suggests that a higher threshold of approximately $1</w:t>
      </w:r>
      <w:r w:rsidR="00A80DEC">
        <w:t>,</w:t>
      </w:r>
      <w:r w:rsidR="00131703">
        <w:t xml:space="preserve">000 may be more </w:t>
      </w:r>
      <w:r w:rsidR="00131703">
        <w:lastRenderedPageBreak/>
        <w:t xml:space="preserve">appropriate to capture customers experiencing payment difficulty to the exclusion of customers who can afford their energy costs but have missed paying a </w:t>
      </w:r>
      <w:r w:rsidR="00A8298F">
        <w:t>single</w:t>
      </w:r>
      <w:r w:rsidR="00131703">
        <w:t xml:space="preserve"> bill</w:t>
      </w:r>
      <w:r w:rsidR="00131703" w:rsidRPr="00DA6F6F">
        <w:t>.</w:t>
      </w:r>
      <w:r w:rsidR="00A316C4" w:rsidRPr="00DA6F6F">
        <w:t xml:space="preserve"> </w:t>
      </w:r>
      <w:r w:rsidR="000033BE" w:rsidRPr="00DA6F6F">
        <w:t>Figure 1</w:t>
      </w:r>
      <w:r w:rsidR="001C6682" w:rsidRPr="00DA6F6F">
        <w:t>5</w:t>
      </w:r>
      <w:r w:rsidR="000033BE">
        <w:t xml:space="preserve"> </w:t>
      </w:r>
      <w:r w:rsidR="00DD3E73">
        <w:t xml:space="preserve">illustrates </w:t>
      </w:r>
      <w:r w:rsidR="00847808">
        <w:t xml:space="preserve">how a potential debt threshold of $1,000 would compare with </w:t>
      </w:r>
      <w:r w:rsidR="00190483">
        <w:t xml:space="preserve">the </w:t>
      </w:r>
      <w:r w:rsidR="00974EEC">
        <w:t>average arrears of gas customers</w:t>
      </w:r>
      <w:r w:rsidR="00F24F60">
        <w:t xml:space="preserve"> in </w:t>
      </w:r>
      <w:r w:rsidR="000E0A5A">
        <w:t>the last two financial years.</w:t>
      </w:r>
      <w:r w:rsidR="00190483">
        <w:t xml:space="preserve"> </w:t>
      </w:r>
    </w:p>
    <w:p w14:paraId="77287F74" w14:textId="366C41FF" w:rsidR="00D440C9" w:rsidRDefault="00D440C9" w:rsidP="000F6481">
      <w:pPr>
        <w:pStyle w:val="Figure-Table-BoxSubtitle"/>
        <w:ind w:left="0"/>
      </w:pPr>
      <w:r w:rsidRPr="000F6481">
        <w:rPr>
          <w:rStyle w:val="Figure-Table-BoxHeadingChar"/>
        </w:rPr>
        <w:t>Figure 1</w:t>
      </w:r>
      <w:r w:rsidR="001C6682" w:rsidRPr="000F6481">
        <w:rPr>
          <w:rStyle w:val="Figure-Table-BoxHeadingChar"/>
        </w:rPr>
        <w:t>5</w:t>
      </w:r>
      <w:r w:rsidRPr="000F6481">
        <w:rPr>
          <w:rStyle w:val="Figure-Table-BoxHeadingChar"/>
        </w:rPr>
        <w:t>:</w:t>
      </w:r>
      <w:r>
        <w:t xml:space="preserve"> Number of gas customers with more than $300 </w:t>
      </w:r>
      <w:r w:rsidR="00B0301C">
        <w:t>in arrears and their average arrears</w:t>
      </w:r>
    </w:p>
    <w:p w14:paraId="5648F570" w14:textId="63FC9B70" w:rsidR="00D440C9" w:rsidRDefault="00E90222" w:rsidP="00CE0AFF">
      <w:pPr>
        <w:keepNext/>
        <w:keepLines/>
        <w:spacing w:before="0" w:after="0"/>
        <w:jc w:val="center"/>
      </w:pPr>
      <w:r>
        <w:rPr>
          <w:noProof/>
        </w:rPr>
        <w:drawing>
          <wp:inline distT="0" distB="0" distL="0" distR="0" wp14:anchorId="53C9CDE0" wp14:editId="64F9F778">
            <wp:extent cx="4914900" cy="2743200"/>
            <wp:effectExtent l="0" t="0" r="0" b="0"/>
            <wp:docPr id="590150390" name="Chart 1">
              <a:extLst xmlns:a="http://schemas.openxmlformats.org/drawingml/2006/main">
                <a:ext uri="{FF2B5EF4-FFF2-40B4-BE49-F238E27FC236}">
                  <a16:creationId xmlns:a16="http://schemas.microsoft.com/office/drawing/2014/main" id="{F353DDD4-CA33-C867-6949-77122FE97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CEAB8EF" w14:textId="474718DD" w:rsidR="00FF563D" w:rsidRPr="006575C4" w:rsidRDefault="00FF563D" w:rsidP="00CE0AFF">
      <w:pPr>
        <w:pStyle w:val="Source"/>
        <w:keepNext/>
        <w:keepLines/>
        <w:spacing w:before="0" w:after="0"/>
        <w:ind w:left="1276" w:right="1276"/>
        <w:jc w:val="left"/>
      </w:pPr>
      <w:r w:rsidRPr="000F6481">
        <w:rPr>
          <w:b/>
          <w:bCs/>
        </w:rPr>
        <w:t>Source:</w:t>
      </w:r>
      <w:r w:rsidRPr="00447028">
        <w:t xml:space="preserve"> </w:t>
      </w:r>
      <w:r>
        <w:t xml:space="preserve">Victorian Energy Market </w:t>
      </w:r>
      <w:r w:rsidR="00645275">
        <w:t>Dashboard</w:t>
      </w:r>
      <w:r w:rsidR="000F6481">
        <w:t>.</w:t>
      </w:r>
    </w:p>
    <w:p w14:paraId="404D6C28" w14:textId="23AD55AE" w:rsidR="003E5038" w:rsidRDefault="00261D81" w:rsidP="00EB78EA">
      <w:r>
        <w:t xml:space="preserve">While a </w:t>
      </w:r>
      <w:r w:rsidR="0092598A">
        <w:t>debt</w:t>
      </w:r>
      <w:r>
        <w:t xml:space="preserve"> threshold of $1,000 may be appropriate</w:t>
      </w:r>
      <w:r w:rsidR="002B1C36">
        <w:t>,</w:t>
      </w:r>
      <w:r>
        <w:t xml:space="preserve"> </w:t>
      </w:r>
      <w:r w:rsidR="00A237B5">
        <w:t xml:space="preserve">in the near future we may need to adjust it </w:t>
      </w:r>
      <w:r w:rsidR="000A196C">
        <w:t>as prices change and debt levels evolve.</w:t>
      </w:r>
      <w:r w:rsidR="00A237B5">
        <w:t xml:space="preserve"> For this reason, </w:t>
      </w:r>
      <w:r w:rsidR="00E661F3">
        <w:t>in this option the</w:t>
      </w:r>
      <w:r w:rsidR="000E0A5A">
        <w:t xml:space="preserve"> initial</w:t>
      </w:r>
      <w:r w:rsidR="00E661F3">
        <w:t xml:space="preserve"> debt threshold </w:t>
      </w:r>
      <w:r w:rsidR="00DE310F">
        <w:t xml:space="preserve">would be established </w:t>
      </w:r>
      <w:r w:rsidR="003E4A47">
        <w:t xml:space="preserve">at $1,000 but with flexibility for future changes through </w:t>
      </w:r>
      <w:r w:rsidR="00DE310F">
        <w:t>a guideline issued by the commission. Th</w:t>
      </w:r>
      <w:r w:rsidR="00916A90">
        <w:t xml:space="preserve">is would make it </w:t>
      </w:r>
      <w:r w:rsidR="00D16CDE">
        <w:t>simpler</w:t>
      </w:r>
      <w:r w:rsidR="00916A90">
        <w:t xml:space="preserve"> for us to </w:t>
      </w:r>
      <w:r w:rsidR="00686033">
        <w:t>adjust</w:t>
      </w:r>
      <w:r w:rsidR="00916A90">
        <w:t xml:space="preserve"> the debt threshold </w:t>
      </w:r>
      <w:r w:rsidR="00686033">
        <w:t>in the future</w:t>
      </w:r>
      <w:r w:rsidR="006F06F7">
        <w:t xml:space="preserve">, </w:t>
      </w:r>
      <w:r w:rsidR="00916A90">
        <w:t>ensur</w:t>
      </w:r>
      <w:r w:rsidR="006F06F7">
        <w:t>ing</w:t>
      </w:r>
      <w:r w:rsidR="00916A90">
        <w:t xml:space="preserve"> it remains </w:t>
      </w:r>
      <w:r w:rsidR="00D16CDE">
        <w:t>fit for purpose</w:t>
      </w:r>
      <w:r w:rsidR="00475C41">
        <w:t>,</w:t>
      </w:r>
      <w:r w:rsidR="00F95D02">
        <w:t xml:space="preserve"> while still </w:t>
      </w:r>
      <w:r w:rsidR="000D1A3A">
        <w:t>enabling</w:t>
      </w:r>
      <w:r w:rsidR="00F95D02">
        <w:t xml:space="preserve"> the commission </w:t>
      </w:r>
      <w:r w:rsidR="00B65893">
        <w:t>to enforce compliance with the proposed new rule</w:t>
      </w:r>
      <w:r w:rsidR="00D16CDE">
        <w:t>.</w:t>
      </w:r>
    </w:p>
    <w:p w14:paraId="3ECAD1B4" w14:textId="48A8A913" w:rsidR="00CC60B4" w:rsidRDefault="00A91FB2" w:rsidP="00415E1D">
      <w:pPr>
        <w:pStyle w:val="Heading4"/>
      </w:pPr>
      <w:r>
        <w:t>A</w:t>
      </w:r>
      <w:r w:rsidR="00974227">
        <w:t xml:space="preserve"> </w:t>
      </w:r>
      <w:r>
        <w:t xml:space="preserve">debt </w:t>
      </w:r>
      <w:r w:rsidR="00974227">
        <w:t xml:space="preserve">threshold </w:t>
      </w:r>
      <w:r>
        <w:t>could lead to</w:t>
      </w:r>
      <w:r w:rsidR="005F4896">
        <w:t xml:space="preserve"> complex interaction</w:t>
      </w:r>
      <w:r w:rsidR="00974227">
        <w:t>s</w:t>
      </w:r>
      <w:r w:rsidR="005F4896">
        <w:t xml:space="preserve"> with the existing disconnection</w:t>
      </w:r>
      <w:r w:rsidR="00974227">
        <w:t xml:space="preserve"> requirement</w:t>
      </w:r>
      <w:r w:rsidR="005F4896">
        <w:t>s</w:t>
      </w:r>
    </w:p>
    <w:p w14:paraId="2E34E0E7" w14:textId="26E28709" w:rsidR="003143DE" w:rsidRDefault="00067548" w:rsidP="00EB78EA">
      <w:r>
        <w:t xml:space="preserve">By choosing a threshold greater than </w:t>
      </w:r>
      <w:r w:rsidR="00C642F7">
        <w:t>$300</w:t>
      </w:r>
      <w:r w:rsidR="001C545C">
        <w:t xml:space="preserve"> (or $500 </w:t>
      </w:r>
      <w:r w:rsidR="000E4162">
        <w:t>as we are proposing in Section 4.3)</w:t>
      </w:r>
      <w:r w:rsidR="00C642F7">
        <w:t xml:space="preserve">, we acknowledge that </w:t>
      </w:r>
      <w:r w:rsidR="00810C1C">
        <w:t xml:space="preserve">this may create some complexity for retailers </w:t>
      </w:r>
      <w:r w:rsidR="00742A1E">
        <w:t>and their customers. I</w:t>
      </w:r>
      <w:r w:rsidR="00630C48">
        <w:t>n particular</w:t>
      </w:r>
      <w:r w:rsidR="00931A60">
        <w:t>,</w:t>
      </w:r>
      <w:r w:rsidR="00630C48">
        <w:t xml:space="preserve"> there will </w:t>
      </w:r>
      <w:r w:rsidR="00B20711">
        <w:t>be</w:t>
      </w:r>
      <w:r w:rsidR="00931A60">
        <w:t xml:space="preserve"> some overlap </w:t>
      </w:r>
      <w:r w:rsidR="003E4A47">
        <w:t>between</w:t>
      </w:r>
      <w:r w:rsidR="00931A60">
        <w:t xml:space="preserve"> a potential disconnection pr</w:t>
      </w:r>
      <w:r w:rsidR="00DD6D80">
        <w:t>ocess</w:t>
      </w:r>
      <w:r w:rsidR="00931A60">
        <w:t xml:space="preserve"> and </w:t>
      </w:r>
      <w:r w:rsidR="0088149D">
        <w:t>the automatic best offer.</w:t>
      </w:r>
      <w:r w:rsidR="00282794">
        <w:t xml:space="preserve"> Retailers may disconnect a customer </w:t>
      </w:r>
      <w:r w:rsidR="000709A8">
        <w:t>if they are in arrears over $300</w:t>
      </w:r>
      <w:r w:rsidR="003143DE">
        <w:t xml:space="preserve"> and not receiving assistance</w:t>
      </w:r>
      <w:r w:rsidR="00606502">
        <w:t xml:space="preserve">. </w:t>
      </w:r>
    </w:p>
    <w:p w14:paraId="0EEE162E" w14:textId="5B6325C1" w:rsidR="00000402" w:rsidRDefault="00606502" w:rsidP="00160541">
      <w:r>
        <w:t xml:space="preserve">This means that </w:t>
      </w:r>
      <w:r w:rsidR="003143DE">
        <w:t xml:space="preserve">under this option, </w:t>
      </w:r>
      <w:r>
        <w:t xml:space="preserve">a retailer </w:t>
      </w:r>
      <w:r w:rsidR="00495CDA">
        <w:t xml:space="preserve">could </w:t>
      </w:r>
      <w:r>
        <w:t xml:space="preserve">disconnect a customer before they </w:t>
      </w:r>
      <w:r w:rsidR="00426423">
        <w:t>become eligible to receive the automatic best offer.</w:t>
      </w:r>
      <w:r w:rsidR="005B6EFE">
        <w:t xml:space="preserve"> </w:t>
      </w:r>
      <w:r w:rsidR="0068608F">
        <w:t xml:space="preserve">However, we understand this </w:t>
      </w:r>
      <w:r w:rsidR="002C0C65">
        <w:t>would be minimal given current retailer practices.</w:t>
      </w:r>
      <w:r w:rsidR="00CA4677">
        <w:t xml:space="preserve"> </w:t>
      </w:r>
    </w:p>
    <w:p w14:paraId="27903E2F" w14:textId="7D05E6FE" w:rsidR="00000402" w:rsidRDefault="00CA4677" w:rsidP="003250E6">
      <w:r>
        <w:lastRenderedPageBreak/>
        <w:t>Firstly, m</w:t>
      </w:r>
      <w:r w:rsidR="003143DE">
        <w:t xml:space="preserve">ost disconnections are for </w:t>
      </w:r>
      <w:r w:rsidR="00495CDA">
        <w:t xml:space="preserve">customers with arrears </w:t>
      </w:r>
      <w:r w:rsidR="00E96438">
        <w:t>over $1,000</w:t>
      </w:r>
      <w:r w:rsidR="00537093">
        <w:t xml:space="preserve"> (82 per cent of disconnections between January and December 2024)</w:t>
      </w:r>
      <w:r w:rsidR="00E96438">
        <w:t>.</w:t>
      </w:r>
      <w:r w:rsidR="00C27428">
        <w:rPr>
          <w:rStyle w:val="FootnoteReference"/>
        </w:rPr>
        <w:footnoteReference w:id="146"/>
      </w:r>
      <w:r w:rsidR="00E96438">
        <w:t xml:space="preserve"> </w:t>
      </w:r>
      <w:r w:rsidR="0068608F">
        <w:t>Many c</w:t>
      </w:r>
      <w:r w:rsidR="0033263D">
        <w:t xml:space="preserve">ustomers </w:t>
      </w:r>
      <w:r w:rsidR="0068608F">
        <w:t xml:space="preserve">also </w:t>
      </w:r>
      <w:r w:rsidR="0033263D">
        <w:t>engage with their retailer</w:t>
      </w:r>
      <w:r w:rsidR="00DC68A6">
        <w:t xml:space="preserve"> when they have arrears below $1,000, and would </w:t>
      </w:r>
      <w:r>
        <w:t xml:space="preserve">be </w:t>
      </w:r>
      <w:r w:rsidR="00424614" w:rsidRPr="00424614">
        <w:t xml:space="preserve">eligible for the automatic best offer under the tailored assistance pathway. </w:t>
      </w:r>
      <w:r w:rsidR="0068608F">
        <w:t>T</w:t>
      </w:r>
      <w:r w:rsidR="006200D2">
        <w:t xml:space="preserve">here are </w:t>
      </w:r>
      <w:r>
        <w:t xml:space="preserve">also </w:t>
      </w:r>
      <w:r w:rsidR="006200D2">
        <w:t xml:space="preserve">customers </w:t>
      </w:r>
      <w:r w:rsidR="000C608C">
        <w:t xml:space="preserve">with </w:t>
      </w:r>
      <w:r w:rsidR="006B536A">
        <w:t xml:space="preserve">debt </w:t>
      </w:r>
      <w:r w:rsidR="000C608C">
        <w:t xml:space="preserve">over $1,000 </w:t>
      </w:r>
      <w:r w:rsidR="00F91EAB">
        <w:t>who are not receiving assistance</w:t>
      </w:r>
      <w:r w:rsidR="0046620C">
        <w:t>,</w:t>
      </w:r>
      <w:r w:rsidR="00F91EAB">
        <w:t xml:space="preserve"> but </w:t>
      </w:r>
      <w:r w:rsidR="00AF5F4B">
        <w:t>previously received assistance</w:t>
      </w:r>
      <w:r w:rsidR="00160541">
        <w:t xml:space="preserve"> (and the automatic best offer switch, under the proposed reforms)</w:t>
      </w:r>
      <w:r w:rsidR="003250E6">
        <w:t xml:space="preserve"> – t</w:t>
      </w:r>
      <w:r w:rsidR="00AF5F4B">
        <w:t xml:space="preserve">hese customers </w:t>
      </w:r>
      <w:r w:rsidR="0043233D">
        <w:t xml:space="preserve">would </w:t>
      </w:r>
      <w:r w:rsidR="003250E6">
        <w:t xml:space="preserve">then likely </w:t>
      </w:r>
      <w:r w:rsidR="0043233D">
        <w:t>already be on their retailer’s best offer</w:t>
      </w:r>
      <w:r w:rsidR="008A70BA">
        <w:t>.</w:t>
      </w:r>
    </w:p>
    <w:p w14:paraId="35AB691F" w14:textId="2313FC38" w:rsidR="00160541" w:rsidRDefault="00160541" w:rsidP="00160541">
      <w:r>
        <w:t xml:space="preserve">Lastly, </w:t>
      </w:r>
      <w:r w:rsidR="00101CDC">
        <w:t xml:space="preserve">retailers </w:t>
      </w:r>
      <w:r w:rsidR="003250E6">
        <w:t>cannot</w:t>
      </w:r>
      <w:r w:rsidR="00101CDC">
        <w:t xml:space="preserve"> disconnect </w:t>
      </w:r>
      <w:r w:rsidR="003250E6">
        <w:t>a customer receiving tailored assistance</w:t>
      </w:r>
      <w:r w:rsidR="00101CDC">
        <w:t>.</w:t>
      </w:r>
      <w:r w:rsidR="003250E6">
        <w:t xml:space="preserve"> </w:t>
      </w:r>
      <w:r>
        <w:t xml:space="preserve">If the customer is not receiving assistance, retailers must </w:t>
      </w:r>
      <w:r w:rsidR="00101CDC">
        <w:t xml:space="preserve">also </w:t>
      </w:r>
      <w:r>
        <w:t>take all reasonable steps to provide the customer with information about assistance available under the Payment Difficulty Framework.</w:t>
      </w:r>
      <w:r>
        <w:rPr>
          <w:rStyle w:val="FootnoteReference"/>
        </w:rPr>
        <w:footnoteReference w:id="147"/>
      </w:r>
      <w:r>
        <w:t xml:space="preserve"> </w:t>
      </w:r>
      <w:r w:rsidR="008D3595">
        <w:t xml:space="preserve">However, it is possible that customers in arrears that are eligible but not receiving tailored assistance </w:t>
      </w:r>
      <w:r w:rsidR="003A1307">
        <w:t xml:space="preserve">could be disconnected. </w:t>
      </w:r>
    </w:p>
    <w:p w14:paraId="35D051E1" w14:textId="33A02C06" w:rsidR="00A63026" w:rsidRDefault="00A63026" w:rsidP="00424614">
      <w:r>
        <w:t>We acknowledge the complexity these different thresholds may generate</w:t>
      </w:r>
      <w:r w:rsidR="003A030B">
        <w:t>.</w:t>
      </w:r>
      <w:r>
        <w:t xml:space="preserve"> We are interested to hear from stakeholders on</w:t>
      </w:r>
      <w:r w:rsidR="00B44876">
        <w:t xml:space="preserve"> </w:t>
      </w:r>
      <w:r>
        <w:t>the appropriateness of the eligibility threshold for an automatic best offer and how it may interact with disconnection processes</w:t>
      </w:r>
      <w:r w:rsidR="00B44876">
        <w:t>.</w:t>
      </w:r>
    </w:p>
    <w:p w14:paraId="015595C7" w14:textId="22C5C3BD" w:rsidR="008E7B87" w:rsidRDefault="001A14EB" w:rsidP="00304BE7">
      <w:pPr>
        <w:pStyle w:val="Heading4"/>
      </w:pPr>
      <w:r>
        <w:t xml:space="preserve">The automatic best offer would apply for customers </w:t>
      </w:r>
      <w:r w:rsidR="00304BE7">
        <w:t>in</w:t>
      </w:r>
      <w:r>
        <w:t xml:space="preserve"> debt over </w:t>
      </w:r>
      <w:r w:rsidR="00304BE7">
        <w:t>a period of</w:t>
      </w:r>
      <w:r w:rsidR="00304BE7" w:rsidDel="00AD5785">
        <w:t xml:space="preserve"> </w:t>
      </w:r>
      <w:r w:rsidR="002F4BE5">
        <w:t>at least</w:t>
      </w:r>
      <w:r w:rsidR="00304BE7">
        <w:t xml:space="preserve"> three months</w:t>
      </w:r>
    </w:p>
    <w:p w14:paraId="1E9DE9DF" w14:textId="6E6F782E" w:rsidR="001D6DA7" w:rsidRDefault="001D6DA7" w:rsidP="008E7B87">
      <w:r>
        <w:t>In addition</w:t>
      </w:r>
      <w:r w:rsidR="00F133EF">
        <w:t xml:space="preserve"> to the debt threshold of $1,000</w:t>
      </w:r>
      <w:r w:rsidR="00810527">
        <w:t xml:space="preserve"> for th</w:t>
      </w:r>
      <w:r w:rsidR="007D4656">
        <w:t>e automatic best offer</w:t>
      </w:r>
      <w:r w:rsidR="00F133EF">
        <w:t xml:space="preserve">, we consider </w:t>
      </w:r>
      <w:r w:rsidR="00955C56">
        <w:t xml:space="preserve">that </w:t>
      </w:r>
      <w:r w:rsidR="000B0473">
        <w:t xml:space="preserve">establishing a </w:t>
      </w:r>
      <w:r w:rsidR="00EA21F3">
        <w:t xml:space="preserve">minimum time period for </w:t>
      </w:r>
      <w:r w:rsidR="002C231A">
        <w:t xml:space="preserve">how long a customer has been in debt would </w:t>
      </w:r>
      <w:r w:rsidR="00294445">
        <w:t xml:space="preserve">further </w:t>
      </w:r>
      <w:r>
        <w:t>ensure this reform is targeting those who most need support.</w:t>
      </w:r>
    </w:p>
    <w:p w14:paraId="51A760FA" w14:textId="2D79EE68" w:rsidR="0086574A" w:rsidRDefault="003044FD" w:rsidP="0086574A">
      <w:r>
        <w:t xml:space="preserve">This time period could be defined in </w:t>
      </w:r>
      <w:r w:rsidR="00592262">
        <w:t xml:space="preserve">relation to the number of missed payments. For example, </w:t>
      </w:r>
      <w:r w:rsidR="000F1CB5">
        <w:t xml:space="preserve">this could be two consecutively missed scheduled payments or bills. However, we consider this </w:t>
      </w:r>
      <w:r w:rsidR="000E7802">
        <w:t xml:space="preserve">could be complex to implement, given that bills can be </w:t>
      </w:r>
      <w:r w:rsidR="00406A15">
        <w:t xml:space="preserve">issued </w:t>
      </w:r>
      <w:r w:rsidR="000E7802">
        <w:t>monthly, quarterly</w:t>
      </w:r>
      <w:r w:rsidR="00406A15">
        <w:t>,</w:t>
      </w:r>
      <w:r w:rsidR="000E7802">
        <w:t xml:space="preserve"> or </w:t>
      </w:r>
      <w:r w:rsidR="00406A15">
        <w:t xml:space="preserve">according to </w:t>
      </w:r>
      <w:r w:rsidR="00C90B70">
        <w:t>a billing cycle agreed between a customer and a retailer.</w:t>
      </w:r>
      <w:r w:rsidR="00C90B70">
        <w:rPr>
          <w:rStyle w:val="FootnoteReference"/>
        </w:rPr>
        <w:footnoteReference w:id="148"/>
      </w:r>
      <w:r w:rsidR="000E7802">
        <w:t xml:space="preserve"> </w:t>
      </w:r>
    </w:p>
    <w:p w14:paraId="196920F4" w14:textId="17F2F02C" w:rsidR="00131703" w:rsidRDefault="008A12CE" w:rsidP="00131703">
      <w:r>
        <w:t xml:space="preserve">Our preferred approach </w:t>
      </w:r>
      <w:r w:rsidR="00924619">
        <w:t xml:space="preserve">is </w:t>
      </w:r>
      <w:r w:rsidR="0044546D">
        <w:t>to</w:t>
      </w:r>
      <w:r>
        <w:t xml:space="preserve"> </w:t>
      </w:r>
      <w:r w:rsidR="000B1759">
        <w:t>limit this reform to customers who have been in debt</w:t>
      </w:r>
      <w:r w:rsidR="00027F2B">
        <w:t xml:space="preserve"> for </w:t>
      </w:r>
      <w:r w:rsidR="00EC3F3A">
        <w:t>at</w:t>
      </w:r>
      <w:r w:rsidR="00AD5785">
        <w:t xml:space="preserve"> least</w:t>
      </w:r>
      <w:r w:rsidR="00027F2B">
        <w:t xml:space="preserve"> three months </w:t>
      </w:r>
      <w:r w:rsidR="00E5141A">
        <w:t xml:space="preserve">and </w:t>
      </w:r>
      <w:r w:rsidR="00CF3158">
        <w:t xml:space="preserve">whose </w:t>
      </w:r>
      <w:r w:rsidR="00E5141A">
        <w:t xml:space="preserve">debt </w:t>
      </w:r>
      <w:r w:rsidR="002A4293">
        <w:t xml:space="preserve">has reached a level </w:t>
      </w:r>
      <w:r w:rsidR="00040240">
        <w:t xml:space="preserve">equal to or </w:t>
      </w:r>
      <w:r w:rsidR="002A4293">
        <w:t>above $1,000</w:t>
      </w:r>
      <w:r w:rsidR="00AE26DA">
        <w:t xml:space="preserve"> </w:t>
      </w:r>
      <w:r w:rsidR="00611C81">
        <w:t>by</w:t>
      </w:r>
      <w:r w:rsidR="00AE26DA">
        <w:t xml:space="preserve"> the </w:t>
      </w:r>
      <w:r w:rsidR="00611C81">
        <w:t>end</w:t>
      </w:r>
      <w:r w:rsidR="00AE26DA">
        <w:t xml:space="preserve"> of that period</w:t>
      </w:r>
      <w:r w:rsidR="002A4293">
        <w:t>.</w:t>
      </w:r>
      <w:r w:rsidR="002A4293">
        <w:rPr>
          <w:rStyle w:val="FootnoteReference"/>
        </w:rPr>
        <w:footnoteReference w:id="149"/>
      </w:r>
      <w:r w:rsidR="00934B12">
        <w:t xml:space="preserve"> </w:t>
      </w:r>
      <w:r w:rsidR="00293BCB">
        <w:t xml:space="preserve">This </w:t>
      </w:r>
      <w:r w:rsidR="004E08B8">
        <w:t xml:space="preserve">would </w:t>
      </w:r>
      <w:r w:rsidR="006C4115">
        <w:t>mean</w:t>
      </w:r>
      <w:r w:rsidR="004E08B8">
        <w:t xml:space="preserve"> that</w:t>
      </w:r>
      <w:r w:rsidR="00934B12">
        <w:t xml:space="preserve"> </w:t>
      </w:r>
      <w:r w:rsidR="008F7854">
        <w:t xml:space="preserve">customers </w:t>
      </w:r>
      <w:r w:rsidR="005E353F">
        <w:t xml:space="preserve">who are in debt over short periods of time are not captured by this </w:t>
      </w:r>
      <w:r w:rsidR="005E353F">
        <w:lastRenderedPageBreak/>
        <w:t>reform</w:t>
      </w:r>
      <w:r w:rsidR="00781163">
        <w:t xml:space="preserve">. It would also provide an incentive for retailers to engage with customers in debt early, </w:t>
      </w:r>
      <w:r w:rsidR="0080165F">
        <w:t>and to work with them to avoid debt levels reaching</w:t>
      </w:r>
      <w:r w:rsidR="00781163">
        <w:t xml:space="preserve"> </w:t>
      </w:r>
      <w:r w:rsidR="00F52B60">
        <w:t>the threshold.</w:t>
      </w:r>
    </w:p>
    <w:p w14:paraId="43BEC332" w14:textId="1CB7E212" w:rsidR="00596C6C" w:rsidRDefault="00131703" w:rsidP="00131703">
      <w:r>
        <w:t>Once a customer no longer meets this eligibility criteria (</w:t>
      </w:r>
      <w:r w:rsidR="00164A27">
        <w:t>for example,</w:t>
      </w:r>
      <w:r>
        <w:t xml:space="preserve"> their energy debt reduces to below $1</w:t>
      </w:r>
      <w:r w:rsidR="004B73D6">
        <w:t>,</w:t>
      </w:r>
      <w:r>
        <w:t>000</w:t>
      </w:r>
      <w:r w:rsidR="00716DC6">
        <w:t xml:space="preserve"> or th</w:t>
      </w:r>
      <w:r w:rsidR="00B15CFA">
        <w:t>ey pay off their debt within three months</w:t>
      </w:r>
      <w:r>
        <w:t xml:space="preserve">), retailers </w:t>
      </w:r>
      <w:r w:rsidR="00B15CFA">
        <w:t xml:space="preserve">would </w:t>
      </w:r>
      <w:r>
        <w:t>no</w:t>
      </w:r>
      <w:r w:rsidR="00C75716">
        <w:t xml:space="preserve"> longer</w:t>
      </w:r>
      <w:r>
        <w:t xml:space="preserve"> </w:t>
      </w:r>
      <w:r w:rsidR="00B15CFA">
        <w:t xml:space="preserve">be </w:t>
      </w:r>
      <w:r>
        <w:t xml:space="preserve">required to </w:t>
      </w:r>
      <w:r w:rsidR="004B73D6">
        <w:t xml:space="preserve">undertake regular </w:t>
      </w:r>
      <w:r w:rsidR="00FD4BCE">
        <w:t>reviews to</w:t>
      </w:r>
      <w:r>
        <w:t xml:space="preserve"> provide them with the automatic best offer. Despite this, retailers </w:t>
      </w:r>
      <w:r w:rsidR="003165FB">
        <w:t xml:space="preserve">would still be required </w:t>
      </w:r>
      <w:r>
        <w:t xml:space="preserve">to continue to offer </w:t>
      </w:r>
      <w:r w:rsidR="00A87667">
        <w:t xml:space="preserve">a range of options </w:t>
      </w:r>
      <w:r w:rsidR="002C169A">
        <w:t>and</w:t>
      </w:r>
      <w:r>
        <w:t xml:space="preserve"> support to customers </w:t>
      </w:r>
      <w:r w:rsidR="005D60BD">
        <w:t>experiencing</w:t>
      </w:r>
      <w:r>
        <w:t xml:space="preserve"> payment difficulty</w:t>
      </w:r>
      <w:r w:rsidR="003165FB">
        <w:t xml:space="preserve"> under the P</w:t>
      </w:r>
      <w:r w:rsidR="00144ED6">
        <w:t xml:space="preserve">ayment </w:t>
      </w:r>
      <w:r w:rsidR="003165FB">
        <w:t>D</w:t>
      </w:r>
      <w:r w:rsidR="00144ED6">
        <w:t xml:space="preserve">ifficulty </w:t>
      </w:r>
      <w:r w:rsidR="003165FB">
        <w:t>F</w:t>
      </w:r>
      <w:r w:rsidR="00144ED6">
        <w:t>ramework</w:t>
      </w:r>
      <w:r w:rsidR="003165FB">
        <w:t>.</w:t>
      </w:r>
    </w:p>
    <w:p w14:paraId="3E0A33F5" w14:textId="4B4889F0" w:rsidR="006A1A6C" w:rsidRDefault="006A1A6C" w:rsidP="006A1A6C">
      <w:pPr>
        <w:pStyle w:val="Heading3numbered"/>
      </w:pPr>
      <w:r>
        <w:t xml:space="preserve">MCA </w:t>
      </w:r>
      <w:r w:rsidR="00645037">
        <w:t>a</w:t>
      </w:r>
      <w:r>
        <w:t xml:space="preserve">ssessment </w:t>
      </w:r>
      <w:r w:rsidR="00B141AE">
        <w:t xml:space="preserve">– </w:t>
      </w:r>
      <w:r w:rsidR="007078D4">
        <w:t xml:space="preserve">eligibility </w:t>
      </w:r>
      <w:r w:rsidR="00144ED6">
        <w:t>o</w:t>
      </w:r>
      <w:r>
        <w:t>ptions AA.1 and AA.2</w:t>
      </w:r>
    </w:p>
    <w:p w14:paraId="7A5B2757" w14:textId="77777777" w:rsidR="00047E98" w:rsidRDefault="004948D8" w:rsidP="005D29D1">
      <w:r>
        <w:t>Out of all proposals considered in this RIS, t</w:t>
      </w:r>
      <w:r w:rsidR="005D29D1">
        <w:t xml:space="preserve">he automatic </w:t>
      </w:r>
      <w:r w:rsidR="00FD0FFA">
        <w:t>best offer</w:t>
      </w:r>
      <w:r w:rsidR="005D29D1">
        <w:t xml:space="preserve"> options considered in this section are likely to deliver the most benefits to c</w:t>
      </w:r>
      <w:r w:rsidR="00ED438C">
        <w:t xml:space="preserve">onsumers </w:t>
      </w:r>
      <w:r w:rsidR="005D29D1">
        <w:t xml:space="preserve">and impose the highest costs on industry. </w:t>
      </w:r>
    </w:p>
    <w:p w14:paraId="21B3EFA5" w14:textId="123763FE" w:rsidR="00E5514C" w:rsidRDefault="005D29D1" w:rsidP="00047E98">
      <w:pPr>
        <w:rPr>
          <w:color w:val="000000"/>
          <w:sz w:val="20"/>
          <w:szCs w:val="20"/>
        </w:rPr>
      </w:pPr>
      <w:r>
        <w:t>The automatic switching proposals represent a fundamental change from the current approach</w:t>
      </w:r>
      <w:r w:rsidR="00B24725">
        <w:t xml:space="preserve"> of</w:t>
      </w:r>
      <w:r w:rsidR="00ED438C">
        <w:t xml:space="preserve"> </w:t>
      </w:r>
      <w:r w:rsidR="004502D7">
        <w:t xml:space="preserve">requiring </w:t>
      </w:r>
      <w:r w:rsidR="00FE0EF9">
        <w:t>retailers to provide information to customers</w:t>
      </w:r>
      <w:r>
        <w:t xml:space="preserve"> </w:t>
      </w:r>
      <w:r w:rsidR="00FE0EF9">
        <w:t xml:space="preserve">(for example, </w:t>
      </w:r>
      <w:r w:rsidR="00801890">
        <w:t>best offer messages on bills</w:t>
      </w:r>
      <w:r w:rsidR="00FE0EF9">
        <w:t xml:space="preserve">) </w:t>
      </w:r>
      <w:r>
        <w:t xml:space="preserve">to proactive compulsory actions </w:t>
      </w:r>
      <w:r w:rsidR="008A6C3F">
        <w:t>to provide customers with cheaper plans</w:t>
      </w:r>
      <w:r>
        <w:t xml:space="preserve">. </w:t>
      </w:r>
      <w:r w:rsidR="00047E98">
        <w:t xml:space="preserve">It would </w:t>
      </w:r>
      <w:r w:rsidR="00E5514C" w:rsidRPr="00047E98">
        <w:t xml:space="preserve">remove </w:t>
      </w:r>
      <w:r w:rsidR="00047E98">
        <w:t xml:space="preserve">a major barrier </w:t>
      </w:r>
      <w:r w:rsidR="00047E98" w:rsidRPr="00047E98">
        <w:t xml:space="preserve">for customers, </w:t>
      </w:r>
      <w:r w:rsidR="00E5514C" w:rsidRPr="00047E98">
        <w:t xml:space="preserve">as the current </w:t>
      </w:r>
      <w:r w:rsidR="00450BD6">
        <w:t xml:space="preserve">framework </w:t>
      </w:r>
      <w:r w:rsidR="00E5514C" w:rsidRPr="00047E98">
        <w:t>requires a customer to engage with the</w:t>
      </w:r>
      <w:r w:rsidR="00450BD6">
        <w:t>ir</w:t>
      </w:r>
      <w:r w:rsidR="00E5514C" w:rsidRPr="00047E98">
        <w:t xml:space="preserve"> retailer and provide their explicit informed consent</w:t>
      </w:r>
      <w:r w:rsidR="00047E98" w:rsidRPr="00047E98">
        <w:t xml:space="preserve"> </w:t>
      </w:r>
      <w:r w:rsidR="00047E98">
        <w:t xml:space="preserve">to switch to </w:t>
      </w:r>
      <w:r w:rsidR="00047E98" w:rsidRPr="00047E98">
        <w:t>a cheaper plan</w:t>
      </w:r>
      <w:r w:rsidR="00E5514C" w:rsidRPr="00047E98">
        <w:t>.</w:t>
      </w:r>
    </w:p>
    <w:p w14:paraId="109D3621" w14:textId="442DE75C" w:rsidR="00CD2BF1" w:rsidRPr="00CD2BF1" w:rsidRDefault="005D29D1" w:rsidP="00C33998">
      <w:r>
        <w:t>A</w:t>
      </w:r>
      <w:r w:rsidR="00C07164">
        <w:t xml:space="preserve"> first</w:t>
      </w:r>
      <w:r>
        <w:t xml:space="preserve"> MCA assessment was undertaken to compare the likely costs and benefits </w:t>
      </w:r>
      <w:r w:rsidR="005F4FC1">
        <w:t>of t</w:t>
      </w:r>
      <w:r w:rsidR="00C33998">
        <w:t>he two eligibility options described above.</w:t>
      </w:r>
      <w:r w:rsidR="00450BD6">
        <w:t xml:space="preserve"> We note that the key difference between </w:t>
      </w:r>
      <w:r w:rsidR="00740EB7">
        <w:t>the options is the number of customers benefitting and receiving the proposed automatic best offer.</w:t>
      </w:r>
    </w:p>
    <w:p w14:paraId="397B5B0E" w14:textId="2B0DB9EA" w:rsidR="00DC16A1" w:rsidRDefault="0083078F" w:rsidP="000F6481">
      <w:pPr>
        <w:pStyle w:val="Figure-Table-BoxSubtitle"/>
        <w:ind w:left="0"/>
      </w:pPr>
      <w:r w:rsidRPr="006A16DE">
        <w:rPr>
          <w:rStyle w:val="Figure-Table-BoxHeadingChar"/>
        </w:rPr>
        <w:t xml:space="preserve">Table </w:t>
      </w:r>
      <w:r w:rsidR="00EE6AA3" w:rsidRPr="006A16DE">
        <w:rPr>
          <w:rStyle w:val="Figure-Table-BoxHeadingChar"/>
        </w:rPr>
        <w:t>6</w:t>
      </w:r>
      <w:r w:rsidR="00DC16A1" w:rsidRPr="000F6481">
        <w:rPr>
          <w:rStyle w:val="Figure-Table-BoxHeadingChar"/>
        </w:rPr>
        <w:t>:</w:t>
      </w:r>
      <w:r w:rsidR="00DC16A1" w:rsidRPr="00E10DDD">
        <w:t xml:space="preserve"> </w:t>
      </w:r>
      <w:r w:rsidR="008E6A07">
        <w:t xml:space="preserve">MCA assessment of </w:t>
      </w:r>
      <w:r w:rsidR="00746664">
        <w:t xml:space="preserve">options </w:t>
      </w:r>
      <w:r w:rsidR="008E6A07">
        <w:t>AA.1 and AA.2</w:t>
      </w:r>
      <w:r w:rsidR="00094CD1">
        <w:t>: Effectiveness</w:t>
      </w:r>
      <w:r w:rsidR="008E6A07" w:rsidRPr="00E10DDD" w:rsidDel="008E6A07">
        <w:t xml:space="preserve"> </w:t>
      </w:r>
    </w:p>
    <w:tbl>
      <w:tblPr>
        <w:tblW w:w="0" w:type="auto"/>
        <w:tblCellMar>
          <w:left w:w="0" w:type="dxa"/>
          <w:right w:w="0" w:type="dxa"/>
        </w:tblCellMar>
        <w:tblLook w:val="04A0" w:firstRow="1" w:lastRow="0" w:firstColumn="1" w:lastColumn="0" w:noHBand="0" w:noVBand="1"/>
      </w:tblPr>
      <w:tblGrid>
        <w:gridCol w:w="802"/>
        <w:gridCol w:w="1884"/>
        <w:gridCol w:w="4486"/>
        <w:gridCol w:w="1127"/>
        <w:gridCol w:w="1339"/>
      </w:tblGrid>
      <w:tr w:rsidR="00077209" w:rsidRPr="001E6C27" w14:paraId="297ACE3E" w14:textId="77777777" w:rsidTr="2A386E76">
        <w:tc>
          <w:tcPr>
            <w:tcW w:w="805" w:type="dxa"/>
            <w:tcBorders>
              <w:top w:val="single" w:sz="4" w:space="0" w:color="4986A0" w:themeColor="accent3"/>
              <w:bottom w:val="single" w:sz="4" w:space="0" w:color="4986A0" w:themeColor="accent3"/>
            </w:tcBorders>
            <w:shd w:val="clear" w:color="auto" w:fill="4986A0" w:themeFill="accent3"/>
            <w:tcMar>
              <w:top w:w="0" w:type="dxa"/>
              <w:left w:w="0" w:type="dxa"/>
              <w:bottom w:w="0" w:type="dxa"/>
              <w:right w:w="0" w:type="dxa"/>
            </w:tcMar>
            <w:hideMark/>
          </w:tcPr>
          <w:p w14:paraId="672DF645" w14:textId="77777777" w:rsidR="001E6C27" w:rsidRPr="008D28C5" w:rsidRDefault="001E6C27" w:rsidP="008D28C5">
            <w:pPr>
              <w:pStyle w:val="TableBody"/>
              <w:keepNext/>
              <w:keepLines/>
              <w:spacing w:before="60" w:after="60"/>
              <w:jc w:val="center"/>
              <w:rPr>
                <w:b/>
                <w:color w:val="FFFFFF" w:themeColor="background1"/>
                <w:sz w:val="20"/>
                <w:szCs w:val="20"/>
                <w:lang w:val="en-AU"/>
              </w:rPr>
            </w:pPr>
            <w:r w:rsidRPr="008D28C5">
              <w:rPr>
                <w:b/>
                <w:color w:val="FFFFFF" w:themeColor="background1"/>
                <w:sz w:val="20"/>
                <w:szCs w:val="20"/>
                <w:lang w:val="en-AU"/>
              </w:rPr>
              <w:t>Option</w:t>
            </w:r>
          </w:p>
        </w:tc>
        <w:tc>
          <w:tcPr>
            <w:tcW w:w="1889" w:type="dxa"/>
            <w:tcBorders>
              <w:top w:val="single" w:sz="4" w:space="0" w:color="4986A0" w:themeColor="accent3"/>
              <w:bottom w:val="single" w:sz="4" w:space="0" w:color="4986A0" w:themeColor="accent3"/>
            </w:tcBorders>
            <w:shd w:val="clear" w:color="auto" w:fill="4986A0" w:themeFill="accent3"/>
            <w:tcMar>
              <w:top w:w="0" w:type="dxa"/>
              <w:left w:w="118" w:type="dxa"/>
              <w:bottom w:w="0" w:type="dxa"/>
              <w:right w:w="118" w:type="dxa"/>
            </w:tcMar>
            <w:hideMark/>
          </w:tcPr>
          <w:p w14:paraId="3A5D1AE4" w14:textId="77777777" w:rsidR="006A7CC0" w:rsidRPr="008D28C5" w:rsidRDefault="001E6C27" w:rsidP="008D28C5">
            <w:pPr>
              <w:pStyle w:val="TableBody"/>
              <w:keepNext/>
              <w:keepLines/>
              <w:spacing w:before="60" w:after="60"/>
              <w:jc w:val="center"/>
              <w:rPr>
                <w:b/>
                <w:color w:val="FFFFFF" w:themeColor="background1"/>
                <w:sz w:val="20"/>
                <w:szCs w:val="20"/>
                <w:lang w:val="en-AU"/>
              </w:rPr>
            </w:pPr>
            <w:r w:rsidRPr="008D28C5">
              <w:rPr>
                <w:b/>
                <w:color w:val="FFFFFF" w:themeColor="background1"/>
                <w:sz w:val="20"/>
                <w:szCs w:val="20"/>
                <w:lang w:val="en-AU"/>
              </w:rPr>
              <w:t>Criteria</w:t>
            </w:r>
          </w:p>
          <w:p w14:paraId="694D91E6" w14:textId="2E213F18" w:rsidR="001E6C27" w:rsidRPr="008D28C5" w:rsidRDefault="001E6C27" w:rsidP="008D28C5">
            <w:pPr>
              <w:pStyle w:val="TableBody"/>
              <w:keepNext/>
              <w:keepLines/>
              <w:spacing w:before="60" w:after="60"/>
              <w:jc w:val="center"/>
              <w:rPr>
                <w:b/>
                <w:color w:val="FFFFFF" w:themeColor="background1"/>
                <w:sz w:val="20"/>
                <w:szCs w:val="20"/>
                <w:lang w:val="en-AU"/>
              </w:rPr>
            </w:pPr>
            <w:r w:rsidRPr="008D28C5">
              <w:rPr>
                <w:b/>
                <w:color w:val="FFFFFF" w:themeColor="background1"/>
                <w:sz w:val="20"/>
                <w:szCs w:val="20"/>
                <w:lang w:val="en-AU"/>
              </w:rPr>
              <w:t>(weighting 50%)</w:t>
            </w:r>
          </w:p>
        </w:tc>
        <w:tc>
          <w:tcPr>
            <w:tcW w:w="4536" w:type="dxa"/>
            <w:tcBorders>
              <w:top w:val="single" w:sz="4" w:space="0" w:color="4986A0" w:themeColor="accent3"/>
              <w:bottom w:val="single" w:sz="4" w:space="0" w:color="4986A0" w:themeColor="accent3"/>
            </w:tcBorders>
            <w:shd w:val="clear" w:color="auto" w:fill="4986A0" w:themeFill="accent3"/>
            <w:tcMar>
              <w:top w:w="0" w:type="dxa"/>
              <w:left w:w="118" w:type="dxa"/>
              <w:bottom w:w="0" w:type="dxa"/>
              <w:right w:w="118" w:type="dxa"/>
            </w:tcMar>
            <w:hideMark/>
          </w:tcPr>
          <w:p w14:paraId="5FE326C7" w14:textId="77777777" w:rsidR="001E6C27" w:rsidRPr="008D28C5" w:rsidRDefault="001E6C27" w:rsidP="008D28C5">
            <w:pPr>
              <w:pStyle w:val="TableBody"/>
              <w:keepNext/>
              <w:keepLines/>
              <w:spacing w:before="60" w:after="60"/>
              <w:jc w:val="center"/>
              <w:rPr>
                <w:b/>
                <w:color w:val="FFFFFF" w:themeColor="background1"/>
                <w:sz w:val="20"/>
                <w:szCs w:val="20"/>
                <w:lang w:val="en-AU"/>
              </w:rPr>
            </w:pPr>
            <w:r w:rsidRPr="008D28C5">
              <w:rPr>
                <w:b/>
                <w:color w:val="FFFFFF" w:themeColor="background1"/>
                <w:sz w:val="20"/>
                <w:szCs w:val="20"/>
                <w:lang w:val="en-AU"/>
              </w:rPr>
              <w:t>Assessment</w:t>
            </w:r>
          </w:p>
        </w:tc>
        <w:tc>
          <w:tcPr>
            <w:tcW w:w="1134" w:type="dxa"/>
            <w:tcBorders>
              <w:top w:val="single" w:sz="4" w:space="0" w:color="4986A0" w:themeColor="accent3"/>
              <w:bottom w:val="single" w:sz="4" w:space="0" w:color="4986A0" w:themeColor="accent3"/>
            </w:tcBorders>
            <w:shd w:val="clear" w:color="auto" w:fill="4986A0" w:themeFill="accent3"/>
          </w:tcPr>
          <w:p w14:paraId="40F086A5" w14:textId="77777777" w:rsidR="009F155B" w:rsidRPr="008D28C5" w:rsidRDefault="009F155B" w:rsidP="008D28C5">
            <w:pPr>
              <w:pStyle w:val="TableBody"/>
              <w:keepNext/>
              <w:keepLines/>
              <w:spacing w:before="60" w:after="60"/>
              <w:jc w:val="center"/>
              <w:rPr>
                <w:b/>
                <w:color w:val="FFFFFF" w:themeColor="background1"/>
                <w:sz w:val="20"/>
                <w:szCs w:val="20"/>
                <w:lang w:val="en-AU"/>
              </w:rPr>
            </w:pPr>
            <w:r w:rsidRPr="008D28C5">
              <w:rPr>
                <w:b/>
                <w:color w:val="FFFFFF" w:themeColor="background1"/>
                <w:sz w:val="20"/>
                <w:szCs w:val="20"/>
                <w:lang w:val="en-AU"/>
              </w:rPr>
              <w:t>Score</w:t>
            </w:r>
          </w:p>
          <w:p w14:paraId="292AA60B" w14:textId="79F1810B" w:rsidR="009F155B" w:rsidRPr="008D28C5" w:rsidRDefault="00D97CF5" w:rsidP="008D28C5">
            <w:pPr>
              <w:pStyle w:val="TableBody"/>
              <w:keepNext/>
              <w:keepLines/>
              <w:spacing w:before="60" w:after="60"/>
              <w:jc w:val="center"/>
              <w:rPr>
                <w:b/>
                <w:color w:val="FFFFFF" w:themeColor="background1"/>
                <w:sz w:val="20"/>
                <w:szCs w:val="20"/>
                <w:lang w:val="en-AU"/>
              </w:rPr>
            </w:pPr>
            <w:r w:rsidRPr="008D28C5">
              <w:rPr>
                <w:b/>
                <w:color w:val="FFFFFF" w:themeColor="background1"/>
                <w:sz w:val="20"/>
                <w:szCs w:val="20"/>
                <w:lang w:val="en-AU"/>
              </w:rPr>
              <w:t>(-10 to 10)</w:t>
            </w:r>
          </w:p>
        </w:tc>
        <w:tc>
          <w:tcPr>
            <w:tcW w:w="1274" w:type="dxa"/>
            <w:tcBorders>
              <w:top w:val="single" w:sz="4" w:space="0" w:color="4986A0" w:themeColor="accent3"/>
              <w:bottom w:val="single" w:sz="4" w:space="0" w:color="4986A0" w:themeColor="accent3"/>
            </w:tcBorders>
            <w:shd w:val="clear" w:color="auto" w:fill="4986A0" w:themeFill="accent3"/>
            <w:tcMar>
              <w:top w:w="0" w:type="dxa"/>
              <w:left w:w="118" w:type="dxa"/>
              <w:bottom w:w="0" w:type="dxa"/>
              <w:right w:w="118" w:type="dxa"/>
            </w:tcMar>
            <w:hideMark/>
          </w:tcPr>
          <w:p w14:paraId="285394A9" w14:textId="77777777" w:rsidR="001E6C27" w:rsidRPr="008D28C5" w:rsidRDefault="001E6C27" w:rsidP="008D28C5">
            <w:pPr>
              <w:pStyle w:val="TableBody"/>
              <w:keepNext/>
              <w:keepLines/>
              <w:spacing w:before="60" w:after="60"/>
              <w:jc w:val="center"/>
              <w:rPr>
                <w:b/>
                <w:color w:val="FFFFFF" w:themeColor="background1"/>
                <w:sz w:val="20"/>
                <w:szCs w:val="20"/>
                <w:lang w:val="en-AU"/>
              </w:rPr>
            </w:pPr>
            <w:r w:rsidRPr="008D28C5">
              <w:rPr>
                <w:b/>
                <w:color w:val="FFFFFF" w:themeColor="background1"/>
                <w:sz w:val="20"/>
                <w:szCs w:val="20"/>
                <w:lang w:val="en-AU"/>
              </w:rPr>
              <w:t>Weighted score</w:t>
            </w:r>
          </w:p>
        </w:tc>
      </w:tr>
      <w:tr w:rsidR="005D125F" w:rsidRPr="001E6C27" w14:paraId="704BE792" w14:textId="77777777" w:rsidTr="00DA0260">
        <w:trPr>
          <w:trHeight w:val="534"/>
        </w:trPr>
        <w:tc>
          <w:tcPr>
            <w:tcW w:w="805" w:type="dxa"/>
            <w:tcMar>
              <w:top w:w="0" w:type="dxa"/>
              <w:left w:w="0" w:type="dxa"/>
              <w:bottom w:w="0" w:type="dxa"/>
              <w:right w:w="0" w:type="dxa"/>
            </w:tcMar>
            <w:hideMark/>
          </w:tcPr>
          <w:p w14:paraId="6746F8DD" w14:textId="77777777" w:rsidR="001E6C27" w:rsidRPr="001E6C27" w:rsidRDefault="001E6C27">
            <w:pPr>
              <w:spacing w:after="120" w:line="240" w:lineRule="auto"/>
              <w:rPr>
                <w:color w:val="000000"/>
                <w:sz w:val="20"/>
                <w:szCs w:val="20"/>
              </w:rPr>
            </w:pPr>
            <w:r w:rsidRPr="001E6C27">
              <w:rPr>
                <w:color w:val="000000"/>
                <w:sz w:val="20"/>
                <w:szCs w:val="20"/>
              </w:rPr>
              <w:t>AA.1</w:t>
            </w:r>
          </w:p>
        </w:tc>
        <w:tc>
          <w:tcPr>
            <w:tcW w:w="1889" w:type="dxa"/>
            <w:tcMar>
              <w:top w:w="0" w:type="dxa"/>
              <w:left w:w="118" w:type="dxa"/>
              <w:bottom w:w="0" w:type="dxa"/>
              <w:right w:w="118" w:type="dxa"/>
            </w:tcMar>
            <w:hideMark/>
          </w:tcPr>
          <w:p w14:paraId="232780EC" w14:textId="77777777" w:rsidR="009F5809" w:rsidRDefault="001E6C27">
            <w:pPr>
              <w:spacing w:after="120" w:line="240" w:lineRule="auto"/>
              <w:rPr>
                <w:color w:val="000000"/>
                <w:sz w:val="20"/>
                <w:szCs w:val="20"/>
              </w:rPr>
            </w:pPr>
            <w:r w:rsidRPr="001E6C27">
              <w:rPr>
                <w:color w:val="000000"/>
                <w:sz w:val="20"/>
                <w:szCs w:val="20"/>
              </w:rPr>
              <w:t>Effectiveness</w:t>
            </w:r>
          </w:p>
          <w:p w14:paraId="097405F9" w14:textId="77777777" w:rsidR="009F5809" w:rsidRDefault="009F5809" w:rsidP="009F5809">
            <w:pPr>
              <w:spacing w:after="120" w:line="240" w:lineRule="auto"/>
              <w:rPr>
                <w:color w:val="000000"/>
                <w:sz w:val="20"/>
                <w:szCs w:val="20"/>
              </w:rPr>
            </w:pPr>
            <w:r>
              <w:rPr>
                <w:color w:val="000000"/>
                <w:sz w:val="20"/>
                <w:szCs w:val="20"/>
              </w:rPr>
              <w:t>Reform objectives:</w:t>
            </w:r>
          </w:p>
          <w:p w14:paraId="127A22F8" w14:textId="77777777" w:rsidR="000A0D73" w:rsidRPr="000A0D73" w:rsidRDefault="009F5809" w:rsidP="00B43F3C">
            <w:pPr>
              <w:numPr>
                <w:ilvl w:val="0"/>
                <w:numId w:val="20"/>
              </w:numPr>
              <w:spacing w:after="0" w:line="240" w:lineRule="auto"/>
              <w:ind w:left="204" w:hanging="268"/>
              <w:rPr>
                <w:rFonts w:ascii="Times New Roman" w:eastAsia="Times New Roman" w:hAnsi="Times New Roman" w:cs="Times New Roman"/>
                <w:color w:val="000000"/>
                <w:sz w:val="20"/>
                <w:szCs w:val="20"/>
              </w:rPr>
            </w:pPr>
            <w:r>
              <w:rPr>
                <w:color w:val="000000"/>
                <w:sz w:val="20"/>
                <w:szCs w:val="20"/>
              </w:rPr>
              <w:t>help households pay less for energy</w:t>
            </w:r>
          </w:p>
          <w:p w14:paraId="28C6160C" w14:textId="44707754" w:rsidR="001E6C27" w:rsidRPr="000A0D73" w:rsidRDefault="009F5809" w:rsidP="00B43F3C">
            <w:pPr>
              <w:numPr>
                <w:ilvl w:val="0"/>
                <w:numId w:val="20"/>
              </w:numPr>
              <w:spacing w:after="0" w:line="240" w:lineRule="auto"/>
              <w:ind w:left="204" w:hanging="268"/>
              <w:rPr>
                <w:rFonts w:ascii="Times New Roman" w:eastAsia="Times New Roman" w:hAnsi="Times New Roman" w:cs="Times New Roman"/>
                <w:color w:val="000000"/>
                <w:sz w:val="20"/>
                <w:szCs w:val="20"/>
              </w:rPr>
            </w:pPr>
            <w:r w:rsidRPr="000A0D73">
              <w:rPr>
                <w:color w:val="000000"/>
                <w:sz w:val="20"/>
                <w:szCs w:val="20"/>
              </w:rPr>
              <w:t>increase support for people experiencing payment difficulty</w:t>
            </w:r>
            <w:r w:rsidR="000A0D73">
              <w:rPr>
                <w:color w:val="000000"/>
                <w:sz w:val="20"/>
                <w:szCs w:val="20"/>
              </w:rPr>
              <w:t>.</w:t>
            </w:r>
            <w:r w:rsidR="001E6C27" w:rsidRPr="000A0D73">
              <w:rPr>
                <w:color w:val="000000"/>
                <w:sz w:val="20"/>
                <w:szCs w:val="20"/>
              </w:rPr>
              <w:t xml:space="preserve"> </w:t>
            </w:r>
          </w:p>
        </w:tc>
        <w:tc>
          <w:tcPr>
            <w:tcW w:w="4536" w:type="dxa"/>
            <w:tcMar>
              <w:top w:w="0" w:type="dxa"/>
              <w:left w:w="118" w:type="dxa"/>
              <w:bottom w:w="0" w:type="dxa"/>
              <w:right w:w="118" w:type="dxa"/>
            </w:tcMar>
            <w:hideMark/>
          </w:tcPr>
          <w:p w14:paraId="297BC234" w14:textId="77777777" w:rsidR="007D157C" w:rsidRPr="007D157C" w:rsidRDefault="001E6C27" w:rsidP="007D157C">
            <w:pPr>
              <w:spacing w:after="120" w:line="240" w:lineRule="auto"/>
              <w:rPr>
                <w:color w:val="000000"/>
                <w:sz w:val="20"/>
                <w:szCs w:val="20"/>
              </w:rPr>
            </w:pPr>
            <w:r w:rsidRPr="001E6C27">
              <w:rPr>
                <w:color w:val="000000"/>
                <w:sz w:val="20"/>
                <w:szCs w:val="20"/>
              </w:rPr>
              <w:t xml:space="preserve">This option </w:t>
            </w:r>
            <w:r w:rsidR="00622A14">
              <w:rPr>
                <w:color w:val="000000"/>
                <w:sz w:val="20"/>
                <w:szCs w:val="20"/>
              </w:rPr>
              <w:t xml:space="preserve">targets customers who are receiving </w:t>
            </w:r>
            <w:r w:rsidR="007D157C">
              <w:rPr>
                <w:color w:val="000000"/>
                <w:sz w:val="20"/>
                <w:szCs w:val="20"/>
              </w:rPr>
              <w:t xml:space="preserve">tailored </w:t>
            </w:r>
            <w:r w:rsidR="00622A14" w:rsidRPr="007D157C">
              <w:rPr>
                <w:color w:val="000000"/>
                <w:sz w:val="20"/>
                <w:szCs w:val="20"/>
              </w:rPr>
              <w:t xml:space="preserve">assistance from their retailer. </w:t>
            </w:r>
          </w:p>
          <w:p w14:paraId="15C584E5" w14:textId="0B30FEFA" w:rsidR="007D157C" w:rsidRPr="007D157C" w:rsidRDefault="007D157C" w:rsidP="007D157C">
            <w:pPr>
              <w:spacing w:after="120" w:line="240" w:lineRule="auto"/>
              <w:rPr>
                <w:sz w:val="20"/>
                <w:szCs w:val="20"/>
              </w:rPr>
            </w:pPr>
            <w:r w:rsidRPr="007D157C">
              <w:rPr>
                <w:sz w:val="20"/>
                <w:szCs w:val="20"/>
              </w:rPr>
              <w:t>We estimate this would result in total average annual savings of $13.</w:t>
            </w:r>
            <w:r w:rsidR="00365EED">
              <w:rPr>
                <w:sz w:val="20"/>
                <w:szCs w:val="20"/>
              </w:rPr>
              <w:t>6</w:t>
            </w:r>
            <w:r w:rsidRPr="007D157C">
              <w:rPr>
                <w:sz w:val="20"/>
                <w:szCs w:val="20"/>
              </w:rPr>
              <w:t xml:space="preserve"> million for affected electricity customers and $9.4 million for affected gas customers.</w:t>
            </w:r>
          </w:p>
          <w:p w14:paraId="28EEB34D" w14:textId="13B51365" w:rsidR="007D157C" w:rsidRPr="007D157C" w:rsidRDefault="007D157C" w:rsidP="007D157C">
            <w:pPr>
              <w:spacing w:after="120" w:line="240" w:lineRule="auto"/>
              <w:rPr>
                <w:color w:val="000000"/>
                <w:sz w:val="20"/>
                <w:szCs w:val="20"/>
              </w:rPr>
            </w:pPr>
            <w:r w:rsidRPr="007D157C">
              <w:rPr>
                <w:sz w:val="20"/>
                <w:szCs w:val="20"/>
              </w:rPr>
              <w:t xml:space="preserve">From October to December 2024, an average of 87,391 electricity and 83,696 gas residential customers accessed tailored assistance each month. We applied the average percentage of Victorian customers not on their energy retailer’s best offer (which was 69 per cent for electricity and 62 per cent for gas each month </w:t>
            </w:r>
            <w:r w:rsidRPr="007D157C">
              <w:rPr>
                <w:sz w:val="20"/>
                <w:szCs w:val="20"/>
              </w:rPr>
              <w:lastRenderedPageBreak/>
              <w:t>in 2023–24).</w:t>
            </w:r>
            <w:bookmarkStart w:id="155" w:name="_Ref197682435"/>
            <w:r w:rsidRPr="007D157C">
              <w:rPr>
                <w:color w:val="000000"/>
                <w:sz w:val="20"/>
                <w:szCs w:val="20"/>
                <w:vertAlign w:val="superscript"/>
              </w:rPr>
              <w:footnoteReference w:id="150"/>
            </w:r>
            <w:bookmarkEnd w:id="155"/>
            <w:r w:rsidRPr="007D157C">
              <w:rPr>
                <w:sz w:val="20"/>
                <w:szCs w:val="20"/>
              </w:rPr>
              <w:t xml:space="preserve"> We also assumed electricity customers could save around $225 and gas customers around $182 annually from switching to their retailers’ best offer.</w:t>
            </w:r>
            <w:r w:rsidRPr="007D157C">
              <w:rPr>
                <w:rStyle w:val="FootnoteReference"/>
                <w:sz w:val="20"/>
                <w:szCs w:val="20"/>
              </w:rPr>
              <w:footnoteReference w:id="151"/>
            </w:r>
          </w:p>
          <w:p w14:paraId="7B8FE9A7" w14:textId="20E43CFB" w:rsidR="0033436D" w:rsidRDefault="00BD0E80" w:rsidP="00622A14">
            <w:pPr>
              <w:spacing w:after="120" w:line="240" w:lineRule="auto"/>
              <w:rPr>
                <w:color w:val="000000"/>
                <w:sz w:val="20"/>
                <w:szCs w:val="20"/>
              </w:rPr>
            </w:pPr>
            <w:r>
              <w:rPr>
                <w:color w:val="000000"/>
                <w:sz w:val="20"/>
                <w:szCs w:val="20"/>
              </w:rPr>
              <w:t xml:space="preserve">This would result in around </w:t>
            </w:r>
            <w:r w:rsidR="0004699B" w:rsidRPr="0004699B">
              <w:rPr>
                <w:color w:val="000000"/>
                <w:sz w:val="20"/>
                <w:szCs w:val="20"/>
              </w:rPr>
              <w:t>60</w:t>
            </w:r>
            <w:r>
              <w:rPr>
                <w:color w:val="000000"/>
                <w:sz w:val="20"/>
                <w:szCs w:val="20"/>
              </w:rPr>
              <w:t xml:space="preserve">,000 </w:t>
            </w:r>
            <w:r w:rsidR="0004699B" w:rsidRPr="0004699B">
              <w:rPr>
                <w:color w:val="000000"/>
                <w:sz w:val="20"/>
                <w:szCs w:val="20"/>
              </w:rPr>
              <w:t xml:space="preserve">electricity </w:t>
            </w:r>
            <w:r w:rsidR="0004699B">
              <w:rPr>
                <w:color w:val="000000"/>
                <w:sz w:val="20"/>
                <w:szCs w:val="20"/>
              </w:rPr>
              <w:t>a</w:t>
            </w:r>
            <w:r w:rsidR="0004699B" w:rsidRPr="0004699B">
              <w:rPr>
                <w:color w:val="000000"/>
                <w:sz w:val="20"/>
                <w:szCs w:val="20"/>
              </w:rPr>
              <w:t>nd 5</w:t>
            </w:r>
            <w:r>
              <w:rPr>
                <w:color w:val="000000"/>
                <w:sz w:val="20"/>
                <w:szCs w:val="20"/>
              </w:rPr>
              <w:t>2</w:t>
            </w:r>
            <w:r w:rsidR="0004699B" w:rsidRPr="0004699B">
              <w:rPr>
                <w:color w:val="000000"/>
                <w:sz w:val="20"/>
                <w:szCs w:val="20"/>
              </w:rPr>
              <w:t>,</w:t>
            </w:r>
            <w:r>
              <w:rPr>
                <w:color w:val="000000"/>
                <w:sz w:val="20"/>
                <w:szCs w:val="20"/>
              </w:rPr>
              <w:t>000</w:t>
            </w:r>
            <w:r w:rsidR="0004699B" w:rsidRPr="0004699B">
              <w:rPr>
                <w:color w:val="000000"/>
                <w:sz w:val="20"/>
                <w:szCs w:val="20"/>
              </w:rPr>
              <w:t xml:space="preserve"> gas customers </w:t>
            </w:r>
            <w:r w:rsidR="00E4027E">
              <w:rPr>
                <w:color w:val="000000"/>
                <w:sz w:val="20"/>
                <w:szCs w:val="20"/>
              </w:rPr>
              <w:t>be</w:t>
            </w:r>
            <w:r>
              <w:rPr>
                <w:color w:val="000000"/>
                <w:sz w:val="20"/>
                <w:szCs w:val="20"/>
              </w:rPr>
              <w:t>ing</w:t>
            </w:r>
            <w:r w:rsidR="00E4027E">
              <w:rPr>
                <w:color w:val="000000"/>
                <w:sz w:val="20"/>
                <w:szCs w:val="20"/>
              </w:rPr>
              <w:t xml:space="preserve"> </w:t>
            </w:r>
            <w:r w:rsidR="001E6C27" w:rsidRPr="001E6C27">
              <w:rPr>
                <w:color w:val="000000"/>
                <w:sz w:val="20"/>
                <w:szCs w:val="20"/>
              </w:rPr>
              <w:t xml:space="preserve">switched to the retailer’s best offer </w:t>
            </w:r>
            <w:r w:rsidR="005D125F">
              <w:rPr>
                <w:color w:val="000000"/>
                <w:sz w:val="20"/>
                <w:szCs w:val="20"/>
              </w:rPr>
              <w:t>(around 2% of Victorian customers)</w:t>
            </w:r>
            <w:r w:rsidR="001E6C27" w:rsidRPr="001E6C27">
              <w:rPr>
                <w:color w:val="000000"/>
                <w:sz w:val="20"/>
                <w:szCs w:val="20"/>
              </w:rPr>
              <w:t xml:space="preserve">. </w:t>
            </w:r>
          </w:p>
          <w:p w14:paraId="3A26CEF9" w14:textId="71B26B33" w:rsidR="005A6439" w:rsidRPr="001E6C27" w:rsidRDefault="001B585D" w:rsidP="0025637B">
            <w:pPr>
              <w:spacing w:after="120" w:line="240" w:lineRule="auto"/>
              <w:rPr>
                <w:color w:val="000000"/>
                <w:sz w:val="20"/>
                <w:szCs w:val="20"/>
              </w:rPr>
            </w:pPr>
            <w:r>
              <w:rPr>
                <w:color w:val="000000"/>
                <w:sz w:val="20"/>
                <w:szCs w:val="20"/>
              </w:rPr>
              <w:t xml:space="preserve">These customers will </w:t>
            </w:r>
            <w:r w:rsidR="00887A9B">
              <w:rPr>
                <w:color w:val="000000"/>
                <w:sz w:val="20"/>
                <w:szCs w:val="20"/>
              </w:rPr>
              <w:t xml:space="preserve">also </w:t>
            </w:r>
            <w:r>
              <w:rPr>
                <w:color w:val="000000"/>
                <w:sz w:val="20"/>
                <w:szCs w:val="20"/>
              </w:rPr>
              <w:t xml:space="preserve">benefit from increased confidence in the support provided by their retailer by being proactively moved to their best offer. This would mean these customers are able to pay off their debts faster. They would also be in a better position to discuss payment plans, reducing </w:t>
            </w:r>
            <w:r w:rsidR="000E5CFD">
              <w:rPr>
                <w:color w:val="000000"/>
                <w:sz w:val="20"/>
                <w:szCs w:val="20"/>
              </w:rPr>
              <w:t xml:space="preserve">future </w:t>
            </w:r>
            <w:r>
              <w:rPr>
                <w:color w:val="000000"/>
                <w:sz w:val="20"/>
                <w:szCs w:val="20"/>
              </w:rPr>
              <w:t>energy costs and other forms of support they may need.</w:t>
            </w:r>
          </w:p>
        </w:tc>
        <w:tc>
          <w:tcPr>
            <w:tcW w:w="1066" w:type="dxa"/>
          </w:tcPr>
          <w:p w14:paraId="4F2D7589" w14:textId="6EC73254" w:rsidR="009F155B" w:rsidRDefault="00A54306" w:rsidP="00DF0D66">
            <w:pPr>
              <w:spacing w:after="120" w:line="240" w:lineRule="auto"/>
              <w:ind w:right="18"/>
              <w:jc w:val="center"/>
              <w:rPr>
                <w:color w:val="000000"/>
                <w:sz w:val="20"/>
                <w:szCs w:val="20"/>
              </w:rPr>
            </w:pPr>
            <w:r>
              <w:rPr>
                <w:color w:val="000000"/>
                <w:sz w:val="20"/>
                <w:szCs w:val="20"/>
              </w:rPr>
              <w:lastRenderedPageBreak/>
              <w:t>5.5</w:t>
            </w:r>
          </w:p>
        </w:tc>
        <w:tc>
          <w:tcPr>
            <w:tcW w:w="1342" w:type="dxa"/>
            <w:tcMar>
              <w:top w:w="0" w:type="dxa"/>
              <w:left w:w="118" w:type="dxa"/>
              <w:bottom w:w="0" w:type="dxa"/>
              <w:right w:w="118" w:type="dxa"/>
            </w:tcMar>
            <w:hideMark/>
          </w:tcPr>
          <w:p w14:paraId="7DDF083C" w14:textId="6AE2B94D" w:rsidR="001E6C27" w:rsidRPr="001E6C27" w:rsidRDefault="00A54306" w:rsidP="00DF0D66">
            <w:pPr>
              <w:spacing w:after="120" w:line="240" w:lineRule="auto"/>
              <w:ind w:right="18"/>
              <w:jc w:val="center"/>
              <w:rPr>
                <w:color w:val="000000"/>
                <w:sz w:val="20"/>
                <w:szCs w:val="20"/>
              </w:rPr>
            </w:pPr>
            <w:r>
              <w:rPr>
                <w:color w:val="000000"/>
                <w:sz w:val="20"/>
                <w:szCs w:val="20"/>
              </w:rPr>
              <w:t>2.75</w:t>
            </w:r>
          </w:p>
        </w:tc>
      </w:tr>
      <w:tr w:rsidR="00077209" w:rsidRPr="001E6C27" w14:paraId="6CD37DB2" w14:textId="77777777" w:rsidTr="2A386E76">
        <w:tc>
          <w:tcPr>
            <w:tcW w:w="805" w:type="dxa"/>
            <w:tcBorders>
              <w:bottom w:val="single" w:sz="4" w:space="0" w:color="4986A0" w:themeColor="accent3"/>
            </w:tcBorders>
            <w:shd w:val="clear" w:color="auto" w:fill="F2F2F2" w:themeFill="background1" w:themeFillShade="F2"/>
            <w:tcMar>
              <w:top w:w="0" w:type="dxa"/>
              <w:left w:w="0" w:type="dxa"/>
              <w:bottom w:w="0" w:type="dxa"/>
              <w:right w:w="0" w:type="dxa"/>
            </w:tcMar>
            <w:hideMark/>
          </w:tcPr>
          <w:p w14:paraId="2AFFBCF5" w14:textId="77777777" w:rsidR="001E6C27" w:rsidRPr="001E6C27" w:rsidRDefault="001E6C27">
            <w:pPr>
              <w:spacing w:after="120" w:line="240" w:lineRule="auto"/>
              <w:rPr>
                <w:color w:val="000000"/>
                <w:sz w:val="20"/>
                <w:szCs w:val="20"/>
              </w:rPr>
            </w:pPr>
            <w:r w:rsidRPr="001E6C27">
              <w:rPr>
                <w:color w:val="000000"/>
                <w:sz w:val="20"/>
                <w:szCs w:val="20"/>
              </w:rPr>
              <w:t>AA.2</w:t>
            </w:r>
          </w:p>
        </w:tc>
        <w:tc>
          <w:tcPr>
            <w:tcW w:w="1889" w:type="dxa"/>
            <w:tcBorders>
              <w:bottom w:val="single" w:sz="4" w:space="0" w:color="4986A0" w:themeColor="accent3"/>
            </w:tcBorders>
            <w:shd w:val="clear" w:color="auto" w:fill="F2F2F2" w:themeFill="background1" w:themeFillShade="F2"/>
            <w:tcMar>
              <w:top w:w="0" w:type="dxa"/>
              <w:left w:w="118" w:type="dxa"/>
              <w:bottom w:w="0" w:type="dxa"/>
              <w:right w:w="118" w:type="dxa"/>
            </w:tcMar>
            <w:hideMark/>
          </w:tcPr>
          <w:p w14:paraId="173F0421" w14:textId="77777777" w:rsidR="001E6C27" w:rsidRDefault="001E6C27">
            <w:pPr>
              <w:spacing w:after="120" w:line="240" w:lineRule="auto"/>
              <w:rPr>
                <w:color w:val="000000"/>
                <w:sz w:val="20"/>
                <w:szCs w:val="20"/>
              </w:rPr>
            </w:pPr>
            <w:r w:rsidRPr="001E6C27">
              <w:rPr>
                <w:color w:val="000000"/>
                <w:sz w:val="20"/>
                <w:szCs w:val="20"/>
              </w:rPr>
              <w:t>Effectiveness</w:t>
            </w:r>
          </w:p>
          <w:p w14:paraId="79897FC2" w14:textId="77777777" w:rsidR="00A803E3" w:rsidRDefault="00A803E3" w:rsidP="00A803E3">
            <w:pPr>
              <w:spacing w:after="120" w:line="240" w:lineRule="auto"/>
              <w:rPr>
                <w:color w:val="000000"/>
                <w:sz w:val="20"/>
                <w:szCs w:val="20"/>
              </w:rPr>
            </w:pPr>
            <w:r>
              <w:rPr>
                <w:color w:val="000000"/>
                <w:sz w:val="20"/>
                <w:szCs w:val="20"/>
              </w:rPr>
              <w:t>Reform objectives:</w:t>
            </w:r>
          </w:p>
          <w:p w14:paraId="1F7B42FF" w14:textId="77777777" w:rsidR="00A803E3" w:rsidRPr="00A803E3" w:rsidRDefault="00A803E3" w:rsidP="00B43F3C">
            <w:pPr>
              <w:numPr>
                <w:ilvl w:val="0"/>
                <w:numId w:val="24"/>
              </w:numPr>
              <w:spacing w:after="0" w:line="240" w:lineRule="auto"/>
              <w:ind w:left="204" w:hanging="268"/>
              <w:rPr>
                <w:rFonts w:ascii="Times New Roman" w:eastAsia="Times New Roman" w:hAnsi="Times New Roman" w:cs="Times New Roman"/>
                <w:color w:val="000000"/>
                <w:sz w:val="20"/>
                <w:szCs w:val="20"/>
              </w:rPr>
            </w:pPr>
            <w:r>
              <w:rPr>
                <w:color w:val="000000"/>
                <w:sz w:val="20"/>
                <w:szCs w:val="20"/>
              </w:rPr>
              <w:t>help households pay less for energy</w:t>
            </w:r>
          </w:p>
          <w:p w14:paraId="3000D2A7" w14:textId="47082B8B" w:rsidR="00A803E3" w:rsidRPr="00A803E3" w:rsidRDefault="00A803E3" w:rsidP="00B43F3C">
            <w:pPr>
              <w:numPr>
                <w:ilvl w:val="0"/>
                <w:numId w:val="24"/>
              </w:numPr>
              <w:spacing w:after="0" w:line="240" w:lineRule="auto"/>
              <w:ind w:left="204" w:hanging="268"/>
              <w:rPr>
                <w:rFonts w:ascii="Times New Roman" w:eastAsia="Times New Roman" w:hAnsi="Times New Roman" w:cs="Times New Roman"/>
                <w:color w:val="000000"/>
                <w:sz w:val="20"/>
                <w:szCs w:val="20"/>
              </w:rPr>
            </w:pPr>
            <w:r w:rsidRPr="00A803E3">
              <w:rPr>
                <w:color w:val="000000"/>
                <w:sz w:val="20"/>
                <w:szCs w:val="20"/>
              </w:rPr>
              <w:t>increase support for people experiencing payment difficulty.</w:t>
            </w:r>
          </w:p>
        </w:tc>
        <w:tc>
          <w:tcPr>
            <w:tcW w:w="4536" w:type="dxa"/>
            <w:tcBorders>
              <w:bottom w:val="single" w:sz="4" w:space="0" w:color="4986A0" w:themeColor="accent3"/>
            </w:tcBorders>
            <w:shd w:val="clear" w:color="auto" w:fill="F2F2F2" w:themeFill="background1" w:themeFillShade="F2"/>
            <w:tcMar>
              <w:top w:w="0" w:type="dxa"/>
              <w:left w:w="118" w:type="dxa"/>
              <w:bottom w:w="0" w:type="dxa"/>
              <w:right w:w="118" w:type="dxa"/>
            </w:tcMar>
            <w:hideMark/>
          </w:tcPr>
          <w:p w14:paraId="2A9E2DBB" w14:textId="0299D66D" w:rsidR="001E6C27" w:rsidRPr="00113C75" w:rsidRDefault="001E6C27">
            <w:pPr>
              <w:spacing w:after="120" w:line="240" w:lineRule="auto"/>
              <w:rPr>
                <w:color w:val="000000"/>
                <w:sz w:val="20"/>
                <w:szCs w:val="20"/>
              </w:rPr>
            </w:pPr>
            <w:r w:rsidRPr="001E6C27">
              <w:rPr>
                <w:color w:val="000000"/>
                <w:sz w:val="20"/>
                <w:szCs w:val="20"/>
              </w:rPr>
              <w:t xml:space="preserve">Option AA.1 provides assistance to customers receiving tailored assistance. Option AA.2 </w:t>
            </w:r>
            <w:r w:rsidR="00B72BDB">
              <w:rPr>
                <w:color w:val="000000"/>
                <w:sz w:val="20"/>
                <w:szCs w:val="20"/>
              </w:rPr>
              <w:t xml:space="preserve">applies to </w:t>
            </w:r>
            <w:r w:rsidR="001B229C" w:rsidRPr="001B229C">
              <w:rPr>
                <w:color w:val="000000"/>
                <w:sz w:val="20"/>
                <w:szCs w:val="20"/>
              </w:rPr>
              <w:t xml:space="preserve">customers receiving </w:t>
            </w:r>
            <w:r w:rsidR="001B229C">
              <w:rPr>
                <w:color w:val="000000"/>
                <w:sz w:val="20"/>
                <w:szCs w:val="20"/>
              </w:rPr>
              <w:t xml:space="preserve">tailored </w:t>
            </w:r>
            <w:r w:rsidR="001B229C" w:rsidRPr="001B229C">
              <w:rPr>
                <w:color w:val="000000"/>
                <w:sz w:val="20"/>
                <w:szCs w:val="20"/>
              </w:rPr>
              <w:t xml:space="preserve">assistance, </w:t>
            </w:r>
            <w:r w:rsidR="001B229C" w:rsidRPr="00B72BDB">
              <w:rPr>
                <w:i/>
                <w:iCs/>
                <w:color w:val="000000"/>
                <w:sz w:val="20"/>
                <w:szCs w:val="20"/>
                <w:u w:val="single"/>
              </w:rPr>
              <w:t>and</w:t>
            </w:r>
            <w:r w:rsidR="001B229C" w:rsidRPr="001B229C">
              <w:rPr>
                <w:color w:val="000000"/>
                <w:sz w:val="20"/>
                <w:szCs w:val="20"/>
              </w:rPr>
              <w:t xml:space="preserve"> </w:t>
            </w:r>
            <w:r w:rsidR="001B229C" w:rsidRPr="00113C75">
              <w:rPr>
                <w:color w:val="000000"/>
                <w:sz w:val="20"/>
                <w:szCs w:val="20"/>
              </w:rPr>
              <w:t>customers not receiving assistance but in arrears for at least three months and with arrears of $1,000 or more</w:t>
            </w:r>
            <w:r w:rsidRPr="00113C75">
              <w:rPr>
                <w:color w:val="000000"/>
                <w:sz w:val="20"/>
                <w:szCs w:val="20"/>
              </w:rPr>
              <w:t xml:space="preserve">. </w:t>
            </w:r>
          </w:p>
          <w:p w14:paraId="2923C3B9" w14:textId="30DD6EAF" w:rsidR="00B72BDB" w:rsidRPr="00113C75" w:rsidRDefault="00B72BDB">
            <w:pPr>
              <w:spacing w:after="120" w:line="240" w:lineRule="auto"/>
              <w:rPr>
                <w:sz w:val="20"/>
                <w:szCs w:val="20"/>
              </w:rPr>
            </w:pPr>
            <w:r w:rsidRPr="00113C75">
              <w:rPr>
                <w:sz w:val="20"/>
                <w:szCs w:val="20"/>
              </w:rPr>
              <w:t xml:space="preserve">We estimate this would result in </w:t>
            </w:r>
            <w:r w:rsidR="0021301D">
              <w:rPr>
                <w:sz w:val="20"/>
                <w:szCs w:val="20"/>
              </w:rPr>
              <w:t xml:space="preserve">an </w:t>
            </w:r>
            <w:r w:rsidRPr="00113C75">
              <w:rPr>
                <w:sz w:val="20"/>
                <w:szCs w:val="20"/>
              </w:rPr>
              <w:t>additional total average potential annual savings of $</w:t>
            </w:r>
            <w:r w:rsidR="002D6CAB">
              <w:rPr>
                <w:sz w:val="20"/>
                <w:szCs w:val="20"/>
              </w:rPr>
              <w:t>3</w:t>
            </w:r>
            <w:r w:rsidRPr="00113C75">
              <w:rPr>
                <w:sz w:val="20"/>
                <w:szCs w:val="20"/>
              </w:rPr>
              <w:t>.</w:t>
            </w:r>
            <w:r w:rsidR="002D6CAB">
              <w:rPr>
                <w:sz w:val="20"/>
                <w:szCs w:val="20"/>
              </w:rPr>
              <w:t>3</w:t>
            </w:r>
            <w:r w:rsidRPr="00113C75">
              <w:rPr>
                <w:sz w:val="20"/>
                <w:szCs w:val="20"/>
              </w:rPr>
              <w:t xml:space="preserve"> million for affected electricity customers ($</w:t>
            </w:r>
            <w:r w:rsidR="002D6CAB">
              <w:rPr>
                <w:sz w:val="20"/>
                <w:szCs w:val="20"/>
              </w:rPr>
              <w:t>16</w:t>
            </w:r>
            <w:r w:rsidRPr="00113C75">
              <w:rPr>
                <w:sz w:val="20"/>
                <w:szCs w:val="20"/>
              </w:rPr>
              <w:t>.</w:t>
            </w:r>
            <w:r w:rsidR="002D6CAB">
              <w:rPr>
                <w:sz w:val="20"/>
                <w:szCs w:val="20"/>
              </w:rPr>
              <w:t>8</w:t>
            </w:r>
            <w:r w:rsidRPr="00113C75">
              <w:rPr>
                <w:sz w:val="20"/>
                <w:szCs w:val="20"/>
              </w:rPr>
              <w:t xml:space="preserve"> million in total) and $</w:t>
            </w:r>
            <w:r w:rsidR="002D6CAB">
              <w:rPr>
                <w:sz w:val="20"/>
                <w:szCs w:val="20"/>
              </w:rPr>
              <w:t>1</w:t>
            </w:r>
            <w:r w:rsidRPr="00113C75">
              <w:rPr>
                <w:sz w:val="20"/>
                <w:szCs w:val="20"/>
              </w:rPr>
              <w:t>.</w:t>
            </w:r>
            <w:r w:rsidR="002D6CAB">
              <w:rPr>
                <w:sz w:val="20"/>
                <w:szCs w:val="20"/>
              </w:rPr>
              <w:t>5</w:t>
            </w:r>
            <w:r w:rsidRPr="00113C75">
              <w:rPr>
                <w:sz w:val="20"/>
                <w:szCs w:val="20"/>
              </w:rPr>
              <w:t xml:space="preserve"> million for affected gas customers ($11.</w:t>
            </w:r>
            <w:r w:rsidR="002D6CAB">
              <w:rPr>
                <w:sz w:val="20"/>
                <w:szCs w:val="20"/>
              </w:rPr>
              <w:t>0</w:t>
            </w:r>
            <w:r w:rsidRPr="00113C75">
              <w:rPr>
                <w:sz w:val="20"/>
                <w:szCs w:val="20"/>
              </w:rPr>
              <w:t xml:space="preserve"> million in total).</w:t>
            </w:r>
            <w:r w:rsidR="00C95D3C">
              <w:rPr>
                <w:rStyle w:val="FootnoteReference"/>
                <w:sz w:val="20"/>
                <w:szCs w:val="20"/>
              </w:rPr>
              <w:footnoteReference w:id="152"/>
            </w:r>
          </w:p>
          <w:p w14:paraId="7C3BA17F" w14:textId="39EBFA47" w:rsidR="007C38F7" w:rsidRDefault="00113C75" w:rsidP="00113C75">
            <w:pPr>
              <w:spacing w:after="120" w:line="240" w:lineRule="auto"/>
              <w:rPr>
                <w:sz w:val="20"/>
                <w:szCs w:val="20"/>
              </w:rPr>
            </w:pPr>
            <w:r w:rsidRPr="00113C75">
              <w:rPr>
                <w:color w:val="000000"/>
                <w:sz w:val="20"/>
                <w:szCs w:val="20"/>
              </w:rPr>
              <w:t xml:space="preserve">In September 2024, we </w:t>
            </w:r>
            <w:r w:rsidRPr="00113C75">
              <w:rPr>
                <w:sz w:val="20"/>
                <w:szCs w:val="20"/>
              </w:rPr>
              <w:t>estimate 31,494 electricity customers and 20,495 gas customers had arrears of $1,000 or more and were not receiving tailored assistance.</w:t>
            </w:r>
            <w:r w:rsidRPr="00113C75">
              <w:rPr>
                <w:rStyle w:val="FootnoteReference"/>
                <w:sz w:val="20"/>
                <w:szCs w:val="20"/>
              </w:rPr>
              <w:footnoteReference w:id="153"/>
            </w:r>
            <w:r w:rsidRPr="00113C75">
              <w:rPr>
                <w:sz w:val="20"/>
                <w:szCs w:val="20"/>
              </w:rPr>
              <w:t xml:space="preserve"> We </w:t>
            </w:r>
            <w:r w:rsidR="00C95D3C">
              <w:rPr>
                <w:sz w:val="20"/>
                <w:szCs w:val="20"/>
              </w:rPr>
              <w:t>also</w:t>
            </w:r>
            <w:r w:rsidRPr="00113C75">
              <w:rPr>
                <w:sz w:val="20"/>
                <w:szCs w:val="20"/>
              </w:rPr>
              <w:t xml:space="preserve"> assumed that around two thirds of those </w:t>
            </w:r>
            <w:r w:rsidRPr="00113C75">
              <w:rPr>
                <w:sz w:val="20"/>
                <w:szCs w:val="20"/>
              </w:rPr>
              <w:lastRenderedPageBreak/>
              <w:t>customers would be in arrears for three or more months.</w:t>
            </w:r>
            <w:r w:rsidRPr="00113C75">
              <w:rPr>
                <w:rStyle w:val="FootnoteReference"/>
                <w:sz w:val="20"/>
                <w:szCs w:val="20"/>
              </w:rPr>
              <w:footnoteReference w:id="154"/>
            </w:r>
            <w:r w:rsidR="00475ED3">
              <w:rPr>
                <w:sz w:val="20"/>
                <w:szCs w:val="20"/>
              </w:rPr>
              <w:t xml:space="preserve"> </w:t>
            </w:r>
          </w:p>
          <w:p w14:paraId="51988A03" w14:textId="0325B91E" w:rsidR="00C87BE6" w:rsidRPr="00C87BE6" w:rsidRDefault="00244D51" w:rsidP="00C87BE6">
            <w:pPr>
              <w:spacing w:after="120" w:line="240" w:lineRule="auto"/>
              <w:rPr>
                <w:sz w:val="20"/>
                <w:szCs w:val="20"/>
              </w:rPr>
            </w:pPr>
            <w:r w:rsidRPr="2A386E76">
              <w:rPr>
                <w:sz w:val="20"/>
                <w:szCs w:val="20"/>
              </w:rPr>
              <w:t>Therefore, t</w:t>
            </w:r>
            <w:r w:rsidR="00475ED3" w:rsidRPr="2A386E76">
              <w:rPr>
                <w:sz w:val="20"/>
                <w:szCs w:val="20"/>
              </w:rPr>
              <w:t xml:space="preserve">his option </w:t>
            </w:r>
            <w:r w:rsidRPr="2A386E76">
              <w:rPr>
                <w:sz w:val="20"/>
                <w:szCs w:val="20"/>
              </w:rPr>
              <w:t xml:space="preserve">could </w:t>
            </w:r>
            <w:r w:rsidR="00475ED3" w:rsidRPr="2A386E76">
              <w:rPr>
                <w:sz w:val="20"/>
                <w:szCs w:val="20"/>
              </w:rPr>
              <w:t>bene</w:t>
            </w:r>
            <w:r w:rsidR="00707E89" w:rsidRPr="2A386E76">
              <w:rPr>
                <w:sz w:val="20"/>
                <w:szCs w:val="20"/>
              </w:rPr>
              <w:t xml:space="preserve">fit </w:t>
            </w:r>
            <w:r w:rsidR="00055181" w:rsidRPr="2A386E76">
              <w:rPr>
                <w:sz w:val="20"/>
                <w:szCs w:val="20"/>
              </w:rPr>
              <w:t xml:space="preserve">around </w:t>
            </w:r>
            <w:r w:rsidRPr="2A386E76">
              <w:rPr>
                <w:sz w:val="20"/>
                <w:szCs w:val="20"/>
              </w:rPr>
              <w:t>14</w:t>
            </w:r>
            <w:r w:rsidR="00055181" w:rsidRPr="2A386E76">
              <w:rPr>
                <w:sz w:val="20"/>
                <w:szCs w:val="20"/>
              </w:rPr>
              <w:t xml:space="preserve">,500 electricity and 8,500 gas </w:t>
            </w:r>
            <w:r w:rsidR="00707E89" w:rsidRPr="2A386E76">
              <w:rPr>
                <w:sz w:val="20"/>
                <w:szCs w:val="20"/>
              </w:rPr>
              <w:t xml:space="preserve">customers </w:t>
            </w:r>
            <w:r w:rsidR="006878B4" w:rsidRPr="2A386E76">
              <w:rPr>
                <w:sz w:val="20"/>
                <w:szCs w:val="20"/>
              </w:rPr>
              <w:t>in addition to</w:t>
            </w:r>
            <w:r w:rsidR="00707E89" w:rsidRPr="2A386E76">
              <w:rPr>
                <w:sz w:val="20"/>
                <w:szCs w:val="20"/>
              </w:rPr>
              <w:t xml:space="preserve"> the </w:t>
            </w:r>
            <w:r w:rsidR="00420AEC" w:rsidRPr="2A386E76">
              <w:rPr>
                <w:sz w:val="20"/>
                <w:szCs w:val="20"/>
              </w:rPr>
              <w:t xml:space="preserve">customers </w:t>
            </w:r>
            <w:r w:rsidR="00D04833" w:rsidRPr="2A386E76">
              <w:rPr>
                <w:sz w:val="20"/>
                <w:szCs w:val="20"/>
              </w:rPr>
              <w:t>that benefit under</w:t>
            </w:r>
            <w:r w:rsidR="002A2470" w:rsidRPr="2A386E76">
              <w:rPr>
                <w:sz w:val="20"/>
                <w:szCs w:val="20"/>
              </w:rPr>
              <w:t xml:space="preserve"> Option AA.1</w:t>
            </w:r>
            <w:r w:rsidR="00C87BE6" w:rsidRPr="2A386E76">
              <w:rPr>
                <w:sz w:val="20"/>
                <w:szCs w:val="20"/>
              </w:rPr>
              <w:t xml:space="preserve"> (amounting to a total of around 75,000 electricity and 60,000 gas customers).</w:t>
            </w:r>
          </w:p>
          <w:p w14:paraId="34E157D8" w14:textId="4D3D970C" w:rsidR="00823DF3" w:rsidRDefault="000E5FB4">
            <w:pPr>
              <w:spacing w:after="120" w:line="240" w:lineRule="auto"/>
              <w:rPr>
                <w:color w:val="000000"/>
                <w:sz w:val="20"/>
                <w:szCs w:val="20"/>
              </w:rPr>
            </w:pPr>
            <w:r>
              <w:rPr>
                <w:color w:val="000000"/>
                <w:sz w:val="20"/>
                <w:szCs w:val="20"/>
              </w:rPr>
              <w:t>Compared to Option AA.1, t</w:t>
            </w:r>
            <w:r w:rsidR="006D0059">
              <w:rPr>
                <w:color w:val="000000"/>
                <w:sz w:val="20"/>
                <w:szCs w:val="20"/>
              </w:rPr>
              <w:t>he</w:t>
            </w:r>
            <w:r w:rsidR="001E6C27" w:rsidRPr="001E6C27">
              <w:rPr>
                <w:color w:val="000000"/>
                <w:sz w:val="20"/>
                <w:szCs w:val="20"/>
              </w:rPr>
              <w:t xml:space="preserve"> larger number of customers covered </w:t>
            </w:r>
            <w:r w:rsidR="006D0059">
              <w:rPr>
                <w:color w:val="000000"/>
                <w:sz w:val="20"/>
                <w:szCs w:val="20"/>
              </w:rPr>
              <w:t xml:space="preserve">by </w:t>
            </w:r>
            <w:r w:rsidR="001E6C27" w:rsidRPr="001E6C27">
              <w:rPr>
                <w:color w:val="000000"/>
                <w:sz w:val="20"/>
                <w:szCs w:val="20"/>
              </w:rPr>
              <w:t>this option</w:t>
            </w:r>
            <w:r>
              <w:rPr>
                <w:color w:val="000000"/>
                <w:sz w:val="20"/>
                <w:szCs w:val="20"/>
              </w:rPr>
              <w:t xml:space="preserve"> </w:t>
            </w:r>
            <w:r w:rsidR="001E6C27" w:rsidRPr="001E6C27">
              <w:rPr>
                <w:color w:val="000000"/>
                <w:sz w:val="20"/>
                <w:szCs w:val="20"/>
              </w:rPr>
              <w:t xml:space="preserve">would result in </w:t>
            </w:r>
            <w:r w:rsidR="004E1C81">
              <w:rPr>
                <w:color w:val="000000"/>
                <w:sz w:val="20"/>
                <w:szCs w:val="20"/>
              </w:rPr>
              <w:t>around</w:t>
            </w:r>
            <w:r w:rsidR="00C63032">
              <w:rPr>
                <w:color w:val="000000"/>
                <w:sz w:val="20"/>
                <w:szCs w:val="20"/>
              </w:rPr>
              <w:t xml:space="preserve"> </w:t>
            </w:r>
            <w:r w:rsidR="004E1C81">
              <w:rPr>
                <w:color w:val="000000"/>
                <w:sz w:val="20"/>
                <w:szCs w:val="20"/>
              </w:rPr>
              <w:t xml:space="preserve">0.8% (for electricity) and </w:t>
            </w:r>
            <w:r w:rsidR="0033348A">
              <w:rPr>
                <w:color w:val="000000"/>
                <w:sz w:val="20"/>
                <w:szCs w:val="20"/>
              </w:rPr>
              <w:t xml:space="preserve">0.7% (for gas) </w:t>
            </w:r>
            <w:r w:rsidR="001E6C27" w:rsidRPr="001E6C27">
              <w:rPr>
                <w:color w:val="000000"/>
                <w:sz w:val="20"/>
                <w:szCs w:val="20"/>
              </w:rPr>
              <w:t>additional customers</w:t>
            </w:r>
            <w:r w:rsidR="00C63032">
              <w:rPr>
                <w:color w:val="000000"/>
                <w:sz w:val="20"/>
                <w:szCs w:val="20"/>
              </w:rPr>
              <w:t xml:space="preserve"> </w:t>
            </w:r>
            <w:r w:rsidR="001E6C27" w:rsidRPr="001E6C27">
              <w:rPr>
                <w:color w:val="000000"/>
                <w:sz w:val="20"/>
                <w:szCs w:val="20"/>
              </w:rPr>
              <w:t>automatically switching to the best offer. This option</w:t>
            </w:r>
            <w:r w:rsidR="004A2A4F">
              <w:rPr>
                <w:color w:val="000000"/>
                <w:sz w:val="20"/>
                <w:szCs w:val="20"/>
              </w:rPr>
              <w:t xml:space="preserve"> therefore</w:t>
            </w:r>
            <w:r w:rsidR="001E6C27" w:rsidRPr="001E6C27">
              <w:rPr>
                <w:color w:val="000000"/>
                <w:sz w:val="20"/>
                <w:szCs w:val="20"/>
              </w:rPr>
              <w:t xml:space="preserve"> results in greater effectiveness </w:t>
            </w:r>
            <w:r w:rsidR="004A2A4F">
              <w:rPr>
                <w:color w:val="000000"/>
                <w:sz w:val="20"/>
                <w:szCs w:val="20"/>
              </w:rPr>
              <w:t>for</w:t>
            </w:r>
            <w:r>
              <w:rPr>
                <w:color w:val="000000"/>
                <w:sz w:val="20"/>
                <w:szCs w:val="20"/>
              </w:rPr>
              <w:t xml:space="preserve"> helping households pay less for energy.</w:t>
            </w:r>
          </w:p>
          <w:p w14:paraId="27E690EE" w14:textId="593B5457" w:rsidR="00194DA1" w:rsidRDefault="00823DF3" w:rsidP="000607F6">
            <w:pPr>
              <w:spacing w:after="120" w:line="240" w:lineRule="auto"/>
              <w:rPr>
                <w:color w:val="000000"/>
                <w:sz w:val="20"/>
                <w:szCs w:val="20"/>
              </w:rPr>
            </w:pPr>
            <w:r>
              <w:rPr>
                <w:color w:val="000000"/>
                <w:sz w:val="20"/>
                <w:szCs w:val="20"/>
              </w:rPr>
              <w:t>This option also targets customers in de</w:t>
            </w:r>
            <w:r w:rsidR="004E3377">
              <w:rPr>
                <w:color w:val="000000"/>
                <w:sz w:val="20"/>
                <w:szCs w:val="20"/>
              </w:rPr>
              <w:t xml:space="preserve">bt </w:t>
            </w:r>
            <w:r w:rsidR="00D664B9">
              <w:rPr>
                <w:color w:val="000000"/>
                <w:sz w:val="20"/>
                <w:szCs w:val="20"/>
              </w:rPr>
              <w:t xml:space="preserve">who are not engaging and receiving assistance from their retailer (in addition to those who are receiving assistance). </w:t>
            </w:r>
            <w:r w:rsidR="006073B8">
              <w:rPr>
                <w:color w:val="000000"/>
                <w:sz w:val="20"/>
                <w:szCs w:val="20"/>
              </w:rPr>
              <w:t xml:space="preserve">Customers with large amounts of accumulated debt who are not engaging with their retailer </w:t>
            </w:r>
            <w:r w:rsidR="008B1B8A">
              <w:rPr>
                <w:color w:val="000000"/>
                <w:sz w:val="20"/>
                <w:szCs w:val="20"/>
              </w:rPr>
              <w:t xml:space="preserve">are likely to be facing </w:t>
            </w:r>
            <w:r w:rsidR="00392466">
              <w:rPr>
                <w:color w:val="000000"/>
                <w:sz w:val="20"/>
                <w:szCs w:val="20"/>
              </w:rPr>
              <w:t xml:space="preserve">significant barriers </w:t>
            </w:r>
            <w:r w:rsidR="00446A4D">
              <w:rPr>
                <w:color w:val="000000"/>
                <w:sz w:val="20"/>
                <w:szCs w:val="20"/>
              </w:rPr>
              <w:t xml:space="preserve">to </w:t>
            </w:r>
            <w:r w:rsidR="00D17927">
              <w:rPr>
                <w:color w:val="000000"/>
                <w:sz w:val="20"/>
                <w:szCs w:val="20"/>
              </w:rPr>
              <w:t>navigating, understanding and making choices regarding their energy</w:t>
            </w:r>
            <w:r w:rsidR="00206EAD">
              <w:rPr>
                <w:color w:val="000000"/>
                <w:sz w:val="20"/>
                <w:szCs w:val="20"/>
              </w:rPr>
              <w:t xml:space="preserve"> use</w:t>
            </w:r>
            <w:r w:rsidR="00B543E3">
              <w:rPr>
                <w:color w:val="000000"/>
                <w:sz w:val="20"/>
                <w:szCs w:val="20"/>
              </w:rPr>
              <w:t xml:space="preserve">. </w:t>
            </w:r>
            <w:r w:rsidR="005D7DF8">
              <w:rPr>
                <w:color w:val="000000"/>
                <w:sz w:val="20"/>
                <w:szCs w:val="20"/>
              </w:rPr>
              <w:t xml:space="preserve">Given the barriers or lack of confidence they have in seeking assistance, these customers are also not </w:t>
            </w:r>
            <w:r w:rsidR="006B2CA5">
              <w:rPr>
                <w:color w:val="000000"/>
                <w:sz w:val="20"/>
                <w:szCs w:val="20"/>
              </w:rPr>
              <w:t xml:space="preserve">benefitting </w:t>
            </w:r>
            <w:r w:rsidR="005D7DF8">
              <w:rPr>
                <w:color w:val="000000"/>
                <w:sz w:val="20"/>
                <w:szCs w:val="20"/>
              </w:rPr>
              <w:t>from other types of support available.</w:t>
            </w:r>
          </w:p>
          <w:p w14:paraId="5837B03E" w14:textId="25F90B3E" w:rsidR="001E6C27" w:rsidRPr="001E6C27" w:rsidRDefault="00466C47" w:rsidP="00B4263A">
            <w:pPr>
              <w:spacing w:after="120" w:line="240" w:lineRule="auto"/>
              <w:rPr>
                <w:color w:val="000000"/>
                <w:sz w:val="20"/>
                <w:szCs w:val="20"/>
              </w:rPr>
            </w:pPr>
            <w:r>
              <w:rPr>
                <w:color w:val="000000"/>
                <w:sz w:val="20"/>
                <w:szCs w:val="20"/>
              </w:rPr>
              <w:t>Compared</w:t>
            </w:r>
            <w:r w:rsidR="001026E9">
              <w:rPr>
                <w:color w:val="000000"/>
                <w:sz w:val="20"/>
                <w:szCs w:val="20"/>
              </w:rPr>
              <w:t xml:space="preserve"> to Option AA.1, these additional targeted customers would benefit </w:t>
            </w:r>
            <w:r w:rsidR="00E52934">
              <w:rPr>
                <w:color w:val="000000"/>
                <w:sz w:val="20"/>
                <w:szCs w:val="20"/>
              </w:rPr>
              <w:t xml:space="preserve">more from </w:t>
            </w:r>
            <w:r w:rsidR="00595997">
              <w:rPr>
                <w:color w:val="000000"/>
                <w:sz w:val="20"/>
                <w:szCs w:val="20"/>
              </w:rPr>
              <w:t>pro</w:t>
            </w:r>
            <w:r w:rsidR="008751BB">
              <w:rPr>
                <w:color w:val="000000"/>
                <w:sz w:val="20"/>
                <w:szCs w:val="20"/>
              </w:rPr>
              <w:t>active support coming from their retailer.</w:t>
            </w:r>
            <w:r w:rsidR="00B4263A">
              <w:rPr>
                <w:color w:val="000000"/>
                <w:sz w:val="20"/>
                <w:szCs w:val="20"/>
              </w:rPr>
              <w:t xml:space="preserve"> A</w:t>
            </w:r>
            <w:r w:rsidR="000607F6">
              <w:rPr>
                <w:color w:val="000000"/>
                <w:sz w:val="20"/>
                <w:szCs w:val="20"/>
              </w:rPr>
              <w:t>n automatic form of support reaching this cohort of customers would</w:t>
            </w:r>
            <w:r w:rsidR="00B4263A">
              <w:rPr>
                <w:color w:val="000000"/>
                <w:sz w:val="20"/>
                <w:szCs w:val="20"/>
              </w:rPr>
              <w:t xml:space="preserve"> therefore</w:t>
            </w:r>
            <w:r w:rsidR="000607F6">
              <w:rPr>
                <w:color w:val="000000"/>
                <w:sz w:val="20"/>
                <w:szCs w:val="20"/>
              </w:rPr>
              <w:t xml:space="preserve"> be more effective than Option AA.1 in increasing support for people experiencing payment difficulty.</w:t>
            </w:r>
          </w:p>
        </w:tc>
        <w:tc>
          <w:tcPr>
            <w:tcW w:w="1066" w:type="dxa"/>
            <w:tcBorders>
              <w:bottom w:val="single" w:sz="4" w:space="0" w:color="4986A0" w:themeColor="accent3"/>
            </w:tcBorders>
            <w:shd w:val="clear" w:color="auto" w:fill="F2F2F2" w:themeFill="background1" w:themeFillShade="F2"/>
          </w:tcPr>
          <w:p w14:paraId="6780C30B" w14:textId="541F8066" w:rsidR="009F155B" w:rsidRDefault="00A54306">
            <w:pPr>
              <w:spacing w:after="120" w:line="240" w:lineRule="auto"/>
              <w:ind w:right="594"/>
              <w:jc w:val="right"/>
              <w:rPr>
                <w:color w:val="000000"/>
                <w:sz w:val="20"/>
                <w:szCs w:val="20"/>
              </w:rPr>
            </w:pPr>
            <w:r>
              <w:rPr>
                <w:color w:val="000000"/>
                <w:sz w:val="20"/>
                <w:szCs w:val="20"/>
              </w:rPr>
              <w:lastRenderedPageBreak/>
              <w:t>7</w:t>
            </w:r>
          </w:p>
        </w:tc>
        <w:tc>
          <w:tcPr>
            <w:tcW w:w="1342" w:type="dxa"/>
            <w:tcBorders>
              <w:bottom w:val="single" w:sz="4" w:space="0" w:color="4986A0" w:themeColor="accent3"/>
            </w:tcBorders>
            <w:shd w:val="clear" w:color="auto" w:fill="F2F2F2" w:themeFill="background1" w:themeFillShade="F2"/>
            <w:tcMar>
              <w:top w:w="0" w:type="dxa"/>
              <w:left w:w="118" w:type="dxa"/>
              <w:bottom w:w="0" w:type="dxa"/>
              <w:right w:w="118" w:type="dxa"/>
            </w:tcMar>
            <w:hideMark/>
          </w:tcPr>
          <w:p w14:paraId="6B7118DB" w14:textId="578D9E06" w:rsidR="001E6C27" w:rsidRPr="001E6C27" w:rsidRDefault="00A54306">
            <w:pPr>
              <w:spacing w:after="120" w:line="240" w:lineRule="auto"/>
              <w:ind w:right="594"/>
              <w:jc w:val="right"/>
              <w:rPr>
                <w:color w:val="000000"/>
                <w:sz w:val="20"/>
                <w:szCs w:val="20"/>
              </w:rPr>
            </w:pPr>
            <w:r>
              <w:rPr>
                <w:color w:val="000000"/>
                <w:sz w:val="20"/>
                <w:szCs w:val="20"/>
              </w:rPr>
              <w:t>3.</w:t>
            </w:r>
            <w:r w:rsidR="00F16281">
              <w:rPr>
                <w:color w:val="000000"/>
                <w:sz w:val="20"/>
                <w:szCs w:val="20"/>
              </w:rPr>
              <w:t>5</w:t>
            </w:r>
          </w:p>
        </w:tc>
      </w:tr>
    </w:tbl>
    <w:p w14:paraId="71F5D363" w14:textId="77777777" w:rsidR="0033348A" w:rsidRDefault="0033348A" w:rsidP="00E419F8">
      <w:pPr>
        <w:pStyle w:val="Caption"/>
        <w:rPr>
          <w:highlight w:val="yellow"/>
        </w:rPr>
      </w:pPr>
    </w:p>
    <w:p w14:paraId="2BA7B861" w14:textId="1E8E7F8E" w:rsidR="00E419F8" w:rsidRDefault="00E419F8" w:rsidP="000F6481">
      <w:pPr>
        <w:pStyle w:val="Figure-Table-BoxSubtitle"/>
        <w:ind w:left="0"/>
      </w:pPr>
      <w:r w:rsidRPr="000F6481">
        <w:rPr>
          <w:rStyle w:val="Figure-Table-BoxHeadingChar"/>
        </w:rPr>
        <w:t xml:space="preserve">Table </w:t>
      </w:r>
      <w:r w:rsidR="00C33739" w:rsidRPr="000F6481">
        <w:rPr>
          <w:rStyle w:val="Figure-Table-BoxHeadingChar"/>
        </w:rPr>
        <w:t>7</w:t>
      </w:r>
      <w:r w:rsidRPr="000F6481">
        <w:rPr>
          <w:rStyle w:val="Figure-Table-BoxHeadingChar"/>
        </w:rPr>
        <w:t>:</w:t>
      </w:r>
      <w:r w:rsidRPr="00E10DDD">
        <w:t xml:space="preserve"> MCA assessment of </w:t>
      </w:r>
      <w:r w:rsidR="00746664">
        <w:t>options</w:t>
      </w:r>
      <w:r w:rsidRPr="00E10DDD">
        <w:t xml:space="preserve"> </w:t>
      </w:r>
      <w:r>
        <w:t xml:space="preserve">AA.1 and </w:t>
      </w:r>
      <w:r w:rsidRPr="00E10DDD">
        <w:t>A</w:t>
      </w:r>
      <w:r>
        <w:t>A</w:t>
      </w:r>
      <w:r w:rsidRPr="00E10DDD">
        <w:t>.2</w:t>
      </w:r>
      <w:r>
        <w:t>: Cost to industry</w:t>
      </w:r>
    </w:p>
    <w:tbl>
      <w:tblPr>
        <w:tblW w:w="0" w:type="auto"/>
        <w:tblCellMar>
          <w:left w:w="0" w:type="dxa"/>
          <w:right w:w="0" w:type="dxa"/>
        </w:tblCellMar>
        <w:tblLook w:val="04A0" w:firstRow="1" w:lastRow="0" w:firstColumn="1" w:lastColumn="0" w:noHBand="0" w:noVBand="1"/>
      </w:tblPr>
      <w:tblGrid>
        <w:gridCol w:w="813"/>
        <w:gridCol w:w="1881"/>
        <w:gridCol w:w="4677"/>
        <w:gridCol w:w="1131"/>
        <w:gridCol w:w="1136"/>
      </w:tblGrid>
      <w:tr w:rsidR="003409A9" w14:paraId="0AE93F90" w14:textId="77777777" w:rsidTr="00E8701C">
        <w:tc>
          <w:tcPr>
            <w:tcW w:w="813" w:type="dxa"/>
            <w:tcBorders>
              <w:top w:val="single" w:sz="4" w:space="0" w:color="4986A0"/>
              <w:bottom w:val="single" w:sz="4" w:space="0" w:color="4986A0"/>
            </w:tcBorders>
            <w:shd w:val="clear" w:color="auto" w:fill="4986A0"/>
            <w:tcMar>
              <w:top w:w="0" w:type="dxa"/>
              <w:left w:w="0" w:type="dxa"/>
              <w:bottom w:w="0" w:type="dxa"/>
              <w:right w:w="0" w:type="dxa"/>
            </w:tcMar>
            <w:hideMark/>
          </w:tcPr>
          <w:p w14:paraId="58745E6A" w14:textId="77777777" w:rsidR="003409A9" w:rsidRPr="003409A9" w:rsidRDefault="003409A9" w:rsidP="0013202D">
            <w:pPr>
              <w:spacing w:before="60" w:after="60" w:line="240" w:lineRule="auto"/>
              <w:jc w:val="center"/>
              <w:rPr>
                <w:color w:val="000000"/>
                <w:sz w:val="20"/>
                <w:szCs w:val="20"/>
              </w:rPr>
            </w:pPr>
            <w:r w:rsidRPr="003409A9">
              <w:rPr>
                <w:b/>
                <w:bCs/>
                <w:color w:val="FFFFFF"/>
                <w:sz w:val="20"/>
                <w:szCs w:val="20"/>
              </w:rPr>
              <w:t>Option</w:t>
            </w:r>
          </w:p>
        </w:tc>
        <w:tc>
          <w:tcPr>
            <w:tcW w:w="1881"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7D30E9A0" w14:textId="77777777" w:rsidR="00E8701C" w:rsidRDefault="003409A9" w:rsidP="0013202D">
            <w:pPr>
              <w:spacing w:before="60" w:after="60" w:line="240" w:lineRule="auto"/>
              <w:jc w:val="center"/>
              <w:rPr>
                <w:b/>
                <w:bCs/>
                <w:color w:val="FFFFFF"/>
                <w:sz w:val="20"/>
                <w:szCs w:val="20"/>
              </w:rPr>
            </w:pPr>
            <w:r w:rsidRPr="003409A9">
              <w:rPr>
                <w:b/>
                <w:bCs/>
                <w:color w:val="FFFFFF"/>
                <w:sz w:val="20"/>
                <w:szCs w:val="20"/>
              </w:rPr>
              <w:t>Criteria</w:t>
            </w:r>
          </w:p>
          <w:p w14:paraId="0356E858" w14:textId="34ED8FE8" w:rsidR="003409A9" w:rsidRPr="003409A9" w:rsidRDefault="003409A9" w:rsidP="0013202D">
            <w:pPr>
              <w:spacing w:before="60" w:after="60" w:line="240" w:lineRule="auto"/>
              <w:jc w:val="center"/>
              <w:rPr>
                <w:color w:val="000000"/>
                <w:sz w:val="20"/>
                <w:szCs w:val="20"/>
              </w:rPr>
            </w:pPr>
            <w:r w:rsidRPr="003409A9">
              <w:rPr>
                <w:b/>
                <w:bCs/>
                <w:color w:val="FFFFFF"/>
                <w:sz w:val="20"/>
                <w:szCs w:val="20"/>
              </w:rPr>
              <w:t>(weighting 40%)</w:t>
            </w:r>
          </w:p>
        </w:tc>
        <w:tc>
          <w:tcPr>
            <w:tcW w:w="4677"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381C37A9" w14:textId="77777777" w:rsidR="003409A9" w:rsidRPr="003409A9" w:rsidRDefault="003409A9" w:rsidP="0013202D">
            <w:pPr>
              <w:spacing w:before="60" w:after="60" w:line="240" w:lineRule="auto"/>
              <w:jc w:val="center"/>
              <w:rPr>
                <w:color w:val="000000"/>
                <w:sz w:val="20"/>
                <w:szCs w:val="20"/>
              </w:rPr>
            </w:pPr>
            <w:r w:rsidRPr="003409A9">
              <w:rPr>
                <w:b/>
                <w:bCs/>
                <w:color w:val="FFFFFF"/>
                <w:sz w:val="20"/>
                <w:szCs w:val="20"/>
              </w:rPr>
              <w:t>Assessment</w:t>
            </w:r>
          </w:p>
        </w:tc>
        <w:tc>
          <w:tcPr>
            <w:tcW w:w="1131" w:type="dxa"/>
            <w:tcBorders>
              <w:top w:val="single" w:sz="4" w:space="0" w:color="4986A0"/>
              <w:bottom w:val="single" w:sz="4" w:space="0" w:color="4986A0"/>
            </w:tcBorders>
            <w:shd w:val="clear" w:color="auto" w:fill="4986A0"/>
          </w:tcPr>
          <w:p w14:paraId="0C263DBF" w14:textId="77777777" w:rsidR="00D97CF5" w:rsidRDefault="009F155B" w:rsidP="0013202D">
            <w:pPr>
              <w:spacing w:before="60" w:after="60" w:line="240" w:lineRule="auto"/>
              <w:jc w:val="center"/>
              <w:rPr>
                <w:b/>
                <w:bCs/>
                <w:color w:val="FFFFFF"/>
                <w:sz w:val="20"/>
                <w:szCs w:val="20"/>
              </w:rPr>
            </w:pPr>
            <w:r>
              <w:rPr>
                <w:b/>
                <w:bCs/>
                <w:color w:val="FFFFFF"/>
                <w:sz w:val="20"/>
                <w:szCs w:val="20"/>
              </w:rPr>
              <w:t>Score</w:t>
            </w:r>
          </w:p>
          <w:p w14:paraId="609015F7" w14:textId="12630059" w:rsidR="009F155B" w:rsidRDefault="00D97CF5" w:rsidP="0013202D">
            <w:pPr>
              <w:spacing w:before="60" w:after="60" w:line="240" w:lineRule="auto"/>
              <w:jc w:val="center"/>
              <w:rPr>
                <w:b/>
                <w:bCs/>
                <w:color w:val="FFFFFF"/>
                <w:sz w:val="20"/>
                <w:szCs w:val="20"/>
              </w:rPr>
            </w:pPr>
            <w:r>
              <w:rPr>
                <w:b/>
                <w:bCs/>
                <w:color w:val="FFFFFF"/>
                <w:sz w:val="20"/>
                <w:szCs w:val="20"/>
              </w:rPr>
              <w:t>(-10 to 10)</w:t>
            </w:r>
          </w:p>
        </w:tc>
        <w:tc>
          <w:tcPr>
            <w:tcW w:w="1136"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2D901102" w14:textId="77777777" w:rsidR="003409A9" w:rsidRPr="003409A9" w:rsidRDefault="003409A9" w:rsidP="0013202D">
            <w:pPr>
              <w:spacing w:before="60" w:after="60" w:line="240" w:lineRule="auto"/>
              <w:jc w:val="center"/>
              <w:rPr>
                <w:color w:val="000000"/>
                <w:sz w:val="20"/>
                <w:szCs w:val="20"/>
              </w:rPr>
            </w:pPr>
            <w:r w:rsidRPr="003409A9">
              <w:rPr>
                <w:b/>
                <w:bCs/>
                <w:color w:val="FFFFFF"/>
                <w:sz w:val="20"/>
                <w:szCs w:val="20"/>
              </w:rPr>
              <w:t>Weighted score</w:t>
            </w:r>
          </w:p>
        </w:tc>
      </w:tr>
      <w:tr w:rsidR="003409A9" w14:paraId="78046CFB" w14:textId="77777777" w:rsidTr="00E8701C">
        <w:trPr>
          <w:trHeight w:val="534"/>
        </w:trPr>
        <w:tc>
          <w:tcPr>
            <w:tcW w:w="813" w:type="dxa"/>
            <w:tcMar>
              <w:top w:w="0" w:type="dxa"/>
              <w:left w:w="0" w:type="dxa"/>
              <w:bottom w:w="0" w:type="dxa"/>
              <w:right w:w="0" w:type="dxa"/>
            </w:tcMar>
            <w:hideMark/>
          </w:tcPr>
          <w:p w14:paraId="313835E1" w14:textId="77777777" w:rsidR="003409A9" w:rsidRPr="003409A9" w:rsidRDefault="003409A9">
            <w:pPr>
              <w:spacing w:after="120" w:line="240" w:lineRule="auto"/>
              <w:rPr>
                <w:color w:val="000000"/>
                <w:sz w:val="20"/>
                <w:szCs w:val="20"/>
              </w:rPr>
            </w:pPr>
            <w:r w:rsidRPr="003409A9">
              <w:rPr>
                <w:color w:val="000000"/>
                <w:sz w:val="20"/>
                <w:szCs w:val="20"/>
              </w:rPr>
              <w:t>AA.1</w:t>
            </w:r>
          </w:p>
        </w:tc>
        <w:tc>
          <w:tcPr>
            <w:tcW w:w="1881" w:type="dxa"/>
            <w:tcMar>
              <w:top w:w="0" w:type="dxa"/>
              <w:left w:w="118" w:type="dxa"/>
              <w:bottom w:w="0" w:type="dxa"/>
              <w:right w:w="118" w:type="dxa"/>
            </w:tcMar>
            <w:hideMark/>
          </w:tcPr>
          <w:p w14:paraId="5477C5EA" w14:textId="77777777" w:rsidR="003409A9" w:rsidRPr="003409A9" w:rsidRDefault="003409A9">
            <w:pPr>
              <w:spacing w:after="120" w:line="240" w:lineRule="auto"/>
              <w:rPr>
                <w:color w:val="000000"/>
                <w:sz w:val="20"/>
                <w:szCs w:val="20"/>
              </w:rPr>
            </w:pPr>
            <w:r w:rsidRPr="003409A9">
              <w:rPr>
                <w:color w:val="000000"/>
                <w:sz w:val="20"/>
                <w:szCs w:val="20"/>
              </w:rPr>
              <w:t xml:space="preserve">Cost to industry </w:t>
            </w:r>
          </w:p>
        </w:tc>
        <w:tc>
          <w:tcPr>
            <w:tcW w:w="4677" w:type="dxa"/>
            <w:tcMar>
              <w:top w:w="0" w:type="dxa"/>
              <w:left w:w="118" w:type="dxa"/>
              <w:bottom w:w="0" w:type="dxa"/>
              <w:right w:w="118" w:type="dxa"/>
            </w:tcMar>
            <w:hideMark/>
          </w:tcPr>
          <w:p w14:paraId="6269315D" w14:textId="77777777" w:rsidR="007078D4" w:rsidRPr="007078D4" w:rsidRDefault="007078D4" w:rsidP="007078D4">
            <w:pPr>
              <w:spacing w:after="120" w:line="240" w:lineRule="auto"/>
              <w:rPr>
                <w:color w:val="000000"/>
                <w:sz w:val="20"/>
                <w:szCs w:val="20"/>
                <w:u w:val="single"/>
              </w:rPr>
            </w:pPr>
            <w:r w:rsidRPr="007078D4">
              <w:rPr>
                <w:color w:val="000000"/>
                <w:sz w:val="20"/>
                <w:szCs w:val="20"/>
                <w:u w:val="single"/>
              </w:rPr>
              <w:t>Compliance costs</w:t>
            </w:r>
          </w:p>
          <w:p w14:paraId="6CDCD5AE" w14:textId="2D6EB502" w:rsidR="005B7FE1" w:rsidRDefault="00942AE3" w:rsidP="00EE3246">
            <w:pPr>
              <w:spacing w:after="120" w:line="240" w:lineRule="auto"/>
              <w:rPr>
                <w:color w:val="000000"/>
                <w:sz w:val="20"/>
                <w:szCs w:val="20"/>
              </w:rPr>
            </w:pPr>
            <w:r>
              <w:rPr>
                <w:color w:val="000000"/>
                <w:sz w:val="20"/>
                <w:szCs w:val="20"/>
              </w:rPr>
              <w:t>Retailers would have no additional costs to identify eligible customers as this option only includes customers receiving tailored assistance.</w:t>
            </w:r>
            <w:r w:rsidR="00422CC6">
              <w:rPr>
                <w:color w:val="000000"/>
                <w:sz w:val="20"/>
                <w:szCs w:val="20"/>
              </w:rPr>
              <w:t xml:space="preserve"> </w:t>
            </w:r>
          </w:p>
          <w:p w14:paraId="532A7A31" w14:textId="108C4242" w:rsidR="007078D4" w:rsidRDefault="00422CC6" w:rsidP="00EE3246">
            <w:pPr>
              <w:spacing w:after="120" w:line="240" w:lineRule="auto"/>
              <w:rPr>
                <w:color w:val="000000"/>
                <w:sz w:val="20"/>
                <w:szCs w:val="20"/>
              </w:rPr>
            </w:pPr>
            <w:r>
              <w:rPr>
                <w:color w:val="000000"/>
                <w:sz w:val="20"/>
                <w:szCs w:val="20"/>
              </w:rPr>
              <w:t>Retailers currently regularly monitor and report on customers receiving tailored assistance</w:t>
            </w:r>
            <w:r w:rsidR="00871138">
              <w:rPr>
                <w:color w:val="000000"/>
                <w:sz w:val="20"/>
                <w:szCs w:val="20"/>
              </w:rPr>
              <w:t xml:space="preserve"> </w:t>
            </w:r>
            <w:r w:rsidR="005B7FE1">
              <w:rPr>
                <w:color w:val="000000"/>
                <w:sz w:val="20"/>
                <w:szCs w:val="20"/>
              </w:rPr>
              <w:t xml:space="preserve">under our Compliance and Performance Reporting </w:t>
            </w:r>
            <w:r w:rsidR="005B7FE1">
              <w:rPr>
                <w:color w:val="000000"/>
                <w:sz w:val="20"/>
                <w:szCs w:val="20"/>
              </w:rPr>
              <w:lastRenderedPageBreak/>
              <w:t>Guideline. T</w:t>
            </w:r>
            <w:r w:rsidR="00871138">
              <w:rPr>
                <w:color w:val="000000"/>
                <w:sz w:val="20"/>
                <w:szCs w:val="20"/>
              </w:rPr>
              <w:t xml:space="preserve">his is </w:t>
            </w:r>
            <w:r w:rsidR="005B7FE1">
              <w:rPr>
                <w:color w:val="000000"/>
                <w:sz w:val="20"/>
                <w:szCs w:val="20"/>
              </w:rPr>
              <w:t xml:space="preserve">also </w:t>
            </w:r>
            <w:r w:rsidR="00871138">
              <w:rPr>
                <w:color w:val="000000"/>
                <w:sz w:val="20"/>
                <w:szCs w:val="20"/>
              </w:rPr>
              <w:t xml:space="preserve">supported by </w:t>
            </w:r>
            <w:r w:rsidR="005B7FE1">
              <w:rPr>
                <w:color w:val="000000"/>
                <w:sz w:val="20"/>
                <w:szCs w:val="20"/>
              </w:rPr>
              <w:t xml:space="preserve">retailers’ </w:t>
            </w:r>
            <w:r w:rsidR="00871138">
              <w:rPr>
                <w:color w:val="000000"/>
                <w:sz w:val="20"/>
                <w:szCs w:val="20"/>
              </w:rPr>
              <w:t>existing IT systems, policies and processes</w:t>
            </w:r>
            <w:r>
              <w:rPr>
                <w:color w:val="000000"/>
                <w:sz w:val="20"/>
                <w:szCs w:val="20"/>
              </w:rPr>
              <w:t>.</w:t>
            </w:r>
            <w:r w:rsidR="00D75F68">
              <w:rPr>
                <w:color w:val="000000"/>
                <w:sz w:val="20"/>
                <w:szCs w:val="20"/>
              </w:rPr>
              <w:t xml:space="preserve"> </w:t>
            </w:r>
          </w:p>
          <w:p w14:paraId="219A5348" w14:textId="48146040" w:rsidR="00EE3246" w:rsidRPr="007078D4" w:rsidRDefault="007078D4" w:rsidP="00EE3246">
            <w:pPr>
              <w:spacing w:after="120" w:line="240" w:lineRule="auto"/>
              <w:rPr>
                <w:color w:val="000000"/>
                <w:sz w:val="20"/>
                <w:szCs w:val="20"/>
                <w:u w:val="single"/>
              </w:rPr>
            </w:pPr>
            <w:r w:rsidRPr="007078D4">
              <w:rPr>
                <w:color w:val="000000"/>
                <w:sz w:val="20"/>
                <w:szCs w:val="20"/>
                <w:u w:val="single"/>
              </w:rPr>
              <w:t>Cost transfers</w:t>
            </w:r>
            <w:r w:rsidR="00D75F68" w:rsidRPr="007078D4">
              <w:rPr>
                <w:color w:val="000000"/>
                <w:sz w:val="20"/>
                <w:szCs w:val="20"/>
                <w:u w:val="single"/>
              </w:rPr>
              <w:t xml:space="preserve"> </w:t>
            </w:r>
          </w:p>
          <w:p w14:paraId="15345E16" w14:textId="7D4AF056" w:rsidR="00381543" w:rsidRPr="000F62D0" w:rsidRDefault="00381543" w:rsidP="00EE3246">
            <w:pPr>
              <w:spacing w:after="120" w:line="240" w:lineRule="auto"/>
              <w:rPr>
                <w:color w:val="000000"/>
                <w:sz w:val="20"/>
                <w:szCs w:val="20"/>
              </w:rPr>
            </w:pPr>
            <w:r w:rsidRPr="000F62D0">
              <w:rPr>
                <w:color w:val="000000"/>
                <w:sz w:val="20"/>
                <w:szCs w:val="20"/>
              </w:rPr>
              <w:t>To the extent that affected customers are currently on higher tariffs relative to the best offer, this option would reduce retailer income</w:t>
            </w:r>
            <w:r w:rsidR="00A65B0C">
              <w:rPr>
                <w:color w:val="000000"/>
                <w:sz w:val="20"/>
                <w:szCs w:val="20"/>
              </w:rPr>
              <w:t xml:space="preserve"> – </w:t>
            </w:r>
            <w:r w:rsidRPr="000F62D0">
              <w:rPr>
                <w:color w:val="000000"/>
                <w:sz w:val="20"/>
                <w:szCs w:val="20"/>
              </w:rPr>
              <w:t xml:space="preserve">representing an estimated $22.9 million per year in foregone revenue under certain assumptions. </w:t>
            </w:r>
          </w:p>
          <w:p w14:paraId="0414D76F" w14:textId="77777777" w:rsidR="000F62D0" w:rsidRPr="000F62D0" w:rsidRDefault="00381543" w:rsidP="00EE3246">
            <w:pPr>
              <w:spacing w:after="120" w:line="240" w:lineRule="auto"/>
              <w:rPr>
                <w:color w:val="000000"/>
                <w:sz w:val="20"/>
                <w:szCs w:val="20"/>
              </w:rPr>
            </w:pPr>
            <w:r w:rsidRPr="000F62D0">
              <w:rPr>
                <w:color w:val="000000"/>
                <w:sz w:val="20"/>
                <w:szCs w:val="20"/>
              </w:rPr>
              <w:t xml:space="preserve">For the purposes of our assessment, we treat this lost revenue as a cost. However, it is not necessarily an economic cost in the broader sense. Much of this revenue reflects higher prices charged to disengaged customers, rather than efficient service delivery. </w:t>
            </w:r>
          </w:p>
          <w:p w14:paraId="6BA30639" w14:textId="43BB8599" w:rsidR="00490F39" w:rsidRPr="003409A9" w:rsidRDefault="00381543" w:rsidP="00EE3246">
            <w:pPr>
              <w:spacing w:after="120" w:line="240" w:lineRule="auto"/>
              <w:rPr>
                <w:color w:val="000000"/>
                <w:sz w:val="20"/>
                <w:szCs w:val="20"/>
              </w:rPr>
            </w:pPr>
            <w:r w:rsidRPr="000F62D0">
              <w:rPr>
                <w:color w:val="000000"/>
                <w:sz w:val="20"/>
                <w:szCs w:val="20"/>
              </w:rPr>
              <w:t>In a competitive market, some of this revenue may be recovered from other customers</w:t>
            </w:r>
            <w:r w:rsidR="00A65B0C">
              <w:rPr>
                <w:color w:val="000000"/>
                <w:sz w:val="20"/>
                <w:szCs w:val="20"/>
              </w:rPr>
              <w:t xml:space="preserve"> – </w:t>
            </w:r>
            <w:r w:rsidRPr="000F62D0">
              <w:rPr>
                <w:color w:val="000000"/>
                <w:sz w:val="20"/>
                <w:szCs w:val="20"/>
              </w:rPr>
              <w:t>representing a transfer rather than a net cost</w:t>
            </w:r>
            <w:r w:rsidR="00A65B0C">
              <w:rPr>
                <w:color w:val="000000"/>
                <w:sz w:val="20"/>
                <w:szCs w:val="20"/>
              </w:rPr>
              <w:t xml:space="preserve"> – </w:t>
            </w:r>
            <w:r w:rsidRPr="000F62D0">
              <w:rPr>
                <w:color w:val="000000"/>
                <w:sz w:val="20"/>
                <w:szCs w:val="20"/>
              </w:rPr>
              <w:t>or absorbed by retailers. Moreover, this option could reduce retailers’ debt recovery costs over time, as more customers are placed on manageable plans and are less likely to default. As a result, the actual revenue impact is likely to be lower than the headline estimate.</w:t>
            </w:r>
          </w:p>
        </w:tc>
        <w:tc>
          <w:tcPr>
            <w:tcW w:w="1131" w:type="dxa"/>
          </w:tcPr>
          <w:p w14:paraId="5B5B558A" w14:textId="0C01143B" w:rsidR="009F155B" w:rsidRDefault="009F155B" w:rsidP="00DA2391">
            <w:pPr>
              <w:spacing w:after="120" w:line="240" w:lineRule="auto"/>
              <w:ind w:right="18"/>
              <w:jc w:val="center"/>
              <w:rPr>
                <w:color w:val="000000"/>
                <w:sz w:val="20"/>
                <w:szCs w:val="20"/>
              </w:rPr>
            </w:pPr>
            <w:r>
              <w:rPr>
                <w:color w:val="000000"/>
                <w:sz w:val="20"/>
                <w:szCs w:val="20"/>
              </w:rPr>
              <w:lastRenderedPageBreak/>
              <w:t>-4</w:t>
            </w:r>
            <w:r w:rsidR="004D3458">
              <w:rPr>
                <w:color w:val="000000"/>
                <w:sz w:val="20"/>
                <w:szCs w:val="20"/>
              </w:rPr>
              <w:t>.5</w:t>
            </w:r>
          </w:p>
        </w:tc>
        <w:tc>
          <w:tcPr>
            <w:tcW w:w="1136" w:type="dxa"/>
            <w:tcMar>
              <w:top w:w="0" w:type="dxa"/>
              <w:left w:w="118" w:type="dxa"/>
              <w:bottom w:w="0" w:type="dxa"/>
              <w:right w:w="118" w:type="dxa"/>
            </w:tcMar>
            <w:hideMark/>
          </w:tcPr>
          <w:p w14:paraId="6832982A" w14:textId="2071C027" w:rsidR="003409A9" w:rsidRPr="003409A9" w:rsidRDefault="003409A9" w:rsidP="00DA2391">
            <w:pPr>
              <w:spacing w:after="120" w:line="240" w:lineRule="auto"/>
              <w:ind w:right="18"/>
              <w:jc w:val="center"/>
              <w:rPr>
                <w:color w:val="000000"/>
                <w:sz w:val="20"/>
                <w:szCs w:val="20"/>
              </w:rPr>
            </w:pPr>
            <w:r w:rsidRPr="003409A9">
              <w:rPr>
                <w:color w:val="000000"/>
                <w:sz w:val="20"/>
                <w:szCs w:val="20"/>
              </w:rPr>
              <w:t>-1.</w:t>
            </w:r>
            <w:r w:rsidR="004D3458">
              <w:rPr>
                <w:color w:val="000000"/>
                <w:sz w:val="20"/>
                <w:szCs w:val="20"/>
              </w:rPr>
              <w:t>8</w:t>
            </w:r>
          </w:p>
        </w:tc>
      </w:tr>
      <w:tr w:rsidR="003409A9" w14:paraId="524E40F7" w14:textId="77777777" w:rsidTr="00E8701C">
        <w:tc>
          <w:tcPr>
            <w:tcW w:w="813" w:type="dxa"/>
            <w:tcBorders>
              <w:bottom w:val="single" w:sz="4" w:space="0" w:color="4986A0"/>
            </w:tcBorders>
            <w:shd w:val="clear" w:color="auto" w:fill="F2F2F2" w:themeFill="background1" w:themeFillShade="F2"/>
            <w:tcMar>
              <w:top w:w="0" w:type="dxa"/>
              <w:left w:w="0" w:type="dxa"/>
              <w:bottom w:w="0" w:type="dxa"/>
              <w:right w:w="0" w:type="dxa"/>
            </w:tcMar>
            <w:hideMark/>
          </w:tcPr>
          <w:p w14:paraId="5CD5BE56" w14:textId="77777777" w:rsidR="003409A9" w:rsidRPr="003409A9" w:rsidRDefault="003409A9">
            <w:pPr>
              <w:spacing w:after="120" w:line="240" w:lineRule="auto"/>
              <w:rPr>
                <w:color w:val="000000"/>
                <w:sz w:val="20"/>
                <w:szCs w:val="20"/>
              </w:rPr>
            </w:pPr>
            <w:r w:rsidRPr="003409A9">
              <w:rPr>
                <w:color w:val="000000"/>
                <w:sz w:val="20"/>
                <w:szCs w:val="20"/>
              </w:rPr>
              <w:t>AA.2</w:t>
            </w:r>
          </w:p>
        </w:tc>
        <w:tc>
          <w:tcPr>
            <w:tcW w:w="1881" w:type="dxa"/>
            <w:tcBorders>
              <w:bottom w:val="single" w:sz="4" w:space="0" w:color="4986A0"/>
            </w:tcBorders>
            <w:shd w:val="clear" w:color="auto" w:fill="F2F2F2" w:themeFill="background1" w:themeFillShade="F2"/>
            <w:tcMar>
              <w:top w:w="0" w:type="dxa"/>
              <w:left w:w="118" w:type="dxa"/>
              <w:bottom w:w="0" w:type="dxa"/>
              <w:right w:w="118" w:type="dxa"/>
            </w:tcMar>
            <w:hideMark/>
          </w:tcPr>
          <w:p w14:paraId="0EF3CB7A" w14:textId="77777777" w:rsidR="003409A9" w:rsidRPr="003409A9" w:rsidRDefault="003409A9">
            <w:pPr>
              <w:spacing w:after="120" w:line="240" w:lineRule="auto"/>
              <w:rPr>
                <w:color w:val="000000"/>
                <w:sz w:val="20"/>
                <w:szCs w:val="20"/>
              </w:rPr>
            </w:pPr>
            <w:r w:rsidRPr="003409A9">
              <w:rPr>
                <w:color w:val="000000"/>
                <w:sz w:val="20"/>
                <w:szCs w:val="20"/>
              </w:rPr>
              <w:t>Cost to industry</w:t>
            </w:r>
          </w:p>
        </w:tc>
        <w:tc>
          <w:tcPr>
            <w:tcW w:w="4677" w:type="dxa"/>
            <w:tcBorders>
              <w:bottom w:val="single" w:sz="4" w:space="0" w:color="4986A0"/>
            </w:tcBorders>
            <w:shd w:val="clear" w:color="auto" w:fill="F2F2F2" w:themeFill="background1" w:themeFillShade="F2"/>
            <w:tcMar>
              <w:top w:w="0" w:type="dxa"/>
              <w:left w:w="118" w:type="dxa"/>
              <w:bottom w:w="0" w:type="dxa"/>
              <w:right w:w="118" w:type="dxa"/>
            </w:tcMar>
            <w:hideMark/>
          </w:tcPr>
          <w:p w14:paraId="1F270D2D" w14:textId="77777777" w:rsidR="007078D4" w:rsidRPr="007078D4" w:rsidRDefault="007078D4" w:rsidP="007078D4">
            <w:pPr>
              <w:spacing w:after="120" w:line="240" w:lineRule="auto"/>
              <w:rPr>
                <w:color w:val="000000"/>
                <w:sz w:val="20"/>
                <w:szCs w:val="20"/>
                <w:u w:val="single"/>
              </w:rPr>
            </w:pPr>
            <w:r w:rsidRPr="007078D4">
              <w:rPr>
                <w:color w:val="000000"/>
                <w:sz w:val="20"/>
                <w:szCs w:val="20"/>
                <w:u w:val="single"/>
              </w:rPr>
              <w:t>Compliance costs</w:t>
            </w:r>
          </w:p>
          <w:p w14:paraId="2C6A4686" w14:textId="4E5D9635" w:rsidR="005B7FE1" w:rsidRDefault="00A3387E">
            <w:pPr>
              <w:spacing w:after="120" w:line="240" w:lineRule="auto"/>
              <w:rPr>
                <w:color w:val="000000"/>
                <w:sz w:val="20"/>
                <w:szCs w:val="20"/>
              </w:rPr>
            </w:pPr>
            <w:r>
              <w:rPr>
                <w:color w:val="000000"/>
                <w:sz w:val="20"/>
                <w:szCs w:val="20"/>
              </w:rPr>
              <w:t xml:space="preserve">Compared to Option AA.1, retailers would have additional </w:t>
            </w:r>
            <w:r w:rsidR="005B7FE1">
              <w:rPr>
                <w:color w:val="000000"/>
                <w:sz w:val="20"/>
                <w:szCs w:val="20"/>
              </w:rPr>
              <w:t xml:space="preserve">compliance and implementation </w:t>
            </w:r>
            <w:r>
              <w:rPr>
                <w:color w:val="000000"/>
                <w:sz w:val="20"/>
                <w:szCs w:val="20"/>
              </w:rPr>
              <w:t xml:space="preserve">costs to identify eligible customers. </w:t>
            </w:r>
            <w:r w:rsidR="00936B3A">
              <w:rPr>
                <w:color w:val="000000"/>
                <w:sz w:val="20"/>
                <w:szCs w:val="20"/>
              </w:rPr>
              <w:t xml:space="preserve">Retailers’ internal processes would need to </w:t>
            </w:r>
            <w:r w:rsidR="00AD4A17">
              <w:rPr>
                <w:color w:val="000000"/>
                <w:sz w:val="20"/>
                <w:szCs w:val="20"/>
              </w:rPr>
              <w:t>monitor and</w:t>
            </w:r>
            <w:r w:rsidR="00936B3A">
              <w:rPr>
                <w:color w:val="000000"/>
                <w:sz w:val="20"/>
                <w:szCs w:val="20"/>
              </w:rPr>
              <w:t xml:space="preserve"> identify </w:t>
            </w:r>
            <w:r w:rsidR="004B405A">
              <w:rPr>
                <w:color w:val="000000"/>
                <w:sz w:val="20"/>
                <w:szCs w:val="20"/>
              </w:rPr>
              <w:t>customers that have met the eligibility threshold of being in arrears for at least three months and</w:t>
            </w:r>
            <w:r w:rsidR="004C3F30">
              <w:rPr>
                <w:color w:val="000000"/>
                <w:sz w:val="20"/>
                <w:szCs w:val="20"/>
              </w:rPr>
              <w:t xml:space="preserve"> with arrears of $1,000 or more. </w:t>
            </w:r>
          </w:p>
          <w:p w14:paraId="1447CE7A" w14:textId="77777777" w:rsidR="005B7FE1" w:rsidRDefault="00AD4A17">
            <w:pPr>
              <w:spacing w:after="120" w:line="240" w:lineRule="auto"/>
              <w:rPr>
                <w:color w:val="000000"/>
                <w:sz w:val="20"/>
                <w:szCs w:val="20"/>
              </w:rPr>
            </w:pPr>
            <w:r>
              <w:rPr>
                <w:color w:val="000000"/>
                <w:sz w:val="20"/>
                <w:szCs w:val="20"/>
              </w:rPr>
              <w:t>Retailers are already required</w:t>
            </w:r>
            <w:r w:rsidR="000A5A40">
              <w:rPr>
                <w:color w:val="000000"/>
                <w:sz w:val="20"/>
                <w:szCs w:val="20"/>
              </w:rPr>
              <w:t xml:space="preserve"> to monitor and report </w:t>
            </w:r>
            <w:r w:rsidR="004711BB">
              <w:rPr>
                <w:color w:val="000000"/>
                <w:sz w:val="20"/>
                <w:szCs w:val="20"/>
              </w:rPr>
              <w:t>on several arrears indicators included in our Compliance and Performance Reporting Guideline</w:t>
            </w:r>
            <w:r w:rsidR="008F38BA">
              <w:rPr>
                <w:color w:val="000000"/>
                <w:sz w:val="20"/>
                <w:szCs w:val="20"/>
              </w:rPr>
              <w:t xml:space="preserve">. This includes indicators of customers in arrears </w:t>
            </w:r>
            <w:r w:rsidR="000C7F41">
              <w:rPr>
                <w:color w:val="000000"/>
                <w:sz w:val="20"/>
                <w:szCs w:val="20"/>
              </w:rPr>
              <w:t>over $1,000</w:t>
            </w:r>
            <w:r w:rsidR="000E527A">
              <w:rPr>
                <w:color w:val="000000"/>
                <w:sz w:val="20"/>
                <w:szCs w:val="20"/>
              </w:rPr>
              <w:t xml:space="preserve"> and where this </w:t>
            </w:r>
            <w:r w:rsidR="00CF5525">
              <w:rPr>
                <w:color w:val="000000"/>
                <w:sz w:val="20"/>
                <w:szCs w:val="20"/>
              </w:rPr>
              <w:t>level of arrears is more than 12 or 24 months old</w:t>
            </w:r>
            <w:r w:rsidR="000C7F41">
              <w:rPr>
                <w:color w:val="000000"/>
                <w:sz w:val="20"/>
                <w:szCs w:val="20"/>
              </w:rPr>
              <w:t>.</w:t>
            </w:r>
            <w:r w:rsidR="000C7F41">
              <w:rPr>
                <w:rStyle w:val="FootnoteReference"/>
                <w:color w:val="000000"/>
                <w:sz w:val="20"/>
                <w:szCs w:val="20"/>
              </w:rPr>
              <w:footnoteReference w:id="155"/>
            </w:r>
            <w:r w:rsidR="0022258C">
              <w:rPr>
                <w:color w:val="000000"/>
                <w:sz w:val="20"/>
                <w:szCs w:val="20"/>
              </w:rPr>
              <w:t xml:space="preserve"> </w:t>
            </w:r>
          </w:p>
          <w:p w14:paraId="3578B4EE" w14:textId="2556F6D3" w:rsidR="00A3387E" w:rsidRDefault="0022258C">
            <w:pPr>
              <w:spacing w:after="120" w:line="240" w:lineRule="auto"/>
              <w:rPr>
                <w:color w:val="000000"/>
                <w:sz w:val="20"/>
                <w:szCs w:val="20"/>
              </w:rPr>
            </w:pPr>
            <w:r>
              <w:rPr>
                <w:color w:val="000000"/>
                <w:sz w:val="20"/>
                <w:szCs w:val="20"/>
              </w:rPr>
              <w:t>Th</w:t>
            </w:r>
            <w:r w:rsidR="008B6715">
              <w:rPr>
                <w:color w:val="000000"/>
                <w:sz w:val="20"/>
                <w:szCs w:val="20"/>
              </w:rPr>
              <w:t xml:space="preserve">erefore, while </w:t>
            </w:r>
            <w:r w:rsidR="000D63F6">
              <w:rPr>
                <w:color w:val="000000"/>
                <w:sz w:val="20"/>
                <w:szCs w:val="20"/>
              </w:rPr>
              <w:t>retailers would need to make some adjustments to identify customers</w:t>
            </w:r>
            <w:r w:rsidR="00CA2068">
              <w:rPr>
                <w:color w:val="000000"/>
                <w:sz w:val="20"/>
                <w:szCs w:val="20"/>
              </w:rPr>
              <w:t xml:space="preserve"> with this level of arrears over three or more months, </w:t>
            </w:r>
            <w:r w:rsidR="00311D92">
              <w:rPr>
                <w:color w:val="000000"/>
                <w:sz w:val="20"/>
                <w:szCs w:val="20"/>
              </w:rPr>
              <w:t>r</w:t>
            </w:r>
            <w:r w:rsidR="00933599">
              <w:rPr>
                <w:color w:val="000000"/>
                <w:sz w:val="20"/>
                <w:szCs w:val="20"/>
              </w:rPr>
              <w:t xml:space="preserve">etailers already have </w:t>
            </w:r>
            <w:r w:rsidR="00311D92">
              <w:rPr>
                <w:color w:val="000000"/>
                <w:sz w:val="20"/>
                <w:szCs w:val="20"/>
              </w:rPr>
              <w:t>the systems and processes to do so.</w:t>
            </w:r>
          </w:p>
          <w:p w14:paraId="77F97A3C" w14:textId="5F622DD4" w:rsidR="007078D4" w:rsidRDefault="007078D4">
            <w:pPr>
              <w:spacing w:after="120" w:line="240" w:lineRule="auto"/>
              <w:rPr>
                <w:color w:val="000000"/>
                <w:sz w:val="20"/>
                <w:szCs w:val="20"/>
              </w:rPr>
            </w:pPr>
            <w:r w:rsidRPr="007078D4">
              <w:rPr>
                <w:color w:val="000000"/>
                <w:sz w:val="20"/>
                <w:szCs w:val="20"/>
                <w:u w:val="single"/>
              </w:rPr>
              <w:t>Cost transfers</w:t>
            </w:r>
          </w:p>
          <w:p w14:paraId="45B51B8B" w14:textId="17F8D792" w:rsidR="00A65B0C" w:rsidRPr="00A65B0C" w:rsidRDefault="00A65B0C" w:rsidP="00A65B0C">
            <w:pPr>
              <w:spacing w:after="120" w:line="240" w:lineRule="auto"/>
              <w:rPr>
                <w:color w:val="000000"/>
                <w:sz w:val="20"/>
                <w:szCs w:val="20"/>
              </w:rPr>
            </w:pPr>
            <w:r w:rsidRPr="00A65B0C">
              <w:rPr>
                <w:color w:val="000000"/>
                <w:sz w:val="20"/>
                <w:szCs w:val="20"/>
              </w:rPr>
              <w:t>Automatically switching a larger number of customers to the best offer would reduce retailer income</w:t>
            </w:r>
            <w:r>
              <w:rPr>
                <w:color w:val="000000"/>
                <w:sz w:val="20"/>
                <w:szCs w:val="20"/>
              </w:rPr>
              <w:t xml:space="preserve"> – </w:t>
            </w:r>
            <w:r w:rsidRPr="00A65B0C">
              <w:rPr>
                <w:color w:val="000000"/>
                <w:sz w:val="20"/>
                <w:szCs w:val="20"/>
              </w:rPr>
              <w:t xml:space="preserve">estimated at around $30.1 million per year under certain assumptions. For the purposes </w:t>
            </w:r>
            <w:r w:rsidRPr="00A65B0C">
              <w:rPr>
                <w:color w:val="000000"/>
                <w:sz w:val="20"/>
                <w:szCs w:val="20"/>
              </w:rPr>
              <w:lastRenderedPageBreak/>
              <w:t>of our assessment, this foregone revenue is treated as a cost. However, much of this revenue is currently derived from higher prices paid by disengaged customers, and does not reflect efficient or value-adding service. As such, it is not necessarily an economic cost in the broader sense.</w:t>
            </w:r>
          </w:p>
          <w:p w14:paraId="490A89B8" w14:textId="6D2E2B0A" w:rsidR="003409A9" w:rsidRPr="003409A9" w:rsidRDefault="00A65B0C" w:rsidP="00242E8D">
            <w:pPr>
              <w:spacing w:after="120" w:line="240" w:lineRule="auto"/>
              <w:rPr>
                <w:color w:val="000000"/>
                <w:sz w:val="20"/>
                <w:szCs w:val="20"/>
              </w:rPr>
            </w:pPr>
            <w:r w:rsidRPr="00A65B0C">
              <w:rPr>
                <w:color w:val="000000"/>
                <w:sz w:val="20"/>
                <w:szCs w:val="20"/>
              </w:rPr>
              <w:t>This impact is likely to be overstated, as the additional customers targeted under this option have a higher risk of defaulting. By placing them on more affordable plans, this option may improve repayment outcomes and reduce retailers’ debt recovery costs over time. Additionally, to the extent that some lost revenue is recovered from other customers, it reflects a redistribution of costs</w:t>
            </w:r>
            <w:r>
              <w:rPr>
                <w:color w:val="000000"/>
                <w:sz w:val="20"/>
                <w:szCs w:val="20"/>
              </w:rPr>
              <w:t xml:space="preserve"> – </w:t>
            </w:r>
            <w:r w:rsidRPr="00A65B0C">
              <w:rPr>
                <w:color w:val="000000"/>
                <w:sz w:val="20"/>
                <w:szCs w:val="20"/>
              </w:rPr>
              <w:t>not a net increase in system-wide costs</w:t>
            </w:r>
            <w:r w:rsidR="00242E8D">
              <w:rPr>
                <w:color w:val="000000"/>
                <w:sz w:val="20"/>
                <w:szCs w:val="20"/>
              </w:rPr>
              <w:t>.</w:t>
            </w:r>
            <w:r w:rsidR="00B05FA4">
              <w:rPr>
                <w:color w:val="000000"/>
                <w:sz w:val="20"/>
                <w:szCs w:val="20"/>
              </w:rPr>
              <w:t xml:space="preserve"> </w:t>
            </w:r>
          </w:p>
        </w:tc>
        <w:tc>
          <w:tcPr>
            <w:tcW w:w="1131" w:type="dxa"/>
            <w:tcBorders>
              <w:bottom w:val="single" w:sz="4" w:space="0" w:color="4986A0"/>
            </w:tcBorders>
            <w:shd w:val="clear" w:color="auto" w:fill="F2F2F2" w:themeFill="background1" w:themeFillShade="F2"/>
          </w:tcPr>
          <w:p w14:paraId="5B6471B2" w14:textId="1F360FC7" w:rsidR="009F155B" w:rsidRDefault="009F155B" w:rsidP="00DA2391">
            <w:pPr>
              <w:spacing w:after="120" w:line="240" w:lineRule="auto"/>
              <w:ind w:right="18"/>
              <w:jc w:val="center"/>
              <w:rPr>
                <w:color w:val="000000"/>
                <w:sz w:val="20"/>
                <w:szCs w:val="20"/>
              </w:rPr>
            </w:pPr>
            <w:r>
              <w:rPr>
                <w:color w:val="000000"/>
                <w:sz w:val="20"/>
                <w:szCs w:val="20"/>
              </w:rPr>
              <w:lastRenderedPageBreak/>
              <w:t>-</w:t>
            </w:r>
            <w:r w:rsidR="004D3458">
              <w:rPr>
                <w:color w:val="000000"/>
                <w:sz w:val="20"/>
                <w:szCs w:val="20"/>
              </w:rPr>
              <w:t>6</w:t>
            </w:r>
          </w:p>
        </w:tc>
        <w:tc>
          <w:tcPr>
            <w:tcW w:w="1136" w:type="dxa"/>
            <w:tcBorders>
              <w:bottom w:val="single" w:sz="4" w:space="0" w:color="4986A0"/>
            </w:tcBorders>
            <w:shd w:val="clear" w:color="auto" w:fill="F2F2F2" w:themeFill="background1" w:themeFillShade="F2"/>
            <w:tcMar>
              <w:top w:w="0" w:type="dxa"/>
              <w:left w:w="118" w:type="dxa"/>
              <w:bottom w:w="0" w:type="dxa"/>
              <w:right w:w="118" w:type="dxa"/>
            </w:tcMar>
            <w:hideMark/>
          </w:tcPr>
          <w:p w14:paraId="34523F2C" w14:textId="7808038E" w:rsidR="003409A9" w:rsidRPr="003409A9" w:rsidRDefault="003409A9" w:rsidP="00DA2391">
            <w:pPr>
              <w:spacing w:after="120" w:line="240" w:lineRule="auto"/>
              <w:ind w:right="18"/>
              <w:jc w:val="center"/>
              <w:rPr>
                <w:color w:val="000000"/>
                <w:sz w:val="20"/>
                <w:szCs w:val="20"/>
              </w:rPr>
            </w:pPr>
            <w:r w:rsidRPr="003409A9">
              <w:rPr>
                <w:color w:val="000000"/>
                <w:sz w:val="20"/>
                <w:szCs w:val="20"/>
              </w:rPr>
              <w:t>-2.</w:t>
            </w:r>
            <w:r w:rsidR="009F7157">
              <w:rPr>
                <w:color w:val="000000"/>
                <w:sz w:val="20"/>
                <w:szCs w:val="20"/>
              </w:rPr>
              <w:t>4</w:t>
            </w:r>
          </w:p>
        </w:tc>
      </w:tr>
    </w:tbl>
    <w:p w14:paraId="463C1A2F" w14:textId="77777777" w:rsidR="00DA1E2F" w:rsidRPr="00DA1E2F" w:rsidRDefault="00DA1E2F" w:rsidP="00DA1E2F">
      <w:pPr>
        <w:rPr>
          <w:highlight w:val="yellow"/>
        </w:rPr>
      </w:pPr>
    </w:p>
    <w:p w14:paraId="0F936D8E" w14:textId="67305B91" w:rsidR="003409A9" w:rsidRDefault="003409A9" w:rsidP="000F6481">
      <w:pPr>
        <w:pStyle w:val="Figure-Table-BoxSubtitle"/>
        <w:ind w:left="0"/>
      </w:pPr>
      <w:r w:rsidRPr="000F6481">
        <w:rPr>
          <w:rStyle w:val="Figure-Table-BoxHeadingChar"/>
        </w:rPr>
        <w:t xml:space="preserve">Table </w:t>
      </w:r>
      <w:r w:rsidR="00C33739" w:rsidRPr="000F6481">
        <w:rPr>
          <w:rStyle w:val="Figure-Table-BoxHeadingChar"/>
        </w:rPr>
        <w:t>8</w:t>
      </w:r>
      <w:r w:rsidRPr="000F6481">
        <w:rPr>
          <w:rStyle w:val="Figure-Table-BoxHeadingChar"/>
        </w:rPr>
        <w:t>:</w:t>
      </w:r>
      <w:r w:rsidRPr="000F6481">
        <w:t xml:space="preserve"> MCA</w:t>
      </w:r>
      <w:r w:rsidRPr="00E10DDD">
        <w:t xml:space="preserve"> assessment of </w:t>
      </w:r>
      <w:r w:rsidR="00746664">
        <w:t xml:space="preserve">options </w:t>
      </w:r>
      <w:r>
        <w:t xml:space="preserve">AA.1 and </w:t>
      </w:r>
      <w:r w:rsidRPr="00E10DDD">
        <w:t>A</w:t>
      </w:r>
      <w:r>
        <w:t>A</w:t>
      </w:r>
      <w:r w:rsidRPr="00E10DDD">
        <w:t>.2</w:t>
      </w:r>
      <w:r>
        <w:t xml:space="preserve">: Cost to </w:t>
      </w:r>
      <w:r w:rsidR="00417B40">
        <w:t>government</w:t>
      </w:r>
    </w:p>
    <w:tbl>
      <w:tblPr>
        <w:tblW w:w="0" w:type="auto"/>
        <w:tblCellMar>
          <w:left w:w="0" w:type="dxa"/>
          <w:right w:w="0" w:type="dxa"/>
        </w:tblCellMar>
        <w:tblLook w:val="04A0" w:firstRow="1" w:lastRow="0" w:firstColumn="1" w:lastColumn="0" w:noHBand="0" w:noVBand="1"/>
      </w:tblPr>
      <w:tblGrid>
        <w:gridCol w:w="812"/>
        <w:gridCol w:w="1882"/>
        <w:gridCol w:w="4700"/>
        <w:gridCol w:w="974"/>
        <w:gridCol w:w="1270"/>
      </w:tblGrid>
      <w:tr w:rsidR="00E21D09" w14:paraId="694E03C6" w14:textId="77777777" w:rsidTr="00DA0260">
        <w:tc>
          <w:tcPr>
            <w:tcW w:w="812" w:type="dxa"/>
            <w:tcBorders>
              <w:top w:val="single" w:sz="4" w:space="0" w:color="4986A0"/>
              <w:bottom w:val="single" w:sz="4" w:space="0" w:color="4986A0"/>
            </w:tcBorders>
            <w:shd w:val="clear" w:color="auto" w:fill="4986A0"/>
            <w:tcMar>
              <w:top w:w="0" w:type="dxa"/>
              <w:left w:w="0" w:type="dxa"/>
              <w:bottom w:w="0" w:type="dxa"/>
              <w:right w:w="0" w:type="dxa"/>
            </w:tcMar>
            <w:hideMark/>
          </w:tcPr>
          <w:p w14:paraId="0D730A63" w14:textId="77777777" w:rsidR="00E21D09" w:rsidRPr="00E21D09" w:rsidRDefault="00E21D09" w:rsidP="00972467">
            <w:pPr>
              <w:spacing w:before="60" w:after="60" w:line="240" w:lineRule="auto"/>
              <w:jc w:val="center"/>
              <w:rPr>
                <w:color w:val="000000"/>
                <w:sz w:val="20"/>
                <w:szCs w:val="20"/>
              </w:rPr>
            </w:pPr>
            <w:r w:rsidRPr="00E21D09">
              <w:rPr>
                <w:b/>
                <w:bCs/>
                <w:color w:val="FFFFFF"/>
                <w:sz w:val="20"/>
                <w:szCs w:val="20"/>
              </w:rPr>
              <w:t>Option</w:t>
            </w:r>
          </w:p>
        </w:tc>
        <w:tc>
          <w:tcPr>
            <w:tcW w:w="1882"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318567BD" w14:textId="77777777" w:rsidR="00C93533" w:rsidRDefault="00E21D09" w:rsidP="00972467">
            <w:pPr>
              <w:spacing w:before="60" w:after="60" w:line="240" w:lineRule="auto"/>
              <w:jc w:val="center"/>
              <w:rPr>
                <w:b/>
                <w:bCs/>
                <w:color w:val="FFFFFF"/>
                <w:sz w:val="20"/>
                <w:szCs w:val="20"/>
              </w:rPr>
            </w:pPr>
            <w:r w:rsidRPr="00E21D09">
              <w:rPr>
                <w:b/>
                <w:bCs/>
                <w:color w:val="FFFFFF"/>
                <w:sz w:val="20"/>
                <w:szCs w:val="20"/>
              </w:rPr>
              <w:t>Criteria</w:t>
            </w:r>
          </w:p>
          <w:p w14:paraId="11622DFE" w14:textId="797DA8FB" w:rsidR="00E21D09" w:rsidRPr="00E21D09" w:rsidRDefault="00E21D09" w:rsidP="00972467">
            <w:pPr>
              <w:spacing w:before="60" w:after="60" w:line="240" w:lineRule="auto"/>
              <w:jc w:val="center"/>
              <w:rPr>
                <w:color w:val="000000"/>
                <w:sz w:val="20"/>
                <w:szCs w:val="20"/>
              </w:rPr>
            </w:pPr>
            <w:r w:rsidRPr="00E21D09">
              <w:rPr>
                <w:b/>
                <w:bCs/>
                <w:color w:val="FFFFFF"/>
                <w:sz w:val="20"/>
                <w:szCs w:val="20"/>
              </w:rPr>
              <w:t>(weighting 10%)</w:t>
            </w:r>
          </w:p>
        </w:tc>
        <w:tc>
          <w:tcPr>
            <w:tcW w:w="4700"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7E8B1B52" w14:textId="77777777" w:rsidR="00E21D09" w:rsidRPr="00E21D09" w:rsidRDefault="00E21D09" w:rsidP="00972467">
            <w:pPr>
              <w:spacing w:before="60" w:after="60" w:line="240" w:lineRule="auto"/>
              <w:jc w:val="center"/>
              <w:rPr>
                <w:color w:val="000000"/>
                <w:sz w:val="20"/>
                <w:szCs w:val="20"/>
              </w:rPr>
            </w:pPr>
            <w:r w:rsidRPr="00E21D09">
              <w:rPr>
                <w:b/>
                <w:bCs/>
                <w:color w:val="FFFFFF"/>
                <w:sz w:val="20"/>
                <w:szCs w:val="20"/>
              </w:rPr>
              <w:t>Assessment</w:t>
            </w:r>
          </w:p>
        </w:tc>
        <w:tc>
          <w:tcPr>
            <w:tcW w:w="974" w:type="dxa"/>
            <w:tcBorders>
              <w:top w:val="single" w:sz="4" w:space="0" w:color="4986A0"/>
              <w:bottom w:val="single" w:sz="4" w:space="0" w:color="4986A0"/>
            </w:tcBorders>
            <w:shd w:val="clear" w:color="auto" w:fill="4986A0"/>
          </w:tcPr>
          <w:p w14:paraId="539C7C39" w14:textId="77777777" w:rsidR="0039611D" w:rsidRDefault="009F155B" w:rsidP="00972467">
            <w:pPr>
              <w:spacing w:before="60" w:after="60" w:line="240" w:lineRule="auto"/>
              <w:jc w:val="center"/>
              <w:rPr>
                <w:b/>
                <w:bCs/>
                <w:color w:val="FFFFFF"/>
                <w:sz w:val="20"/>
                <w:szCs w:val="20"/>
              </w:rPr>
            </w:pPr>
            <w:r>
              <w:rPr>
                <w:b/>
                <w:bCs/>
                <w:color w:val="FFFFFF"/>
                <w:sz w:val="20"/>
                <w:szCs w:val="20"/>
              </w:rPr>
              <w:t>Score</w:t>
            </w:r>
          </w:p>
          <w:p w14:paraId="69D5EC1F" w14:textId="1618E1D6" w:rsidR="009F155B" w:rsidRDefault="0039611D" w:rsidP="00972467">
            <w:pPr>
              <w:spacing w:before="60" w:after="60" w:line="240" w:lineRule="auto"/>
              <w:jc w:val="center"/>
              <w:rPr>
                <w:b/>
                <w:bCs/>
                <w:color w:val="FFFFFF"/>
                <w:sz w:val="20"/>
                <w:szCs w:val="20"/>
              </w:rPr>
            </w:pPr>
            <w:r>
              <w:rPr>
                <w:b/>
                <w:bCs/>
                <w:color w:val="FFFFFF"/>
                <w:sz w:val="20"/>
                <w:szCs w:val="20"/>
              </w:rPr>
              <w:t>(-10 to 10)</w:t>
            </w:r>
          </w:p>
        </w:tc>
        <w:tc>
          <w:tcPr>
            <w:tcW w:w="1270"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39A425E1" w14:textId="77777777" w:rsidR="00E21D09" w:rsidRPr="00E21D09" w:rsidRDefault="00E21D09" w:rsidP="00972467">
            <w:pPr>
              <w:spacing w:before="60" w:after="60" w:line="240" w:lineRule="auto"/>
              <w:jc w:val="center"/>
              <w:rPr>
                <w:color w:val="000000"/>
                <w:sz w:val="20"/>
                <w:szCs w:val="20"/>
              </w:rPr>
            </w:pPr>
            <w:r w:rsidRPr="00E21D09">
              <w:rPr>
                <w:b/>
                <w:bCs/>
                <w:color w:val="FFFFFF"/>
                <w:sz w:val="20"/>
                <w:szCs w:val="20"/>
              </w:rPr>
              <w:t>Weighted score</w:t>
            </w:r>
          </w:p>
        </w:tc>
      </w:tr>
      <w:tr w:rsidR="00E21D09" w14:paraId="6DBBA069" w14:textId="77777777" w:rsidTr="00DA0260">
        <w:trPr>
          <w:trHeight w:val="534"/>
        </w:trPr>
        <w:tc>
          <w:tcPr>
            <w:tcW w:w="812" w:type="dxa"/>
            <w:tcMar>
              <w:top w:w="0" w:type="dxa"/>
              <w:left w:w="0" w:type="dxa"/>
              <w:bottom w:w="0" w:type="dxa"/>
              <w:right w:w="0" w:type="dxa"/>
            </w:tcMar>
            <w:hideMark/>
          </w:tcPr>
          <w:p w14:paraId="70F3B75E" w14:textId="77777777" w:rsidR="00E21D09" w:rsidRPr="00E21D09" w:rsidRDefault="00E21D09">
            <w:pPr>
              <w:spacing w:after="120" w:line="240" w:lineRule="auto"/>
              <w:rPr>
                <w:color w:val="000000"/>
                <w:sz w:val="20"/>
                <w:szCs w:val="20"/>
              </w:rPr>
            </w:pPr>
            <w:r w:rsidRPr="00E21D09">
              <w:rPr>
                <w:color w:val="000000"/>
                <w:sz w:val="20"/>
                <w:szCs w:val="20"/>
              </w:rPr>
              <w:t>AA.1</w:t>
            </w:r>
          </w:p>
        </w:tc>
        <w:tc>
          <w:tcPr>
            <w:tcW w:w="1882" w:type="dxa"/>
            <w:tcMar>
              <w:top w:w="0" w:type="dxa"/>
              <w:left w:w="118" w:type="dxa"/>
              <w:bottom w:w="0" w:type="dxa"/>
              <w:right w:w="118" w:type="dxa"/>
            </w:tcMar>
            <w:hideMark/>
          </w:tcPr>
          <w:p w14:paraId="50CE7554" w14:textId="77777777" w:rsidR="00E21D09" w:rsidRPr="00E21D09" w:rsidRDefault="00E21D09">
            <w:pPr>
              <w:spacing w:after="120" w:line="240" w:lineRule="auto"/>
              <w:rPr>
                <w:color w:val="000000"/>
                <w:sz w:val="20"/>
                <w:szCs w:val="20"/>
              </w:rPr>
            </w:pPr>
            <w:r w:rsidRPr="00E21D09">
              <w:rPr>
                <w:color w:val="000000"/>
                <w:sz w:val="20"/>
                <w:szCs w:val="20"/>
              </w:rPr>
              <w:t xml:space="preserve">Cost to government </w:t>
            </w:r>
          </w:p>
        </w:tc>
        <w:tc>
          <w:tcPr>
            <w:tcW w:w="4700" w:type="dxa"/>
            <w:tcMar>
              <w:top w:w="0" w:type="dxa"/>
              <w:left w:w="118" w:type="dxa"/>
              <w:bottom w:w="0" w:type="dxa"/>
              <w:right w:w="118" w:type="dxa"/>
            </w:tcMar>
            <w:hideMark/>
          </w:tcPr>
          <w:p w14:paraId="1B77EBD0" w14:textId="2C1F3399" w:rsidR="00E21D09" w:rsidRPr="00E21D09" w:rsidRDefault="00A61EFC" w:rsidP="00806615">
            <w:pPr>
              <w:spacing w:after="120" w:line="240" w:lineRule="auto"/>
              <w:rPr>
                <w:color w:val="000000"/>
                <w:sz w:val="20"/>
                <w:szCs w:val="20"/>
              </w:rPr>
            </w:pPr>
            <w:r>
              <w:rPr>
                <w:color w:val="000000"/>
                <w:sz w:val="20"/>
                <w:szCs w:val="20"/>
              </w:rPr>
              <w:t>The commission</w:t>
            </w:r>
            <w:r w:rsidR="00E21D09" w:rsidRPr="00E21D09">
              <w:rPr>
                <w:color w:val="000000"/>
                <w:sz w:val="20"/>
                <w:szCs w:val="20"/>
              </w:rPr>
              <w:t xml:space="preserve"> would need to administer and monitor compliance with this option.</w:t>
            </w:r>
            <w:r>
              <w:rPr>
                <w:color w:val="000000"/>
                <w:sz w:val="20"/>
                <w:szCs w:val="20"/>
              </w:rPr>
              <w:t xml:space="preserve"> </w:t>
            </w:r>
            <w:r w:rsidR="00DD0D5A">
              <w:rPr>
                <w:color w:val="000000"/>
                <w:sz w:val="20"/>
                <w:szCs w:val="20"/>
              </w:rPr>
              <w:t>Retailers already report numbers of customers entering and exiting tailored assistance</w:t>
            </w:r>
            <w:r w:rsidR="00B302C7">
              <w:rPr>
                <w:color w:val="000000"/>
                <w:sz w:val="20"/>
                <w:szCs w:val="20"/>
              </w:rPr>
              <w:t>.</w:t>
            </w:r>
            <w:r w:rsidR="00656E4D">
              <w:rPr>
                <w:color w:val="000000"/>
                <w:sz w:val="20"/>
                <w:szCs w:val="20"/>
              </w:rPr>
              <w:t xml:space="preserve"> </w:t>
            </w:r>
            <w:r w:rsidR="00BA2CF1">
              <w:rPr>
                <w:color w:val="000000"/>
                <w:sz w:val="20"/>
                <w:szCs w:val="20"/>
              </w:rPr>
              <w:t>The commission also already verifies compliance with tariff checks to which customers receiving tailored assistance are entitled.</w:t>
            </w:r>
            <w:r w:rsidR="00806615">
              <w:rPr>
                <w:color w:val="000000"/>
                <w:sz w:val="20"/>
                <w:szCs w:val="20"/>
              </w:rPr>
              <w:t xml:space="preserve"> </w:t>
            </w:r>
          </w:p>
        </w:tc>
        <w:tc>
          <w:tcPr>
            <w:tcW w:w="974" w:type="dxa"/>
          </w:tcPr>
          <w:p w14:paraId="05F23326" w14:textId="440B4C2C" w:rsidR="009F155B" w:rsidRDefault="009F155B">
            <w:pPr>
              <w:spacing w:after="120" w:line="240" w:lineRule="auto"/>
              <w:ind w:right="311"/>
              <w:jc w:val="right"/>
              <w:rPr>
                <w:color w:val="000000"/>
                <w:sz w:val="20"/>
                <w:szCs w:val="20"/>
              </w:rPr>
            </w:pPr>
            <w:r>
              <w:rPr>
                <w:color w:val="000000"/>
                <w:sz w:val="20"/>
                <w:szCs w:val="20"/>
              </w:rPr>
              <w:t>-0.</w:t>
            </w:r>
            <w:r w:rsidR="00F27D49">
              <w:rPr>
                <w:color w:val="000000"/>
                <w:sz w:val="20"/>
                <w:szCs w:val="20"/>
              </w:rPr>
              <w:t>2</w:t>
            </w:r>
            <w:r>
              <w:rPr>
                <w:color w:val="000000"/>
                <w:sz w:val="20"/>
                <w:szCs w:val="20"/>
              </w:rPr>
              <w:t>5</w:t>
            </w:r>
          </w:p>
        </w:tc>
        <w:tc>
          <w:tcPr>
            <w:tcW w:w="1270" w:type="dxa"/>
            <w:tcMar>
              <w:top w:w="0" w:type="dxa"/>
              <w:left w:w="118" w:type="dxa"/>
              <w:bottom w:w="0" w:type="dxa"/>
              <w:right w:w="118" w:type="dxa"/>
            </w:tcMar>
            <w:hideMark/>
          </w:tcPr>
          <w:p w14:paraId="629E4B4C" w14:textId="00761ACA" w:rsidR="00E21D09" w:rsidRPr="00E21D09" w:rsidRDefault="00E21D09">
            <w:pPr>
              <w:spacing w:after="120" w:line="240" w:lineRule="auto"/>
              <w:ind w:right="311"/>
              <w:jc w:val="right"/>
              <w:rPr>
                <w:color w:val="000000"/>
                <w:sz w:val="20"/>
                <w:szCs w:val="20"/>
              </w:rPr>
            </w:pPr>
            <w:r w:rsidRPr="00E21D09">
              <w:rPr>
                <w:color w:val="000000"/>
                <w:sz w:val="20"/>
                <w:szCs w:val="20"/>
              </w:rPr>
              <w:t>-0.0</w:t>
            </w:r>
            <w:r w:rsidR="00F27D49">
              <w:rPr>
                <w:color w:val="000000"/>
                <w:sz w:val="20"/>
                <w:szCs w:val="20"/>
              </w:rPr>
              <w:t>2</w:t>
            </w:r>
            <w:r w:rsidRPr="00E21D09">
              <w:rPr>
                <w:color w:val="000000"/>
                <w:sz w:val="20"/>
                <w:szCs w:val="20"/>
              </w:rPr>
              <w:t>5</w:t>
            </w:r>
          </w:p>
        </w:tc>
      </w:tr>
      <w:tr w:rsidR="00E21D09" w14:paraId="32D2B2F8" w14:textId="77777777" w:rsidTr="00DA0260">
        <w:tc>
          <w:tcPr>
            <w:tcW w:w="812" w:type="dxa"/>
            <w:tcBorders>
              <w:bottom w:val="single" w:sz="4" w:space="0" w:color="4986A0"/>
            </w:tcBorders>
            <w:shd w:val="clear" w:color="auto" w:fill="F2F2F2" w:themeFill="background1" w:themeFillShade="F2"/>
            <w:tcMar>
              <w:top w:w="0" w:type="dxa"/>
              <w:left w:w="0" w:type="dxa"/>
              <w:bottom w:w="0" w:type="dxa"/>
              <w:right w:w="0" w:type="dxa"/>
            </w:tcMar>
            <w:hideMark/>
          </w:tcPr>
          <w:p w14:paraId="5205DB5F" w14:textId="77777777" w:rsidR="00E21D09" w:rsidRPr="00E21D09" w:rsidRDefault="00E21D09">
            <w:pPr>
              <w:spacing w:after="120" w:line="240" w:lineRule="auto"/>
              <w:rPr>
                <w:color w:val="000000"/>
                <w:sz w:val="20"/>
                <w:szCs w:val="20"/>
              </w:rPr>
            </w:pPr>
            <w:r w:rsidRPr="00E21D09">
              <w:rPr>
                <w:color w:val="000000"/>
                <w:sz w:val="20"/>
                <w:szCs w:val="20"/>
              </w:rPr>
              <w:t>AA.2</w:t>
            </w:r>
          </w:p>
        </w:tc>
        <w:tc>
          <w:tcPr>
            <w:tcW w:w="1882" w:type="dxa"/>
            <w:tcBorders>
              <w:bottom w:val="single" w:sz="4" w:space="0" w:color="4986A0"/>
            </w:tcBorders>
            <w:shd w:val="clear" w:color="auto" w:fill="F2F2F2" w:themeFill="background1" w:themeFillShade="F2"/>
            <w:tcMar>
              <w:top w:w="0" w:type="dxa"/>
              <w:left w:w="118" w:type="dxa"/>
              <w:bottom w:w="0" w:type="dxa"/>
              <w:right w:w="118" w:type="dxa"/>
            </w:tcMar>
            <w:hideMark/>
          </w:tcPr>
          <w:p w14:paraId="45BDB5D6" w14:textId="77777777" w:rsidR="00E21D09" w:rsidRPr="00E21D09" w:rsidRDefault="00E21D09">
            <w:pPr>
              <w:spacing w:after="120" w:line="240" w:lineRule="auto"/>
              <w:rPr>
                <w:color w:val="000000"/>
                <w:sz w:val="20"/>
                <w:szCs w:val="20"/>
              </w:rPr>
            </w:pPr>
            <w:r w:rsidRPr="00E21D09">
              <w:rPr>
                <w:color w:val="000000"/>
                <w:sz w:val="20"/>
                <w:szCs w:val="20"/>
              </w:rPr>
              <w:t>Cost to government</w:t>
            </w:r>
          </w:p>
        </w:tc>
        <w:tc>
          <w:tcPr>
            <w:tcW w:w="4700" w:type="dxa"/>
            <w:tcBorders>
              <w:bottom w:val="single" w:sz="4" w:space="0" w:color="4986A0"/>
            </w:tcBorders>
            <w:shd w:val="clear" w:color="auto" w:fill="F2F2F2" w:themeFill="background1" w:themeFillShade="F2"/>
            <w:tcMar>
              <w:top w:w="0" w:type="dxa"/>
              <w:left w:w="118" w:type="dxa"/>
              <w:bottom w:w="0" w:type="dxa"/>
              <w:right w:w="118" w:type="dxa"/>
            </w:tcMar>
            <w:hideMark/>
          </w:tcPr>
          <w:p w14:paraId="19F5A2EB" w14:textId="7FEA65A0" w:rsidR="00E21D09" w:rsidRPr="00E21D09" w:rsidRDefault="00E21D09">
            <w:pPr>
              <w:spacing w:after="120" w:line="240" w:lineRule="auto"/>
              <w:rPr>
                <w:color w:val="000000"/>
                <w:sz w:val="20"/>
                <w:szCs w:val="20"/>
              </w:rPr>
            </w:pPr>
            <w:r w:rsidRPr="00E21D09">
              <w:rPr>
                <w:color w:val="000000"/>
                <w:sz w:val="20"/>
                <w:szCs w:val="20"/>
              </w:rPr>
              <w:t>Under this option</w:t>
            </w:r>
            <w:r w:rsidR="008345F7">
              <w:rPr>
                <w:color w:val="000000"/>
                <w:sz w:val="20"/>
                <w:szCs w:val="20"/>
              </w:rPr>
              <w:t>,</w:t>
            </w:r>
            <w:r w:rsidRPr="00E21D09">
              <w:rPr>
                <w:color w:val="000000"/>
                <w:sz w:val="20"/>
                <w:szCs w:val="20"/>
              </w:rPr>
              <w:t xml:space="preserve"> </w:t>
            </w:r>
            <w:r w:rsidR="00495D8E">
              <w:rPr>
                <w:color w:val="000000"/>
                <w:sz w:val="20"/>
                <w:szCs w:val="20"/>
              </w:rPr>
              <w:t>the commission’s</w:t>
            </w:r>
            <w:r w:rsidRPr="00E21D09">
              <w:rPr>
                <w:color w:val="000000"/>
                <w:sz w:val="20"/>
                <w:szCs w:val="20"/>
              </w:rPr>
              <w:t xml:space="preserve"> monitoring would be more complex and therefore more costly. </w:t>
            </w:r>
            <w:r w:rsidR="00495D8E">
              <w:rPr>
                <w:color w:val="000000"/>
                <w:sz w:val="20"/>
                <w:szCs w:val="20"/>
              </w:rPr>
              <w:t xml:space="preserve">The commission </w:t>
            </w:r>
            <w:r w:rsidR="007800EA">
              <w:rPr>
                <w:color w:val="000000"/>
                <w:sz w:val="20"/>
                <w:szCs w:val="20"/>
              </w:rPr>
              <w:t>already monitors and requires retailer</w:t>
            </w:r>
            <w:r w:rsidR="002A7E90">
              <w:rPr>
                <w:color w:val="000000"/>
                <w:sz w:val="20"/>
                <w:szCs w:val="20"/>
              </w:rPr>
              <w:t>s</w:t>
            </w:r>
            <w:r w:rsidR="007800EA">
              <w:rPr>
                <w:color w:val="000000"/>
                <w:sz w:val="20"/>
                <w:szCs w:val="20"/>
              </w:rPr>
              <w:t xml:space="preserve"> to report on customers’ arrears levels over time. However, </w:t>
            </w:r>
            <w:r w:rsidR="00697856">
              <w:rPr>
                <w:color w:val="000000"/>
                <w:sz w:val="20"/>
                <w:szCs w:val="20"/>
              </w:rPr>
              <w:t>the commission</w:t>
            </w:r>
            <w:r w:rsidR="000E5180">
              <w:rPr>
                <w:color w:val="000000"/>
                <w:sz w:val="20"/>
                <w:szCs w:val="20"/>
              </w:rPr>
              <w:t xml:space="preserve"> </w:t>
            </w:r>
            <w:r w:rsidR="00101685">
              <w:rPr>
                <w:color w:val="000000"/>
                <w:sz w:val="20"/>
                <w:szCs w:val="20"/>
              </w:rPr>
              <w:t>may need to collect more data for this specific cohort of customers</w:t>
            </w:r>
            <w:r w:rsidR="000C72F7">
              <w:rPr>
                <w:color w:val="000000"/>
                <w:sz w:val="20"/>
                <w:szCs w:val="20"/>
              </w:rPr>
              <w:t>.</w:t>
            </w:r>
            <w:r w:rsidR="00ED5DAF">
              <w:rPr>
                <w:color w:val="000000"/>
                <w:sz w:val="20"/>
                <w:szCs w:val="20"/>
              </w:rPr>
              <w:t xml:space="preserve"> </w:t>
            </w:r>
            <w:r w:rsidR="00806615">
              <w:rPr>
                <w:color w:val="000000"/>
                <w:sz w:val="20"/>
                <w:szCs w:val="20"/>
              </w:rPr>
              <w:t>The commission may also</w:t>
            </w:r>
            <w:r w:rsidR="00ED5DAF">
              <w:rPr>
                <w:color w:val="000000"/>
                <w:sz w:val="20"/>
                <w:szCs w:val="20"/>
              </w:rPr>
              <w:t xml:space="preserve"> need to prepare g</w:t>
            </w:r>
            <w:r w:rsidRPr="00E21D09">
              <w:rPr>
                <w:color w:val="000000"/>
                <w:sz w:val="20"/>
                <w:szCs w:val="20"/>
              </w:rPr>
              <w:t>uidance material for retailers.</w:t>
            </w:r>
          </w:p>
        </w:tc>
        <w:tc>
          <w:tcPr>
            <w:tcW w:w="974" w:type="dxa"/>
            <w:tcBorders>
              <w:bottom w:val="single" w:sz="4" w:space="0" w:color="4986A0"/>
            </w:tcBorders>
            <w:shd w:val="clear" w:color="auto" w:fill="F2F2F2" w:themeFill="background1" w:themeFillShade="F2"/>
          </w:tcPr>
          <w:p w14:paraId="1DEEC664" w14:textId="5E49B7C4" w:rsidR="009F155B" w:rsidRDefault="009F155B">
            <w:pPr>
              <w:spacing w:after="120" w:line="240" w:lineRule="auto"/>
              <w:ind w:right="311"/>
              <w:jc w:val="right"/>
              <w:rPr>
                <w:color w:val="000000"/>
                <w:sz w:val="20"/>
                <w:szCs w:val="20"/>
              </w:rPr>
            </w:pPr>
            <w:r>
              <w:rPr>
                <w:color w:val="000000"/>
                <w:sz w:val="20"/>
                <w:szCs w:val="20"/>
              </w:rPr>
              <w:t>-</w:t>
            </w:r>
            <w:r w:rsidR="00F27D49">
              <w:rPr>
                <w:color w:val="000000"/>
                <w:sz w:val="20"/>
                <w:szCs w:val="20"/>
              </w:rPr>
              <w:t>0</w:t>
            </w:r>
            <w:r>
              <w:rPr>
                <w:color w:val="000000"/>
                <w:sz w:val="20"/>
                <w:szCs w:val="20"/>
              </w:rPr>
              <w:t>.</w:t>
            </w:r>
            <w:r w:rsidR="00F27D49">
              <w:rPr>
                <w:color w:val="000000"/>
                <w:sz w:val="20"/>
                <w:szCs w:val="20"/>
              </w:rPr>
              <w:t>7</w:t>
            </w:r>
            <w:r>
              <w:rPr>
                <w:color w:val="000000"/>
                <w:sz w:val="20"/>
                <w:szCs w:val="20"/>
              </w:rPr>
              <w:t>5</w:t>
            </w:r>
          </w:p>
        </w:tc>
        <w:tc>
          <w:tcPr>
            <w:tcW w:w="1270" w:type="dxa"/>
            <w:tcBorders>
              <w:bottom w:val="single" w:sz="4" w:space="0" w:color="4986A0"/>
            </w:tcBorders>
            <w:shd w:val="clear" w:color="auto" w:fill="F2F2F2" w:themeFill="background1" w:themeFillShade="F2"/>
            <w:tcMar>
              <w:top w:w="0" w:type="dxa"/>
              <w:left w:w="118" w:type="dxa"/>
              <w:bottom w:w="0" w:type="dxa"/>
              <w:right w:w="118" w:type="dxa"/>
            </w:tcMar>
            <w:hideMark/>
          </w:tcPr>
          <w:p w14:paraId="7F77D27B" w14:textId="4D1BB1CB" w:rsidR="00E21D09" w:rsidRPr="00E21D09" w:rsidRDefault="00E21D09">
            <w:pPr>
              <w:spacing w:after="120" w:line="240" w:lineRule="auto"/>
              <w:ind w:right="311"/>
              <w:jc w:val="right"/>
              <w:rPr>
                <w:color w:val="000000"/>
                <w:sz w:val="20"/>
                <w:szCs w:val="20"/>
              </w:rPr>
            </w:pPr>
            <w:r w:rsidRPr="00E21D09">
              <w:rPr>
                <w:color w:val="000000"/>
                <w:sz w:val="20"/>
                <w:szCs w:val="20"/>
              </w:rPr>
              <w:t>-0.</w:t>
            </w:r>
            <w:r w:rsidR="00EC50AF">
              <w:rPr>
                <w:color w:val="000000"/>
                <w:sz w:val="20"/>
                <w:szCs w:val="20"/>
              </w:rPr>
              <w:t>075</w:t>
            </w:r>
          </w:p>
        </w:tc>
      </w:tr>
    </w:tbl>
    <w:p w14:paraId="2AF47CAE" w14:textId="73759FCA" w:rsidR="006E6914" w:rsidRDefault="00BC58B9" w:rsidP="006E6914">
      <w:pPr>
        <w:pStyle w:val="Heading3numbered"/>
      </w:pPr>
      <w:r>
        <w:t>P</w:t>
      </w:r>
      <w:r w:rsidR="006E6914">
        <w:t xml:space="preserve">referred </w:t>
      </w:r>
      <w:r w:rsidR="00475997">
        <w:t>o</w:t>
      </w:r>
      <w:r w:rsidR="006E6914">
        <w:t xml:space="preserve">ption – </w:t>
      </w:r>
      <w:r w:rsidR="007078D4">
        <w:t>e</w:t>
      </w:r>
      <w:r w:rsidR="006E6914">
        <w:t>ligibility</w:t>
      </w:r>
    </w:p>
    <w:p w14:paraId="7BECD7DA" w14:textId="4DDD3DD2" w:rsidR="006C36E7" w:rsidRPr="006C36E7" w:rsidRDefault="006C36E7" w:rsidP="000F6481">
      <w:pPr>
        <w:pStyle w:val="Figure-Table-BoxSubtitle"/>
        <w:ind w:left="0"/>
      </w:pPr>
      <w:r w:rsidRPr="000F6481">
        <w:rPr>
          <w:rStyle w:val="Figure-Table-BoxHeadingChar"/>
        </w:rPr>
        <w:t xml:space="preserve">Table </w:t>
      </w:r>
      <w:r w:rsidR="00C33739" w:rsidRPr="000F6481">
        <w:rPr>
          <w:rStyle w:val="Figure-Table-BoxHeadingChar"/>
        </w:rPr>
        <w:t>9</w:t>
      </w:r>
      <w:r w:rsidRPr="000F6481">
        <w:rPr>
          <w:rStyle w:val="Figure-Table-BoxHeadingChar"/>
        </w:rPr>
        <w:t>:</w:t>
      </w:r>
      <w:r w:rsidR="000648CA" w:rsidRPr="000F6481">
        <w:t xml:space="preserve"> Summary</w:t>
      </w:r>
      <w:r w:rsidR="000648CA" w:rsidRPr="000648CA">
        <w:t xml:space="preserve"> of MCA assessments ‒ Automatic switching to best offer</w:t>
      </w:r>
      <w:r w:rsidR="00017487">
        <w:t>: Eligibility</w:t>
      </w:r>
    </w:p>
    <w:tbl>
      <w:tblPr>
        <w:tblW w:w="0" w:type="auto"/>
        <w:tblBorders>
          <w:insideH w:val="single" w:sz="8" w:space="0" w:color="FFFFFF"/>
        </w:tblBorders>
        <w:tblCellMar>
          <w:left w:w="0" w:type="dxa"/>
          <w:right w:w="0" w:type="dxa"/>
        </w:tblCellMar>
        <w:tblLook w:val="04A0" w:firstRow="1" w:lastRow="0" w:firstColumn="1" w:lastColumn="0" w:noHBand="0" w:noVBand="1"/>
      </w:tblPr>
      <w:tblGrid>
        <w:gridCol w:w="1432"/>
        <w:gridCol w:w="6070"/>
        <w:gridCol w:w="2136"/>
      </w:tblGrid>
      <w:tr w:rsidR="006E6914" w14:paraId="4385BFAF" w14:textId="77777777">
        <w:tc>
          <w:tcPr>
            <w:tcW w:w="1438" w:type="dxa"/>
            <w:tcBorders>
              <w:bottom w:val="single" w:sz="8" w:space="0" w:color="FFFFFF"/>
            </w:tcBorders>
            <w:shd w:val="clear" w:color="auto" w:fill="4986A0"/>
            <w:tcMar>
              <w:top w:w="85" w:type="dxa"/>
              <w:left w:w="95" w:type="dxa"/>
              <w:bottom w:w="85" w:type="dxa"/>
              <w:right w:w="67" w:type="dxa"/>
            </w:tcMar>
            <w:hideMark/>
          </w:tcPr>
          <w:p w14:paraId="26CAD071" w14:textId="77777777" w:rsidR="006E6914" w:rsidRDefault="006E6914">
            <w:pPr>
              <w:spacing w:after="120" w:line="240" w:lineRule="auto"/>
              <w:rPr>
                <w:color w:val="000000"/>
                <w:sz w:val="20"/>
                <w:szCs w:val="20"/>
              </w:rPr>
            </w:pPr>
            <w:r>
              <w:rPr>
                <w:b/>
                <w:bCs/>
                <w:color w:val="FFFFFF"/>
                <w:sz w:val="20"/>
                <w:szCs w:val="20"/>
              </w:rPr>
              <w:t>Option</w:t>
            </w:r>
          </w:p>
        </w:tc>
        <w:tc>
          <w:tcPr>
            <w:tcW w:w="6115" w:type="dxa"/>
            <w:tcBorders>
              <w:bottom w:val="single" w:sz="8" w:space="0" w:color="FFFFFF"/>
            </w:tcBorders>
            <w:shd w:val="clear" w:color="auto" w:fill="4986A0"/>
            <w:tcMar>
              <w:top w:w="85" w:type="dxa"/>
              <w:left w:w="95" w:type="dxa"/>
              <w:bottom w:w="85" w:type="dxa"/>
              <w:right w:w="67" w:type="dxa"/>
            </w:tcMar>
            <w:hideMark/>
          </w:tcPr>
          <w:p w14:paraId="4DAB54EB" w14:textId="77777777" w:rsidR="006E6914" w:rsidRDefault="006E6914">
            <w:pPr>
              <w:spacing w:after="120" w:line="240" w:lineRule="auto"/>
              <w:rPr>
                <w:color w:val="000000"/>
                <w:sz w:val="20"/>
                <w:szCs w:val="20"/>
              </w:rPr>
            </w:pPr>
            <w:r>
              <w:rPr>
                <w:b/>
                <w:bCs/>
                <w:color w:val="FFFFFF"/>
                <w:sz w:val="20"/>
                <w:szCs w:val="20"/>
              </w:rPr>
              <w:t>Description</w:t>
            </w:r>
          </w:p>
        </w:tc>
        <w:tc>
          <w:tcPr>
            <w:tcW w:w="2145" w:type="dxa"/>
            <w:tcBorders>
              <w:bottom w:val="single" w:sz="8" w:space="0" w:color="FFFFFF"/>
            </w:tcBorders>
            <w:shd w:val="clear" w:color="auto" w:fill="4986A0"/>
            <w:tcMar>
              <w:top w:w="85" w:type="dxa"/>
              <w:left w:w="95" w:type="dxa"/>
              <w:bottom w:w="85" w:type="dxa"/>
              <w:right w:w="67" w:type="dxa"/>
            </w:tcMar>
            <w:hideMark/>
          </w:tcPr>
          <w:p w14:paraId="40E59B5B" w14:textId="3B0FF59E" w:rsidR="006E6914" w:rsidRDefault="006E6914" w:rsidP="00175DB4">
            <w:pPr>
              <w:spacing w:after="120" w:line="240" w:lineRule="auto"/>
              <w:jc w:val="center"/>
              <w:rPr>
                <w:color w:val="000000"/>
                <w:sz w:val="20"/>
                <w:szCs w:val="20"/>
              </w:rPr>
            </w:pPr>
            <w:r>
              <w:rPr>
                <w:b/>
                <w:bCs/>
                <w:color w:val="FFFFFF"/>
                <w:sz w:val="20"/>
                <w:szCs w:val="20"/>
              </w:rPr>
              <w:t>Weighted score</w:t>
            </w:r>
          </w:p>
        </w:tc>
      </w:tr>
      <w:tr w:rsidR="006E6914" w14:paraId="5CF5EE11" w14:textId="77777777">
        <w:tc>
          <w:tcPr>
            <w:tcW w:w="1438"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7D177D4E" w14:textId="77777777" w:rsidR="006E6914" w:rsidRDefault="006E6914" w:rsidP="00371FF8">
            <w:pPr>
              <w:spacing w:after="120" w:line="240" w:lineRule="auto"/>
              <w:rPr>
                <w:color w:val="000000"/>
                <w:sz w:val="20"/>
                <w:szCs w:val="20"/>
              </w:rPr>
            </w:pPr>
            <w:r>
              <w:rPr>
                <w:color w:val="000000"/>
                <w:sz w:val="20"/>
                <w:szCs w:val="20"/>
              </w:rPr>
              <w:t>AA.1</w:t>
            </w:r>
          </w:p>
        </w:tc>
        <w:tc>
          <w:tcPr>
            <w:tcW w:w="6115"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092F0649" w14:textId="5427B750" w:rsidR="006E6914" w:rsidRDefault="006E6914">
            <w:pPr>
              <w:spacing w:after="120" w:line="240" w:lineRule="auto"/>
              <w:rPr>
                <w:color w:val="000000"/>
                <w:sz w:val="20"/>
                <w:szCs w:val="20"/>
              </w:rPr>
            </w:pPr>
            <w:r>
              <w:rPr>
                <w:color w:val="000000"/>
                <w:sz w:val="20"/>
                <w:szCs w:val="20"/>
              </w:rPr>
              <w:t>Customers receiving tailored assistance</w:t>
            </w:r>
            <w:r w:rsidR="00727B68">
              <w:rPr>
                <w:color w:val="000000"/>
                <w:sz w:val="20"/>
                <w:szCs w:val="20"/>
              </w:rPr>
              <w:t>.</w:t>
            </w:r>
          </w:p>
        </w:tc>
        <w:tc>
          <w:tcPr>
            <w:tcW w:w="2145"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6C10D630" w14:textId="73A5F376" w:rsidR="006E6914" w:rsidRDefault="00835A05">
            <w:pPr>
              <w:spacing w:after="120" w:line="240" w:lineRule="auto"/>
              <w:jc w:val="center"/>
              <w:rPr>
                <w:color w:val="000000"/>
                <w:sz w:val="20"/>
                <w:szCs w:val="20"/>
              </w:rPr>
            </w:pPr>
            <w:r>
              <w:rPr>
                <w:color w:val="000000"/>
                <w:sz w:val="20"/>
                <w:szCs w:val="20"/>
              </w:rPr>
              <w:t>0</w:t>
            </w:r>
            <w:r w:rsidR="00805EB6">
              <w:rPr>
                <w:color w:val="000000"/>
                <w:sz w:val="20"/>
                <w:szCs w:val="20"/>
              </w:rPr>
              <w:t>.</w:t>
            </w:r>
            <w:r>
              <w:rPr>
                <w:color w:val="000000"/>
                <w:sz w:val="20"/>
                <w:szCs w:val="20"/>
              </w:rPr>
              <w:t>925</w:t>
            </w:r>
          </w:p>
        </w:tc>
      </w:tr>
      <w:tr w:rsidR="006E6914" w14:paraId="1A6EE53F" w14:textId="77777777" w:rsidTr="009E483A">
        <w:tc>
          <w:tcPr>
            <w:tcW w:w="1438"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61BADB1D" w14:textId="77777777" w:rsidR="006E6914" w:rsidRDefault="006E6914" w:rsidP="00371FF8">
            <w:pPr>
              <w:spacing w:after="120" w:line="240" w:lineRule="auto"/>
              <w:rPr>
                <w:color w:val="000000"/>
                <w:sz w:val="20"/>
                <w:szCs w:val="20"/>
              </w:rPr>
            </w:pPr>
            <w:r>
              <w:rPr>
                <w:color w:val="000000"/>
                <w:sz w:val="20"/>
                <w:szCs w:val="20"/>
              </w:rPr>
              <w:t>AA.2</w:t>
            </w:r>
          </w:p>
        </w:tc>
        <w:tc>
          <w:tcPr>
            <w:tcW w:w="6115"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5874D8AD" w14:textId="6BDC41B5" w:rsidR="006E6914" w:rsidRDefault="006E6914">
            <w:pPr>
              <w:spacing w:after="120" w:line="240" w:lineRule="auto"/>
              <w:rPr>
                <w:color w:val="000000"/>
                <w:sz w:val="20"/>
                <w:szCs w:val="20"/>
              </w:rPr>
            </w:pPr>
            <w:r>
              <w:rPr>
                <w:color w:val="000000"/>
                <w:sz w:val="20"/>
                <w:szCs w:val="20"/>
              </w:rPr>
              <w:t xml:space="preserve">Customers receiving tailored assistance and customers in arrears for </w:t>
            </w:r>
            <w:r w:rsidR="00214DAE">
              <w:rPr>
                <w:color w:val="000000"/>
                <w:sz w:val="20"/>
                <w:szCs w:val="20"/>
              </w:rPr>
              <w:t xml:space="preserve">at least </w:t>
            </w:r>
            <w:r w:rsidR="00E15A00">
              <w:rPr>
                <w:color w:val="000000"/>
                <w:sz w:val="20"/>
                <w:szCs w:val="20"/>
              </w:rPr>
              <w:t>three</w:t>
            </w:r>
            <w:r>
              <w:rPr>
                <w:color w:val="000000"/>
                <w:sz w:val="20"/>
                <w:szCs w:val="20"/>
              </w:rPr>
              <w:t xml:space="preserve"> months</w:t>
            </w:r>
            <w:r w:rsidR="00E15A00">
              <w:rPr>
                <w:color w:val="000000"/>
                <w:sz w:val="20"/>
                <w:szCs w:val="20"/>
              </w:rPr>
              <w:t xml:space="preserve"> </w:t>
            </w:r>
            <w:r>
              <w:rPr>
                <w:color w:val="000000"/>
                <w:sz w:val="20"/>
                <w:szCs w:val="20"/>
              </w:rPr>
              <w:t xml:space="preserve">and </w:t>
            </w:r>
            <w:r w:rsidR="000832F3">
              <w:rPr>
                <w:color w:val="000000"/>
                <w:sz w:val="20"/>
                <w:szCs w:val="20"/>
              </w:rPr>
              <w:t xml:space="preserve">with arrears of </w:t>
            </w:r>
            <w:r>
              <w:rPr>
                <w:color w:val="000000"/>
                <w:sz w:val="20"/>
                <w:szCs w:val="20"/>
              </w:rPr>
              <w:t>$1000</w:t>
            </w:r>
            <w:r w:rsidR="00214DAE">
              <w:rPr>
                <w:color w:val="000000"/>
                <w:sz w:val="20"/>
                <w:szCs w:val="20"/>
              </w:rPr>
              <w:t xml:space="preserve"> or more</w:t>
            </w:r>
            <w:r w:rsidR="00727B68">
              <w:rPr>
                <w:color w:val="000000"/>
                <w:sz w:val="20"/>
                <w:szCs w:val="20"/>
              </w:rPr>
              <w:t>.</w:t>
            </w:r>
          </w:p>
        </w:tc>
        <w:tc>
          <w:tcPr>
            <w:tcW w:w="2145"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15A94954" w14:textId="6EF42544" w:rsidR="006E6914" w:rsidRDefault="00F44063">
            <w:pPr>
              <w:spacing w:after="120" w:line="240" w:lineRule="auto"/>
              <w:jc w:val="center"/>
              <w:rPr>
                <w:color w:val="000000"/>
                <w:sz w:val="20"/>
                <w:szCs w:val="20"/>
              </w:rPr>
            </w:pPr>
            <w:r>
              <w:rPr>
                <w:b/>
                <w:bCs/>
                <w:color w:val="000000"/>
                <w:sz w:val="20"/>
                <w:szCs w:val="20"/>
              </w:rPr>
              <w:t>1.</w:t>
            </w:r>
            <w:r w:rsidR="00FB77A9">
              <w:rPr>
                <w:b/>
                <w:bCs/>
                <w:color w:val="000000"/>
                <w:sz w:val="20"/>
                <w:szCs w:val="20"/>
              </w:rPr>
              <w:t>02</w:t>
            </w:r>
            <w:r w:rsidR="000E76BA">
              <w:rPr>
                <w:b/>
                <w:bCs/>
                <w:color w:val="000000"/>
                <w:sz w:val="20"/>
                <w:szCs w:val="20"/>
              </w:rPr>
              <w:t>5</w:t>
            </w:r>
            <w:r w:rsidR="006E6914">
              <w:rPr>
                <w:b/>
                <w:bCs/>
                <w:color w:val="000000"/>
                <w:sz w:val="20"/>
                <w:szCs w:val="20"/>
              </w:rPr>
              <w:t xml:space="preserve"> (preferred)</w:t>
            </w:r>
          </w:p>
        </w:tc>
      </w:tr>
    </w:tbl>
    <w:p w14:paraId="3E050FE1" w14:textId="55EE6AD0" w:rsidR="00131703" w:rsidRDefault="00384DF3" w:rsidP="00371FF8">
      <w:pPr>
        <w:pStyle w:val="Heading3"/>
      </w:pPr>
      <w:r w:rsidRPr="00F54555">
        <w:lastRenderedPageBreak/>
        <w:t>Implementation</w:t>
      </w:r>
    </w:p>
    <w:p w14:paraId="7DB16C29" w14:textId="480B9EA3" w:rsidR="00561320" w:rsidRPr="00844277" w:rsidRDefault="00D33997" w:rsidP="00077454">
      <w:r>
        <w:t xml:space="preserve">All </w:t>
      </w:r>
      <w:r w:rsidR="00D62B10">
        <w:t xml:space="preserve">implementation </w:t>
      </w:r>
      <w:r>
        <w:t xml:space="preserve">options </w:t>
      </w:r>
      <w:r w:rsidR="00561320">
        <w:t xml:space="preserve">aim to reduce barriers for customers </w:t>
      </w:r>
      <w:r w:rsidR="00844277">
        <w:t xml:space="preserve">in payment difficulty from </w:t>
      </w:r>
      <w:r w:rsidR="00793B61">
        <w:t xml:space="preserve">accessing the lowest energy plans. </w:t>
      </w:r>
      <w:r w:rsidR="00077454">
        <w:t xml:space="preserve">Each option puts the onus on the retailer, and </w:t>
      </w:r>
      <w:r w:rsidR="00561320" w:rsidRPr="00844277">
        <w:t>reduce</w:t>
      </w:r>
      <w:r w:rsidR="00077454" w:rsidRPr="00844277">
        <w:t>s</w:t>
      </w:r>
      <w:r w:rsidR="00561320" w:rsidRPr="00844277">
        <w:t xml:space="preserve"> the time, stress and burden on customers to navigate, understand and choose between complex energy plans. This would </w:t>
      </w:r>
      <w:r w:rsidR="00077454" w:rsidRPr="00844277">
        <w:t xml:space="preserve">also </w:t>
      </w:r>
      <w:r w:rsidR="00561320" w:rsidRPr="00844277">
        <w:t xml:space="preserve">leave more time for retailers to provide these customers with other forms of support available (for example, applying for concessions, rebates or grants). It would also reduce information fatigue or overload for customers. </w:t>
      </w:r>
    </w:p>
    <w:p w14:paraId="360FD38A" w14:textId="4F20031B" w:rsidR="00D33997" w:rsidRPr="00D33997" w:rsidRDefault="003D3676" w:rsidP="003D3676">
      <w:r>
        <w:t xml:space="preserve">Each of the options would also </w:t>
      </w:r>
      <w:r w:rsidR="00D62B10">
        <w:t>replace the need for retailers to undertake tariff checks for customers receiving tailored assistance</w:t>
      </w:r>
      <w:r w:rsidR="00AD076B">
        <w:t xml:space="preserve"> (as outlined in section 5.3.1)</w:t>
      </w:r>
      <w:r w:rsidR="00D62B10">
        <w:t>.</w:t>
      </w:r>
      <w:r w:rsidR="00932C96">
        <w:t xml:space="preserve"> Therefore, we propose to </w:t>
      </w:r>
      <w:r w:rsidR="00487640">
        <w:t>re</w:t>
      </w:r>
      <w:r w:rsidR="0022381C">
        <w:t>move</w:t>
      </w:r>
      <w:r w:rsidR="00487640">
        <w:t xml:space="preserve"> the existing tariff </w:t>
      </w:r>
      <w:r w:rsidR="00237D92">
        <w:t>check requirement in the current code.</w:t>
      </w:r>
      <w:r w:rsidR="00237D92">
        <w:rPr>
          <w:rStyle w:val="FootnoteReference"/>
        </w:rPr>
        <w:footnoteReference w:id="156"/>
      </w:r>
      <w:r w:rsidR="005974B8">
        <w:t xml:space="preserve"> </w:t>
      </w:r>
      <w:r w:rsidR="00AD076B">
        <w:t xml:space="preserve">This would also reduce some </w:t>
      </w:r>
      <w:r w:rsidR="0035716F">
        <w:t>burden o</w:t>
      </w:r>
      <w:r w:rsidR="00A56BD4">
        <w:t>n industry</w:t>
      </w:r>
      <w:r w:rsidR="00AD076B">
        <w:t xml:space="preserve"> under all three options</w:t>
      </w:r>
      <w:r w:rsidR="003F38AD">
        <w:t xml:space="preserve">. </w:t>
      </w:r>
    </w:p>
    <w:p w14:paraId="039B0C04" w14:textId="71A31DD8" w:rsidR="00131703" w:rsidRDefault="00F03029" w:rsidP="00371FF8">
      <w:pPr>
        <w:pStyle w:val="Heading3numbered"/>
      </w:pPr>
      <w:r>
        <w:t xml:space="preserve">Implementation </w:t>
      </w:r>
      <w:r w:rsidR="00A905E3">
        <w:t>o</w:t>
      </w:r>
      <w:r w:rsidR="00131703">
        <w:t xml:space="preserve">ption </w:t>
      </w:r>
      <w:r w:rsidR="00924BEC">
        <w:t>A.</w:t>
      </w:r>
      <w:r w:rsidR="00131703">
        <w:t xml:space="preserve">1 </w:t>
      </w:r>
      <w:r w:rsidR="002E2936">
        <w:t xml:space="preserve">– </w:t>
      </w:r>
      <w:r w:rsidR="007078D4">
        <w:t>s</w:t>
      </w:r>
      <w:r w:rsidR="00131703">
        <w:t xml:space="preserve">witching </w:t>
      </w:r>
      <w:r w:rsidR="007078D4">
        <w:t>plans</w:t>
      </w:r>
    </w:p>
    <w:p w14:paraId="274A8D9F" w14:textId="7ED1090B" w:rsidR="00131703" w:rsidRDefault="00131703" w:rsidP="00131703">
      <w:r>
        <w:t xml:space="preserve">Option </w:t>
      </w:r>
      <w:r w:rsidR="00BF589B">
        <w:t>A.1</w:t>
      </w:r>
      <w:r>
        <w:t xml:space="preserve"> requires retailers to switch customers experiencing payment difficulty who meet the eligibility criteria to the </w:t>
      </w:r>
      <w:r w:rsidR="00FD726A">
        <w:t>best offer (</w:t>
      </w:r>
      <w:r w:rsidR="004F09AC">
        <w:t xml:space="preserve">the </w:t>
      </w:r>
      <w:r>
        <w:t>lowest cost generally available plan based on their past energy use</w:t>
      </w:r>
      <w:r w:rsidR="00FD726A">
        <w:t>)</w:t>
      </w:r>
      <w:r>
        <w:t xml:space="preserve">. </w:t>
      </w:r>
    </w:p>
    <w:p w14:paraId="26781D95" w14:textId="276FA57A" w:rsidR="00EB3F9A" w:rsidRDefault="00E514AF" w:rsidP="00415E1D">
      <w:pPr>
        <w:pStyle w:val="Heading4"/>
      </w:pPr>
      <w:r>
        <w:t>Exemption from</w:t>
      </w:r>
      <w:r w:rsidR="00766542">
        <w:t xml:space="preserve"> the requirement to </w:t>
      </w:r>
      <w:r>
        <w:t>obtain explicit informed consent for entry into a market retail contract</w:t>
      </w:r>
    </w:p>
    <w:p w14:paraId="05F389AB" w14:textId="2746A0C9" w:rsidR="00E514AF" w:rsidRDefault="00E514AF" w:rsidP="00131703">
      <w:r>
        <w:t xml:space="preserve">Explicit informed </w:t>
      </w:r>
      <w:r w:rsidR="00B91C12">
        <w:t>consent</w:t>
      </w:r>
      <w:r>
        <w:t xml:space="preserve"> </w:t>
      </w:r>
      <w:r w:rsidR="00B91C12">
        <w:t xml:space="preserve">is a key consumer protection </w:t>
      </w:r>
      <w:r w:rsidR="00DA1205">
        <w:t xml:space="preserve">that </w:t>
      </w:r>
      <w:r w:rsidR="00DD0D9D">
        <w:t>supports customer agency and informed decision making.</w:t>
      </w:r>
      <w:r w:rsidR="000C0994">
        <w:rPr>
          <w:rStyle w:val="FootnoteReference"/>
        </w:rPr>
        <w:footnoteReference w:id="157"/>
      </w:r>
      <w:r w:rsidR="00614320">
        <w:t xml:space="preserve"> </w:t>
      </w:r>
      <w:r w:rsidR="00DB04B5">
        <w:t xml:space="preserve">Explicit informed consent can only be provided </w:t>
      </w:r>
      <w:r w:rsidR="00EF2479">
        <w:t xml:space="preserve">by a customer who is competent and has been provided with </w:t>
      </w:r>
      <w:r w:rsidR="006642A3">
        <w:t>full, clear</w:t>
      </w:r>
      <w:r w:rsidR="00CA2A8A">
        <w:t xml:space="preserve"> and </w:t>
      </w:r>
      <w:r w:rsidR="00B76C38">
        <w:t xml:space="preserve">adequate information. </w:t>
      </w:r>
      <w:r w:rsidR="00807CB4">
        <w:t xml:space="preserve">Consent </w:t>
      </w:r>
      <w:r w:rsidR="00E329E9">
        <w:t xml:space="preserve">may be given </w:t>
      </w:r>
      <w:r w:rsidR="00A80D86">
        <w:t>to a retailer or exempt person</w:t>
      </w:r>
      <w:r w:rsidR="00E329E9">
        <w:t xml:space="preserve"> in writing, verbally or via electronic communication generated by the customer.</w:t>
      </w:r>
      <w:r w:rsidR="0008238E">
        <w:t xml:space="preserve"> </w:t>
      </w:r>
    </w:p>
    <w:p w14:paraId="3A497A04" w14:textId="5B92F4E4" w:rsidR="00132208" w:rsidRDefault="00E67A34" w:rsidP="00131703">
      <w:r>
        <w:t>This option</w:t>
      </w:r>
      <w:r w:rsidR="004D12FB">
        <w:t xml:space="preserve"> would require</w:t>
      </w:r>
      <w:r w:rsidR="00131703">
        <w:t xml:space="preserve"> </w:t>
      </w:r>
      <w:r w:rsidR="00BF534E">
        <w:t>amendments to</w:t>
      </w:r>
      <w:r w:rsidR="00131703">
        <w:t xml:space="preserve"> the </w:t>
      </w:r>
      <w:r w:rsidR="0029568B">
        <w:t xml:space="preserve">code </w:t>
      </w:r>
      <w:r w:rsidR="00131703">
        <w:t xml:space="preserve">to allow </w:t>
      </w:r>
      <w:r w:rsidR="00951FA4">
        <w:t>retailers to</w:t>
      </w:r>
      <w:r w:rsidR="00131703">
        <w:t xml:space="preserve"> </w:t>
      </w:r>
      <w:r>
        <w:t xml:space="preserve">automatically </w:t>
      </w:r>
      <w:r w:rsidR="00131703">
        <w:t xml:space="preserve">switch </w:t>
      </w:r>
      <w:r w:rsidR="00951FA4">
        <w:t xml:space="preserve">customers </w:t>
      </w:r>
      <w:r w:rsidR="00223426">
        <w:t>to a different plan</w:t>
      </w:r>
      <w:r w:rsidR="00951FA4">
        <w:t xml:space="preserve"> without their explicit informed consent</w:t>
      </w:r>
      <w:r w:rsidR="00A031B3">
        <w:t>.</w:t>
      </w:r>
      <w:r w:rsidR="00131703">
        <w:rPr>
          <w:rStyle w:val="FootnoteReference"/>
        </w:rPr>
        <w:footnoteReference w:id="158"/>
      </w:r>
      <w:r w:rsidR="00131703">
        <w:t xml:space="preserve"> </w:t>
      </w:r>
      <w:r w:rsidR="00B458D0">
        <w:t xml:space="preserve">We </w:t>
      </w:r>
      <w:r>
        <w:t>consider</w:t>
      </w:r>
      <w:r w:rsidR="00B458D0">
        <w:t xml:space="preserve"> this </w:t>
      </w:r>
      <w:r w:rsidR="0061439D">
        <w:t xml:space="preserve">would be </w:t>
      </w:r>
      <w:r w:rsidR="00B458D0">
        <w:t xml:space="preserve">justified because of the significant amount of harm caused to </w:t>
      </w:r>
      <w:r w:rsidR="00EE4A02">
        <w:t xml:space="preserve">customers experiencing payment difficulty paying more for energy costs than </w:t>
      </w:r>
      <w:r w:rsidR="00026D68">
        <w:t>they need to</w:t>
      </w:r>
      <w:r w:rsidR="00EE4A02">
        <w:t>.</w:t>
      </w:r>
    </w:p>
    <w:p w14:paraId="62756997" w14:textId="7AF200D3" w:rsidR="00B5092C" w:rsidRDefault="008D7721" w:rsidP="00131703">
      <w:r>
        <w:t>R</w:t>
      </w:r>
      <w:r w:rsidR="00233FAA">
        <w:t xml:space="preserve">etailers </w:t>
      </w:r>
      <w:r w:rsidR="006B2EAE">
        <w:t>are</w:t>
      </w:r>
      <w:r w:rsidR="00233FAA">
        <w:t xml:space="preserve"> already </w:t>
      </w:r>
      <w:r w:rsidR="006B2EAE">
        <w:t>required to</w:t>
      </w:r>
      <w:r w:rsidR="00233FAA">
        <w:t xml:space="preserve"> </w:t>
      </w:r>
      <w:r w:rsidR="00433862">
        <w:t xml:space="preserve">place </w:t>
      </w:r>
      <w:r w:rsidR="00ED5E2F">
        <w:t xml:space="preserve">a </w:t>
      </w:r>
      <w:r w:rsidR="00433862">
        <w:t>customer on</w:t>
      </w:r>
      <w:r w:rsidR="006B2EAE">
        <w:t xml:space="preserve"> the standing offer</w:t>
      </w:r>
      <w:r w:rsidR="00292C5B">
        <w:t xml:space="preserve"> </w:t>
      </w:r>
      <w:r w:rsidR="006B2EAE">
        <w:t>(VDO for electricity)</w:t>
      </w:r>
      <w:r w:rsidR="00292C5B">
        <w:t xml:space="preserve"> if they have </w:t>
      </w:r>
      <w:r w:rsidR="00021E29">
        <w:t xml:space="preserve">begun to use energy </w:t>
      </w:r>
      <w:r w:rsidR="00F226B6">
        <w:t>at a p</w:t>
      </w:r>
      <w:r w:rsidR="00E026C2">
        <w:t xml:space="preserve">remises but have </w:t>
      </w:r>
      <w:r w:rsidR="00292C5B">
        <w:t>not</w:t>
      </w:r>
      <w:r w:rsidR="004A3AC7">
        <w:t xml:space="preserve"> </w:t>
      </w:r>
      <w:r w:rsidR="001D12A2">
        <w:t xml:space="preserve">signed up to a </w:t>
      </w:r>
      <w:r w:rsidR="003B36E9">
        <w:t xml:space="preserve">contract or </w:t>
      </w:r>
      <w:r w:rsidR="00E026C2">
        <w:t xml:space="preserve">their </w:t>
      </w:r>
      <w:r w:rsidR="003B36E9">
        <w:t xml:space="preserve">fixed term </w:t>
      </w:r>
      <w:r w:rsidR="003B36E9">
        <w:lastRenderedPageBreak/>
        <w:t xml:space="preserve">contract </w:t>
      </w:r>
      <w:r w:rsidR="00E026C2">
        <w:t xml:space="preserve">has </w:t>
      </w:r>
      <w:r w:rsidR="003B36E9">
        <w:t>end</w:t>
      </w:r>
      <w:r w:rsidR="00E026C2">
        <w:t>ed</w:t>
      </w:r>
      <w:r w:rsidR="009447F3">
        <w:t>.</w:t>
      </w:r>
      <w:r w:rsidR="004E1063">
        <w:rPr>
          <w:rStyle w:val="FootnoteReference"/>
        </w:rPr>
        <w:footnoteReference w:id="159"/>
      </w:r>
      <w:r w:rsidR="00A64ECF">
        <w:t xml:space="preserve"> </w:t>
      </w:r>
      <w:r w:rsidR="00950BF7">
        <w:t xml:space="preserve">This </w:t>
      </w:r>
      <w:r w:rsidR="00B132DA">
        <w:t>can occur without the customer’s explicit informed consent.</w:t>
      </w:r>
      <w:r w:rsidR="00A64ECF">
        <w:t xml:space="preserve"> In addition, </w:t>
      </w:r>
      <w:r w:rsidR="002A7994">
        <w:t xml:space="preserve">some </w:t>
      </w:r>
      <w:r w:rsidR="0077444D">
        <w:t>customer preferences w</w:t>
      </w:r>
      <w:r w:rsidR="002A7994">
        <w:t>ould</w:t>
      </w:r>
      <w:r w:rsidR="0077444D">
        <w:t xml:space="preserve"> be protected by</w:t>
      </w:r>
      <w:r w:rsidR="00A64ECF">
        <w:t xml:space="preserve"> </w:t>
      </w:r>
      <w:r w:rsidR="00261724">
        <w:t xml:space="preserve">our </w:t>
      </w:r>
      <w:r w:rsidR="00CB7374">
        <w:t xml:space="preserve">proposed reforms </w:t>
      </w:r>
      <w:r w:rsidR="000F2589">
        <w:t xml:space="preserve">outlined in </w:t>
      </w:r>
      <w:r w:rsidR="007B18BC">
        <w:t>Chapter</w:t>
      </w:r>
      <w:r w:rsidR="000F2589">
        <w:t xml:space="preserve"> 6</w:t>
      </w:r>
      <w:r w:rsidR="00290F5F">
        <w:t>. For example</w:t>
      </w:r>
      <w:r w:rsidR="000F2589">
        <w:t xml:space="preserve">, </w:t>
      </w:r>
      <w:r w:rsidR="006B1205">
        <w:t xml:space="preserve">regardless of the plan </w:t>
      </w:r>
      <w:r w:rsidR="00F75E22">
        <w:t>a customer is</w:t>
      </w:r>
      <w:r w:rsidR="006B1205">
        <w:t xml:space="preserve"> moved to</w:t>
      </w:r>
      <w:r w:rsidR="000F2589">
        <w:t xml:space="preserve">, </w:t>
      </w:r>
      <w:r w:rsidR="00F75E22">
        <w:t xml:space="preserve">the </w:t>
      </w:r>
      <w:r w:rsidR="000F2589">
        <w:t>customer w</w:t>
      </w:r>
      <w:r w:rsidR="00F75E22">
        <w:t>ould</w:t>
      </w:r>
      <w:r w:rsidR="000F2589">
        <w:t xml:space="preserve"> </w:t>
      </w:r>
      <w:r w:rsidR="009720DE">
        <w:t>be able</w:t>
      </w:r>
      <w:r w:rsidR="00982CF2">
        <w:t xml:space="preserve"> to </w:t>
      </w:r>
      <w:r w:rsidR="006B1205">
        <w:t xml:space="preserve">choose to </w:t>
      </w:r>
      <w:r w:rsidR="00982CF2">
        <w:t>receive paper bills and have the option to pay using a method o</w:t>
      </w:r>
      <w:r w:rsidR="00C8426A">
        <w:t>ther</w:t>
      </w:r>
      <w:r w:rsidR="00982CF2">
        <w:t xml:space="preserve"> than direct debit</w:t>
      </w:r>
      <w:r w:rsidR="0077444D">
        <w:t>.</w:t>
      </w:r>
    </w:p>
    <w:p w14:paraId="23BBD2E4" w14:textId="184CFC20" w:rsidR="00C00F17" w:rsidRDefault="00C00F17" w:rsidP="00131703">
      <w:r>
        <w:t xml:space="preserve">Explicit informed consent would be replaced with safeguards such as an opt-out and a post-switch reversal. Some customers may not want to be switched to a different plan because of </w:t>
      </w:r>
      <w:r w:rsidR="007A32CA">
        <w:t xml:space="preserve">the </w:t>
      </w:r>
      <w:r>
        <w:t xml:space="preserve">benefits attached to their existing plan. For example, a customer may have Qantas rewards points or Netflix as benefits linked to their existing energy plan. </w:t>
      </w:r>
      <w:r w:rsidR="004E73C9">
        <w:t>These customers would be able to opt out from an automatic switch</w:t>
      </w:r>
      <w:r w:rsidR="001F39E3">
        <w:t>.</w:t>
      </w:r>
    </w:p>
    <w:p w14:paraId="29C2EFC3" w14:textId="5717F64F" w:rsidR="0020572A" w:rsidRDefault="0020572A" w:rsidP="00415E1D">
      <w:pPr>
        <w:pStyle w:val="Heading4"/>
      </w:pPr>
      <w:r>
        <w:t xml:space="preserve">Opt-out and post switch reversal periods </w:t>
      </w:r>
    </w:p>
    <w:p w14:paraId="4D1DD25F" w14:textId="77777777" w:rsidR="00CD6709" w:rsidRDefault="00CE7405" w:rsidP="00131703">
      <w:r>
        <w:t xml:space="preserve">An opt-out period and a post </w:t>
      </w:r>
      <w:r w:rsidR="00F032C2">
        <w:t xml:space="preserve">switch </w:t>
      </w:r>
      <w:r w:rsidR="0020572A">
        <w:t xml:space="preserve">reversal </w:t>
      </w:r>
      <w:r>
        <w:t xml:space="preserve">would function as additional layers of protection for eligible customers who do not want to be switched to a different plan. </w:t>
      </w:r>
      <w:r w:rsidR="005C3FD1">
        <w:t xml:space="preserve">We </w:t>
      </w:r>
      <w:r w:rsidR="00F032C2">
        <w:t>consider</w:t>
      </w:r>
      <w:r w:rsidR="005C3FD1">
        <w:t xml:space="preserve"> that an opt-out is more appropriate tha</w:t>
      </w:r>
      <w:r w:rsidR="006F7BAD">
        <w:t xml:space="preserve">n an opt-in because it will </w:t>
      </w:r>
      <w:r w:rsidR="00434A62">
        <w:t>be</w:t>
      </w:r>
      <w:r w:rsidR="00F032C2">
        <w:t xml:space="preserve"> more effective </w:t>
      </w:r>
      <w:r w:rsidR="00F746C8">
        <w:t xml:space="preserve">in </w:t>
      </w:r>
      <w:r w:rsidR="00434A62">
        <w:t>moving customers to cheaper plans</w:t>
      </w:r>
      <w:r w:rsidR="000150DC">
        <w:t>.</w:t>
      </w:r>
      <w:r w:rsidR="001B6DC7">
        <w:rPr>
          <w:rStyle w:val="FootnoteReference"/>
        </w:rPr>
        <w:footnoteReference w:id="160"/>
      </w:r>
      <w:r w:rsidR="00143A29">
        <w:t xml:space="preserve"> </w:t>
      </w:r>
    </w:p>
    <w:p w14:paraId="2A1E1DD5" w14:textId="2CA26250" w:rsidR="00564973" w:rsidRDefault="004C238D" w:rsidP="00131703">
      <w:r>
        <w:t xml:space="preserve">We are proposing an opt-out period of 10 business days. </w:t>
      </w:r>
      <w:r w:rsidR="00616F56">
        <w:t xml:space="preserve">We </w:t>
      </w:r>
      <w:r w:rsidR="008B1E2C">
        <w:t>consider</w:t>
      </w:r>
      <w:r w:rsidR="00616F56">
        <w:t xml:space="preserve"> this w</w:t>
      </w:r>
      <w:r w:rsidR="001F7AF5">
        <w:t>ould</w:t>
      </w:r>
      <w:r w:rsidR="00616F56">
        <w:t xml:space="preserve"> provide sufficient time for </w:t>
      </w:r>
      <w:r w:rsidR="008B1E2C">
        <w:t>a</w:t>
      </w:r>
      <w:r w:rsidR="00616F56">
        <w:t xml:space="preserve"> customer to cons</w:t>
      </w:r>
      <w:r w:rsidR="00B61B69">
        <w:t xml:space="preserve">ider the </w:t>
      </w:r>
      <w:r w:rsidR="007149C3">
        <w:t xml:space="preserve">proposed switch and make a decision about </w:t>
      </w:r>
      <w:r w:rsidR="002C4640">
        <w:t>whether to opt</w:t>
      </w:r>
      <w:r w:rsidR="007149C3">
        <w:t xml:space="preserve"> out. We also </w:t>
      </w:r>
      <w:r w:rsidR="002C4640">
        <w:t>suggest that it w</w:t>
      </w:r>
      <w:r w:rsidR="00980A4B">
        <w:t>ould</w:t>
      </w:r>
      <w:r w:rsidR="005F0F49">
        <w:t xml:space="preserve"> not </w:t>
      </w:r>
      <w:r w:rsidR="00BA5258">
        <w:t>be too long so as to delay the switch and reduce the accuracy of the b</w:t>
      </w:r>
      <w:r w:rsidR="00F94731">
        <w:t xml:space="preserve">est offer calculation. </w:t>
      </w:r>
      <w:r w:rsidR="007719E1">
        <w:t xml:space="preserve">This </w:t>
      </w:r>
      <w:r w:rsidR="00F94731">
        <w:t xml:space="preserve">timeframe also </w:t>
      </w:r>
      <w:r w:rsidR="007719E1">
        <w:t xml:space="preserve">aligns with </w:t>
      </w:r>
      <w:r w:rsidR="00F94731">
        <w:t xml:space="preserve">many existing timeframes in the </w:t>
      </w:r>
      <w:r w:rsidR="00426AEB">
        <w:t>code</w:t>
      </w:r>
      <w:r w:rsidR="00F94731">
        <w:t xml:space="preserve">, such as </w:t>
      </w:r>
      <w:r w:rsidR="00CC1BA4">
        <w:t xml:space="preserve">the cooling off period and </w:t>
      </w:r>
      <w:r w:rsidR="003A1046">
        <w:t>timeframes to</w:t>
      </w:r>
      <w:r w:rsidR="002F2D03">
        <w:t xml:space="preserve"> notify</w:t>
      </w:r>
      <w:r w:rsidR="003A1046">
        <w:t xml:space="preserve"> customers of overcharging or shortened </w:t>
      </w:r>
      <w:r w:rsidR="002F2D03">
        <w:t>collection cycles.</w:t>
      </w:r>
      <w:r w:rsidR="00BB003E">
        <w:rPr>
          <w:rStyle w:val="FootnoteReference"/>
        </w:rPr>
        <w:footnoteReference w:id="161"/>
      </w:r>
      <w:r w:rsidR="00C57BF4">
        <w:t xml:space="preserve"> </w:t>
      </w:r>
    </w:p>
    <w:p w14:paraId="0F14FF8A" w14:textId="31168934" w:rsidR="00FD34D3" w:rsidRDefault="00A367F8" w:rsidP="00131703">
      <w:r>
        <w:t xml:space="preserve">The post-switch reversal </w:t>
      </w:r>
      <w:r w:rsidR="00D66D84">
        <w:t>would function</w:t>
      </w:r>
      <w:r w:rsidR="00AA3BDF">
        <w:t xml:space="preserve"> similarly to the existing </w:t>
      </w:r>
      <w:r w:rsidR="00131703">
        <w:t xml:space="preserve">cooling off period </w:t>
      </w:r>
      <w:r w:rsidR="00027B11">
        <w:t xml:space="preserve">defined in the </w:t>
      </w:r>
      <w:r w:rsidR="008B750D">
        <w:t>code</w:t>
      </w:r>
      <w:r w:rsidR="00027B11">
        <w:t xml:space="preserve">. A cooling off period occurs </w:t>
      </w:r>
      <w:r w:rsidR="00131703">
        <w:t>after a customer enters into a market retail contract or an exempt person arrangement with a retailer</w:t>
      </w:r>
      <w:r w:rsidR="00027B11">
        <w:t xml:space="preserve"> and allows the customer to withdraw from the contract</w:t>
      </w:r>
      <w:r w:rsidR="00131703">
        <w:t>.</w:t>
      </w:r>
      <w:r w:rsidR="00131703">
        <w:rPr>
          <w:rStyle w:val="FootnoteReference"/>
        </w:rPr>
        <w:footnoteReference w:id="162"/>
      </w:r>
      <w:r w:rsidR="00CB4485">
        <w:t xml:space="preserve"> </w:t>
      </w:r>
      <w:r w:rsidR="005F6C4F">
        <w:t>This would function similarly for the automatic best offer except i</w:t>
      </w:r>
      <w:r w:rsidR="009A7A45">
        <w:t>t would allow the customer to return to their original plan after having been moved to the best offer.</w:t>
      </w:r>
    </w:p>
    <w:p w14:paraId="39F76AC1" w14:textId="7E612B31" w:rsidR="00FD34D3" w:rsidRDefault="0054451F" w:rsidP="00131703">
      <w:r>
        <w:lastRenderedPageBreak/>
        <w:t xml:space="preserve">We </w:t>
      </w:r>
      <w:r w:rsidR="00FA2158">
        <w:t>consider</w:t>
      </w:r>
      <w:r>
        <w:t xml:space="preserve"> that the post</w:t>
      </w:r>
      <w:r w:rsidR="005541AF">
        <w:t>-</w:t>
      </w:r>
      <w:r>
        <w:t>switch reversal should be longer than the existing cooling off period.</w:t>
      </w:r>
      <w:r w:rsidR="00827A06">
        <w:t xml:space="preserve"> </w:t>
      </w:r>
      <w:r w:rsidR="00BE438D">
        <w:t>Consumer focus groups indicated that a</w:t>
      </w:r>
      <w:r w:rsidR="00AA3439">
        <w:t xml:space="preserve"> period of a</w:t>
      </w:r>
      <w:r w:rsidR="00BE438D">
        <w:t xml:space="preserve"> full bill cycle</w:t>
      </w:r>
      <w:r w:rsidR="00AA3439">
        <w:t xml:space="preserve"> to reverse a switch would promote consumer confi</w:t>
      </w:r>
      <w:r w:rsidR="001F1072">
        <w:t>dence.</w:t>
      </w:r>
      <w:r w:rsidR="001F1072">
        <w:rPr>
          <w:rStyle w:val="FootnoteReference"/>
        </w:rPr>
        <w:footnoteReference w:id="163"/>
      </w:r>
      <w:r>
        <w:t xml:space="preserve"> </w:t>
      </w:r>
      <w:r w:rsidR="00004B2D">
        <w:t>We</w:t>
      </w:r>
      <w:r>
        <w:t xml:space="preserve"> propose that </w:t>
      </w:r>
      <w:r w:rsidR="00E11753">
        <w:t>customers should have a</w:t>
      </w:r>
      <w:r w:rsidR="004856DA">
        <w:t xml:space="preserve">t least five business days from when </w:t>
      </w:r>
      <w:r w:rsidR="00E11753">
        <w:t xml:space="preserve">they receive their first bill on the best offer to </w:t>
      </w:r>
      <w:r w:rsidR="00FD34D3">
        <w:t xml:space="preserve">request a post switch reversal. This timeframe acknowledges that </w:t>
      </w:r>
      <w:r w:rsidR="00D52C8A">
        <w:t xml:space="preserve">some </w:t>
      </w:r>
      <w:r w:rsidR="0085367F">
        <w:t xml:space="preserve">customers may </w:t>
      </w:r>
      <w:r w:rsidR="00D52C8A">
        <w:t>not</w:t>
      </w:r>
      <w:r w:rsidR="0085367F">
        <w:t xml:space="preserve"> realise they </w:t>
      </w:r>
      <w:r w:rsidR="00906540">
        <w:t xml:space="preserve">have switched plans until they receive the first bill </w:t>
      </w:r>
      <w:r w:rsidR="00927AAA">
        <w:t>on th</w:t>
      </w:r>
      <w:r w:rsidR="00A92833">
        <w:t>e</w:t>
      </w:r>
      <w:r w:rsidR="000546F9">
        <w:t>ir</w:t>
      </w:r>
      <w:r w:rsidR="00927AAA">
        <w:t xml:space="preserve"> new plan.</w:t>
      </w:r>
    </w:p>
    <w:p w14:paraId="13D9C45E" w14:textId="6A0DC8F3" w:rsidR="0033031F" w:rsidRDefault="0033031F" w:rsidP="0033031F">
      <w:pPr>
        <w:pStyle w:val="Heading4"/>
      </w:pPr>
      <w:r>
        <w:t xml:space="preserve">There may be an opportunity for efficiencies with existing notification requirements </w:t>
      </w:r>
    </w:p>
    <w:p w14:paraId="5B8ECB37" w14:textId="2FC9BFAC" w:rsidR="00D52C8A" w:rsidRDefault="006225E4" w:rsidP="0033031F">
      <w:r>
        <w:t xml:space="preserve">We acknowledge </w:t>
      </w:r>
      <w:r w:rsidR="007C2146">
        <w:t xml:space="preserve">that there </w:t>
      </w:r>
      <w:r w:rsidR="7851E3C9">
        <w:t xml:space="preserve">is </w:t>
      </w:r>
      <w:r w:rsidR="007C2146">
        <w:t xml:space="preserve">a range of existing notification requirements in the </w:t>
      </w:r>
      <w:r w:rsidR="00D52C8A">
        <w:t>code</w:t>
      </w:r>
      <w:r w:rsidR="007C2146">
        <w:t xml:space="preserve"> </w:t>
      </w:r>
      <w:r w:rsidR="008600FA">
        <w:t xml:space="preserve">that </w:t>
      </w:r>
      <w:r w:rsidR="007C2146">
        <w:t xml:space="preserve">retailers must </w:t>
      </w:r>
      <w:r w:rsidR="002A37A0">
        <w:t>follow.</w:t>
      </w:r>
      <w:r w:rsidR="005920E1">
        <w:t xml:space="preserve"> For example, </w:t>
      </w:r>
      <w:r w:rsidR="005D7211">
        <w:t>before disconnecting a customer</w:t>
      </w:r>
      <w:r w:rsidR="00FA4642">
        <w:t xml:space="preserve"> for non-payment</w:t>
      </w:r>
      <w:r w:rsidR="005D7211">
        <w:t xml:space="preserve">, a retailer must send </w:t>
      </w:r>
      <w:r w:rsidR="000954D7">
        <w:t xml:space="preserve">a reminder notice </w:t>
      </w:r>
      <w:r w:rsidR="00506408">
        <w:t xml:space="preserve">and a </w:t>
      </w:r>
      <w:r w:rsidR="005920E1">
        <w:t xml:space="preserve">disconnection </w:t>
      </w:r>
      <w:r w:rsidR="000954D7">
        <w:t>warning notice.</w:t>
      </w:r>
      <w:r w:rsidR="00506408">
        <w:rPr>
          <w:rStyle w:val="FootnoteReference"/>
        </w:rPr>
        <w:footnoteReference w:id="164"/>
      </w:r>
    </w:p>
    <w:p w14:paraId="132D9181" w14:textId="01FDD987" w:rsidR="0033031F" w:rsidRPr="0033031F" w:rsidRDefault="006D38E6" w:rsidP="0033031F">
      <w:r>
        <w:t xml:space="preserve">We are </w:t>
      </w:r>
      <w:r w:rsidR="00D52C8A">
        <w:t>seeking feedback on</w:t>
      </w:r>
      <w:r>
        <w:t xml:space="preserve"> how the proposed opt-out and post-switch rever</w:t>
      </w:r>
      <w:r w:rsidR="00C40F51">
        <w:t>s</w:t>
      </w:r>
      <w:r>
        <w:t xml:space="preserve">al requirements may interact </w:t>
      </w:r>
      <w:r w:rsidR="00C40F51">
        <w:t>with these existing requirements</w:t>
      </w:r>
      <w:r w:rsidR="00CB4F7F">
        <w:t xml:space="preserve">. </w:t>
      </w:r>
      <w:r w:rsidR="00CA3C63">
        <w:t xml:space="preserve">In particular, </w:t>
      </w:r>
      <w:r w:rsidR="008A100B">
        <w:t xml:space="preserve">we welcome feedback on </w:t>
      </w:r>
      <w:r w:rsidR="002631F8">
        <w:t>ways in which retailers can create efficiencies in the timing and contents of these notifications.</w:t>
      </w:r>
      <w:r w:rsidR="2CFA977D">
        <w:t xml:space="preserve"> </w:t>
      </w:r>
    </w:p>
    <w:p w14:paraId="3CDFE41D" w14:textId="77777777" w:rsidR="00C43E0F" w:rsidRPr="00C43E0F" w:rsidRDefault="00C43E0F" w:rsidP="00C43E0F">
      <w:pPr>
        <w:pStyle w:val="Heading4"/>
      </w:pPr>
      <w:r w:rsidRPr="00C43E0F">
        <w:t xml:space="preserve">Automatic switching process </w:t>
      </w:r>
    </w:p>
    <w:p w14:paraId="4428841B" w14:textId="466EE671" w:rsidR="00F42E41" w:rsidRDefault="00525274" w:rsidP="00131703">
      <w:r>
        <w:t>In order to meet the requirements of thi</w:t>
      </w:r>
      <w:r w:rsidR="00130A71">
        <w:t>s implementation option, we propose that retailers wou</w:t>
      </w:r>
      <w:r w:rsidR="00D67119">
        <w:t xml:space="preserve">ld </w:t>
      </w:r>
      <w:r w:rsidR="0054451F">
        <w:t>need to follow the steps below:</w:t>
      </w:r>
    </w:p>
    <w:p w14:paraId="5BDB5D1C" w14:textId="51A00087" w:rsidR="00EF03B7" w:rsidRDefault="00710AB4" w:rsidP="00A92E17">
      <w:pPr>
        <w:pStyle w:val="TableListNumber"/>
      </w:pPr>
      <w:r>
        <w:t xml:space="preserve">Once a customer becomes eligible, the retailer has </w:t>
      </w:r>
      <w:r w:rsidR="00F34DF9">
        <w:t>10</w:t>
      </w:r>
      <w:r>
        <w:t xml:space="preserve"> business days to undertake a best offer check</w:t>
      </w:r>
      <w:r w:rsidR="00494A5F">
        <w:t xml:space="preserve"> </w:t>
      </w:r>
      <w:r w:rsidR="00E8600D">
        <w:t xml:space="preserve">and determine </w:t>
      </w:r>
      <w:r w:rsidR="00494A5F">
        <w:t>if the result is positive or negative.</w:t>
      </w:r>
      <w:r w:rsidR="00D11C13">
        <w:rPr>
          <w:rStyle w:val="FootnoteReference"/>
        </w:rPr>
        <w:footnoteReference w:id="165"/>
      </w:r>
    </w:p>
    <w:p w14:paraId="70EDF2BB" w14:textId="15C813E8" w:rsidR="00494A5F" w:rsidRDefault="00494A5F" w:rsidP="00A92E17">
      <w:pPr>
        <w:pStyle w:val="TableListNumber"/>
      </w:pPr>
      <w:r>
        <w:t xml:space="preserve">If the best offer check is negative, </w:t>
      </w:r>
      <w:r w:rsidR="0090312D">
        <w:t xml:space="preserve">the </w:t>
      </w:r>
      <w:r w:rsidR="004E20E7">
        <w:t xml:space="preserve">retailer must provide the customer with </w:t>
      </w:r>
      <w:r w:rsidR="00811724">
        <w:t xml:space="preserve">a notice of intention to switch </w:t>
      </w:r>
      <w:r w:rsidR="0094785D">
        <w:t xml:space="preserve">the customer to the best offer </w:t>
      </w:r>
      <w:r w:rsidR="00811724">
        <w:t xml:space="preserve">within </w:t>
      </w:r>
      <w:r w:rsidR="000F14AE">
        <w:t>5</w:t>
      </w:r>
      <w:r w:rsidR="00811724">
        <w:t xml:space="preserve"> business days of </w:t>
      </w:r>
      <w:r w:rsidR="00DD5C3B">
        <w:t>the best offer check</w:t>
      </w:r>
      <w:r w:rsidR="00811724">
        <w:t>.</w:t>
      </w:r>
    </w:p>
    <w:p w14:paraId="03B51DF5" w14:textId="60EEEA22" w:rsidR="00C22265" w:rsidRDefault="00FE3A80" w:rsidP="00A92E17">
      <w:pPr>
        <w:pStyle w:val="TableListNumber"/>
      </w:pPr>
      <w:r>
        <w:t>The notice of intention to switch should be provided to the customer in writing</w:t>
      </w:r>
      <w:r w:rsidR="00D864B1">
        <w:t xml:space="preserve"> and </w:t>
      </w:r>
      <w:r>
        <w:t>using their preferred method of communicat</w:t>
      </w:r>
      <w:r w:rsidR="00054505">
        <w:t>ion</w:t>
      </w:r>
      <w:r w:rsidR="00D864B1">
        <w:t>. It should include</w:t>
      </w:r>
      <w:r w:rsidR="00DD5C3B">
        <w:t xml:space="preserve"> </w:t>
      </w:r>
      <w:r w:rsidR="00D95C2D">
        <w:t xml:space="preserve">information about the </w:t>
      </w:r>
      <w:r w:rsidR="00B316E2">
        <w:t xml:space="preserve">best offer </w:t>
      </w:r>
      <w:r w:rsidR="00706781">
        <w:t>and the customer’s right</w:t>
      </w:r>
      <w:r w:rsidR="00C22265">
        <w:t xml:space="preserve"> to opt out</w:t>
      </w:r>
      <w:r w:rsidR="006F11B7">
        <w:t xml:space="preserve"> or switch back to their previous plan after the switch. </w:t>
      </w:r>
    </w:p>
    <w:p w14:paraId="4980D162" w14:textId="573813C1" w:rsidR="00E4022C" w:rsidRDefault="00E4022C" w:rsidP="00A92E17">
      <w:pPr>
        <w:pStyle w:val="TableListNumber"/>
      </w:pPr>
      <w:r>
        <w:t>The retailer must allow the customer a period of at least 10 business days to opt out</w:t>
      </w:r>
      <w:r w:rsidR="000F20CB">
        <w:t xml:space="preserve"> of the switch after receiving the notice of intention to switch. </w:t>
      </w:r>
    </w:p>
    <w:p w14:paraId="34C9EB24" w14:textId="0B72ADC3" w:rsidR="000A78AC" w:rsidRDefault="000A78AC" w:rsidP="00A92E17">
      <w:pPr>
        <w:pStyle w:val="TableListNumber"/>
      </w:pPr>
      <w:r>
        <w:t xml:space="preserve">If </w:t>
      </w:r>
      <w:r w:rsidR="004A4D5D">
        <w:t xml:space="preserve">the </w:t>
      </w:r>
      <w:r w:rsidR="0014447C">
        <w:t xml:space="preserve">customer </w:t>
      </w:r>
      <w:r w:rsidR="004A4D5D">
        <w:t xml:space="preserve">does not </w:t>
      </w:r>
      <w:r>
        <w:t>opt</w:t>
      </w:r>
      <w:r w:rsidR="0014447C">
        <w:t xml:space="preserve"> </w:t>
      </w:r>
      <w:r>
        <w:t xml:space="preserve">out </w:t>
      </w:r>
      <w:r w:rsidR="00325D34">
        <w:t xml:space="preserve">before the date indicated on the notice of intention to switch, the retailer must switch the customer’s plan on the date </w:t>
      </w:r>
      <w:r w:rsidR="004D7012">
        <w:t>indicated on the notice.</w:t>
      </w:r>
    </w:p>
    <w:p w14:paraId="1A61F1FF" w14:textId="57F47FF5" w:rsidR="0061184F" w:rsidRDefault="00364F98" w:rsidP="00A92E17">
      <w:pPr>
        <w:pStyle w:val="TableListNumber"/>
      </w:pPr>
      <w:r>
        <w:lastRenderedPageBreak/>
        <w:t>After the customer receives their first bill on the ne</w:t>
      </w:r>
      <w:r w:rsidR="00D11A57">
        <w:t xml:space="preserve">w plan, they </w:t>
      </w:r>
      <w:r w:rsidR="0045679B">
        <w:t>would</w:t>
      </w:r>
      <w:r w:rsidR="00D11A57">
        <w:t xml:space="preserve"> have </w:t>
      </w:r>
      <w:r w:rsidR="00624AFE">
        <w:t>at least five</w:t>
      </w:r>
      <w:r w:rsidR="00D11A57">
        <w:t xml:space="preserve"> business days to </w:t>
      </w:r>
      <w:r w:rsidR="0045679B">
        <w:t>request a reversal</w:t>
      </w:r>
      <w:r w:rsidR="00037635">
        <w:t xml:space="preserve"> and return to their original plan.</w:t>
      </w:r>
    </w:p>
    <w:p w14:paraId="3EE44B68" w14:textId="75AE16F8" w:rsidR="00BC722C" w:rsidRDefault="0083162C" w:rsidP="00A92E17">
      <w:pPr>
        <w:pStyle w:val="TableListNumber"/>
      </w:pPr>
      <w:r>
        <w:t>The customer w</w:t>
      </w:r>
      <w:r w:rsidR="0045679B">
        <w:t>ould</w:t>
      </w:r>
      <w:r>
        <w:t xml:space="preserve"> remain on this new </w:t>
      </w:r>
      <w:r w:rsidR="000F23BC">
        <w:t xml:space="preserve">plan </w:t>
      </w:r>
      <w:r w:rsidR="003E709D">
        <w:t xml:space="preserve">until </w:t>
      </w:r>
      <w:r w:rsidR="008675A5">
        <w:t>one of the following occurs:</w:t>
      </w:r>
    </w:p>
    <w:p w14:paraId="14E54D5F" w14:textId="77777777" w:rsidR="00BC722C" w:rsidRDefault="003E709D" w:rsidP="00685ADD">
      <w:pPr>
        <w:pStyle w:val="ListBullet2"/>
      </w:pPr>
      <w:r>
        <w:t>the</w:t>
      </w:r>
      <w:r w:rsidR="00C57C3C">
        <w:t xml:space="preserve"> customer </w:t>
      </w:r>
      <w:r w:rsidR="00184048">
        <w:t>choose</w:t>
      </w:r>
      <w:r w:rsidR="00DB0EF0">
        <w:t>s</w:t>
      </w:r>
      <w:r w:rsidR="00184048">
        <w:t xml:space="preserve"> to change plans</w:t>
      </w:r>
    </w:p>
    <w:p w14:paraId="19A3C363" w14:textId="77777777" w:rsidR="00527F07" w:rsidRDefault="00184048" w:rsidP="00685ADD">
      <w:pPr>
        <w:pStyle w:val="ListBullet2"/>
      </w:pPr>
      <w:r>
        <w:t>the customer</w:t>
      </w:r>
      <w:r w:rsidR="00C57C3C">
        <w:t xml:space="preserve"> </w:t>
      </w:r>
      <w:r w:rsidR="00B4008A">
        <w:t>is again eligible</w:t>
      </w:r>
      <w:r w:rsidR="003E709D">
        <w:t xml:space="preserve"> </w:t>
      </w:r>
      <w:r>
        <w:t>for the automatic best offer</w:t>
      </w:r>
    </w:p>
    <w:p w14:paraId="241A537B" w14:textId="6B40B68A" w:rsidR="00DD1DAD" w:rsidRDefault="00DB0EF0" w:rsidP="00685ADD">
      <w:pPr>
        <w:pStyle w:val="ListBullet2"/>
      </w:pPr>
      <w:r>
        <w:t>if the plan is a fixed</w:t>
      </w:r>
      <w:r w:rsidR="0045679B">
        <w:t>-</w:t>
      </w:r>
      <w:r>
        <w:t>term retail contract</w:t>
      </w:r>
      <w:r w:rsidR="00C542C1">
        <w:t>,</w:t>
      </w:r>
      <w:r w:rsidR="00035E86">
        <w:t xml:space="preserve"> the contract ends</w:t>
      </w:r>
      <w:r w:rsidR="00592A02">
        <w:t xml:space="preserve"> and the customer has not </w:t>
      </w:r>
      <w:r w:rsidR="00C542C1">
        <w:t xml:space="preserve">provided consent to be </w:t>
      </w:r>
      <w:r w:rsidR="009B7D59">
        <w:t>moved to a different offer</w:t>
      </w:r>
      <w:r w:rsidR="0045679B">
        <w:t xml:space="preserve"> (in which case</w:t>
      </w:r>
      <w:r w:rsidR="00035E86">
        <w:t xml:space="preserve"> the customer </w:t>
      </w:r>
      <w:r w:rsidR="0045679B">
        <w:t>would be</w:t>
      </w:r>
      <w:r w:rsidR="00035E86">
        <w:t xml:space="preserve"> </w:t>
      </w:r>
      <w:r w:rsidR="00D1571F">
        <w:t xml:space="preserve">moved to the Victorian </w:t>
      </w:r>
      <w:r w:rsidR="008675A5">
        <w:t>D</w:t>
      </w:r>
      <w:r w:rsidR="00D1571F">
        <w:t xml:space="preserve">efault offer </w:t>
      </w:r>
      <w:r w:rsidR="008675A5">
        <w:t>for electricity or the retailer’s standing offer for gas</w:t>
      </w:r>
      <w:r w:rsidR="0045679B">
        <w:t>)</w:t>
      </w:r>
      <w:r w:rsidR="008675A5">
        <w:t>.</w:t>
      </w:r>
      <w:r w:rsidR="008675A5">
        <w:rPr>
          <w:rStyle w:val="FootnoteReference"/>
        </w:rPr>
        <w:footnoteReference w:id="166"/>
      </w:r>
    </w:p>
    <w:p w14:paraId="6AA4FA18" w14:textId="58E7FAC9" w:rsidR="001E40F9" w:rsidRDefault="00596C62" w:rsidP="00A92E17">
      <w:pPr>
        <w:pStyle w:val="TableListNumber"/>
      </w:pPr>
      <w:r>
        <w:t>If the customer remains eligible for the automatic best offer</w:t>
      </w:r>
      <w:r w:rsidR="004F0A86">
        <w:t xml:space="preserve">, the retailer would be required to </w:t>
      </w:r>
      <w:r w:rsidR="00C73269">
        <w:t xml:space="preserve">switch them to a new best offer (if available) </w:t>
      </w:r>
      <w:r w:rsidR="006D199E">
        <w:t>at least once every six months for electricity and eight months for gas.</w:t>
      </w:r>
    </w:p>
    <w:p w14:paraId="41798095" w14:textId="37BC3057" w:rsidR="009F33F3" w:rsidRDefault="009F33F3" w:rsidP="009F33F3">
      <w:pPr>
        <w:pStyle w:val="Heading3numbered"/>
      </w:pPr>
      <w:r>
        <w:t xml:space="preserve">Implementation </w:t>
      </w:r>
      <w:r w:rsidR="00A905E3">
        <w:t>o</w:t>
      </w:r>
      <w:r>
        <w:t xml:space="preserve">ption </w:t>
      </w:r>
      <w:r w:rsidR="00924BEC">
        <w:t>A.</w:t>
      </w:r>
      <w:r>
        <w:t xml:space="preserve">2 – </w:t>
      </w:r>
      <w:r w:rsidR="007078D4">
        <w:t>c</w:t>
      </w:r>
      <w:r>
        <w:t>hanging tariffs</w:t>
      </w:r>
    </w:p>
    <w:p w14:paraId="7249E270" w14:textId="698B3B4D" w:rsidR="001850E5" w:rsidRDefault="009F33F3" w:rsidP="009F33F3">
      <w:r>
        <w:t xml:space="preserve">Option </w:t>
      </w:r>
      <w:r w:rsidR="007F6482">
        <w:t>A.2</w:t>
      </w:r>
      <w:r>
        <w:t xml:space="preserve"> would require retailers to lower the tariffs on a customer’s existing energy plan once they meet the proposed eligibility criteria</w:t>
      </w:r>
      <w:r w:rsidR="00B93746">
        <w:t xml:space="preserve"> to align </w:t>
      </w:r>
      <w:r w:rsidR="00CF2F6A">
        <w:t xml:space="preserve">tariffs </w:t>
      </w:r>
      <w:r w:rsidR="00B93746">
        <w:t>with their best offer</w:t>
      </w:r>
      <w:r>
        <w:t xml:space="preserve">. </w:t>
      </w:r>
      <w:r w:rsidR="00325C75">
        <w:t xml:space="preserve">This option would allow </w:t>
      </w:r>
      <w:r w:rsidR="00CF2F6A">
        <w:t xml:space="preserve">a </w:t>
      </w:r>
      <w:r w:rsidR="00325C75">
        <w:t>customer to retain other benefits and services associated with their plan while paying less for their energy.</w:t>
      </w:r>
    </w:p>
    <w:p w14:paraId="4E0AF80E" w14:textId="01CF80A3" w:rsidR="009F33F3" w:rsidRDefault="009F33F3" w:rsidP="009F33F3">
      <w:r>
        <w:t xml:space="preserve">The </w:t>
      </w:r>
      <w:r w:rsidR="00A236A1">
        <w:t>code</w:t>
      </w:r>
      <w:r w:rsidR="00E3172C">
        <w:t xml:space="preserve"> currently</w:t>
      </w:r>
      <w:r>
        <w:t xml:space="preserve"> allows </w:t>
      </w:r>
      <w:r w:rsidR="00BA649E">
        <w:t xml:space="preserve">a </w:t>
      </w:r>
      <w:r w:rsidR="00E3172C">
        <w:t>retailer</w:t>
      </w:r>
      <w:r w:rsidR="00BA649E">
        <w:t xml:space="preserve"> </w:t>
      </w:r>
      <w:r>
        <w:t xml:space="preserve">to increase tariffs on an energy plan </w:t>
      </w:r>
      <w:r w:rsidR="00BA649E">
        <w:t>once a year</w:t>
      </w:r>
      <w:r>
        <w:t>.</w:t>
      </w:r>
      <w:r>
        <w:rPr>
          <w:rStyle w:val="FootnoteReference"/>
        </w:rPr>
        <w:footnoteReference w:id="167"/>
      </w:r>
      <w:r>
        <w:t xml:space="preserve"> </w:t>
      </w:r>
      <w:r w:rsidR="00BA649E">
        <w:t xml:space="preserve">There are no restrictions as to when or how often a retailer </w:t>
      </w:r>
      <w:r w:rsidR="008F1AD8">
        <w:t>can</w:t>
      </w:r>
      <w:r>
        <w:t xml:space="preserve"> </w:t>
      </w:r>
      <w:r w:rsidR="00523DAB">
        <w:t>reduce tariffs</w:t>
      </w:r>
      <w:r w:rsidR="000541CA">
        <w:t>.</w:t>
      </w:r>
      <w:r w:rsidR="000941CC">
        <w:t xml:space="preserve"> </w:t>
      </w:r>
      <w:r w:rsidR="00FB063C">
        <w:t>Howe</w:t>
      </w:r>
      <w:r w:rsidR="001D7737">
        <w:t xml:space="preserve">ver, this option would also require amendments to the code to allow retailers to change the structure and nature of the tariff of a </w:t>
      </w:r>
      <w:r w:rsidR="00F42D3D">
        <w:t>customer</w:t>
      </w:r>
      <w:r w:rsidR="00866E0C">
        <w:t xml:space="preserve">’s </w:t>
      </w:r>
      <w:r w:rsidR="001D7737">
        <w:t>market retail contract</w:t>
      </w:r>
      <w:r w:rsidR="002B7D63">
        <w:t xml:space="preserve"> without their </w:t>
      </w:r>
      <w:r w:rsidR="00BF241A">
        <w:t>agreement</w:t>
      </w:r>
      <w:r w:rsidR="002B7D63">
        <w:t>.</w:t>
      </w:r>
      <w:r w:rsidR="000C670C">
        <w:rPr>
          <w:rStyle w:val="FootnoteReference"/>
        </w:rPr>
        <w:footnoteReference w:id="168"/>
      </w:r>
    </w:p>
    <w:p w14:paraId="15DB1053" w14:textId="6D0B83C1" w:rsidR="009F33F3" w:rsidRDefault="00C06CE8" w:rsidP="009F33F3">
      <w:r>
        <w:t>We propose that this option could have similar protections in the form of opt-outs and a post</w:t>
      </w:r>
      <w:r w:rsidR="00934B20">
        <w:t>-</w:t>
      </w:r>
      <w:r>
        <w:t>switch reversal</w:t>
      </w:r>
      <w:r w:rsidR="00E873E2">
        <w:t xml:space="preserve"> in order to protect customer agency</w:t>
      </w:r>
      <w:r w:rsidR="00E838D6">
        <w:t xml:space="preserve"> and explicit informed consent</w:t>
      </w:r>
      <w:r>
        <w:t xml:space="preserve">. </w:t>
      </w:r>
      <w:r w:rsidR="00AB03E7">
        <w:t>However, we consider these prote</w:t>
      </w:r>
      <w:r w:rsidR="00DD58B4">
        <w:t xml:space="preserve">ctions are less likely to be </w:t>
      </w:r>
      <w:r w:rsidR="00780F1B">
        <w:t xml:space="preserve">requested because customers would not lose any non-tariff related benefits or services from their existing plan. </w:t>
      </w:r>
      <w:r w:rsidR="0049239E">
        <w:t>We also a</w:t>
      </w:r>
      <w:r w:rsidR="005E102D">
        <w:t xml:space="preserve">cknowledge that some customers may not </w:t>
      </w:r>
      <w:r w:rsidR="00571167">
        <w:t>want their tariff structure altered or a different weight</w:t>
      </w:r>
      <w:r w:rsidR="00D72E32">
        <w:t>ing</w:t>
      </w:r>
      <w:r w:rsidR="00571167">
        <w:t xml:space="preserve"> of daily supply and usage charges. </w:t>
      </w:r>
    </w:p>
    <w:p w14:paraId="0C608E34" w14:textId="69CAF216" w:rsidR="00946FB3" w:rsidRDefault="00F87F97" w:rsidP="009F33F3">
      <w:r>
        <w:t>We</w:t>
      </w:r>
      <w:r w:rsidR="00946FB3">
        <w:t xml:space="preserve"> propose that retailers would </w:t>
      </w:r>
      <w:r w:rsidR="004F623B">
        <w:t>follow similar steps to th</w:t>
      </w:r>
      <w:r>
        <w:t>ose outlined above for</w:t>
      </w:r>
      <w:r w:rsidR="007E0394">
        <w:t xml:space="preserve"> the</w:t>
      </w:r>
      <w:r>
        <w:t xml:space="preserve"> implementation </w:t>
      </w:r>
      <w:r w:rsidR="007E0394">
        <w:t xml:space="preserve">of </w:t>
      </w:r>
      <w:r w:rsidR="007F6482">
        <w:t>O</w:t>
      </w:r>
      <w:r>
        <w:t xml:space="preserve">ption </w:t>
      </w:r>
      <w:r w:rsidR="007F6482">
        <w:t>A.</w:t>
      </w:r>
      <w:r>
        <w:t>1, including opt-out and post switch reversal protections.</w:t>
      </w:r>
      <w:r w:rsidR="009E0BEF">
        <w:t xml:space="preserve"> Retailers would also notify customers of tariff changes under existing rules.</w:t>
      </w:r>
      <w:r w:rsidR="009E0BEF">
        <w:rPr>
          <w:rStyle w:val="FootnoteReference"/>
        </w:rPr>
        <w:footnoteReference w:id="169"/>
      </w:r>
      <w:r>
        <w:t xml:space="preserve"> However, retailers would change the </w:t>
      </w:r>
      <w:r>
        <w:lastRenderedPageBreak/>
        <w:t>customer’s tariffs i</w:t>
      </w:r>
      <w:r w:rsidR="008C27E4">
        <w:t>nstead</w:t>
      </w:r>
      <w:r>
        <w:t xml:space="preserve"> of switching the customer’s energy plan. </w:t>
      </w:r>
      <w:r w:rsidR="003553C2">
        <w:t xml:space="preserve">If a customer </w:t>
      </w:r>
      <w:r w:rsidR="0069184D">
        <w:t xml:space="preserve">ceased to be eligible (for </w:t>
      </w:r>
      <w:r w:rsidR="006961C2">
        <w:t>example, by reducing the</w:t>
      </w:r>
      <w:r w:rsidR="0040007E">
        <w:t>ir</w:t>
      </w:r>
      <w:r w:rsidR="006961C2">
        <w:t xml:space="preserve"> debt), the </w:t>
      </w:r>
      <w:r w:rsidR="00A05581">
        <w:t>new</w:t>
      </w:r>
      <w:r w:rsidR="00526BD9">
        <w:t xml:space="preserve"> </w:t>
      </w:r>
      <w:r w:rsidR="006961C2">
        <w:t xml:space="preserve">tariffs would </w:t>
      </w:r>
      <w:r w:rsidR="00526BD9">
        <w:t xml:space="preserve">remain in place until </w:t>
      </w:r>
      <w:r w:rsidR="0040007E">
        <w:t>changed by a retailer in accordance with existing requirements of the code.</w:t>
      </w:r>
      <w:r w:rsidR="00B85A4A">
        <w:t xml:space="preserve"> This would usually occur on 1 August each year</w:t>
      </w:r>
      <w:r w:rsidR="00A058AC">
        <w:t xml:space="preserve"> for contracts that are not fixed-term contracts.</w:t>
      </w:r>
      <w:r w:rsidR="00AD20EC">
        <w:rPr>
          <w:rStyle w:val="FootnoteReference"/>
        </w:rPr>
        <w:footnoteReference w:id="170"/>
      </w:r>
      <w:r w:rsidR="00526BD9">
        <w:t xml:space="preserve"> </w:t>
      </w:r>
    </w:p>
    <w:p w14:paraId="6BADD136" w14:textId="48AFFBD1" w:rsidR="00131703" w:rsidRDefault="00393536" w:rsidP="00131703">
      <w:pPr>
        <w:pStyle w:val="Heading3numbered"/>
      </w:pPr>
      <w:r>
        <w:t>Implementation</w:t>
      </w:r>
      <w:r w:rsidR="00131703">
        <w:t xml:space="preserve"> </w:t>
      </w:r>
      <w:r w:rsidR="00A905E3">
        <w:t>o</w:t>
      </w:r>
      <w:r w:rsidR="00131703">
        <w:t xml:space="preserve">ption </w:t>
      </w:r>
      <w:r w:rsidR="00924BEC">
        <w:t>A.</w:t>
      </w:r>
      <w:r w:rsidR="009F33F3">
        <w:t>3</w:t>
      </w:r>
      <w:r w:rsidR="00131703">
        <w:t xml:space="preserve"> </w:t>
      </w:r>
      <w:r w:rsidR="002E2936">
        <w:t xml:space="preserve">– </w:t>
      </w:r>
      <w:r w:rsidR="007078D4">
        <w:t>c</w:t>
      </w:r>
      <w:r w:rsidR="00131703">
        <w:t xml:space="preserve">rediting </w:t>
      </w:r>
    </w:p>
    <w:p w14:paraId="0DFAA1EE" w14:textId="7A6002E8" w:rsidR="001F1555" w:rsidRDefault="00131703" w:rsidP="00131703">
      <w:r>
        <w:t>Option</w:t>
      </w:r>
      <w:r w:rsidR="007F6482">
        <w:t xml:space="preserve"> A.3</w:t>
      </w:r>
      <w:r>
        <w:t xml:space="preserve"> requires retailers to credit all customers experiencing payment difficulty who meet the eligibility criteria the difference in price of the energy they have used on their current plan compared to the cost of that same energy usage on the best offer. This would only apply when customers could have saved money by being on a different plan. </w:t>
      </w:r>
    </w:p>
    <w:p w14:paraId="673355AA" w14:textId="7682FC45" w:rsidR="002F11AF" w:rsidRPr="00AE0CB2" w:rsidRDefault="00762C0E" w:rsidP="00131703">
      <w:r>
        <w:t xml:space="preserve">We understand that retailers have existing billing systems which allow for incidental </w:t>
      </w:r>
      <w:r w:rsidR="00674680">
        <w:t xml:space="preserve">and occasional credits to be applied to customer accounts. This </w:t>
      </w:r>
      <w:r w:rsidR="00AB520A">
        <w:t>option</w:t>
      </w:r>
      <w:r w:rsidR="00674680">
        <w:t xml:space="preserve"> would require </w:t>
      </w:r>
      <w:r w:rsidR="000223D4">
        <w:t xml:space="preserve">the retailer to perform a </w:t>
      </w:r>
      <w:r w:rsidR="00C50158">
        <w:t>calculation dependent on a customer’s billing cycle</w:t>
      </w:r>
      <w:r w:rsidR="000223D4">
        <w:t xml:space="preserve"> to determine the precise credit amounts for each customer</w:t>
      </w:r>
      <w:r w:rsidR="002F11AF">
        <w:t xml:space="preserve">. The crediting option </w:t>
      </w:r>
      <w:r w:rsidR="00EF5758">
        <w:t xml:space="preserve">would </w:t>
      </w:r>
      <w:r w:rsidR="00537A32">
        <w:t xml:space="preserve">also </w:t>
      </w:r>
      <w:r w:rsidR="00EF5758">
        <w:t xml:space="preserve">allow customers to retain any services or </w:t>
      </w:r>
      <w:r w:rsidR="00C50158">
        <w:t xml:space="preserve">non-tariff </w:t>
      </w:r>
      <w:r w:rsidR="00EF5758">
        <w:t xml:space="preserve">benefits </w:t>
      </w:r>
      <w:r w:rsidR="00C50158">
        <w:t>associated with</w:t>
      </w:r>
      <w:r w:rsidR="00EF5758">
        <w:t xml:space="preserve"> their current energy plan. </w:t>
      </w:r>
    </w:p>
    <w:p w14:paraId="45D3C7EC" w14:textId="12D10467" w:rsidR="00D81C9C" w:rsidRDefault="00785870" w:rsidP="00131703">
      <w:r>
        <w:t>T</w:t>
      </w:r>
      <w:r w:rsidR="00A2633C">
        <w:t>his option would not require opt-outs and a post switch reversal, compared to the other two implementation options. This is because there w</w:t>
      </w:r>
      <w:r w:rsidR="00C50158">
        <w:t>ould</w:t>
      </w:r>
      <w:r w:rsidR="00A2633C">
        <w:t xml:space="preserve"> be no change to </w:t>
      </w:r>
      <w:r w:rsidR="00C50158">
        <w:t>a</w:t>
      </w:r>
      <w:r w:rsidR="00A2633C">
        <w:t xml:space="preserve"> </w:t>
      </w:r>
      <w:r w:rsidR="006A102F">
        <w:t xml:space="preserve">customer’s current plan, just a </w:t>
      </w:r>
      <w:r w:rsidR="00C50158">
        <w:t>potential</w:t>
      </w:r>
      <w:r w:rsidR="006A102F">
        <w:t xml:space="preserve"> decrease in the total cost </w:t>
      </w:r>
      <w:r w:rsidR="00C50158">
        <w:t>of</w:t>
      </w:r>
      <w:r w:rsidR="006A102F">
        <w:t xml:space="preserve"> their energy</w:t>
      </w:r>
      <w:r w:rsidR="00391D61">
        <w:t xml:space="preserve"> if the customer is not on their best offer</w:t>
      </w:r>
      <w:r w:rsidR="006A102F">
        <w:t xml:space="preserve">. </w:t>
      </w:r>
      <w:r w:rsidR="0040007E" w:rsidRPr="0040007E">
        <w:t>If a customer ceased to be eligible (for example, by reducing their debt)</w:t>
      </w:r>
      <w:r w:rsidR="0040007E">
        <w:t xml:space="preserve">, they would </w:t>
      </w:r>
      <w:r w:rsidR="00097206">
        <w:t>no longer be credited the dif</w:t>
      </w:r>
      <w:r w:rsidR="0059671C">
        <w:t xml:space="preserve">ference in price </w:t>
      </w:r>
      <w:r w:rsidR="00C236D4">
        <w:t xml:space="preserve">between their current plan and the best offer for the energy they have used. </w:t>
      </w:r>
    </w:p>
    <w:p w14:paraId="70441947" w14:textId="225C6CF9" w:rsidR="00872B48" w:rsidRDefault="007078D4" w:rsidP="007078D4">
      <w:pPr>
        <w:pStyle w:val="Heading3numbered"/>
      </w:pPr>
      <w:bookmarkStart w:id="156" w:name="_Toc194417924"/>
      <w:bookmarkEnd w:id="156"/>
      <w:r>
        <w:t>MCA assessment – implementation options</w:t>
      </w:r>
    </w:p>
    <w:p w14:paraId="36E0EBBD" w14:textId="437E85FE" w:rsidR="00DD1071" w:rsidRDefault="00DD1071" w:rsidP="000A3CD7">
      <w:pPr>
        <w:jc w:val="both"/>
        <w:rPr>
          <w:rFonts w:ascii="Times New Roman" w:eastAsia="Times New Roman" w:hAnsi="Times New Roman" w:cs="Times New Roman"/>
        </w:rPr>
      </w:pPr>
      <w:r>
        <w:t>Given the absence of quantitat</w:t>
      </w:r>
      <w:r w:rsidR="00BD00EA">
        <w:t>ive</w:t>
      </w:r>
      <w:r>
        <w:t xml:space="preserve"> data concerning industry and government costs</w:t>
      </w:r>
      <w:r w:rsidR="00951FE4">
        <w:t>, a</w:t>
      </w:r>
      <w:r w:rsidR="00943753">
        <w:t>n</w:t>
      </w:r>
      <w:r>
        <w:t xml:space="preserve"> MCA assessment was undertaken to compare the costs and benefits of implementing Option AA.2. The scoring is relatively low because this assessment considers implementation issues only. </w:t>
      </w:r>
    </w:p>
    <w:p w14:paraId="63EAB066" w14:textId="5D0A6A47" w:rsidR="005E7AA9" w:rsidRDefault="005E7AA9" w:rsidP="000F6481">
      <w:pPr>
        <w:pStyle w:val="Figure-Table-BoxSubtitle"/>
        <w:ind w:left="0"/>
      </w:pPr>
      <w:r w:rsidRPr="000F6481">
        <w:rPr>
          <w:b/>
          <w:bCs/>
        </w:rPr>
        <w:t xml:space="preserve">Table </w:t>
      </w:r>
      <w:r w:rsidR="00C33739" w:rsidRPr="000F6481">
        <w:rPr>
          <w:b/>
          <w:bCs/>
        </w:rPr>
        <w:t>10</w:t>
      </w:r>
      <w:r w:rsidRPr="000F6481">
        <w:rPr>
          <w:b/>
          <w:bCs/>
        </w:rPr>
        <w:t>:</w:t>
      </w:r>
      <w:r w:rsidRPr="000F6481">
        <w:t xml:space="preserve"> MCA assessment of </w:t>
      </w:r>
      <w:r w:rsidR="00746664" w:rsidRPr="000F6481">
        <w:t>options A.1, A.2 and A.3: Effectiveness</w:t>
      </w:r>
    </w:p>
    <w:tbl>
      <w:tblPr>
        <w:tblW w:w="0" w:type="auto"/>
        <w:tblCellMar>
          <w:left w:w="0" w:type="dxa"/>
          <w:right w:w="0" w:type="dxa"/>
        </w:tblCellMar>
        <w:tblLook w:val="04A0" w:firstRow="1" w:lastRow="0" w:firstColumn="1" w:lastColumn="0" w:noHBand="0" w:noVBand="1"/>
      </w:tblPr>
      <w:tblGrid>
        <w:gridCol w:w="709"/>
        <w:gridCol w:w="1985"/>
        <w:gridCol w:w="4592"/>
        <w:gridCol w:w="1030"/>
        <w:gridCol w:w="1322"/>
      </w:tblGrid>
      <w:tr w:rsidR="00746664" w14:paraId="5F19DA7E" w14:textId="77777777" w:rsidTr="00545E78">
        <w:tc>
          <w:tcPr>
            <w:tcW w:w="709" w:type="dxa"/>
            <w:tcBorders>
              <w:top w:val="single" w:sz="4" w:space="0" w:color="4986A0"/>
              <w:bottom w:val="single" w:sz="4" w:space="0" w:color="4986A0"/>
            </w:tcBorders>
            <w:shd w:val="clear" w:color="auto" w:fill="4986A0"/>
            <w:tcMar>
              <w:top w:w="0" w:type="dxa"/>
              <w:left w:w="0" w:type="dxa"/>
              <w:bottom w:w="0" w:type="dxa"/>
              <w:right w:w="0" w:type="dxa"/>
            </w:tcMar>
            <w:hideMark/>
          </w:tcPr>
          <w:p w14:paraId="401A3768" w14:textId="77777777" w:rsidR="00746664" w:rsidRPr="00746664" w:rsidRDefault="00746664" w:rsidP="00203603">
            <w:pPr>
              <w:spacing w:before="60" w:after="60" w:line="240" w:lineRule="auto"/>
              <w:jc w:val="center"/>
              <w:rPr>
                <w:color w:val="000000"/>
                <w:sz w:val="20"/>
                <w:szCs w:val="20"/>
              </w:rPr>
            </w:pPr>
            <w:r w:rsidRPr="00746664">
              <w:rPr>
                <w:b/>
                <w:bCs/>
                <w:color w:val="FFFFFF"/>
                <w:sz w:val="20"/>
                <w:szCs w:val="20"/>
              </w:rPr>
              <w:t>Option</w:t>
            </w:r>
          </w:p>
        </w:tc>
        <w:tc>
          <w:tcPr>
            <w:tcW w:w="1985"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764832D3" w14:textId="77777777" w:rsidR="007F130A" w:rsidRDefault="00746664" w:rsidP="00203603">
            <w:pPr>
              <w:spacing w:before="60" w:after="60" w:line="240" w:lineRule="auto"/>
              <w:jc w:val="center"/>
              <w:rPr>
                <w:b/>
                <w:bCs/>
                <w:color w:val="FFFFFF"/>
                <w:sz w:val="20"/>
                <w:szCs w:val="20"/>
              </w:rPr>
            </w:pPr>
            <w:r w:rsidRPr="00746664">
              <w:rPr>
                <w:b/>
                <w:bCs/>
                <w:color w:val="FFFFFF"/>
                <w:sz w:val="20"/>
                <w:szCs w:val="20"/>
              </w:rPr>
              <w:t>Criteria</w:t>
            </w:r>
          </w:p>
          <w:p w14:paraId="48CC5F75" w14:textId="67E7374A" w:rsidR="00746664" w:rsidRPr="00746664" w:rsidRDefault="00746664" w:rsidP="00203603">
            <w:pPr>
              <w:spacing w:before="60" w:after="60" w:line="240" w:lineRule="auto"/>
              <w:jc w:val="center"/>
              <w:rPr>
                <w:color w:val="000000"/>
                <w:sz w:val="20"/>
                <w:szCs w:val="20"/>
              </w:rPr>
            </w:pPr>
            <w:r w:rsidRPr="00746664">
              <w:rPr>
                <w:b/>
                <w:bCs/>
                <w:color w:val="FFFFFF"/>
                <w:sz w:val="20"/>
                <w:szCs w:val="20"/>
              </w:rPr>
              <w:t>(weighting 50%)</w:t>
            </w:r>
          </w:p>
        </w:tc>
        <w:tc>
          <w:tcPr>
            <w:tcW w:w="4592"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6376DAB4" w14:textId="77777777" w:rsidR="00746664" w:rsidRPr="00746664" w:rsidRDefault="00746664" w:rsidP="00203603">
            <w:pPr>
              <w:spacing w:before="60" w:after="60" w:line="240" w:lineRule="auto"/>
              <w:jc w:val="center"/>
              <w:rPr>
                <w:color w:val="000000"/>
                <w:sz w:val="20"/>
                <w:szCs w:val="20"/>
              </w:rPr>
            </w:pPr>
            <w:r w:rsidRPr="00746664">
              <w:rPr>
                <w:b/>
                <w:bCs/>
                <w:color w:val="FFFFFF"/>
                <w:sz w:val="20"/>
                <w:szCs w:val="20"/>
              </w:rPr>
              <w:t>Assessment</w:t>
            </w:r>
          </w:p>
        </w:tc>
        <w:tc>
          <w:tcPr>
            <w:tcW w:w="1030" w:type="dxa"/>
            <w:tcBorders>
              <w:top w:val="single" w:sz="4" w:space="0" w:color="4986A0"/>
              <w:bottom w:val="single" w:sz="4" w:space="0" w:color="4986A0"/>
            </w:tcBorders>
            <w:shd w:val="clear" w:color="auto" w:fill="4986A0"/>
          </w:tcPr>
          <w:p w14:paraId="5135299B" w14:textId="77777777" w:rsidR="00284E0E" w:rsidRDefault="00356A7E" w:rsidP="00203603">
            <w:pPr>
              <w:spacing w:before="60" w:after="60" w:line="240" w:lineRule="auto"/>
              <w:jc w:val="center"/>
              <w:rPr>
                <w:b/>
                <w:bCs/>
                <w:color w:val="FFFFFF"/>
                <w:sz w:val="20"/>
                <w:szCs w:val="20"/>
              </w:rPr>
            </w:pPr>
            <w:r>
              <w:rPr>
                <w:b/>
                <w:bCs/>
                <w:color w:val="FFFFFF"/>
                <w:sz w:val="20"/>
                <w:szCs w:val="20"/>
              </w:rPr>
              <w:t>Score</w:t>
            </w:r>
          </w:p>
          <w:p w14:paraId="306C5D6D" w14:textId="12D35A20" w:rsidR="00356A7E" w:rsidRDefault="00284E0E" w:rsidP="00203603">
            <w:pPr>
              <w:spacing w:before="60" w:after="60" w:line="240" w:lineRule="auto"/>
              <w:jc w:val="center"/>
              <w:rPr>
                <w:b/>
                <w:bCs/>
                <w:color w:val="FFFFFF"/>
                <w:sz w:val="20"/>
                <w:szCs w:val="20"/>
              </w:rPr>
            </w:pPr>
            <w:r>
              <w:rPr>
                <w:b/>
                <w:bCs/>
                <w:color w:val="FFFFFF"/>
                <w:sz w:val="20"/>
                <w:szCs w:val="20"/>
              </w:rPr>
              <w:t>(-10 to 10)</w:t>
            </w:r>
          </w:p>
        </w:tc>
        <w:tc>
          <w:tcPr>
            <w:tcW w:w="1322"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61B10501" w14:textId="59125C50" w:rsidR="00746664" w:rsidRPr="00746664" w:rsidRDefault="00746664" w:rsidP="00203603">
            <w:pPr>
              <w:spacing w:before="60" w:after="60" w:line="240" w:lineRule="auto"/>
              <w:jc w:val="center"/>
              <w:rPr>
                <w:color w:val="000000"/>
                <w:sz w:val="20"/>
                <w:szCs w:val="20"/>
              </w:rPr>
            </w:pPr>
            <w:r w:rsidRPr="00746664">
              <w:rPr>
                <w:b/>
                <w:bCs/>
                <w:color w:val="FFFFFF"/>
                <w:sz w:val="20"/>
                <w:szCs w:val="20"/>
              </w:rPr>
              <w:t>Weighted score</w:t>
            </w:r>
          </w:p>
        </w:tc>
      </w:tr>
      <w:tr w:rsidR="00746664" w14:paraId="30B019C1" w14:textId="77777777" w:rsidTr="00545E78">
        <w:trPr>
          <w:trHeight w:val="333"/>
        </w:trPr>
        <w:tc>
          <w:tcPr>
            <w:tcW w:w="709" w:type="dxa"/>
            <w:tcMar>
              <w:top w:w="0" w:type="dxa"/>
              <w:left w:w="0" w:type="dxa"/>
              <w:bottom w:w="0" w:type="dxa"/>
              <w:right w:w="0" w:type="dxa"/>
            </w:tcMar>
            <w:hideMark/>
          </w:tcPr>
          <w:p w14:paraId="7DDFF986" w14:textId="77777777" w:rsidR="00746664" w:rsidRPr="00746664" w:rsidRDefault="00746664">
            <w:pPr>
              <w:spacing w:after="120" w:line="240" w:lineRule="auto"/>
              <w:rPr>
                <w:color w:val="000000"/>
                <w:sz w:val="20"/>
                <w:szCs w:val="20"/>
              </w:rPr>
            </w:pPr>
            <w:r w:rsidRPr="00746664">
              <w:rPr>
                <w:color w:val="000000"/>
                <w:sz w:val="20"/>
                <w:szCs w:val="20"/>
              </w:rPr>
              <w:t>A.1</w:t>
            </w:r>
          </w:p>
        </w:tc>
        <w:tc>
          <w:tcPr>
            <w:tcW w:w="1985" w:type="dxa"/>
            <w:tcMar>
              <w:top w:w="0" w:type="dxa"/>
              <w:left w:w="118" w:type="dxa"/>
              <w:bottom w:w="0" w:type="dxa"/>
              <w:right w:w="118" w:type="dxa"/>
            </w:tcMar>
            <w:hideMark/>
          </w:tcPr>
          <w:p w14:paraId="2FC7EFE8" w14:textId="77777777" w:rsidR="0076349F" w:rsidRDefault="00746664">
            <w:pPr>
              <w:spacing w:after="120" w:line="240" w:lineRule="auto"/>
              <w:rPr>
                <w:color w:val="000000"/>
                <w:sz w:val="20"/>
                <w:szCs w:val="20"/>
              </w:rPr>
            </w:pPr>
            <w:r w:rsidRPr="00746664">
              <w:rPr>
                <w:color w:val="000000"/>
                <w:sz w:val="20"/>
                <w:szCs w:val="20"/>
              </w:rPr>
              <w:t>Effectiveness</w:t>
            </w:r>
          </w:p>
          <w:p w14:paraId="46F7C5B5" w14:textId="77777777" w:rsidR="0076349F" w:rsidRDefault="0076349F" w:rsidP="0076349F">
            <w:pPr>
              <w:spacing w:after="120" w:line="240" w:lineRule="auto"/>
              <w:rPr>
                <w:color w:val="000000"/>
                <w:sz w:val="20"/>
                <w:szCs w:val="20"/>
              </w:rPr>
            </w:pPr>
            <w:r>
              <w:rPr>
                <w:color w:val="000000"/>
                <w:sz w:val="20"/>
                <w:szCs w:val="20"/>
              </w:rPr>
              <w:t>Reform objectives:</w:t>
            </w:r>
          </w:p>
          <w:p w14:paraId="5B74CEBE" w14:textId="77777777" w:rsidR="0076349F" w:rsidRDefault="0076349F" w:rsidP="00B43F3C">
            <w:pPr>
              <w:numPr>
                <w:ilvl w:val="0"/>
                <w:numId w:val="25"/>
              </w:numPr>
              <w:pBdr>
                <w:left w:val="none" w:sz="0" w:space="1" w:color="auto"/>
              </w:pBdr>
              <w:spacing w:after="0" w:line="240" w:lineRule="auto"/>
              <w:ind w:left="219" w:hanging="283"/>
              <w:rPr>
                <w:color w:val="000000"/>
                <w:sz w:val="20"/>
                <w:szCs w:val="20"/>
              </w:rPr>
            </w:pPr>
            <w:r>
              <w:rPr>
                <w:color w:val="000000"/>
                <w:sz w:val="20"/>
                <w:szCs w:val="20"/>
              </w:rPr>
              <w:lastRenderedPageBreak/>
              <w:t>help households pay less for energy</w:t>
            </w:r>
          </w:p>
          <w:p w14:paraId="14747D26" w14:textId="21C69CA9" w:rsidR="00746664" w:rsidRPr="00746664" w:rsidRDefault="0076349F" w:rsidP="00B43F3C">
            <w:pPr>
              <w:numPr>
                <w:ilvl w:val="0"/>
                <w:numId w:val="25"/>
              </w:numPr>
              <w:pBdr>
                <w:left w:val="none" w:sz="0" w:space="1" w:color="auto"/>
              </w:pBdr>
              <w:spacing w:after="0" w:line="240" w:lineRule="auto"/>
              <w:ind w:left="219" w:hanging="283"/>
              <w:rPr>
                <w:color w:val="000000"/>
                <w:sz w:val="20"/>
                <w:szCs w:val="20"/>
              </w:rPr>
            </w:pPr>
            <w:r>
              <w:rPr>
                <w:color w:val="000000"/>
                <w:sz w:val="20"/>
                <w:szCs w:val="20"/>
              </w:rPr>
              <w:t>increase support for people experiencing payment difficulty.</w:t>
            </w:r>
            <w:r w:rsidR="00746664" w:rsidRPr="00746664">
              <w:rPr>
                <w:color w:val="000000"/>
                <w:sz w:val="20"/>
                <w:szCs w:val="20"/>
              </w:rPr>
              <w:t xml:space="preserve"> </w:t>
            </w:r>
          </w:p>
        </w:tc>
        <w:tc>
          <w:tcPr>
            <w:tcW w:w="4592" w:type="dxa"/>
            <w:tcMar>
              <w:top w:w="0" w:type="dxa"/>
              <w:left w:w="118" w:type="dxa"/>
              <w:bottom w:w="0" w:type="dxa"/>
              <w:right w:w="118" w:type="dxa"/>
            </w:tcMar>
            <w:hideMark/>
          </w:tcPr>
          <w:p w14:paraId="6409D156" w14:textId="54A24738" w:rsidR="00794621" w:rsidRDefault="00746664" w:rsidP="00D437E0">
            <w:pPr>
              <w:spacing w:after="120" w:line="240" w:lineRule="auto"/>
              <w:rPr>
                <w:color w:val="000000"/>
                <w:sz w:val="20"/>
                <w:szCs w:val="20"/>
              </w:rPr>
            </w:pPr>
            <w:r w:rsidRPr="00746664">
              <w:rPr>
                <w:color w:val="000000"/>
                <w:sz w:val="20"/>
                <w:szCs w:val="20"/>
              </w:rPr>
              <w:lastRenderedPageBreak/>
              <w:t>A barrier identified for automatic switching to the best offer is the requirement for retailers to receive</w:t>
            </w:r>
            <w:r w:rsidR="00F41247">
              <w:rPr>
                <w:color w:val="000000"/>
                <w:sz w:val="20"/>
                <w:szCs w:val="20"/>
              </w:rPr>
              <w:t xml:space="preserve"> explicit</w:t>
            </w:r>
            <w:r w:rsidRPr="00746664">
              <w:rPr>
                <w:color w:val="000000"/>
                <w:sz w:val="20"/>
                <w:szCs w:val="20"/>
              </w:rPr>
              <w:t xml:space="preserve"> informed consent from the customer. This option would exempt retailers fr</w:t>
            </w:r>
            <w:r w:rsidR="00130C4D">
              <w:rPr>
                <w:color w:val="000000"/>
                <w:sz w:val="20"/>
                <w:szCs w:val="20"/>
              </w:rPr>
              <w:t>o</w:t>
            </w:r>
            <w:r w:rsidRPr="00746664">
              <w:rPr>
                <w:color w:val="000000"/>
                <w:sz w:val="20"/>
                <w:szCs w:val="20"/>
              </w:rPr>
              <w:t xml:space="preserve">m this requirement but put in place safeguards </w:t>
            </w:r>
            <w:r w:rsidRPr="00746664">
              <w:rPr>
                <w:color w:val="000000"/>
                <w:sz w:val="20"/>
                <w:szCs w:val="20"/>
              </w:rPr>
              <w:lastRenderedPageBreak/>
              <w:t>in the form of opt-out and switch reversal period provisions.</w:t>
            </w:r>
          </w:p>
          <w:p w14:paraId="5D7EB4AD" w14:textId="095B09ED" w:rsidR="00464BBD" w:rsidRDefault="006A5072">
            <w:pPr>
              <w:spacing w:after="120" w:line="240" w:lineRule="auto"/>
              <w:rPr>
                <w:color w:val="000000"/>
                <w:sz w:val="20"/>
                <w:szCs w:val="20"/>
              </w:rPr>
            </w:pPr>
            <w:r>
              <w:rPr>
                <w:color w:val="000000"/>
                <w:sz w:val="20"/>
                <w:szCs w:val="20"/>
              </w:rPr>
              <w:t xml:space="preserve">This option would </w:t>
            </w:r>
            <w:r w:rsidR="003846A6">
              <w:rPr>
                <w:color w:val="000000"/>
                <w:sz w:val="20"/>
                <w:szCs w:val="20"/>
              </w:rPr>
              <w:t xml:space="preserve">provide </w:t>
            </w:r>
            <w:r w:rsidR="00C6598E">
              <w:rPr>
                <w:color w:val="000000"/>
                <w:sz w:val="20"/>
                <w:szCs w:val="20"/>
              </w:rPr>
              <w:t xml:space="preserve">customers with the benefits of </w:t>
            </w:r>
            <w:r w:rsidR="0078749C">
              <w:rPr>
                <w:color w:val="000000"/>
                <w:sz w:val="20"/>
                <w:szCs w:val="20"/>
              </w:rPr>
              <w:t xml:space="preserve">the new contract (the best offer) </w:t>
            </w:r>
            <w:r w:rsidR="00D56ABB">
              <w:rPr>
                <w:color w:val="000000"/>
                <w:sz w:val="20"/>
                <w:szCs w:val="20"/>
              </w:rPr>
              <w:t>for the entire duration of the contract, regardless of whether a customer would continue to be eligible for this support.</w:t>
            </w:r>
            <w:r w:rsidR="00F41247">
              <w:rPr>
                <w:color w:val="000000"/>
                <w:sz w:val="20"/>
                <w:szCs w:val="20"/>
              </w:rPr>
              <w:t xml:space="preserve"> </w:t>
            </w:r>
            <w:r w:rsidR="00D35B74">
              <w:rPr>
                <w:color w:val="000000"/>
                <w:sz w:val="20"/>
                <w:szCs w:val="20"/>
              </w:rPr>
              <w:t xml:space="preserve">For example, a customer could </w:t>
            </w:r>
            <w:r w:rsidR="005906D9">
              <w:rPr>
                <w:color w:val="000000"/>
                <w:sz w:val="20"/>
                <w:szCs w:val="20"/>
              </w:rPr>
              <w:t>be eligible</w:t>
            </w:r>
            <w:r w:rsidR="00F4477E">
              <w:rPr>
                <w:color w:val="000000"/>
                <w:sz w:val="20"/>
                <w:szCs w:val="20"/>
              </w:rPr>
              <w:t xml:space="preserve"> for</w:t>
            </w:r>
            <w:r w:rsidR="00321C0F">
              <w:rPr>
                <w:color w:val="000000"/>
                <w:sz w:val="20"/>
                <w:szCs w:val="20"/>
              </w:rPr>
              <w:t xml:space="preserve"> </w:t>
            </w:r>
            <w:r w:rsidR="005906D9">
              <w:rPr>
                <w:color w:val="000000"/>
                <w:sz w:val="20"/>
                <w:szCs w:val="20"/>
              </w:rPr>
              <w:t>the automatic best offer</w:t>
            </w:r>
            <w:r w:rsidR="00F4477E">
              <w:rPr>
                <w:color w:val="000000"/>
                <w:sz w:val="20"/>
                <w:szCs w:val="20"/>
              </w:rPr>
              <w:t xml:space="preserve"> </w:t>
            </w:r>
            <w:r w:rsidR="005906D9">
              <w:rPr>
                <w:color w:val="000000"/>
                <w:sz w:val="20"/>
                <w:szCs w:val="20"/>
              </w:rPr>
              <w:t>switch</w:t>
            </w:r>
            <w:r w:rsidR="008A28FD">
              <w:rPr>
                <w:color w:val="000000"/>
                <w:sz w:val="20"/>
                <w:szCs w:val="20"/>
              </w:rPr>
              <w:t xml:space="preserve"> </w:t>
            </w:r>
            <w:r w:rsidR="00F4477E">
              <w:rPr>
                <w:color w:val="000000"/>
                <w:sz w:val="20"/>
                <w:szCs w:val="20"/>
              </w:rPr>
              <w:t>for</w:t>
            </w:r>
            <w:r w:rsidR="00321C0F">
              <w:rPr>
                <w:color w:val="000000"/>
                <w:sz w:val="20"/>
                <w:szCs w:val="20"/>
              </w:rPr>
              <w:t xml:space="preserve"> only</w:t>
            </w:r>
            <w:r w:rsidR="00F4477E">
              <w:rPr>
                <w:color w:val="000000"/>
                <w:sz w:val="20"/>
                <w:szCs w:val="20"/>
              </w:rPr>
              <w:t xml:space="preserve"> six months, but once switched to the best offer</w:t>
            </w:r>
            <w:r w:rsidR="00AC6AC5">
              <w:rPr>
                <w:color w:val="000000"/>
                <w:sz w:val="20"/>
                <w:szCs w:val="20"/>
              </w:rPr>
              <w:t>,</w:t>
            </w:r>
            <w:r w:rsidR="00F4477E">
              <w:rPr>
                <w:color w:val="000000"/>
                <w:sz w:val="20"/>
                <w:szCs w:val="20"/>
              </w:rPr>
              <w:t xml:space="preserve"> </w:t>
            </w:r>
            <w:r w:rsidR="00AC6AC5">
              <w:rPr>
                <w:color w:val="000000"/>
                <w:sz w:val="20"/>
                <w:szCs w:val="20"/>
              </w:rPr>
              <w:t>they</w:t>
            </w:r>
            <w:r w:rsidR="00F4477E">
              <w:rPr>
                <w:color w:val="000000"/>
                <w:sz w:val="20"/>
                <w:szCs w:val="20"/>
              </w:rPr>
              <w:t xml:space="preserve"> </w:t>
            </w:r>
            <w:r w:rsidR="000C2139">
              <w:rPr>
                <w:color w:val="000000"/>
                <w:sz w:val="20"/>
                <w:szCs w:val="20"/>
              </w:rPr>
              <w:t>c</w:t>
            </w:r>
            <w:r w:rsidR="00F4477E">
              <w:rPr>
                <w:color w:val="000000"/>
                <w:sz w:val="20"/>
                <w:szCs w:val="20"/>
              </w:rPr>
              <w:t xml:space="preserve">ould </w:t>
            </w:r>
            <w:r w:rsidR="00DD4768">
              <w:rPr>
                <w:color w:val="000000"/>
                <w:sz w:val="20"/>
                <w:szCs w:val="20"/>
              </w:rPr>
              <w:t xml:space="preserve">potentially </w:t>
            </w:r>
            <w:r w:rsidR="00F4477E">
              <w:rPr>
                <w:color w:val="000000"/>
                <w:sz w:val="20"/>
                <w:szCs w:val="20"/>
              </w:rPr>
              <w:t xml:space="preserve">benefit from the new plan </w:t>
            </w:r>
            <w:r w:rsidR="00DD4768">
              <w:rPr>
                <w:color w:val="000000"/>
                <w:sz w:val="20"/>
                <w:szCs w:val="20"/>
              </w:rPr>
              <w:t>for longer</w:t>
            </w:r>
            <w:r w:rsidR="001528B0">
              <w:rPr>
                <w:color w:val="000000"/>
                <w:sz w:val="20"/>
                <w:szCs w:val="20"/>
              </w:rPr>
              <w:t xml:space="preserve"> </w:t>
            </w:r>
            <w:r w:rsidR="000C2139">
              <w:rPr>
                <w:color w:val="000000"/>
                <w:sz w:val="20"/>
                <w:szCs w:val="20"/>
              </w:rPr>
              <w:t>if, for example</w:t>
            </w:r>
            <w:r w:rsidR="00E04223">
              <w:rPr>
                <w:color w:val="000000"/>
                <w:sz w:val="20"/>
                <w:szCs w:val="20"/>
              </w:rPr>
              <w:t>,</w:t>
            </w:r>
            <w:r w:rsidR="000C2139">
              <w:rPr>
                <w:color w:val="000000"/>
                <w:sz w:val="20"/>
                <w:szCs w:val="20"/>
              </w:rPr>
              <w:t xml:space="preserve"> the new plan has fixed prices for </w:t>
            </w:r>
            <w:r w:rsidR="00C43962">
              <w:rPr>
                <w:color w:val="000000"/>
                <w:sz w:val="20"/>
                <w:szCs w:val="20"/>
              </w:rPr>
              <w:t>12 or 24 months</w:t>
            </w:r>
            <w:r w:rsidR="00AF4A2A">
              <w:rPr>
                <w:color w:val="000000"/>
                <w:sz w:val="20"/>
                <w:szCs w:val="20"/>
              </w:rPr>
              <w:t>.</w:t>
            </w:r>
            <w:r w:rsidR="00C87014">
              <w:rPr>
                <w:color w:val="000000"/>
                <w:sz w:val="20"/>
                <w:szCs w:val="20"/>
              </w:rPr>
              <w:t xml:space="preserve"> </w:t>
            </w:r>
            <w:r w:rsidR="006B3575">
              <w:rPr>
                <w:color w:val="000000"/>
                <w:sz w:val="20"/>
                <w:szCs w:val="20"/>
              </w:rPr>
              <w:t>R</w:t>
            </w:r>
            <w:r w:rsidR="00504C37">
              <w:rPr>
                <w:color w:val="000000"/>
                <w:sz w:val="20"/>
                <w:szCs w:val="20"/>
              </w:rPr>
              <w:t>etailers would still be allowed to increase prices once a ye</w:t>
            </w:r>
            <w:r w:rsidR="00F009A2">
              <w:rPr>
                <w:color w:val="000000"/>
                <w:sz w:val="20"/>
                <w:szCs w:val="20"/>
              </w:rPr>
              <w:t xml:space="preserve">ar. </w:t>
            </w:r>
            <w:r w:rsidR="007E244F">
              <w:rPr>
                <w:color w:val="000000"/>
                <w:sz w:val="20"/>
                <w:szCs w:val="20"/>
              </w:rPr>
              <w:t>Under current rules, r</w:t>
            </w:r>
            <w:r w:rsidR="00ED2CF7" w:rsidRPr="00ED2CF7">
              <w:rPr>
                <w:color w:val="000000"/>
                <w:sz w:val="20"/>
                <w:szCs w:val="20"/>
              </w:rPr>
              <w:t>etailers are only allowed to increase prices for customers once a year, either on the day that is one month after network tariff prices change (usually on 1 August each year), or on the anniversary date of a customer’s initial fixed price period expiring (where the initial fixed price period must be no less than 12 months).</w:t>
            </w:r>
          </w:p>
          <w:p w14:paraId="25A1312A" w14:textId="48D7252E" w:rsidR="00EF6CD0" w:rsidRDefault="00C87014">
            <w:pPr>
              <w:spacing w:after="120" w:line="240" w:lineRule="auto"/>
              <w:rPr>
                <w:color w:val="000000"/>
                <w:sz w:val="20"/>
                <w:szCs w:val="20"/>
              </w:rPr>
            </w:pPr>
            <w:r>
              <w:rPr>
                <w:color w:val="000000"/>
                <w:sz w:val="20"/>
                <w:szCs w:val="20"/>
              </w:rPr>
              <w:t>Given the variety of plan</w:t>
            </w:r>
            <w:r w:rsidR="00722275">
              <w:rPr>
                <w:color w:val="000000"/>
                <w:sz w:val="20"/>
                <w:szCs w:val="20"/>
              </w:rPr>
              <w:t>s’</w:t>
            </w:r>
            <w:r>
              <w:rPr>
                <w:color w:val="000000"/>
                <w:sz w:val="20"/>
                <w:szCs w:val="20"/>
              </w:rPr>
              <w:t xml:space="preserve"> </w:t>
            </w:r>
            <w:r w:rsidR="00F06A27">
              <w:rPr>
                <w:color w:val="000000"/>
                <w:sz w:val="20"/>
                <w:szCs w:val="20"/>
              </w:rPr>
              <w:t>term</w:t>
            </w:r>
            <w:r w:rsidR="00EE2A6E">
              <w:rPr>
                <w:color w:val="000000"/>
                <w:sz w:val="20"/>
                <w:szCs w:val="20"/>
              </w:rPr>
              <w:t>s and conditions</w:t>
            </w:r>
            <w:r w:rsidR="00F01C6E">
              <w:rPr>
                <w:color w:val="000000"/>
                <w:sz w:val="20"/>
                <w:szCs w:val="20"/>
              </w:rPr>
              <w:t xml:space="preserve">, we cannot estimate the additional </w:t>
            </w:r>
            <w:r w:rsidR="00A85DD9">
              <w:rPr>
                <w:color w:val="000000"/>
                <w:sz w:val="20"/>
                <w:szCs w:val="20"/>
              </w:rPr>
              <w:t xml:space="preserve">potential savings for customers </w:t>
            </w:r>
            <w:r w:rsidR="005A71F0">
              <w:rPr>
                <w:color w:val="000000"/>
                <w:sz w:val="20"/>
                <w:szCs w:val="20"/>
              </w:rPr>
              <w:t xml:space="preserve">from this option. However, </w:t>
            </w:r>
            <w:r w:rsidR="00074C56">
              <w:rPr>
                <w:color w:val="000000"/>
                <w:sz w:val="20"/>
                <w:szCs w:val="20"/>
              </w:rPr>
              <w:t xml:space="preserve">it is reasonable to assume it would result in savings for customers </w:t>
            </w:r>
            <w:r w:rsidR="005906D9">
              <w:rPr>
                <w:color w:val="000000"/>
                <w:sz w:val="20"/>
                <w:szCs w:val="20"/>
              </w:rPr>
              <w:t>over a longer period of time</w:t>
            </w:r>
            <w:r w:rsidR="00074C56">
              <w:rPr>
                <w:color w:val="000000"/>
                <w:sz w:val="20"/>
                <w:szCs w:val="20"/>
              </w:rPr>
              <w:t xml:space="preserve"> compared to Options A.2 and A.3.</w:t>
            </w:r>
            <w:r w:rsidR="00464BBD">
              <w:rPr>
                <w:color w:val="000000"/>
                <w:sz w:val="20"/>
                <w:szCs w:val="20"/>
              </w:rPr>
              <w:t xml:space="preserve"> </w:t>
            </w:r>
            <w:r w:rsidR="00EF6CD0">
              <w:rPr>
                <w:color w:val="000000"/>
                <w:sz w:val="20"/>
                <w:szCs w:val="20"/>
              </w:rPr>
              <w:t xml:space="preserve">This would </w:t>
            </w:r>
            <w:r w:rsidR="00464BBD">
              <w:rPr>
                <w:color w:val="000000"/>
                <w:sz w:val="20"/>
                <w:szCs w:val="20"/>
              </w:rPr>
              <w:t xml:space="preserve">also </w:t>
            </w:r>
            <w:r w:rsidR="00EF6CD0">
              <w:rPr>
                <w:color w:val="000000"/>
                <w:sz w:val="20"/>
                <w:szCs w:val="20"/>
              </w:rPr>
              <w:t>help households pay less for energy and increase the effectiveness of the support provided to customers experiencing payment difficulty for a longer time</w:t>
            </w:r>
            <w:r w:rsidR="00464BBD">
              <w:rPr>
                <w:color w:val="000000"/>
                <w:sz w:val="20"/>
                <w:szCs w:val="20"/>
              </w:rPr>
              <w:t>.</w:t>
            </w:r>
          </w:p>
          <w:p w14:paraId="5839BCDB" w14:textId="6D813453" w:rsidR="001872C7" w:rsidRDefault="00367748" w:rsidP="00794621">
            <w:pPr>
              <w:spacing w:after="120" w:line="240" w:lineRule="auto"/>
              <w:rPr>
                <w:color w:val="000000"/>
                <w:sz w:val="20"/>
                <w:szCs w:val="20"/>
              </w:rPr>
            </w:pPr>
            <w:r>
              <w:rPr>
                <w:color w:val="000000"/>
                <w:sz w:val="20"/>
                <w:szCs w:val="20"/>
              </w:rPr>
              <w:t>We expect this option would</w:t>
            </w:r>
            <w:r w:rsidR="006A5968">
              <w:rPr>
                <w:color w:val="000000"/>
                <w:sz w:val="20"/>
                <w:szCs w:val="20"/>
              </w:rPr>
              <w:t xml:space="preserve"> also </w:t>
            </w:r>
            <w:r w:rsidR="004C6B8D">
              <w:rPr>
                <w:color w:val="000000"/>
                <w:sz w:val="20"/>
                <w:szCs w:val="20"/>
              </w:rPr>
              <w:t xml:space="preserve">be </w:t>
            </w:r>
            <w:r w:rsidR="00E679DA">
              <w:rPr>
                <w:color w:val="000000"/>
                <w:sz w:val="20"/>
                <w:szCs w:val="20"/>
              </w:rPr>
              <w:t xml:space="preserve">more </w:t>
            </w:r>
            <w:r w:rsidR="004C6B8D">
              <w:rPr>
                <w:color w:val="000000"/>
                <w:sz w:val="20"/>
                <w:szCs w:val="20"/>
              </w:rPr>
              <w:t xml:space="preserve">effective in </w:t>
            </w:r>
            <w:r w:rsidR="006A5968">
              <w:rPr>
                <w:color w:val="000000"/>
                <w:sz w:val="20"/>
                <w:szCs w:val="20"/>
              </w:rPr>
              <w:t>encourag</w:t>
            </w:r>
            <w:r w:rsidR="004C6B8D">
              <w:rPr>
                <w:color w:val="000000"/>
                <w:sz w:val="20"/>
                <w:szCs w:val="20"/>
              </w:rPr>
              <w:t>ing</w:t>
            </w:r>
            <w:r w:rsidR="006A5968">
              <w:rPr>
                <w:color w:val="000000"/>
                <w:sz w:val="20"/>
                <w:szCs w:val="20"/>
              </w:rPr>
              <w:t xml:space="preserve"> </w:t>
            </w:r>
            <w:r w:rsidR="00C32402">
              <w:rPr>
                <w:color w:val="000000"/>
                <w:sz w:val="20"/>
                <w:szCs w:val="20"/>
              </w:rPr>
              <w:t>customers</w:t>
            </w:r>
            <w:r w:rsidR="004340A5">
              <w:rPr>
                <w:color w:val="000000"/>
                <w:sz w:val="20"/>
                <w:szCs w:val="20"/>
              </w:rPr>
              <w:t xml:space="preserve"> to engage with their retailer</w:t>
            </w:r>
            <w:r w:rsidR="00BB6999">
              <w:rPr>
                <w:color w:val="000000"/>
                <w:sz w:val="20"/>
                <w:szCs w:val="20"/>
              </w:rPr>
              <w:t xml:space="preserve"> than Options A.2 and A.3</w:t>
            </w:r>
            <w:r w:rsidR="009A5927">
              <w:rPr>
                <w:color w:val="000000"/>
                <w:sz w:val="20"/>
                <w:szCs w:val="20"/>
              </w:rPr>
              <w:t xml:space="preserve">. </w:t>
            </w:r>
            <w:r w:rsidR="00E552CE">
              <w:rPr>
                <w:color w:val="000000"/>
                <w:sz w:val="20"/>
                <w:szCs w:val="20"/>
              </w:rPr>
              <w:t xml:space="preserve">Receiving proactive support from a retailer </w:t>
            </w:r>
            <w:r w:rsidR="00567DDB">
              <w:rPr>
                <w:color w:val="000000"/>
                <w:sz w:val="20"/>
                <w:szCs w:val="20"/>
              </w:rPr>
              <w:t xml:space="preserve">by being switched to the best offer could increase confidence in the energy market and lead </w:t>
            </w:r>
            <w:r w:rsidR="00C32402">
              <w:rPr>
                <w:color w:val="000000"/>
                <w:sz w:val="20"/>
                <w:szCs w:val="20"/>
              </w:rPr>
              <w:t>customers</w:t>
            </w:r>
            <w:r w:rsidR="00567DDB">
              <w:rPr>
                <w:color w:val="000000"/>
                <w:sz w:val="20"/>
                <w:szCs w:val="20"/>
              </w:rPr>
              <w:t xml:space="preserve"> to seek other forms of support available.</w:t>
            </w:r>
          </w:p>
          <w:p w14:paraId="1CA94034" w14:textId="536B58C7" w:rsidR="00193C3E" w:rsidRDefault="00BE5950" w:rsidP="00794621">
            <w:pPr>
              <w:spacing w:after="120" w:line="240" w:lineRule="auto"/>
              <w:rPr>
                <w:color w:val="000000"/>
                <w:sz w:val="20"/>
                <w:szCs w:val="20"/>
              </w:rPr>
            </w:pPr>
            <w:r>
              <w:rPr>
                <w:color w:val="000000"/>
                <w:sz w:val="20"/>
                <w:szCs w:val="20"/>
              </w:rPr>
              <w:t>This</w:t>
            </w:r>
            <w:r w:rsidR="00327E3E">
              <w:rPr>
                <w:color w:val="000000"/>
                <w:sz w:val="20"/>
                <w:szCs w:val="20"/>
              </w:rPr>
              <w:t xml:space="preserve"> option would also provide the most clarity for customers, as they may more easily understand and appreciate the benefits of </w:t>
            </w:r>
            <w:r w:rsidR="002F2039">
              <w:rPr>
                <w:color w:val="000000"/>
                <w:sz w:val="20"/>
                <w:szCs w:val="20"/>
              </w:rPr>
              <w:t>being</w:t>
            </w:r>
            <w:r w:rsidR="00327E3E">
              <w:rPr>
                <w:color w:val="000000"/>
                <w:sz w:val="20"/>
                <w:szCs w:val="20"/>
              </w:rPr>
              <w:t xml:space="preserve"> switched to the best offer plan rather than having tariff changes or receiving a credit on their bills.</w:t>
            </w:r>
          </w:p>
          <w:p w14:paraId="7DFF37C6" w14:textId="29B63692" w:rsidR="00746664" w:rsidRPr="00746664" w:rsidRDefault="00525589" w:rsidP="00794621">
            <w:pPr>
              <w:spacing w:after="120" w:line="240" w:lineRule="auto"/>
              <w:rPr>
                <w:color w:val="000000"/>
                <w:sz w:val="20"/>
                <w:szCs w:val="20"/>
              </w:rPr>
            </w:pPr>
            <w:r>
              <w:rPr>
                <w:color w:val="000000"/>
                <w:sz w:val="20"/>
                <w:szCs w:val="20"/>
              </w:rPr>
              <w:t>However,</w:t>
            </w:r>
            <w:r w:rsidR="001D4776">
              <w:rPr>
                <w:color w:val="000000"/>
                <w:sz w:val="20"/>
                <w:szCs w:val="20"/>
              </w:rPr>
              <w:t xml:space="preserve"> we acknowledge that the</w:t>
            </w:r>
            <w:r w:rsidR="00C5650B">
              <w:rPr>
                <w:color w:val="000000"/>
                <w:sz w:val="20"/>
                <w:szCs w:val="20"/>
              </w:rPr>
              <w:t>re</w:t>
            </w:r>
            <w:r w:rsidR="001D4776">
              <w:rPr>
                <w:color w:val="000000"/>
                <w:sz w:val="20"/>
                <w:szCs w:val="20"/>
              </w:rPr>
              <w:t xml:space="preserve"> may be </w:t>
            </w:r>
            <w:r w:rsidR="00C5650B">
              <w:rPr>
                <w:color w:val="000000"/>
                <w:sz w:val="20"/>
                <w:szCs w:val="20"/>
              </w:rPr>
              <w:t>s</w:t>
            </w:r>
            <w:r w:rsidR="001D4776">
              <w:rPr>
                <w:color w:val="000000"/>
                <w:sz w:val="20"/>
                <w:szCs w:val="20"/>
              </w:rPr>
              <w:t xml:space="preserve">ome </w:t>
            </w:r>
            <w:r w:rsidR="008B347D">
              <w:rPr>
                <w:color w:val="000000"/>
                <w:sz w:val="20"/>
                <w:szCs w:val="20"/>
              </w:rPr>
              <w:t xml:space="preserve">risk of reduced trust </w:t>
            </w:r>
            <w:r w:rsidR="00C5650B">
              <w:rPr>
                <w:color w:val="000000"/>
                <w:sz w:val="20"/>
                <w:szCs w:val="20"/>
              </w:rPr>
              <w:t>from being switch</w:t>
            </w:r>
            <w:r w:rsidR="00497F50">
              <w:rPr>
                <w:color w:val="000000"/>
                <w:sz w:val="20"/>
                <w:szCs w:val="20"/>
              </w:rPr>
              <w:t>ed</w:t>
            </w:r>
            <w:r w:rsidR="00C5650B">
              <w:rPr>
                <w:color w:val="000000"/>
                <w:sz w:val="20"/>
                <w:szCs w:val="20"/>
              </w:rPr>
              <w:t xml:space="preserve"> plans without explicit informed consent, despite </w:t>
            </w:r>
            <w:r w:rsidR="002279F7">
              <w:rPr>
                <w:color w:val="000000"/>
                <w:sz w:val="20"/>
                <w:szCs w:val="20"/>
              </w:rPr>
              <w:t>the automatic best offer</w:t>
            </w:r>
            <w:r w:rsidR="00C5650B">
              <w:rPr>
                <w:color w:val="000000"/>
                <w:sz w:val="20"/>
                <w:szCs w:val="20"/>
              </w:rPr>
              <w:t xml:space="preserve"> </w:t>
            </w:r>
            <w:r w:rsidR="006656E7">
              <w:rPr>
                <w:color w:val="000000"/>
                <w:sz w:val="20"/>
                <w:szCs w:val="20"/>
              </w:rPr>
              <w:t xml:space="preserve">being mandated and resulting in a customer saving money. </w:t>
            </w:r>
            <w:r w:rsidR="00FB2134">
              <w:rPr>
                <w:color w:val="000000"/>
                <w:sz w:val="20"/>
                <w:szCs w:val="20"/>
              </w:rPr>
              <w:t xml:space="preserve">There could be a risk of a customer losing a </w:t>
            </w:r>
            <w:r w:rsidR="005B24D3">
              <w:rPr>
                <w:color w:val="000000"/>
                <w:sz w:val="20"/>
                <w:szCs w:val="20"/>
              </w:rPr>
              <w:t>non</w:t>
            </w:r>
            <w:r w:rsidR="002F2039">
              <w:rPr>
                <w:color w:val="000000"/>
                <w:sz w:val="20"/>
                <w:szCs w:val="20"/>
              </w:rPr>
              <w:t>-</w:t>
            </w:r>
            <w:r w:rsidR="00FB2134">
              <w:rPr>
                <w:color w:val="000000"/>
                <w:sz w:val="20"/>
                <w:szCs w:val="20"/>
              </w:rPr>
              <w:t xml:space="preserve">monetary </w:t>
            </w:r>
            <w:r w:rsidR="00E67B17">
              <w:rPr>
                <w:color w:val="000000"/>
                <w:sz w:val="20"/>
                <w:szCs w:val="20"/>
              </w:rPr>
              <w:t>benefit</w:t>
            </w:r>
            <w:r w:rsidR="00FB2134">
              <w:rPr>
                <w:color w:val="000000"/>
                <w:sz w:val="20"/>
                <w:szCs w:val="20"/>
              </w:rPr>
              <w:t xml:space="preserve"> </w:t>
            </w:r>
            <w:r w:rsidR="000E33AB">
              <w:rPr>
                <w:color w:val="000000"/>
                <w:sz w:val="20"/>
                <w:szCs w:val="20"/>
              </w:rPr>
              <w:t>in their original plan.</w:t>
            </w:r>
            <w:r w:rsidR="008631D4">
              <w:rPr>
                <w:color w:val="000000"/>
                <w:sz w:val="20"/>
                <w:szCs w:val="20"/>
              </w:rPr>
              <w:t xml:space="preserve"> </w:t>
            </w:r>
            <w:r w:rsidR="001504BC">
              <w:rPr>
                <w:color w:val="000000"/>
                <w:sz w:val="20"/>
                <w:szCs w:val="20"/>
              </w:rPr>
              <w:t xml:space="preserve">We </w:t>
            </w:r>
            <w:r w:rsidR="002125AC">
              <w:rPr>
                <w:color w:val="000000"/>
                <w:sz w:val="20"/>
                <w:szCs w:val="20"/>
              </w:rPr>
              <w:t xml:space="preserve">have reduced this risk through </w:t>
            </w:r>
            <w:r w:rsidR="00E44209">
              <w:rPr>
                <w:color w:val="000000"/>
                <w:sz w:val="20"/>
                <w:szCs w:val="20"/>
              </w:rPr>
              <w:t xml:space="preserve">opt-outs and post-switch reversal protections. </w:t>
            </w:r>
          </w:p>
        </w:tc>
        <w:tc>
          <w:tcPr>
            <w:tcW w:w="1030" w:type="dxa"/>
          </w:tcPr>
          <w:p w14:paraId="5A6BAEE9" w14:textId="228ACB21" w:rsidR="00356A7E" w:rsidRPr="00746664" w:rsidDel="00D755F5" w:rsidRDefault="00A063E7" w:rsidP="00D755F5">
            <w:pPr>
              <w:spacing w:after="120" w:line="240" w:lineRule="auto"/>
              <w:ind w:right="-123"/>
              <w:jc w:val="center"/>
              <w:rPr>
                <w:color w:val="000000"/>
                <w:sz w:val="20"/>
                <w:szCs w:val="20"/>
              </w:rPr>
            </w:pPr>
            <w:r>
              <w:rPr>
                <w:color w:val="000000"/>
                <w:sz w:val="20"/>
                <w:szCs w:val="20"/>
              </w:rPr>
              <w:lastRenderedPageBreak/>
              <w:t>4</w:t>
            </w:r>
          </w:p>
        </w:tc>
        <w:tc>
          <w:tcPr>
            <w:tcW w:w="1322" w:type="dxa"/>
            <w:tcMar>
              <w:top w:w="0" w:type="dxa"/>
              <w:left w:w="118" w:type="dxa"/>
              <w:bottom w:w="0" w:type="dxa"/>
              <w:right w:w="118" w:type="dxa"/>
            </w:tcMar>
            <w:hideMark/>
          </w:tcPr>
          <w:p w14:paraId="430BA46F" w14:textId="2777ED7A" w:rsidR="00746664" w:rsidRPr="00746664" w:rsidRDefault="00D755F5" w:rsidP="00D755F5">
            <w:pPr>
              <w:spacing w:after="120" w:line="240" w:lineRule="auto"/>
              <w:ind w:right="-123"/>
              <w:jc w:val="center"/>
              <w:rPr>
                <w:color w:val="000000"/>
                <w:sz w:val="20"/>
                <w:szCs w:val="20"/>
              </w:rPr>
            </w:pPr>
            <w:r>
              <w:rPr>
                <w:color w:val="000000"/>
                <w:sz w:val="20"/>
                <w:szCs w:val="20"/>
              </w:rPr>
              <w:t>2</w:t>
            </w:r>
          </w:p>
        </w:tc>
      </w:tr>
      <w:tr w:rsidR="00746664" w14:paraId="042DA1CE" w14:textId="77777777" w:rsidTr="00545E78">
        <w:tc>
          <w:tcPr>
            <w:tcW w:w="709" w:type="dxa"/>
            <w:shd w:val="clear" w:color="auto" w:fill="F2F2F2" w:themeFill="background1" w:themeFillShade="F2"/>
            <w:tcMar>
              <w:top w:w="0" w:type="dxa"/>
              <w:left w:w="0" w:type="dxa"/>
              <w:bottom w:w="0" w:type="dxa"/>
              <w:right w:w="0" w:type="dxa"/>
            </w:tcMar>
            <w:hideMark/>
          </w:tcPr>
          <w:p w14:paraId="6ED8DC60" w14:textId="77777777" w:rsidR="00746664" w:rsidRPr="00746664" w:rsidRDefault="00746664">
            <w:pPr>
              <w:spacing w:after="120" w:line="240" w:lineRule="auto"/>
              <w:rPr>
                <w:color w:val="000000"/>
                <w:sz w:val="20"/>
                <w:szCs w:val="20"/>
              </w:rPr>
            </w:pPr>
            <w:r w:rsidRPr="00746664">
              <w:rPr>
                <w:color w:val="000000"/>
                <w:sz w:val="20"/>
                <w:szCs w:val="20"/>
              </w:rPr>
              <w:t>A.2</w:t>
            </w:r>
          </w:p>
        </w:tc>
        <w:tc>
          <w:tcPr>
            <w:tcW w:w="1985" w:type="dxa"/>
            <w:shd w:val="clear" w:color="auto" w:fill="F2F2F2" w:themeFill="background1" w:themeFillShade="F2"/>
            <w:tcMar>
              <w:top w:w="0" w:type="dxa"/>
              <w:left w:w="118" w:type="dxa"/>
              <w:bottom w:w="0" w:type="dxa"/>
              <w:right w:w="118" w:type="dxa"/>
            </w:tcMar>
            <w:hideMark/>
          </w:tcPr>
          <w:p w14:paraId="02EB5761" w14:textId="77777777" w:rsidR="00746664" w:rsidRDefault="00746664">
            <w:pPr>
              <w:spacing w:after="120" w:line="240" w:lineRule="auto"/>
              <w:rPr>
                <w:color w:val="000000"/>
                <w:sz w:val="20"/>
                <w:szCs w:val="20"/>
              </w:rPr>
            </w:pPr>
            <w:r w:rsidRPr="00746664">
              <w:rPr>
                <w:color w:val="000000"/>
                <w:sz w:val="20"/>
                <w:szCs w:val="20"/>
              </w:rPr>
              <w:t>Effectiveness</w:t>
            </w:r>
          </w:p>
          <w:p w14:paraId="6F32ED45" w14:textId="77777777" w:rsidR="00F52078" w:rsidRDefault="00F52078" w:rsidP="00F52078">
            <w:pPr>
              <w:spacing w:after="120" w:line="240" w:lineRule="auto"/>
              <w:rPr>
                <w:color w:val="000000"/>
                <w:sz w:val="20"/>
                <w:szCs w:val="20"/>
              </w:rPr>
            </w:pPr>
            <w:r>
              <w:rPr>
                <w:color w:val="000000"/>
                <w:sz w:val="20"/>
                <w:szCs w:val="20"/>
              </w:rPr>
              <w:lastRenderedPageBreak/>
              <w:t>Reform objectives:</w:t>
            </w:r>
          </w:p>
          <w:p w14:paraId="423755E0" w14:textId="77777777" w:rsidR="00F52078" w:rsidRDefault="00F52078" w:rsidP="00B43F3C">
            <w:pPr>
              <w:numPr>
                <w:ilvl w:val="0"/>
                <w:numId w:val="25"/>
              </w:numPr>
              <w:pBdr>
                <w:left w:val="none" w:sz="0" w:space="1" w:color="auto"/>
              </w:pBdr>
              <w:spacing w:after="0" w:line="240" w:lineRule="auto"/>
              <w:ind w:left="219" w:hanging="283"/>
              <w:rPr>
                <w:color w:val="000000"/>
                <w:sz w:val="20"/>
                <w:szCs w:val="20"/>
              </w:rPr>
            </w:pPr>
            <w:r>
              <w:rPr>
                <w:color w:val="000000"/>
                <w:sz w:val="20"/>
                <w:szCs w:val="20"/>
              </w:rPr>
              <w:t>help households pay less for energy</w:t>
            </w:r>
          </w:p>
          <w:p w14:paraId="108B31DC" w14:textId="22AC2C97" w:rsidR="00F52078" w:rsidRPr="00746664" w:rsidRDefault="00F52078" w:rsidP="00B43F3C">
            <w:pPr>
              <w:numPr>
                <w:ilvl w:val="0"/>
                <w:numId w:val="25"/>
              </w:numPr>
              <w:pBdr>
                <w:left w:val="none" w:sz="0" w:space="1" w:color="auto"/>
              </w:pBdr>
              <w:spacing w:after="0" w:line="240" w:lineRule="auto"/>
              <w:ind w:left="219" w:hanging="283"/>
              <w:rPr>
                <w:color w:val="000000"/>
                <w:sz w:val="20"/>
                <w:szCs w:val="20"/>
              </w:rPr>
            </w:pPr>
            <w:r>
              <w:rPr>
                <w:color w:val="000000"/>
                <w:sz w:val="20"/>
                <w:szCs w:val="20"/>
              </w:rPr>
              <w:t>increase support for people experiencing payment difficulty.</w:t>
            </w:r>
          </w:p>
        </w:tc>
        <w:tc>
          <w:tcPr>
            <w:tcW w:w="4592" w:type="dxa"/>
            <w:shd w:val="clear" w:color="auto" w:fill="F2F2F2" w:themeFill="background1" w:themeFillShade="F2"/>
            <w:tcMar>
              <w:top w:w="0" w:type="dxa"/>
              <w:left w:w="118" w:type="dxa"/>
              <w:bottom w:w="0" w:type="dxa"/>
              <w:right w:w="118" w:type="dxa"/>
            </w:tcMar>
            <w:hideMark/>
          </w:tcPr>
          <w:p w14:paraId="5AC57E59" w14:textId="77777777" w:rsidR="000F5784" w:rsidRDefault="00746664">
            <w:pPr>
              <w:spacing w:after="120" w:line="240" w:lineRule="auto"/>
              <w:rPr>
                <w:color w:val="000000"/>
                <w:sz w:val="20"/>
                <w:szCs w:val="20"/>
              </w:rPr>
            </w:pPr>
            <w:r w:rsidRPr="00746664">
              <w:rPr>
                <w:color w:val="000000"/>
                <w:sz w:val="20"/>
                <w:szCs w:val="20"/>
              </w:rPr>
              <w:lastRenderedPageBreak/>
              <w:t xml:space="preserve">The option of changing tariffs in relation to a customer’s existing energy plan to an equivalent </w:t>
            </w:r>
            <w:r w:rsidRPr="00746664">
              <w:rPr>
                <w:color w:val="000000"/>
                <w:sz w:val="20"/>
                <w:szCs w:val="20"/>
              </w:rPr>
              <w:lastRenderedPageBreak/>
              <w:t xml:space="preserve">amount to the best offer would </w:t>
            </w:r>
            <w:r w:rsidR="008161DD">
              <w:rPr>
                <w:color w:val="000000"/>
                <w:sz w:val="20"/>
                <w:szCs w:val="20"/>
              </w:rPr>
              <w:t xml:space="preserve">initially </w:t>
            </w:r>
            <w:r w:rsidRPr="00746664">
              <w:rPr>
                <w:color w:val="000000"/>
                <w:sz w:val="20"/>
                <w:szCs w:val="20"/>
              </w:rPr>
              <w:t>result in a similar financial impact for consumers as Option A.1</w:t>
            </w:r>
            <w:r w:rsidR="005946FD">
              <w:rPr>
                <w:color w:val="000000"/>
                <w:sz w:val="20"/>
                <w:szCs w:val="20"/>
              </w:rPr>
              <w:t>.</w:t>
            </w:r>
            <w:r w:rsidR="0023711D">
              <w:rPr>
                <w:color w:val="000000"/>
                <w:sz w:val="20"/>
                <w:szCs w:val="20"/>
              </w:rPr>
              <w:t xml:space="preserve"> However, changing a customer’s tariffs to match</w:t>
            </w:r>
            <w:r w:rsidRPr="00746664">
              <w:rPr>
                <w:color w:val="000000"/>
                <w:sz w:val="20"/>
                <w:szCs w:val="20"/>
              </w:rPr>
              <w:t xml:space="preserve"> </w:t>
            </w:r>
            <w:r w:rsidR="00CC7A95">
              <w:rPr>
                <w:color w:val="000000"/>
                <w:sz w:val="20"/>
                <w:szCs w:val="20"/>
              </w:rPr>
              <w:t xml:space="preserve">the best offer could </w:t>
            </w:r>
            <w:r w:rsidR="00C23A37">
              <w:rPr>
                <w:color w:val="000000"/>
                <w:sz w:val="20"/>
                <w:szCs w:val="20"/>
              </w:rPr>
              <w:t xml:space="preserve">have a potentially shorter benefit </w:t>
            </w:r>
            <w:r w:rsidR="00AD0E46">
              <w:rPr>
                <w:color w:val="000000"/>
                <w:sz w:val="20"/>
                <w:szCs w:val="20"/>
              </w:rPr>
              <w:t>than switching a customer to the best offer</w:t>
            </w:r>
            <w:r w:rsidR="00164D18">
              <w:rPr>
                <w:color w:val="000000"/>
                <w:sz w:val="20"/>
                <w:szCs w:val="20"/>
              </w:rPr>
              <w:t xml:space="preserve">. </w:t>
            </w:r>
          </w:p>
          <w:p w14:paraId="6FBB5097" w14:textId="29B6A9BC" w:rsidR="00E22A92" w:rsidRDefault="00164D18">
            <w:pPr>
              <w:spacing w:after="120" w:line="240" w:lineRule="auto"/>
              <w:rPr>
                <w:color w:val="000000"/>
                <w:sz w:val="20"/>
                <w:szCs w:val="20"/>
              </w:rPr>
            </w:pPr>
            <w:r>
              <w:rPr>
                <w:color w:val="000000"/>
                <w:sz w:val="20"/>
                <w:szCs w:val="20"/>
              </w:rPr>
              <w:t>For example, a customer could receive tailored assistance for only six months,</w:t>
            </w:r>
            <w:r w:rsidR="009768EE">
              <w:rPr>
                <w:color w:val="000000"/>
                <w:sz w:val="20"/>
                <w:szCs w:val="20"/>
              </w:rPr>
              <w:t xml:space="preserve"> and </w:t>
            </w:r>
            <w:r w:rsidR="00E65A62">
              <w:rPr>
                <w:color w:val="000000"/>
                <w:sz w:val="20"/>
                <w:szCs w:val="20"/>
              </w:rPr>
              <w:t>the end of this period could coincide with annual tariff increases</w:t>
            </w:r>
            <w:r w:rsidR="00BE13A9">
              <w:rPr>
                <w:color w:val="000000"/>
                <w:sz w:val="20"/>
                <w:szCs w:val="20"/>
              </w:rPr>
              <w:t xml:space="preserve"> as explained in Option A</w:t>
            </w:r>
            <w:r w:rsidR="008A0EA9">
              <w:rPr>
                <w:color w:val="000000"/>
                <w:sz w:val="20"/>
                <w:szCs w:val="20"/>
              </w:rPr>
              <w:t>.</w:t>
            </w:r>
            <w:r w:rsidR="00BE13A9">
              <w:rPr>
                <w:color w:val="000000"/>
                <w:sz w:val="20"/>
                <w:szCs w:val="20"/>
              </w:rPr>
              <w:t>1</w:t>
            </w:r>
            <w:r w:rsidR="00E65A62">
              <w:rPr>
                <w:color w:val="000000"/>
                <w:sz w:val="20"/>
                <w:szCs w:val="20"/>
              </w:rPr>
              <w:t>.</w:t>
            </w:r>
            <w:r w:rsidR="00A74416">
              <w:rPr>
                <w:color w:val="000000"/>
                <w:sz w:val="20"/>
                <w:szCs w:val="20"/>
              </w:rPr>
              <w:t xml:space="preserve"> In this case, the customer would benefit from this opt</w:t>
            </w:r>
            <w:r w:rsidR="00777FBF">
              <w:rPr>
                <w:color w:val="000000"/>
                <w:sz w:val="20"/>
                <w:szCs w:val="20"/>
              </w:rPr>
              <w:t xml:space="preserve">ion for a shorter period </w:t>
            </w:r>
            <w:r w:rsidR="003E68DE">
              <w:rPr>
                <w:color w:val="000000"/>
                <w:sz w:val="20"/>
                <w:szCs w:val="20"/>
              </w:rPr>
              <w:t>than they would under Option A.1.</w:t>
            </w:r>
            <w:r w:rsidR="008303EB">
              <w:rPr>
                <w:color w:val="000000"/>
                <w:sz w:val="20"/>
                <w:szCs w:val="20"/>
              </w:rPr>
              <w:t xml:space="preserve"> </w:t>
            </w:r>
            <w:r w:rsidR="000F5784">
              <w:rPr>
                <w:color w:val="000000"/>
                <w:sz w:val="20"/>
                <w:szCs w:val="20"/>
              </w:rPr>
              <w:t xml:space="preserve">We note </w:t>
            </w:r>
            <w:r w:rsidR="00551049">
              <w:rPr>
                <w:color w:val="000000"/>
                <w:sz w:val="20"/>
                <w:szCs w:val="20"/>
              </w:rPr>
              <w:t xml:space="preserve">retailers </w:t>
            </w:r>
            <w:r w:rsidR="000F5784">
              <w:rPr>
                <w:color w:val="000000"/>
                <w:sz w:val="20"/>
                <w:szCs w:val="20"/>
              </w:rPr>
              <w:t xml:space="preserve">must </w:t>
            </w:r>
            <w:r w:rsidR="004F7486">
              <w:rPr>
                <w:color w:val="000000"/>
                <w:sz w:val="20"/>
                <w:szCs w:val="20"/>
              </w:rPr>
              <w:t xml:space="preserve">notify </w:t>
            </w:r>
            <w:r w:rsidR="0077571E">
              <w:rPr>
                <w:color w:val="000000"/>
                <w:sz w:val="20"/>
                <w:szCs w:val="20"/>
              </w:rPr>
              <w:t xml:space="preserve">customers </w:t>
            </w:r>
            <w:r w:rsidR="000F5784">
              <w:rPr>
                <w:color w:val="000000"/>
                <w:sz w:val="20"/>
                <w:szCs w:val="20"/>
              </w:rPr>
              <w:t>before increasing tariffs.</w:t>
            </w:r>
          </w:p>
          <w:p w14:paraId="1F1E000F" w14:textId="73E23BEE" w:rsidR="008161DD" w:rsidRDefault="00A74416">
            <w:pPr>
              <w:spacing w:after="120" w:line="240" w:lineRule="auto"/>
              <w:rPr>
                <w:color w:val="000000"/>
                <w:sz w:val="20"/>
                <w:szCs w:val="20"/>
              </w:rPr>
            </w:pPr>
            <w:r>
              <w:rPr>
                <w:color w:val="000000"/>
                <w:sz w:val="20"/>
                <w:szCs w:val="20"/>
              </w:rPr>
              <w:t xml:space="preserve">Given the variety of plans’ terms and conditions, we cannot estimate the </w:t>
            </w:r>
            <w:r w:rsidR="008303EB">
              <w:rPr>
                <w:color w:val="000000"/>
                <w:sz w:val="20"/>
                <w:szCs w:val="20"/>
              </w:rPr>
              <w:t xml:space="preserve">overall </w:t>
            </w:r>
            <w:r>
              <w:rPr>
                <w:color w:val="000000"/>
                <w:sz w:val="20"/>
                <w:szCs w:val="20"/>
              </w:rPr>
              <w:t xml:space="preserve">potential savings for customers from this option. However, it is reasonable to assume </w:t>
            </w:r>
            <w:r w:rsidR="008303EB">
              <w:rPr>
                <w:color w:val="000000"/>
                <w:sz w:val="20"/>
                <w:szCs w:val="20"/>
              </w:rPr>
              <w:t xml:space="preserve">that in most cases it would lead to </w:t>
            </w:r>
            <w:r w:rsidR="00F403D4">
              <w:rPr>
                <w:color w:val="000000"/>
                <w:sz w:val="20"/>
                <w:szCs w:val="20"/>
              </w:rPr>
              <w:t xml:space="preserve">slightly reduced </w:t>
            </w:r>
            <w:r>
              <w:rPr>
                <w:color w:val="000000"/>
                <w:sz w:val="20"/>
                <w:szCs w:val="20"/>
              </w:rPr>
              <w:t>savings for customers compared to Option A.</w:t>
            </w:r>
            <w:r w:rsidR="00F403D4">
              <w:rPr>
                <w:color w:val="000000"/>
                <w:sz w:val="20"/>
                <w:szCs w:val="20"/>
              </w:rPr>
              <w:t>1</w:t>
            </w:r>
            <w:r w:rsidR="00D6649C">
              <w:rPr>
                <w:color w:val="000000"/>
                <w:sz w:val="20"/>
                <w:szCs w:val="20"/>
              </w:rPr>
              <w:t>.</w:t>
            </w:r>
          </w:p>
          <w:p w14:paraId="3BC3C099" w14:textId="49220F79" w:rsidR="008161DD" w:rsidRDefault="00E65A62">
            <w:pPr>
              <w:spacing w:after="120" w:line="240" w:lineRule="auto"/>
              <w:rPr>
                <w:color w:val="000000"/>
                <w:sz w:val="20"/>
                <w:szCs w:val="20"/>
              </w:rPr>
            </w:pPr>
            <w:r>
              <w:rPr>
                <w:color w:val="000000"/>
                <w:sz w:val="20"/>
                <w:szCs w:val="20"/>
              </w:rPr>
              <w:t xml:space="preserve">On the other hand, </w:t>
            </w:r>
            <w:r w:rsidR="00441C96">
              <w:rPr>
                <w:color w:val="000000"/>
                <w:sz w:val="20"/>
                <w:szCs w:val="20"/>
              </w:rPr>
              <w:t>changing tariffs without switching customers to a new plan would mean a customer continues to enjoy non-tariff benefits from their current plan</w:t>
            </w:r>
            <w:r w:rsidR="00311C86">
              <w:rPr>
                <w:color w:val="000000"/>
                <w:sz w:val="20"/>
                <w:szCs w:val="20"/>
              </w:rPr>
              <w:t xml:space="preserve"> (for example, online subscription services)</w:t>
            </w:r>
            <w:r w:rsidR="00441C96">
              <w:rPr>
                <w:color w:val="000000"/>
                <w:sz w:val="20"/>
                <w:szCs w:val="20"/>
              </w:rPr>
              <w:t xml:space="preserve">. </w:t>
            </w:r>
            <w:r w:rsidR="009B4A4A">
              <w:rPr>
                <w:color w:val="000000"/>
                <w:sz w:val="20"/>
                <w:szCs w:val="20"/>
              </w:rPr>
              <w:t xml:space="preserve">While this would be an advantage compared to </w:t>
            </w:r>
            <w:r w:rsidR="00EA0210">
              <w:rPr>
                <w:color w:val="000000"/>
                <w:sz w:val="20"/>
                <w:szCs w:val="20"/>
              </w:rPr>
              <w:t>switching plans,</w:t>
            </w:r>
            <w:r w:rsidR="004B6FBA">
              <w:rPr>
                <w:color w:val="000000"/>
                <w:sz w:val="20"/>
                <w:szCs w:val="20"/>
              </w:rPr>
              <w:t xml:space="preserve"> </w:t>
            </w:r>
            <w:r w:rsidR="008969B9">
              <w:rPr>
                <w:color w:val="000000"/>
                <w:sz w:val="20"/>
                <w:szCs w:val="20"/>
              </w:rPr>
              <w:t xml:space="preserve">we expect </w:t>
            </w:r>
            <w:r w:rsidR="005E596D">
              <w:rPr>
                <w:color w:val="000000"/>
                <w:sz w:val="20"/>
                <w:szCs w:val="20"/>
              </w:rPr>
              <w:t xml:space="preserve">that in most cases it would </w:t>
            </w:r>
            <w:r w:rsidR="00197019">
              <w:rPr>
                <w:color w:val="000000"/>
                <w:sz w:val="20"/>
                <w:szCs w:val="20"/>
              </w:rPr>
              <w:t>not be a significant</w:t>
            </w:r>
            <w:r w:rsidR="00236993">
              <w:rPr>
                <w:color w:val="000000"/>
                <w:sz w:val="20"/>
                <w:szCs w:val="20"/>
              </w:rPr>
              <w:t xml:space="preserve"> difference, </w:t>
            </w:r>
            <w:r w:rsidR="004D5AE6">
              <w:rPr>
                <w:color w:val="000000"/>
                <w:sz w:val="20"/>
                <w:szCs w:val="20"/>
              </w:rPr>
              <w:t xml:space="preserve">as it would </w:t>
            </w:r>
            <w:r w:rsidR="00EA22F7">
              <w:rPr>
                <w:color w:val="000000"/>
                <w:sz w:val="20"/>
                <w:szCs w:val="20"/>
              </w:rPr>
              <w:t>need to be compared to the potential advantages and benefits of the best offer plan</w:t>
            </w:r>
            <w:r w:rsidR="00311C86">
              <w:rPr>
                <w:color w:val="000000"/>
                <w:sz w:val="20"/>
                <w:szCs w:val="20"/>
              </w:rPr>
              <w:t xml:space="preserve"> (</w:t>
            </w:r>
            <w:r w:rsidR="00E719A1">
              <w:rPr>
                <w:color w:val="000000"/>
                <w:sz w:val="20"/>
                <w:szCs w:val="20"/>
              </w:rPr>
              <w:t>for example, plans with free online subscriptions have higher tariffs)</w:t>
            </w:r>
            <w:r w:rsidR="00A12287">
              <w:rPr>
                <w:color w:val="000000"/>
                <w:sz w:val="20"/>
                <w:szCs w:val="20"/>
              </w:rPr>
              <w:t>.</w:t>
            </w:r>
            <w:r w:rsidR="00F403D4">
              <w:rPr>
                <w:color w:val="000000"/>
                <w:sz w:val="20"/>
                <w:szCs w:val="20"/>
              </w:rPr>
              <w:t xml:space="preserve"> </w:t>
            </w:r>
            <w:r w:rsidR="00311C86">
              <w:rPr>
                <w:color w:val="000000"/>
                <w:sz w:val="20"/>
                <w:szCs w:val="20"/>
              </w:rPr>
              <w:t>W</w:t>
            </w:r>
            <w:r w:rsidR="00F403D4">
              <w:rPr>
                <w:color w:val="000000"/>
                <w:sz w:val="20"/>
                <w:szCs w:val="20"/>
              </w:rPr>
              <w:t xml:space="preserve">e cannot </w:t>
            </w:r>
            <w:r w:rsidR="00927199">
              <w:rPr>
                <w:color w:val="000000"/>
                <w:sz w:val="20"/>
                <w:szCs w:val="20"/>
              </w:rPr>
              <w:t xml:space="preserve">reasonably estimate or quantify </w:t>
            </w:r>
            <w:r w:rsidR="007C2E7F">
              <w:rPr>
                <w:color w:val="000000"/>
                <w:sz w:val="20"/>
                <w:szCs w:val="20"/>
              </w:rPr>
              <w:t>these benefits</w:t>
            </w:r>
            <w:r w:rsidR="006F621D">
              <w:rPr>
                <w:color w:val="000000"/>
                <w:sz w:val="20"/>
                <w:szCs w:val="20"/>
              </w:rPr>
              <w:t>, as they would need to be assessed on a case-by-case basis.</w:t>
            </w:r>
          </w:p>
          <w:p w14:paraId="35610F7D" w14:textId="77777777" w:rsidR="007435C2" w:rsidRDefault="00BD2CA9">
            <w:pPr>
              <w:spacing w:after="120" w:line="240" w:lineRule="auto"/>
              <w:rPr>
                <w:color w:val="000000"/>
                <w:sz w:val="20"/>
                <w:szCs w:val="20"/>
              </w:rPr>
            </w:pPr>
            <w:r>
              <w:rPr>
                <w:color w:val="000000"/>
                <w:sz w:val="20"/>
                <w:szCs w:val="20"/>
              </w:rPr>
              <w:t xml:space="preserve">We expect this option would not be as effective as switching plans in encouraging customers to engage with their retailer and to seek other forms of support available. </w:t>
            </w:r>
            <w:r w:rsidR="00505445">
              <w:rPr>
                <w:color w:val="000000"/>
                <w:sz w:val="20"/>
                <w:szCs w:val="20"/>
              </w:rPr>
              <w:t>Customers could have more difficulty in understanding the benefits of changed tariffs</w:t>
            </w:r>
            <w:r w:rsidR="006D0D24">
              <w:rPr>
                <w:color w:val="000000"/>
                <w:sz w:val="20"/>
                <w:szCs w:val="20"/>
              </w:rPr>
              <w:t>, particularly as they would remain on the same plan</w:t>
            </w:r>
            <w:r w:rsidR="004019D0">
              <w:rPr>
                <w:color w:val="000000"/>
                <w:sz w:val="20"/>
                <w:szCs w:val="20"/>
              </w:rPr>
              <w:t xml:space="preserve">. This could lead to a slightly </w:t>
            </w:r>
            <w:r w:rsidR="00763ADE">
              <w:rPr>
                <w:color w:val="000000"/>
                <w:sz w:val="20"/>
                <w:szCs w:val="20"/>
              </w:rPr>
              <w:t>less positive consumer experience.</w:t>
            </w:r>
            <w:r w:rsidR="00F946FE">
              <w:rPr>
                <w:color w:val="000000"/>
                <w:sz w:val="20"/>
                <w:szCs w:val="20"/>
              </w:rPr>
              <w:t xml:space="preserve"> </w:t>
            </w:r>
          </w:p>
          <w:p w14:paraId="47047673" w14:textId="05988E83" w:rsidR="00746664" w:rsidRPr="00746664" w:rsidRDefault="007435C2">
            <w:pPr>
              <w:spacing w:after="120" w:line="240" w:lineRule="auto"/>
              <w:rPr>
                <w:color w:val="000000"/>
                <w:sz w:val="20"/>
                <w:szCs w:val="20"/>
              </w:rPr>
            </w:pPr>
            <w:r>
              <w:rPr>
                <w:color w:val="000000"/>
                <w:sz w:val="20"/>
                <w:szCs w:val="20"/>
              </w:rPr>
              <w:t>Based on the collective reasons above</w:t>
            </w:r>
            <w:r w:rsidR="003C1A97">
              <w:rPr>
                <w:color w:val="000000"/>
                <w:sz w:val="20"/>
                <w:szCs w:val="20"/>
              </w:rPr>
              <w:t xml:space="preserve">, </w:t>
            </w:r>
            <w:r>
              <w:rPr>
                <w:color w:val="000000"/>
                <w:sz w:val="20"/>
                <w:szCs w:val="20"/>
              </w:rPr>
              <w:t xml:space="preserve">we consider </w:t>
            </w:r>
            <w:r w:rsidR="003C1A97">
              <w:rPr>
                <w:color w:val="000000"/>
                <w:sz w:val="20"/>
                <w:szCs w:val="20"/>
              </w:rPr>
              <w:t xml:space="preserve">this option </w:t>
            </w:r>
            <w:r w:rsidR="00B52DE0">
              <w:rPr>
                <w:color w:val="000000"/>
                <w:sz w:val="20"/>
                <w:szCs w:val="20"/>
              </w:rPr>
              <w:t>slightly less effective</w:t>
            </w:r>
            <w:r w:rsidR="009E3751">
              <w:rPr>
                <w:color w:val="000000"/>
                <w:sz w:val="20"/>
                <w:szCs w:val="20"/>
              </w:rPr>
              <w:t xml:space="preserve"> than Option A.1</w:t>
            </w:r>
            <w:r w:rsidR="00B52DE0">
              <w:rPr>
                <w:color w:val="000000"/>
                <w:sz w:val="20"/>
                <w:szCs w:val="20"/>
              </w:rPr>
              <w:t>.</w:t>
            </w:r>
          </w:p>
        </w:tc>
        <w:tc>
          <w:tcPr>
            <w:tcW w:w="1030" w:type="dxa"/>
            <w:shd w:val="clear" w:color="auto" w:fill="F2F2F2" w:themeFill="background1" w:themeFillShade="F2"/>
          </w:tcPr>
          <w:p w14:paraId="265B6401" w14:textId="38D96589" w:rsidR="00356A7E" w:rsidRDefault="00A063E7" w:rsidP="00D755F5">
            <w:pPr>
              <w:spacing w:after="120" w:line="240" w:lineRule="auto"/>
              <w:ind w:right="-123"/>
              <w:jc w:val="center"/>
              <w:rPr>
                <w:color w:val="000000"/>
                <w:sz w:val="20"/>
                <w:szCs w:val="20"/>
              </w:rPr>
            </w:pPr>
            <w:r>
              <w:rPr>
                <w:color w:val="000000"/>
                <w:sz w:val="20"/>
                <w:szCs w:val="20"/>
              </w:rPr>
              <w:lastRenderedPageBreak/>
              <w:t>3.5</w:t>
            </w:r>
          </w:p>
        </w:tc>
        <w:tc>
          <w:tcPr>
            <w:tcW w:w="1322" w:type="dxa"/>
            <w:shd w:val="clear" w:color="auto" w:fill="F2F2F2" w:themeFill="background1" w:themeFillShade="F2"/>
            <w:tcMar>
              <w:top w:w="0" w:type="dxa"/>
              <w:left w:w="118" w:type="dxa"/>
              <w:bottom w:w="0" w:type="dxa"/>
              <w:right w:w="118" w:type="dxa"/>
            </w:tcMar>
            <w:hideMark/>
          </w:tcPr>
          <w:p w14:paraId="1140F618" w14:textId="7F77D461" w:rsidR="00746664" w:rsidRPr="00746664" w:rsidRDefault="004A7FD4" w:rsidP="00D755F5">
            <w:pPr>
              <w:spacing w:after="120" w:line="240" w:lineRule="auto"/>
              <w:ind w:right="-123"/>
              <w:jc w:val="center"/>
              <w:rPr>
                <w:color w:val="000000"/>
                <w:sz w:val="20"/>
                <w:szCs w:val="20"/>
              </w:rPr>
            </w:pPr>
            <w:r>
              <w:rPr>
                <w:color w:val="000000"/>
                <w:sz w:val="20"/>
                <w:szCs w:val="20"/>
              </w:rPr>
              <w:t>1.75</w:t>
            </w:r>
          </w:p>
        </w:tc>
      </w:tr>
      <w:tr w:rsidR="00746664" w14:paraId="197735D5" w14:textId="77777777" w:rsidTr="00545E78">
        <w:tc>
          <w:tcPr>
            <w:tcW w:w="709" w:type="dxa"/>
            <w:tcBorders>
              <w:bottom w:val="single" w:sz="4" w:space="0" w:color="4986A0"/>
            </w:tcBorders>
            <w:tcMar>
              <w:top w:w="0" w:type="dxa"/>
              <w:left w:w="0" w:type="dxa"/>
              <w:bottom w:w="0" w:type="dxa"/>
              <w:right w:w="0" w:type="dxa"/>
            </w:tcMar>
            <w:hideMark/>
          </w:tcPr>
          <w:p w14:paraId="65A52052" w14:textId="77777777" w:rsidR="00746664" w:rsidRPr="00746664" w:rsidRDefault="00746664">
            <w:pPr>
              <w:spacing w:after="120" w:line="240" w:lineRule="auto"/>
              <w:rPr>
                <w:color w:val="000000"/>
                <w:sz w:val="20"/>
                <w:szCs w:val="20"/>
              </w:rPr>
            </w:pPr>
            <w:r w:rsidRPr="00746664">
              <w:rPr>
                <w:color w:val="000000"/>
                <w:sz w:val="20"/>
                <w:szCs w:val="20"/>
              </w:rPr>
              <w:t>A.3</w:t>
            </w:r>
          </w:p>
        </w:tc>
        <w:tc>
          <w:tcPr>
            <w:tcW w:w="1985" w:type="dxa"/>
            <w:tcBorders>
              <w:bottom w:val="single" w:sz="4" w:space="0" w:color="4986A0"/>
            </w:tcBorders>
            <w:tcMar>
              <w:top w:w="0" w:type="dxa"/>
              <w:left w:w="118" w:type="dxa"/>
              <w:bottom w:w="0" w:type="dxa"/>
              <w:right w:w="118" w:type="dxa"/>
            </w:tcMar>
            <w:hideMark/>
          </w:tcPr>
          <w:p w14:paraId="33399358" w14:textId="77777777" w:rsidR="00746664" w:rsidRDefault="00746664">
            <w:pPr>
              <w:spacing w:after="120" w:line="240" w:lineRule="auto"/>
              <w:rPr>
                <w:color w:val="000000"/>
                <w:sz w:val="20"/>
                <w:szCs w:val="20"/>
              </w:rPr>
            </w:pPr>
            <w:r w:rsidRPr="00746664">
              <w:rPr>
                <w:color w:val="000000"/>
                <w:sz w:val="20"/>
                <w:szCs w:val="20"/>
              </w:rPr>
              <w:t>Effectiveness</w:t>
            </w:r>
          </w:p>
          <w:p w14:paraId="720C62F1" w14:textId="77777777" w:rsidR="00F52078" w:rsidRDefault="00F52078" w:rsidP="00F52078">
            <w:pPr>
              <w:spacing w:after="120" w:line="240" w:lineRule="auto"/>
              <w:rPr>
                <w:color w:val="000000"/>
                <w:sz w:val="20"/>
                <w:szCs w:val="20"/>
              </w:rPr>
            </w:pPr>
            <w:r>
              <w:rPr>
                <w:color w:val="000000"/>
                <w:sz w:val="20"/>
                <w:szCs w:val="20"/>
              </w:rPr>
              <w:t>Reform objectives:</w:t>
            </w:r>
          </w:p>
          <w:p w14:paraId="60F7CB3F" w14:textId="77777777" w:rsidR="00F52078" w:rsidRDefault="00F52078" w:rsidP="00B43F3C">
            <w:pPr>
              <w:numPr>
                <w:ilvl w:val="0"/>
                <w:numId w:val="25"/>
              </w:numPr>
              <w:pBdr>
                <w:left w:val="none" w:sz="0" w:space="1" w:color="auto"/>
              </w:pBdr>
              <w:spacing w:after="0" w:line="240" w:lineRule="auto"/>
              <w:ind w:left="219" w:hanging="283"/>
              <w:rPr>
                <w:color w:val="000000"/>
                <w:sz w:val="20"/>
                <w:szCs w:val="20"/>
              </w:rPr>
            </w:pPr>
            <w:r>
              <w:rPr>
                <w:color w:val="000000"/>
                <w:sz w:val="20"/>
                <w:szCs w:val="20"/>
              </w:rPr>
              <w:t>help households pay less for energy</w:t>
            </w:r>
          </w:p>
          <w:p w14:paraId="0AD5C462" w14:textId="547328F9" w:rsidR="00F52078" w:rsidRPr="00746664" w:rsidRDefault="00F52078" w:rsidP="00B43F3C">
            <w:pPr>
              <w:numPr>
                <w:ilvl w:val="0"/>
                <w:numId w:val="25"/>
              </w:numPr>
              <w:pBdr>
                <w:left w:val="none" w:sz="0" w:space="1" w:color="auto"/>
              </w:pBdr>
              <w:spacing w:after="0" w:line="240" w:lineRule="auto"/>
              <w:ind w:left="219" w:hanging="283"/>
              <w:rPr>
                <w:color w:val="000000"/>
                <w:sz w:val="20"/>
                <w:szCs w:val="20"/>
              </w:rPr>
            </w:pPr>
            <w:r>
              <w:rPr>
                <w:color w:val="000000"/>
                <w:sz w:val="20"/>
                <w:szCs w:val="20"/>
              </w:rPr>
              <w:t xml:space="preserve">increase support for people </w:t>
            </w:r>
            <w:r>
              <w:rPr>
                <w:color w:val="000000"/>
                <w:sz w:val="20"/>
                <w:szCs w:val="20"/>
              </w:rPr>
              <w:lastRenderedPageBreak/>
              <w:t>experiencing payment difficulty.</w:t>
            </w:r>
          </w:p>
        </w:tc>
        <w:tc>
          <w:tcPr>
            <w:tcW w:w="4592" w:type="dxa"/>
            <w:tcBorders>
              <w:bottom w:val="single" w:sz="4" w:space="0" w:color="4986A0"/>
            </w:tcBorders>
            <w:tcMar>
              <w:top w:w="0" w:type="dxa"/>
              <w:left w:w="118" w:type="dxa"/>
              <w:bottom w:w="0" w:type="dxa"/>
              <w:right w:w="118" w:type="dxa"/>
            </w:tcMar>
            <w:hideMark/>
          </w:tcPr>
          <w:p w14:paraId="79C633A9" w14:textId="77777777" w:rsidR="006C17C1" w:rsidRDefault="00746664">
            <w:pPr>
              <w:spacing w:after="120" w:line="240" w:lineRule="auto"/>
              <w:rPr>
                <w:color w:val="000000"/>
                <w:sz w:val="20"/>
                <w:szCs w:val="20"/>
              </w:rPr>
            </w:pPr>
            <w:r w:rsidRPr="00746664">
              <w:rPr>
                <w:color w:val="000000"/>
                <w:sz w:val="20"/>
                <w:szCs w:val="20"/>
              </w:rPr>
              <w:lastRenderedPageBreak/>
              <w:t>The option of crediting a customer’s account with the difference between their current</w:t>
            </w:r>
            <w:r w:rsidR="00763ADE">
              <w:rPr>
                <w:color w:val="000000"/>
                <w:sz w:val="20"/>
                <w:szCs w:val="20"/>
              </w:rPr>
              <w:t xml:space="preserve"> plan</w:t>
            </w:r>
            <w:r w:rsidRPr="00746664">
              <w:rPr>
                <w:color w:val="000000"/>
                <w:sz w:val="20"/>
                <w:szCs w:val="20"/>
              </w:rPr>
              <w:t xml:space="preserve"> and the best offer would have </w:t>
            </w:r>
            <w:r w:rsidR="00763ADE">
              <w:rPr>
                <w:color w:val="000000"/>
                <w:sz w:val="20"/>
                <w:szCs w:val="20"/>
              </w:rPr>
              <w:t xml:space="preserve">an initial </w:t>
            </w:r>
            <w:r w:rsidRPr="00746664">
              <w:rPr>
                <w:color w:val="000000"/>
                <w:sz w:val="20"/>
                <w:szCs w:val="20"/>
              </w:rPr>
              <w:t xml:space="preserve">equivalent financial impact for consumers as Option A.1. </w:t>
            </w:r>
          </w:p>
          <w:p w14:paraId="0BA3B726" w14:textId="37B3D7C0" w:rsidR="00E95F03" w:rsidRDefault="00746664">
            <w:pPr>
              <w:spacing w:after="120" w:line="240" w:lineRule="auto"/>
              <w:rPr>
                <w:color w:val="000000"/>
                <w:sz w:val="20"/>
                <w:szCs w:val="20"/>
              </w:rPr>
            </w:pPr>
            <w:r w:rsidRPr="00746664">
              <w:rPr>
                <w:color w:val="000000"/>
                <w:sz w:val="20"/>
                <w:szCs w:val="20"/>
              </w:rPr>
              <w:t>However, there would be a degree o</w:t>
            </w:r>
            <w:r w:rsidR="009A1D8C">
              <w:rPr>
                <w:color w:val="000000"/>
                <w:sz w:val="20"/>
                <w:szCs w:val="20"/>
              </w:rPr>
              <w:t>f</w:t>
            </w:r>
            <w:r w:rsidRPr="00746664">
              <w:rPr>
                <w:color w:val="000000"/>
                <w:sz w:val="20"/>
                <w:szCs w:val="20"/>
              </w:rPr>
              <w:t xml:space="preserve"> impermanence associated with this </w:t>
            </w:r>
            <w:r w:rsidR="00B30CEB">
              <w:rPr>
                <w:color w:val="000000"/>
                <w:sz w:val="20"/>
                <w:szCs w:val="20"/>
              </w:rPr>
              <w:t xml:space="preserve">option. </w:t>
            </w:r>
            <w:r w:rsidR="00AC4D7D">
              <w:rPr>
                <w:color w:val="000000"/>
                <w:sz w:val="20"/>
                <w:szCs w:val="20"/>
              </w:rPr>
              <w:t>Customers would only receive a credit while eligible for this suppor</w:t>
            </w:r>
            <w:r w:rsidR="00C95690">
              <w:rPr>
                <w:color w:val="000000"/>
                <w:sz w:val="20"/>
                <w:szCs w:val="20"/>
              </w:rPr>
              <w:t>t. Th</w:t>
            </w:r>
            <w:r w:rsidR="000F777E">
              <w:rPr>
                <w:color w:val="000000"/>
                <w:sz w:val="20"/>
                <w:szCs w:val="20"/>
              </w:rPr>
              <w:t xml:space="preserve">eir plans would remain unchanged. This could lead to price shocks once </w:t>
            </w:r>
            <w:r w:rsidR="000F777E">
              <w:rPr>
                <w:color w:val="000000"/>
                <w:sz w:val="20"/>
                <w:szCs w:val="20"/>
              </w:rPr>
              <w:lastRenderedPageBreak/>
              <w:t>a customer exits tailored assistance or is no longer eligible under the debt threshold.</w:t>
            </w:r>
            <w:r w:rsidR="00E74A72">
              <w:rPr>
                <w:color w:val="000000"/>
                <w:sz w:val="20"/>
                <w:szCs w:val="20"/>
              </w:rPr>
              <w:t xml:space="preserve"> This could be particularly problematic for customers who enter and exit tailored assistance </w:t>
            </w:r>
            <w:r w:rsidR="00E5694D">
              <w:rPr>
                <w:color w:val="000000"/>
                <w:sz w:val="20"/>
                <w:szCs w:val="20"/>
              </w:rPr>
              <w:t xml:space="preserve">in a short period of </w:t>
            </w:r>
            <w:r w:rsidR="00290D73">
              <w:rPr>
                <w:color w:val="000000"/>
                <w:sz w:val="20"/>
                <w:szCs w:val="20"/>
              </w:rPr>
              <w:t>time.</w:t>
            </w:r>
            <w:r w:rsidR="005E4E4F">
              <w:rPr>
                <w:color w:val="000000"/>
                <w:sz w:val="20"/>
                <w:szCs w:val="20"/>
              </w:rPr>
              <w:t xml:space="preserve"> </w:t>
            </w:r>
          </w:p>
          <w:p w14:paraId="17E87A41" w14:textId="3C6E5A86" w:rsidR="006E6615" w:rsidRDefault="006E6615">
            <w:pPr>
              <w:spacing w:after="120" w:line="240" w:lineRule="auto"/>
              <w:rPr>
                <w:color w:val="000000"/>
                <w:sz w:val="20"/>
                <w:szCs w:val="20"/>
              </w:rPr>
            </w:pPr>
            <w:r>
              <w:rPr>
                <w:color w:val="000000"/>
                <w:sz w:val="20"/>
                <w:szCs w:val="20"/>
              </w:rPr>
              <w:t>For example, a customer who receive</w:t>
            </w:r>
            <w:r w:rsidR="00887441">
              <w:rPr>
                <w:color w:val="000000"/>
                <w:sz w:val="20"/>
                <w:szCs w:val="20"/>
              </w:rPr>
              <w:t>d</w:t>
            </w:r>
            <w:r>
              <w:rPr>
                <w:color w:val="000000"/>
                <w:sz w:val="20"/>
                <w:szCs w:val="20"/>
              </w:rPr>
              <w:t xml:space="preserve"> tailored assistance for two months would </w:t>
            </w:r>
            <w:r w:rsidR="00887441">
              <w:rPr>
                <w:color w:val="000000"/>
                <w:sz w:val="20"/>
                <w:szCs w:val="20"/>
              </w:rPr>
              <w:t>only receive a credit for the last relevant bill</w:t>
            </w:r>
            <w:r w:rsidR="00201D1F">
              <w:rPr>
                <w:color w:val="000000"/>
                <w:sz w:val="20"/>
                <w:szCs w:val="20"/>
              </w:rPr>
              <w:t xml:space="preserve">, and would need to continue paying at higher energy rates for the next bills. </w:t>
            </w:r>
            <w:r w:rsidR="00E95F03">
              <w:rPr>
                <w:color w:val="000000"/>
                <w:sz w:val="20"/>
                <w:szCs w:val="20"/>
              </w:rPr>
              <w:t>However, under options A.1 and A.2, The same customer would continue to benefit from a cheaper plan or tariffs until at least the next tariff increase.</w:t>
            </w:r>
          </w:p>
          <w:p w14:paraId="45DB87DE" w14:textId="1D5318BB" w:rsidR="00746664" w:rsidRDefault="00D20404">
            <w:pPr>
              <w:spacing w:after="120" w:line="240" w:lineRule="auto"/>
              <w:rPr>
                <w:color w:val="000000"/>
                <w:sz w:val="20"/>
                <w:szCs w:val="20"/>
              </w:rPr>
            </w:pPr>
            <w:r>
              <w:rPr>
                <w:color w:val="000000"/>
                <w:sz w:val="20"/>
                <w:szCs w:val="20"/>
              </w:rPr>
              <w:t xml:space="preserve">While we cannot quantify </w:t>
            </w:r>
            <w:r w:rsidR="00661D60">
              <w:rPr>
                <w:color w:val="000000"/>
                <w:sz w:val="20"/>
                <w:szCs w:val="20"/>
              </w:rPr>
              <w:t>the financial impact of this option compare</w:t>
            </w:r>
            <w:r w:rsidR="00F033DC">
              <w:rPr>
                <w:color w:val="000000"/>
                <w:sz w:val="20"/>
                <w:szCs w:val="20"/>
              </w:rPr>
              <w:t>d to Options A.1 and A.2, we can reasonably assume that it would be less effective in helping households pay less for energy.</w:t>
            </w:r>
          </w:p>
          <w:p w14:paraId="765DC946" w14:textId="2C961596" w:rsidR="00F42492" w:rsidRDefault="0049661B">
            <w:pPr>
              <w:spacing w:after="120" w:line="240" w:lineRule="auto"/>
              <w:rPr>
                <w:color w:val="000000"/>
                <w:sz w:val="20"/>
                <w:szCs w:val="20"/>
              </w:rPr>
            </w:pPr>
            <w:r>
              <w:rPr>
                <w:color w:val="000000"/>
                <w:sz w:val="20"/>
                <w:szCs w:val="20"/>
              </w:rPr>
              <w:t xml:space="preserve">We </w:t>
            </w:r>
            <w:r w:rsidR="00F42492">
              <w:rPr>
                <w:color w:val="000000"/>
                <w:sz w:val="20"/>
                <w:szCs w:val="20"/>
              </w:rPr>
              <w:t xml:space="preserve">also </w:t>
            </w:r>
            <w:r>
              <w:rPr>
                <w:color w:val="000000"/>
                <w:sz w:val="20"/>
                <w:szCs w:val="20"/>
              </w:rPr>
              <w:t xml:space="preserve">expect this option would be slightly less effective in encouraging </w:t>
            </w:r>
            <w:r w:rsidR="0011408D">
              <w:rPr>
                <w:color w:val="000000"/>
                <w:sz w:val="20"/>
                <w:szCs w:val="20"/>
              </w:rPr>
              <w:t xml:space="preserve">customers to engage with their retailer and seek other forms of support available. </w:t>
            </w:r>
            <w:r w:rsidR="00F42492">
              <w:rPr>
                <w:color w:val="000000"/>
                <w:sz w:val="20"/>
                <w:szCs w:val="20"/>
              </w:rPr>
              <w:t>Customers are more likely to engage with a notice of being switched to a better plan, or a tariff decrease (options A.1 and A.2), than a credit as a line</w:t>
            </w:r>
            <w:r w:rsidR="00955918">
              <w:rPr>
                <w:color w:val="000000"/>
                <w:sz w:val="20"/>
                <w:szCs w:val="20"/>
              </w:rPr>
              <w:t xml:space="preserve"> </w:t>
            </w:r>
            <w:r w:rsidR="00F42492">
              <w:rPr>
                <w:color w:val="000000"/>
                <w:sz w:val="20"/>
                <w:szCs w:val="20"/>
              </w:rPr>
              <w:t>item on their bill</w:t>
            </w:r>
            <w:r w:rsidR="00C97BA2">
              <w:rPr>
                <w:color w:val="000000"/>
                <w:sz w:val="20"/>
                <w:szCs w:val="20"/>
              </w:rPr>
              <w:t>.</w:t>
            </w:r>
            <w:r w:rsidR="00F42492">
              <w:rPr>
                <w:color w:val="000000"/>
                <w:sz w:val="20"/>
                <w:szCs w:val="20"/>
              </w:rPr>
              <w:t xml:space="preserve"> </w:t>
            </w:r>
            <w:r w:rsidR="00C10023" w:rsidRPr="006E71A6">
              <w:rPr>
                <w:color w:val="000000"/>
                <w:sz w:val="20"/>
                <w:szCs w:val="20"/>
              </w:rPr>
              <w:t xml:space="preserve"> The other two options would require a</w:t>
            </w:r>
            <w:r w:rsidR="00C10023">
              <w:rPr>
                <w:color w:val="000000"/>
                <w:sz w:val="20"/>
                <w:szCs w:val="20"/>
              </w:rPr>
              <w:t xml:space="preserve"> specific </w:t>
            </w:r>
            <w:r w:rsidR="00C10023" w:rsidRPr="006E71A6">
              <w:rPr>
                <w:color w:val="000000"/>
                <w:sz w:val="20"/>
                <w:szCs w:val="20"/>
              </w:rPr>
              <w:t>notice being sent to the customer</w:t>
            </w:r>
            <w:r w:rsidR="00C10023">
              <w:rPr>
                <w:color w:val="000000"/>
                <w:sz w:val="20"/>
                <w:szCs w:val="20"/>
              </w:rPr>
              <w:t xml:space="preserve"> </w:t>
            </w:r>
            <w:r w:rsidR="00647B39">
              <w:rPr>
                <w:color w:val="000000"/>
                <w:sz w:val="20"/>
                <w:szCs w:val="20"/>
              </w:rPr>
              <w:t xml:space="preserve">notifying the changes </w:t>
            </w:r>
            <w:r w:rsidR="00C10023">
              <w:rPr>
                <w:color w:val="000000"/>
                <w:sz w:val="20"/>
                <w:szCs w:val="20"/>
              </w:rPr>
              <w:t>rather than a credit simply appearing on a customer’s bill</w:t>
            </w:r>
            <w:r w:rsidR="00647B39">
              <w:rPr>
                <w:color w:val="000000"/>
                <w:sz w:val="20"/>
                <w:szCs w:val="20"/>
              </w:rPr>
              <w:t>, which is currently standard practice for different type</w:t>
            </w:r>
            <w:r w:rsidR="008B1DAA">
              <w:rPr>
                <w:color w:val="000000"/>
                <w:sz w:val="20"/>
                <w:szCs w:val="20"/>
              </w:rPr>
              <w:t>s</w:t>
            </w:r>
            <w:r w:rsidR="00647B39">
              <w:rPr>
                <w:color w:val="000000"/>
                <w:sz w:val="20"/>
                <w:szCs w:val="20"/>
              </w:rPr>
              <w:t xml:space="preserve"> of credits and rebates</w:t>
            </w:r>
            <w:r w:rsidR="00C10023">
              <w:rPr>
                <w:color w:val="000000"/>
                <w:sz w:val="20"/>
                <w:szCs w:val="20"/>
              </w:rPr>
              <w:t>.</w:t>
            </w:r>
          </w:p>
          <w:p w14:paraId="11F82632" w14:textId="4C6E7E7D" w:rsidR="00746664" w:rsidRPr="00746664" w:rsidRDefault="009E3751">
            <w:pPr>
              <w:spacing w:after="120" w:line="240" w:lineRule="auto"/>
              <w:rPr>
                <w:color w:val="000000"/>
                <w:sz w:val="20"/>
                <w:szCs w:val="20"/>
              </w:rPr>
            </w:pPr>
            <w:r>
              <w:rPr>
                <w:color w:val="000000"/>
                <w:sz w:val="20"/>
                <w:szCs w:val="20"/>
              </w:rPr>
              <w:t xml:space="preserve">We therefore consider this option would be less effective than </w:t>
            </w:r>
            <w:r w:rsidR="00F42492">
              <w:rPr>
                <w:color w:val="000000"/>
                <w:sz w:val="20"/>
                <w:szCs w:val="20"/>
              </w:rPr>
              <w:t xml:space="preserve">the two other options </w:t>
            </w:r>
            <w:r>
              <w:rPr>
                <w:color w:val="000000"/>
                <w:sz w:val="20"/>
                <w:szCs w:val="20"/>
              </w:rPr>
              <w:t>in increasing support for people experiencing payment difficulty.</w:t>
            </w:r>
            <w:r w:rsidR="006E71A6">
              <w:rPr>
                <w:color w:val="000000"/>
                <w:sz w:val="20"/>
                <w:szCs w:val="20"/>
              </w:rPr>
              <w:t xml:space="preserve"> </w:t>
            </w:r>
          </w:p>
        </w:tc>
        <w:tc>
          <w:tcPr>
            <w:tcW w:w="1030" w:type="dxa"/>
            <w:tcBorders>
              <w:bottom w:val="single" w:sz="4" w:space="0" w:color="4986A0"/>
            </w:tcBorders>
          </w:tcPr>
          <w:p w14:paraId="4CC17A20" w14:textId="0805B5D6" w:rsidR="00356A7E" w:rsidRPr="00746664" w:rsidDel="00377483" w:rsidRDefault="00A063E7" w:rsidP="00D755F5">
            <w:pPr>
              <w:spacing w:after="120" w:line="240" w:lineRule="auto"/>
              <w:ind w:right="-123"/>
              <w:jc w:val="center"/>
              <w:rPr>
                <w:color w:val="000000"/>
                <w:sz w:val="20"/>
                <w:szCs w:val="20"/>
              </w:rPr>
            </w:pPr>
            <w:r>
              <w:rPr>
                <w:color w:val="000000"/>
                <w:sz w:val="20"/>
                <w:szCs w:val="20"/>
              </w:rPr>
              <w:lastRenderedPageBreak/>
              <w:t>3</w:t>
            </w:r>
          </w:p>
        </w:tc>
        <w:tc>
          <w:tcPr>
            <w:tcW w:w="1322" w:type="dxa"/>
            <w:tcBorders>
              <w:bottom w:val="single" w:sz="4" w:space="0" w:color="4986A0"/>
            </w:tcBorders>
            <w:tcMar>
              <w:top w:w="0" w:type="dxa"/>
              <w:left w:w="118" w:type="dxa"/>
              <w:bottom w:w="0" w:type="dxa"/>
              <w:right w:w="118" w:type="dxa"/>
            </w:tcMar>
            <w:hideMark/>
          </w:tcPr>
          <w:p w14:paraId="77DDF7C5" w14:textId="62DACF14" w:rsidR="00746664" w:rsidRPr="00746664" w:rsidRDefault="00377483" w:rsidP="00D755F5">
            <w:pPr>
              <w:spacing w:after="120" w:line="240" w:lineRule="auto"/>
              <w:ind w:right="-123"/>
              <w:jc w:val="center"/>
              <w:rPr>
                <w:color w:val="000000"/>
                <w:sz w:val="20"/>
                <w:szCs w:val="20"/>
              </w:rPr>
            </w:pPr>
            <w:r>
              <w:rPr>
                <w:color w:val="000000"/>
                <w:sz w:val="20"/>
                <w:szCs w:val="20"/>
              </w:rPr>
              <w:t>1</w:t>
            </w:r>
            <w:r w:rsidR="00746664" w:rsidRPr="00746664">
              <w:rPr>
                <w:color w:val="000000"/>
                <w:sz w:val="20"/>
                <w:szCs w:val="20"/>
              </w:rPr>
              <w:t>.5</w:t>
            </w:r>
          </w:p>
        </w:tc>
      </w:tr>
    </w:tbl>
    <w:p w14:paraId="0A2DD51A" w14:textId="77777777" w:rsidR="00D45372" w:rsidRDefault="00D45372" w:rsidP="00D45372"/>
    <w:p w14:paraId="22809555" w14:textId="327D76F1" w:rsidR="00FB770B" w:rsidRDefault="00A33B5E" w:rsidP="00D45372">
      <w:pPr>
        <w:pStyle w:val="Figure-Table-BoxSubtitle"/>
        <w:ind w:left="0"/>
      </w:pPr>
      <w:r w:rsidRPr="00D45372">
        <w:rPr>
          <w:b/>
        </w:rPr>
        <w:t>Table 11:</w:t>
      </w:r>
      <w:r w:rsidRPr="000F6481">
        <w:t xml:space="preserve"> MCA assessment of options A.1, A.2 and A.3: Cost to industry</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709"/>
        <w:gridCol w:w="1843"/>
        <w:gridCol w:w="4761"/>
        <w:gridCol w:w="1003"/>
        <w:gridCol w:w="1322"/>
      </w:tblGrid>
      <w:tr w:rsidR="00CB4D22" w14:paraId="3F3457BB" w14:textId="77777777" w:rsidTr="00D45372">
        <w:tc>
          <w:tcPr>
            <w:tcW w:w="709" w:type="dxa"/>
            <w:tcBorders>
              <w:top w:val="single" w:sz="4" w:space="0" w:color="4986A0"/>
              <w:bottom w:val="single" w:sz="4" w:space="0" w:color="4986A0"/>
            </w:tcBorders>
            <w:shd w:val="clear" w:color="auto" w:fill="4986A0"/>
            <w:tcMar>
              <w:top w:w="0" w:type="dxa"/>
              <w:left w:w="0" w:type="dxa"/>
              <w:bottom w:w="0" w:type="dxa"/>
              <w:right w:w="0" w:type="dxa"/>
            </w:tcMar>
            <w:hideMark/>
          </w:tcPr>
          <w:p w14:paraId="77B77966" w14:textId="77777777" w:rsidR="00154B93" w:rsidRPr="00154B93" w:rsidRDefault="00154B93" w:rsidP="00D45372">
            <w:pPr>
              <w:keepNext/>
              <w:keepLines/>
              <w:spacing w:before="60" w:after="60" w:line="240" w:lineRule="auto"/>
              <w:jc w:val="center"/>
              <w:rPr>
                <w:b/>
                <w:color w:val="FFFFFF"/>
                <w:sz w:val="20"/>
                <w:szCs w:val="20"/>
              </w:rPr>
            </w:pPr>
            <w:r w:rsidRPr="00154B93">
              <w:rPr>
                <w:b/>
                <w:bCs/>
                <w:color w:val="FFFFFF"/>
                <w:sz w:val="20"/>
                <w:szCs w:val="20"/>
              </w:rPr>
              <w:t>Option</w:t>
            </w:r>
          </w:p>
        </w:tc>
        <w:tc>
          <w:tcPr>
            <w:tcW w:w="1843"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7DCF900D" w14:textId="77777777" w:rsidR="0047188A" w:rsidRDefault="00154B93" w:rsidP="00D45372">
            <w:pPr>
              <w:keepNext/>
              <w:keepLines/>
              <w:spacing w:before="60" w:after="60" w:line="240" w:lineRule="auto"/>
              <w:jc w:val="center"/>
              <w:rPr>
                <w:b/>
                <w:bCs/>
                <w:color w:val="FFFFFF"/>
                <w:sz w:val="20"/>
                <w:szCs w:val="20"/>
              </w:rPr>
            </w:pPr>
            <w:r w:rsidRPr="00154B93">
              <w:rPr>
                <w:b/>
                <w:bCs/>
                <w:color w:val="FFFFFF"/>
                <w:sz w:val="20"/>
                <w:szCs w:val="20"/>
              </w:rPr>
              <w:t>Criteria</w:t>
            </w:r>
          </w:p>
          <w:p w14:paraId="54B9424D" w14:textId="106B57B6" w:rsidR="00154B93" w:rsidRPr="00154B93" w:rsidRDefault="00154B93" w:rsidP="00D45372">
            <w:pPr>
              <w:keepNext/>
              <w:keepLines/>
              <w:spacing w:before="60" w:after="60" w:line="240" w:lineRule="auto"/>
              <w:jc w:val="center"/>
              <w:rPr>
                <w:b/>
                <w:color w:val="FFFFFF"/>
                <w:sz w:val="20"/>
                <w:szCs w:val="20"/>
              </w:rPr>
            </w:pPr>
            <w:r w:rsidRPr="00154B93">
              <w:rPr>
                <w:b/>
                <w:bCs/>
                <w:color w:val="FFFFFF"/>
                <w:sz w:val="20"/>
                <w:szCs w:val="20"/>
              </w:rPr>
              <w:t>(weighting 40%)</w:t>
            </w:r>
          </w:p>
        </w:tc>
        <w:tc>
          <w:tcPr>
            <w:tcW w:w="4761"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623174BD" w14:textId="77777777" w:rsidR="00154B93" w:rsidRPr="00154B93" w:rsidRDefault="00154B93" w:rsidP="00D45372">
            <w:pPr>
              <w:keepNext/>
              <w:keepLines/>
              <w:spacing w:before="60" w:after="60" w:line="240" w:lineRule="auto"/>
              <w:jc w:val="center"/>
              <w:rPr>
                <w:b/>
                <w:color w:val="FFFFFF"/>
                <w:sz w:val="20"/>
                <w:szCs w:val="20"/>
              </w:rPr>
            </w:pPr>
            <w:r w:rsidRPr="00154B93">
              <w:rPr>
                <w:b/>
                <w:bCs/>
                <w:color w:val="FFFFFF"/>
                <w:sz w:val="20"/>
                <w:szCs w:val="20"/>
              </w:rPr>
              <w:t>Assessment</w:t>
            </w:r>
          </w:p>
        </w:tc>
        <w:tc>
          <w:tcPr>
            <w:tcW w:w="1003" w:type="dxa"/>
            <w:tcBorders>
              <w:top w:val="single" w:sz="4" w:space="0" w:color="4986A0"/>
              <w:bottom w:val="single" w:sz="4" w:space="0" w:color="4986A0"/>
            </w:tcBorders>
            <w:shd w:val="clear" w:color="auto" w:fill="4986A0"/>
          </w:tcPr>
          <w:p w14:paraId="58E9FAB3" w14:textId="77777777" w:rsidR="0047188A" w:rsidRDefault="00A063E7" w:rsidP="00D45372">
            <w:pPr>
              <w:keepNext/>
              <w:keepLines/>
              <w:spacing w:before="60" w:after="60" w:line="240" w:lineRule="auto"/>
              <w:jc w:val="center"/>
              <w:rPr>
                <w:b/>
                <w:bCs/>
                <w:color w:val="FFFFFF"/>
                <w:sz w:val="20"/>
                <w:szCs w:val="20"/>
              </w:rPr>
            </w:pPr>
            <w:r>
              <w:rPr>
                <w:b/>
                <w:bCs/>
                <w:color w:val="FFFFFF"/>
                <w:sz w:val="20"/>
                <w:szCs w:val="20"/>
              </w:rPr>
              <w:t>Score</w:t>
            </w:r>
          </w:p>
          <w:p w14:paraId="185CECE8" w14:textId="62B1C546" w:rsidR="00A063E7" w:rsidRDefault="0047188A" w:rsidP="00D45372">
            <w:pPr>
              <w:keepNext/>
              <w:keepLines/>
              <w:spacing w:before="60" w:after="60" w:line="240" w:lineRule="auto"/>
              <w:jc w:val="center"/>
              <w:rPr>
                <w:b/>
                <w:bCs/>
                <w:color w:val="FFFFFF"/>
                <w:sz w:val="20"/>
                <w:szCs w:val="20"/>
              </w:rPr>
            </w:pPr>
            <w:r>
              <w:rPr>
                <w:b/>
                <w:bCs/>
                <w:color w:val="FFFFFF"/>
                <w:sz w:val="20"/>
                <w:szCs w:val="20"/>
              </w:rPr>
              <w:t>(-10 to 10)</w:t>
            </w:r>
          </w:p>
        </w:tc>
        <w:tc>
          <w:tcPr>
            <w:tcW w:w="1322"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1E585EAA" w14:textId="77777777" w:rsidR="00154B93" w:rsidRPr="00154B93" w:rsidRDefault="00154B93" w:rsidP="00D45372">
            <w:pPr>
              <w:keepNext/>
              <w:keepLines/>
              <w:spacing w:before="60" w:after="60" w:line="240" w:lineRule="auto"/>
              <w:jc w:val="center"/>
              <w:rPr>
                <w:color w:val="000000"/>
                <w:sz w:val="20"/>
                <w:szCs w:val="20"/>
              </w:rPr>
            </w:pPr>
            <w:r w:rsidRPr="00154B93">
              <w:rPr>
                <w:b/>
                <w:bCs/>
                <w:color w:val="FFFFFF"/>
                <w:sz w:val="20"/>
                <w:szCs w:val="20"/>
              </w:rPr>
              <w:t>Weighted score</w:t>
            </w:r>
          </w:p>
        </w:tc>
      </w:tr>
      <w:tr w:rsidR="00CB4D22" w14:paraId="4298F286" w14:textId="77777777" w:rsidTr="00D45372">
        <w:trPr>
          <w:trHeight w:val="360"/>
        </w:trPr>
        <w:tc>
          <w:tcPr>
            <w:tcW w:w="709" w:type="dxa"/>
            <w:tcMar>
              <w:top w:w="0" w:type="dxa"/>
              <w:left w:w="0" w:type="dxa"/>
              <w:bottom w:w="0" w:type="dxa"/>
              <w:right w:w="0" w:type="dxa"/>
            </w:tcMar>
            <w:hideMark/>
          </w:tcPr>
          <w:p w14:paraId="56166EB5" w14:textId="77777777" w:rsidR="00154B93" w:rsidRPr="00154B93" w:rsidRDefault="00154B93" w:rsidP="00D45372">
            <w:pPr>
              <w:keepNext/>
              <w:keepLines/>
              <w:spacing w:after="120" w:line="240" w:lineRule="auto"/>
              <w:rPr>
                <w:color w:val="000000"/>
                <w:sz w:val="20"/>
                <w:szCs w:val="20"/>
              </w:rPr>
            </w:pPr>
            <w:r w:rsidRPr="00154B93">
              <w:rPr>
                <w:color w:val="000000"/>
                <w:sz w:val="20"/>
                <w:szCs w:val="20"/>
              </w:rPr>
              <w:t>A.1</w:t>
            </w:r>
          </w:p>
        </w:tc>
        <w:tc>
          <w:tcPr>
            <w:tcW w:w="1843" w:type="dxa"/>
            <w:tcMar>
              <w:top w:w="0" w:type="dxa"/>
              <w:left w:w="118" w:type="dxa"/>
              <w:bottom w:w="0" w:type="dxa"/>
              <w:right w:w="118" w:type="dxa"/>
            </w:tcMar>
            <w:hideMark/>
          </w:tcPr>
          <w:p w14:paraId="35A2046D" w14:textId="77777777" w:rsidR="00154B93" w:rsidRPr="00154B93" w:rsidRDefault="00154B93" w:rsidP="00D45372">
            <w:pPr>
              <w:keepNext/>
              <w:keepLines/>
              <w:spacing w:after="120" w:line="240" w:lineRule="auto"/>
              <w:rPr>
                <w:color w:val="000000"/>
                <w:sz w:val="20"/>
                <w:szCs w:val="20"/>
              </w:rPr>
            </w:pPr>
            <w:r w:rsidRPr="00154B93">
              <w:rPr>
                <w:color w:val="000000"/>
                <w:sz w:val="20"/>
                <w:szCs w:val="20"/>
              </w:rPr>
              <w:t xml:space="preserve">Cost to industry </w:t>
            </w:r>
          </w:p>
        </w:tc>
        <w:tc>
          <w:tcPr>
            <w:tcW w:w="4761" w:type="dxa"/>
            <w:tcMar>
              <w:top w:w="0" w:type="dxa"/>
              <w:left w:w="118" w:type="dxa"/>
              <w:bottom w:w="0" w:type="dxa"/>
              <w:right w:w="118" w:type="dxa"/>
            </w:tcMar>
            <w:hideMark/>
          </w:tcPr>
          <w:p w14:paraId="0A46C660" w14:textId="31A1F0C7" w:rsidR="005F4AF2" w:rsidRPr="005F4AF2" w:rsidRDefault="005F4AF2" w:rsidP="00D45372">
            <w:pPr>
              <w:keepNext/>
              <w:keepLines/>
              <w:spacing w:after="120" w:line="240" w:lineRule="auto"/>
              <w:rPr>
                <w:color w:val="000000"/>
                <w:sz w:val="20"/>
                <w:szCs w:val="20"/>
                <w:u w:val="single"/>
              </w:rPr>
            </w:pPr>
            <w:r w:rsidRPr="005F4AF2">
              <w:rPr>
                <w:color w:val="000000"/>
                <w:sz w:val="20"/>
                <w:szCs w:val="20"/>
                <w:u w:val="single"/>
              </w:rPr>
              <w:t>Compliance costs</w:t>
            </w:r>
          </w:p>
          <w:p w14:paraId="108C8E78" w14:textId="07DBBEA6" w:rsidR="00B22B28" w:rsidRDefault="00F20D49" w:rsidP="00D45372">
            <w:pPr>
              <w:keepNext/>
              <w:keepLines/>
              <w:spacing w:after="120" w:line="240" w:lineRule="auto"/>
              <w:rPr>
                <w:color w:val="000000"/>
                <w:sz w:val="20"/>
                <w:szCs w:val="20"/>
              </w:rPr>
            </w:pPr>
            <w:r>
              <w:rPr>
                <w:color w:val="000000"/>
                <w:sz w:val="20"/>
                <w:szCs w:val="20"/>
              </w:rPr>
              <w:t>Retailers</w:t>
            </w:r>
            <w:r w:rsidRPr="00154B93">
              <w:rPr>
                <w:color w:val="000000"/>
                <w:sz w:val="20"/>
                <w:szCs w:val="20"/>
              </w:rPr>
              <w:t xml:space="preserve"> </w:t>
            </w:r>
            <w:r w:rsidR="00154B93" w:rsidRPr="00154B93">
              <w:rPr>
                <w:color w:val="000000"/>
                <w:sz w:val="20"/>
                <w:szCs w:val="20"/>
              </w:rPr>
              <w:t xml:space="preserve">would </w:t>
            </w:r>
            <w:r w:rsidR="00472299">
              <w:rPr>
                <w:color w:val="000000"/>
                <w:sz w:val="20"/>
                <w:szCs w:val="20"/>
              </w:rPr>
              <w:t xml:space="preserve">need </w:t>
            </w:r>
            <w:r w:rsidR="00154B93" w:rsidRPr="00154B93">
              <w:rPr>
                <w:color w:val="000000"/>
                <w:sz w:val="20"/>
                <w:szCs w:val="20"/>
              </w:rPr>
              <w:t xml:space="preserve">to comply with a new set of steps for </w:t>
            </w:r>
            <w:r w:rsidR="00582707">
              <w:rPr>
                <w:color w:val="000000"/>
                <w:sz w:val="20"/>
                <w:szCs w:val="20"/>
              </w:rPr>
              <w:t>automatically switching customers</w:t>
            </w:r>
            <w:r w:rsidR="00154B93" w:rsidRPr="00154B93">
              <w:rPr>
                <w:color w:val="000000"/>
                <w:sz w:val="20"/>
                <w:szCs w:val="20"/>
              </w:rPr>
              <w:t xml:space="preserve"> and would need to provide opt-</w:t>
            </w:r>
            <w:r w:rsidR="004336EF" w:rsidRPr="00154B93">
              <w:rPr>
                <w:color w:val="000000"/>
                <w:sz w:val="20"/>
                <w:szCs w:val="20"/>
              </w:rPr>
              <w:t xml:space="preserve">out </w:t>
            </w:r>
            <w:r w:rsidR="004336EF">
              <w:rPr>
                <w:color w:val="000000"/>
                <w:sz w:val="20"/>
                <w:szCs w:val="20"/>
              </w:rPr>
              <w:t>and</w:t>
            </w:r>
            <w:r w:rsidR="00ED5BA8">
              <w:rPr>
                <w:color w:val="000000"/>
                <w:sz w:val="20"/>
                <w:szCs w:val="20"/>
              </w:rPr>
              <w:t xml:space="preserve"> post-switch reversal </w:t>
            </w:r>
            <w:r w:rsidR="00154B93" w:rsidRPr="00154B93">
              <w:rPr>
                <w:color w:val="000000"/>
                <w:sz w:val="20"/>
                <w:szCs w:val="20"/>
              </w:rPr>
              <w:t>processes.</w:t>
            </w:r>
            <w:r w:rsidR="00223604">
              <w:rPr>
                <w:color w:val="000000"/>
                <w:sz w:val="20"/>
                <w:szCs w:val="20"/>
              </w:rPr>
              <w:t xml:space="preserve"> This </w:t>
            </w:r>
            <w:r w:rsidR="009A73FE">
              <w:rPr>
                <w:color w:val="000000"/>
                <w:sz w:val="20"/>
                <w:szCs w:val="20"/>
              </w:rPr>
              <w:t xml:space="preserve">also </w:t>
            </w:r>
            <w:r w:rsidR="00223604">
              <w:rPr>
                <w:color w:val="000000"/>
                <w:sz w:val="20"/>
                <w:szCs w:val="20"/>
              </w:rPr>
              <w:t>includes new notification requirements</w:t>
            </w:r>
            <w:r w:rsidR="00137D4B">
              <w:rPr>
                <w:color w:val="000000"/>
                <w:sz w:val="20"/>
                <w:szCs w:val="20"/>
              </w:rPr>
              <w:t>.</w:t>
            </w:r>
            <w:r w:rsidR="003A3A72">
              <w:rPr>
                <w:color w:val="000000"/>
                <w:sz w:val="20"/>
                <w:szCs w:val="20"/>
              </w:rPr>
              <w:t xml:space="preserve"> </w:t>
            </w:r>
            <w:r w:rsidR="007F0A76">
              <w:rPr>
                <w:color w:val="000000"/>
                <w:sz w:val="20"/>
                <w:szCs w:val="20"/>
              </w:rPr>
              <w:t xml:space="preserve">We </w:t>
            </w:r>
            <w:r w:rsidR="00656E4F">
              <w:rPr>
                <w:color w:val="000000"/>
                <w:sz w:val="20"/>
                <w:szCs w:val="20"/>
              </w:rPr>
              <w:t xml:space="preserve">anticipate that </w:t>
            </w:r>
            <w:r w:rsidR="007F0A76">
              <w:rPr>
                <w:color w:val="000000"/>
                <w:sz w:val="20"/>
                <w:szCs w:val="20"/>
              </w:rPr>
              <w:t xml:space="preserve">retailers would need to update </w:t>
            </w:r>
            <w:r w:rsidR="007F0A76" w:rsidRPr="00A33B5E">
              <w:rPr>
                <w:color w:val="000000"/>
                <w:sz w:val="20"/>
                <w:szCs w:val="20"/>
              </w:rPr>
              <w:t>IT systems and processes</w:t>
            </w:r>
            <w:r w:rsidR="007F0A76">
              <w:rPr>
                <w:color w:val="000000"/>
                <w:sz w:val="20"/>
                <w:szCs w:val="20"/>
              </w:rPr>
              <w:t>, d</w:t>
            </w:r>
            <w:r w:rsidR="00270088">
              <w:rPr>
                <w:color w:val="000000"/>
                <w:sz w:val="20"/>
                <w:szCs w:val="20"/>
              </w:rPr>
              <w:t>ue to the automated nature of these steps</w:t>
            </w:r>
            <w:r w:rsidR="00A33B5E" w:rsidRPr="00A33B5E">
              <w:rPr>
                <w:color w:val="000000"/>
                <w:sz w:val="20"/>
                <w:szCs w:val="20"/>
              </w:rPr>
              <w:t xml:space="preserve">. </w:t>
            </w:r>
            <w:r w:rsidR="00A33B5E" w:rsidRPr="00A33B5E">
              <w:rPr>
                <w:sz w:val="20"/>
                <w:szCs w:val="20"/>
              </w:rPr>
              <w:t xml:space="preserve">The scale and complexity of these changes will depend on the size and sophistication of an individual retailer. </w:t>
            </w:r>
            <w:r w:rsidR="00104F98">
              <w:rPr>
                <w:sz w:val="20"/>
                <w:szCs w:val="20"/>
              </w:rPr>
              <w:t>W</w:t>
            </w:r>
            <w:r w:rsidR="00A33B5E">
              <w:rPr>
                <w:sz w:val="20"/>
                <w:szCs w:val="20"/>
              </w:rPr>
              <w:t>e note that f</w:t>
            </w:r>
            <w:r w:rsidR="00A33B5E" w:rsidRPr="00A33B5E">
              <w:rPr>
                <w:sz w:val="20"/>
                <w:szCs w:val="20"/>
              </w:rPr>
              <w:t xml:space="preserve">our retailers </w:t>
            </w:r>
            <w:r w:rsidR="00A33B5E" w:rsidRPr="00A33B5E">
              <w:rPr>
                <w:sz w:val="20"/>
                <w:szCs w:val="20"/>
              </w:rPr>
              <w:lastRenderedPageBreak/>
              <w:t>commented that</w:t>
            </w:r>
            <w:r w:rsidR="00B351D4">
              <w:rPr>
                <w:sz w:val="20"/>
                <w:szCs w:val="20"/>
              </w:rPr>
              <w:t>,</w:t>
            </w:r>
            <w:r w:rsidR="00A33B5E" w:rsidRPr="00A33B5E">
              <w:rPr>
                <w:sz w:val="20"/>
                <w:szCs w:val="20"/>
              </w:rPr>
              <w:t xml:space="preserve"> </w:t>
            </w:r>
            <w:r w:rsidR="00A90ADC">
              <w:rPr>
                <w:sz w:val="20"/>
                <w:szCs w:val="20"/>
              </w:rPr>
              <w:t xml:space="preserve">in general, </w:t>
            </w:r>
            <w:r w:rsidR="00A33B5E" w:rsidRPr="00A33B5E">
              <w:rPr>
                <w:sz w:val="20"/>
                <w:szCs w:val="20"/>
              </w:rPr>
              <w:t>the highest once-off costs could relate to major I</w:t>
            </w:r>
            <w:r w:rsidR="003A3A72">
              <w:rPr>
                <w:color w:val="000000"/>
                <w:sz w:val="20"/>
                <w:szCs w:val="20"/>
              </w:rPr>
              <w:t>T</w:t>
            </w:r>
            <w:r w:rsidR="009D7523">
              <w:rPr>
                <w:color w:val="000000"/>
                <w:sz w:val="20"/>
                <w:szCs w:val="20"/>
              </w:rPr>
              <w:t xml:space="preserve"> system changes</w:t>
            </w:r>
            <w:r w:rsidR="003A3A72">
              <w:rPr>
                <w:color w:val="000000"/>
                <w:sz w:val="20"/>
                <w:szCs w:val="20"/>
              </w:rPr>
              <w:t>.</w:t>
            </w:r>
          </w:p>
          <w:p w14:paraId="23B0BE77" w14:textId="1637C221" w:rsidR="00154B93" w:rsidRDefault="0009292E" w:rsidP="00D45372">
            <w:pPr>
              <w:keepNext/>
              <w:keepLines/>
              <w:spacing w:after="120" w:line="240" w:lineRule="auto"/>
              <w:rPr>
                <w:color w:val="000000"/>
                <w:sz w:val="20"/>
                <w:szCs w:val="20"/>
              </w:rPr>
            </w:pPr>
            <w:r>
              <w:rPr>
                <w:color w:val="000000"/>
                <w:sz w:val="20"/>
                <w:szCs w:val="20"/>
              </w:rPr>
              <w:t xml:space="preserve">However, we note that </w:t>
            </w:r>
            <w:r w:rsidR="00154B93" w:rsidRPr="00154B93">
              <w:rPr>
                <w:color w:val="000000"/>
                <w:sz w:val="20"/>
                <w:szCs w:val="20"/>
              </w:rPr>
              <w:t xml:space="preserve">retailers </w:t>
            </w:r>
            <w:r>
              <w:rPr>
                <w:color w:val="000000"/>
                <w:sz w:val="20"/>
                <w:szCs w:val="20"/>
              </w:rPr>
              <w:t xml:space="preserve">currently </w:t>
            </w:r>
            <w:r w:rsidR="00154B93" w:rsidRPr="00154B93">
              <w:rPr>
                <w:color w:val="000000"/>
                <w:sz w:val="20"/>
                <w:szCs w:val="20"/>
              </w:rPr>
              <w:t>have processes in place for switching customers to the best offer</w:t>
            </w:r>
            <w:r w:rsidR="009D7523">
              <w:rPr>
                <w:color w:val="000000"/>
                <w:sz w:val="20"/>
                <w:szCs w:val="20"/>
              </w:rPr>
              <w:t>,</w:t>
            </w:r>
            <w:r w:rsidR="00154B93" w:rsidRPr="00154B93">
              <w:rPr>
                <w:color w:val="000000"/>
                <w:sz w:val="20"/>
                <w:szCs w:val="20"/>
              </w:rPr>
              <w:t xml:space="preserve"> and these could be utilised under this option.</w:t>
            </w:r>
            <w:r w:rsidR="00CD510B">
              <w:rPr>
                <w:color w:val="000000"/>
                <w:sz w:val="20"/>
                <w:szCs w:val="20"/>
              </w:rPr>
              <w:t xml:space="preserve"> </w:t>
            </w:r>
            <w:r w:rsidR="009D7523">
              <w:rPr>
                <w:color w:val="000000"/>
                <w:sz w:val="20"/>
                <w:szCs w:val="20"/>
              </w:rPr>
              <w:t>R</w:t>
            </w:r>
            <w:r w:rsidR="001C3C13">
              <w:rPr>
                <w:color w:val="000000"/>
                <w:sz w:val="20"/>
                <w:szCs w:val="20"/>
              </w:rPr>
              <w:t xml:space="preserve">etailers </w:t>
            </w:r>
            <w:r w:rsidR="009D7523">
              <w:rPr>
                <w:color w:val="000000"/>
                <w:sz w:val="20"/>
                <w:szCs w:val="20"/>
              </w:rPr>
              <w:t xml:space="preserve">could also </w:t>
            </w:r>
            <w:r w:rsidR="001C3C13">
              <w:rPr>
                <w:color w:val="000000"/>
                <w:sz w:val="20"/>
                <w:szCs w:val="20"/>
              </w:rPr>
              <w:t xml:space="preserve">consider </w:t>
            </w:r>
            <w:r w:rsidR="00C149F8">
              <w:rPr>
                <w:color w:val="000000"/>
                <w:sz w:val="20"/>
                <w:szCs w:val="20"/>
              </w:rPr>
              <w:t xml:space="preserve">the number and frequency of offers </w:t>
            </w:r>
            <w:r w:rsidR="00F1688E">
              <w:rPr>
                <w:color w:val="000000"/>
                <w:sz w:val="20"/>
                <w:szCs w:val="20"/>
              </w:rPr>
              <w:t xml:space="preserve">they make available in the market, </w:t>
            </w:r>
            <w:r w:rsidR="00315354">
              <w:rPr>
                <w:color w:val="000000"/>
                <w:sz w:val="20"/>
                <w:szCs w:val="20"/>
              </w:rPr>
              <w:t xml:space="preserve">and how to optimise </w:t>
            </w:r>
            <w:r w:rsidR="000360FC">
              <w:rPr>
                <w:color w:val="000000"/>
                <w:sz w:val="20"/>
                <w:szCs w:val="20"/>
              </w:rPr>
              <w:t xml:space="preserve">offers </w:t>
            </w:r>
            <w:r w:rsidR="00D652FF">
              <w:rPr>
                <w:color w:val="000000"/>
                <w:sz w:val="20"/>
                <w:szCs w:val="20"/>
              </w:rPr>
              <w:t>so</w:t>
            </w:r>
            <w:r w:rsidR="000360FC">
              <w:rPr>
                <w:color w:val="000000"/>
                <w:sz w:val="20"/>
                <w:szCs w:val="20"/>
              </w:rPr>
              <w:t xml:space="preserve"> that customers eligible </w:t>
            </w:r>
            <w:r w:rsidR="00A0198A">
              <w:rPr>
                <w:color w:val="000000"/>
                <w:sz w:val="20"/>
                <w:szCs w:val="20"/>
              </w:rPr>
              <w:t xml:space="preserve">for this support </w:t>
            </w:r>
            <w:r w:rsidR="00D652FF">
              <w:rPr>
                <w:color w:val="000000"/>
                <w:sz w:val="20"/>
                <w:szCs w:val="20"/>
              </w:rPr>
              <w:t>can be efficiently switched to their best offer.</w:t>
            </w:r>
          </w:p>
          <w:p w14:paraId="75587720" w14:textId="70FFE196" w:rsidR="00F8054A" w:rsidRPr="005F4AF2" w:rsidRDefault="00F8054A" w:rsidP="00D45372">
            <w:pPr>
              <w:keepNext/>
              <w:keepLines/>
              <w:spacing w:after="120" w:line="240" w:lineRule="auto"/>
              <w:rPr>
                <w:color w:val="000000"/>
                <w:sz w:val="20"/>
                <w:szCs w:val="20"/>
                <w:u w:val="single"/>
              </w:rPr>
            </w:pPr>
            <w:r>
              <w:rPr>
                <w:color w:val="000000"/>
                <w:sz w:val="20"/>
                <w:szCs w:val="20"/>
                <w:u w:val="single"/>
              </w:rPr>
              <w:t>Cost transfers</w:t>
            </w:r>
          </w:p>
          <w:p w14:paraId="3962BA8C" w14:textId="2E48E05D" w:rsidR="004F0DDF" w:rsidRPr="004F0DDF" w:rsidRDefault="004F0DDF" w:rsidP="00D45372">
            <w:pPr>
              <w:keepNext/>
              <w:keepLines/>
              <w:spacing w:after="120" w:line="240" w:lineRule="auto"/>
              <w:rPr>
                <w:color w:val="000000"/>
                <w:sz w:val="20"/>
                <w:szCs w:val="20"/>
              </w:rPr>
            </w:pPr>
            <w:r w:rsidRPr="004F0DDF">
              <w:rPr>
                <w:color w:val="000000"/>
                <w:sz w:val="20"/>
                <w:szCs w:val="20"/>
              </w:rPr>
              <w:t>This option is expected to result in higher foregone revenue for retailers</w:t>
            </w:r>
            <w:r w:rsidR="00B15E05">
              <w:rPr>
                <w:color w:val="000000"/>
                <w:sz w:val="20"/>
                <w:szCs w:val="20"/>
              </w:rPr>
              <w:t>,</w:t>
            </w:r>
            <w:r w:rsidR="00926F1C">
              <w:rPr>
                <w:color w:val="000000"/>
                <w:sz w:val="20"/>
                <w:szCs w:val="20"/>
              </w:rPr>
              <w:t xml:space="preserve"> </w:t>
            </w:r>
            <w:r w:rsidRPr="004F0DDF">
              <w:rPr>
                <w:color w:val="000000"/>
                <w:sz w:val="20"/>
                <w:szCs w:val="20"/>
              </w:rPr>
              <w:t xml:space="preserve">reflecting the greater effectiveness of helping households pay less for energy. Customers switched to the best offer are likely to benefit from lower prices for a longer period than under alternatives such as temporary tariff reductions or credits. For the purposes of our assessment, </w:t>
            </w:r>
            <w:r w:rsidR="000D6DE5">
              <w:rPr>
                <w:color w:val="000000"/>
                <w:sz w:val="20"/>
                <w:szCs w:val="20"/>
              </w:rPr>
              <w:t xml:space="preserve">total </w:t>
            </w:r>
            <w:r w:rsidRPr="004F0DDF">
              <w:rPr>
                <w:color w:val="000000"/>
                <w:sz w:val="20"/>
                <w:szCs w:val="20"/>
              </w:rPr>
              <w:t>foregone revenue is treated as a cost. However, as with other options, it is not necessarily an economic cost. Much of this revenue reflects higher prices paid by disengaged or vulnerable customers, rather than efficient service provision.</w:t>
            </w:r>
          </w:p>
          <w:p w14:paraId="1B9B6906" w14:textId="3CD427D4" w:rsidR="004F0DDF" w:rsidRPr="004F0DDF" w:rsidRDefault="004F0DDF" w:rsidP="00D45372">
            <w:pPr>
              <w:keepNext/>
              <w:keepLines/>
              <w:spacing w:after="120" w:line="240" w:lineRule="auto"/>
              <w:rPr>
                <w:color w:val="000000"/>
                <w:sz w:val="20"/>
                <w:szCs w:val="20"/>
              </w:rPr>
            </w:pPr>
            <w:r w:rsidRPr="004F0DDF">
              <w:rPr>
                <w:color w:val="000000"/>
                <w:sz w:val="20"/>
                <w:szCs w:val="20"/>
              </w:rPr>
              <w:t>Some of the revenue loss may be recovered from other customers, depending on the retailer’s pricing strategy and the degree of competitive constraint</w:t>
            </w:r>
            <w:r w:rsidR="00533AC4">
              <w:rPr>
                <w:color w:val="000000"/>
                <w:sz w:val="20"/>
                <w:szCs w:val="20"/>
              </w:rPr>
              <w:t>,</w:t>
            </w:r>
            <w:r w:rsidR="00F8054A">
              <w:rPr>
                <w:color w:val="000000"/>
                <w:sz w:val="20"/>
                <w:szCs w:val="20"/>
              </w:rPr>
              <w:t xml:space="preserve"> </w:t>
            </w:r>
            <w:r w:rsidRPr="004F0DDF">
              <w:rPr>
                <w:color w:val="000000"/>
                <w:sz w:val="20"/>
                <w:szCs w:val="20"/>
              </w:rPr>
              <w:t>meaning it represents a redistribution of costs, not a net system cost.</w:t>
            </w:r>
          </w:p>
          <w:p w14:paraId="489F61DF" w14:textId="7567D392" w:rsidR="005F4AF2" w:rsidRPr="005F4AF2" w:rsidRDefault="005F4AF2" w:rsidP="00D45372">
            <w:pPr>
              <w:keepNext/>
              <w:keepLines/>
              <w:spacing w:after="120" w:line="240" w:lineRule="auto"/>
              <w:rPr>
                <w:color w:val="000000"/>
                <w:sz w:val="20"/>
                <w:szCs w:val="20"/>
                <w:u w:val="single"/>
              </w:rPr>
            </w:pPr>
            <w:r w:rsidRPr="005F4AF2">
              <w:rPr>
                <w:color w:val="000000"/>
                <w:sz w:val="20"/>
                <w:szCs w:val="20"/>
                <w:u w:val="single"/>
              </w:rPr>
              <w:t>Comparison with other options</w:t>
            </w:r>
          </w:p>
          <w:p w14:paraId="7ABBE0D2" w14:textId="1D81B861" w:rsidR="0082022F" w:rsidRPr="005F4AF2" w:rsidRDefault="009453DE" w:rsidP="00D45372">
            <w:pPr>
              <w:keepNext/>
              <w:keepLines/>
              <w:spacing w:after="120" w:line="240" w:lineRule="auto"/>
              <w:rPr>
                <w:color w:val="000000"/>
                <w:sz w:val="20"/>
                <w:szCs w:val="20"/>
                <w:u w:val="single"/>
              </w:rPr>
            </w:pPr>
            <w:r>
              <w:rPr>
                <w:color w:val="000000"/>
                <w:sz w:val="20"/>
                <w:szCs w:val="20"/>
              </w:rPr>
              <w:t>Unlike Options A.2 and A.3, t</w:t>
            </w:r>
            <w:r w:rsidR="009B5240">
              <w:rPr>
                <w:color w:val="000000"/>
                <w:sz w:val="20"/>
                <w:szCs w:val="20"/>
              </w:rPr>
              <w:t xml:space="preserve">his </w:t>
            </w:r>
            <w:r w:rsidR="00BF774C">
              <w:rPr>
                <w:color w:val="000000"/>
                <w:sz w:val="20"/>
                <w:szCs w:val="20"/>
              </w:rPr>
              <w:t xml:space="preserve">option </w:t>
            </w:r>
            <w:r w:rsidR="00664F7C">
              <w:rPr>
                <w:color w:val="000000"/>
                <w:sz w:val="20"/>
                <w:szCs w:val="20"/>
              </w:rPr>
              <w:t>does not require retailers to change existing plans or offers</w:t>
            </w:r>
            <w:r w:rsidR="005F36A0">
              <w:rPr>
                <w:color w:val="000000"/>
                <w:sz w:val="20"/>
                <w:szCs w:val="20"/>
              </w:rPr>
              <w:t xml:space="preserve"> as it </w:t>
            </w:r>
            <w:r w:rsidR="0044694D">
              <w:rPr>
                <w:color w:val="000000"/>
                <w:sz w:val="20"/>
                <w:szCs w:val="20"/>
              </w:rPr>
              <w:t>relies on existing best offer calculations</w:t>
            </w:r>
            <w:r>
              <w:rPr>
                <w:color w:val="000000"/>
                <w:sz w:val="20"/>
                <w:szCs w:val="20"/>
              </w:rPr>
              <w:t>.</w:t>
            </w:r>
            <w:r w:rsidR="0044694D">
              <w:rPr>
                <w:color w:val="000000"/>
                <w:sz w:val="20"/>
                <w:szCs w:val="20"/>
              </w:rPr>
              <w:t xml:space="preserve"> </w:t>
            </w:r>
            <w:r>
              <w:rPr>
                <w:color w:val="000000"/>
                <w:sz w:val="20"/>
                <w:szCs w:val="20"/>
              </w:rPr>
              <w:t>However, Option</w:t>
            </w:r>
            <w:r w:rsidR="009B5240">
              <w:rPr>
                <w:color w:val="000000"/>
                <w:sz w:val="20"/>
                <w:szCs w:val="20"/>
              </w:rPr>
              <w:t xml:space="preserve"> </w:t>
            </w:r>
            <w:r w:rsidR="006C00A4">
              <w:rPr>
                <w:color w:val="000000"/>
                <w:sz w:val="20"/>
                <w:szCs w:val="20"/>
              </w:rPr>
              <w:t xml:space="preserve">A.1 </w:t>
            </w:r>
            <w:r w:rsidR="009B5240">
              <w:rPr>
                <w:color w:val="000000"/>
                <w:sz w:val="20"/>
                <w:szCs w:val="20"/>
              </w:rPr>
              <w:t>leads to slightly higher forgone revenue</w:t>
            </w:r>
            <w:r w:rsidR="00085DC5">
              <w:rPr>
                <w:color w:val="000000"/>
                <w:sz w:val="20"/>
                <w:szCs w:val="20"/>
              </w:rPr>
              <w:t xml:space="preserve"> than Options A.2 and A.3</w:t>
            </w:r>
            <w:r w:rsidR="009B5240">
              <w:rPr>
                <w:color w:val="000000"/>
                <w:sz w:val="20"/>
                <w:szCs w:val="20"/>
              </w:rPr>
              <w:t>. Overall</w:t>
            </w:r>
            <w:r w:rsidR="009B16BA">
              <w:rPr>
                <w:color w:val="000000"/>
                <w:sz w:val="20"/>
                <w:szCs w:val="20"/>
              </w:rPr>
              <w:t>,</w:t>
            </w:r>
            <w:r w:rsidR="009B5240">
              <w:rPr>
                <w:color w:val="000000"/>
                <w:sz w:val="20"/>
                <w:szCs w:val="20"/>
              </w:rPr>
              <w:t xml:space="preserve"> costs to industry will be similar to </w:t>
            </w:r>
            <w:r w:rsidR="007E603F">
              <w:rPr>
                <w:color w:val="000000"/>
                <w:sz w:val="20"/>
                <w:szCs w:val="20"/>
              </w:rPr>
              <w:t>O</w:t>
            </w:r>
            <w:r w:rsidR="009B5240">
              <w:rPr>
                <w:color w:val="000000"/>
                <w:sz w:val="20"/>
                <w:szCs w:val="20"/>
              </w:rPr>
              <w:t>ption A.2</w:t>
            </w:r>
            <w:r w:rsidR="009B16BA">
              <w:rPr>
                <w:color w:val="000000"/>
                <w:sz w:val="20"/>
                <w:szCs w:val="20"/>
              </w:rPr>
              <w:t xml:space="preserve"> and slightly higher than Option A.3</w:t>
            </w:r>
            <w:r w:rsidR="00BA7C74">
              <w:rPr>
                <w:color w:val="000000"/>
                <w:sz w:val="20"/>
                <w:szCs w:val="20"/>
              </w:rPr>
              <w:t>.</w:t>
            </w:r>
          </w:p>
        </w:tc>
        <w:tc>
          <w:tcPr>
            <w:tcW w:w="1003" w:type="dxa"/>
          </w:tcPr>
          <w:p w14:paraId="579D8A68" w14:textId="0048121D" w:rsidR="00A063E7" w:rsidRDefault="00A063E7" w:rsidP="00D45372">
            <w:pPr>
              <w:keepNext/>
              <w:keepLines/>
              <w:spacing w:after="120" w:line="240" w:lineRule="auto"/>
              <w:ind w:right="311"/>
              <w:jc w:val="right"/>
              <w:rPr>
                <w:color w:val="000000"/>
                <w:sz w:val="20"/>
                <w:szCs w:val="20"/>
              </w:rPr>
            </w:pPr>
            <w:r>
              <w:rPr>
                <w:color w:val="000000"/>
                <w:sz w:val="20"/>
                <w:szCs w:val="20"/>
              </w:rPr>
              <w:lastRenderedPageBreak/>
              <w:t>-</w:t>
            </w:r>
            <w:r w:rsidR="009B04AC">
              <w:rPr>
                <w:color w:val="000000"/>
                <w:sz w:val="20"/>
                <w:szCs w:val="20"/>
              </w:rPr>
              <w:t>3</w:t>
            </w:r>
          </w:p>
        </w:tc>
        <w:tc>
          <w:tcPr>
            <w:tcW w:w="1322" w:type="dxa"/>
            <w:tcMar>
              <w:top w:w="0" w:type="dxa"/>
              <w:left w:w="118" w:type="dxa"/>
              <w:bottom w:w="0" w:type="dxa"/>
              <w:right w:w="118" w:type="dxa"/>
            </w:tcMar>
            <w:hideMark/>
          </w:tcPr>
          <w:p w14:paraId="14ACC1F1" w14:textId="5453FDD9" w:rsidR="00154B93" w:rsidRPr="00154B93" w:rsidRDefault="00154B93" w:rsidP="00D45372">
            <w:pPr>
              <w:keepNext/>
              <w:keepLines/>
              <w:spacing w:after="120" w:line="240" w:lineRule="auto"/>
              <w:ind w:right="311"/>
              <w:jc w:val="right"/>
              <w:rPr>
                <w:color w:val="000000"/>
                <w:sz w:val="20"/>
                <w:szCs w:val="20"/>
              </w:rPr>
            </w:pPr>
            <w:r w:rsidRPr="00154B93">
              <w:rPr>
                <w:color w:val="000000"/>
                <w:sz w:val="20"/>
                <w:szCs w:val="20"/>
              </w:rPr>
              <w:t>-</w:t>
            </w:r>
            <w:r w:rsidR="009B04AC">
              <w:rPr>
                <w:color w:val="000000"/>
                <w:sz w:val="20"/>
                <w:szCs w:val="20"/>
              </w:rPr>
              <w:t>1.2</w:t>
            </w:r>
          </w:p>
        </w:tc>
      </w:tr>
      <w:tr w:rsidR="00CB4D22" w14:paraId="23E1EE5A" w14:textId="77777777" w:rsidTr="00D45372">
        <w:tc>
          <w:tcPr>
            <w:tcW w:w="709" w:type="dxa"/>
            <w:shd w:val="clear" w:color="auto" w:fill="F2F2F2" w:themeFill="background1" w:themeFillShade="F2"/>
            <w:tcMar>
              <w:top w:w="0" w:type="dxa"/>
              <w:left w:w="0" w:type="dxa"/>
              <w:bottom w:w="0" w:type="dxa"/>
              <w:right w:w="0" w:type="dxa"/>
            </w:tcMar>
            <w:hideMark/>
          </w:tcPr>
          <w:p w14:paraId="009CCC76" w14:textId="77777777" w:rsidR="00154B93" w:rsidRPr="00154B93" w:rsidRDefault="00154B93" w:rsidP="00D45372">
            <w:pPr>
              <w:spacing w:after="120" w:line="240" w:lineRule="auto"/>
              <w:rPr>
                <w:color w:val="000000"/>
                <w:sz w:val="20"/>
                <w:szCs w:val="20"/>
              </w:rPr>
            </w:pPr>
            <w:r w:rsidRPr="00154B93">
              <w:rPr>
                <w:color w:val="000000"/>
                <w:sz w:val="20"/>
                <w:szCs w:val="20"/>
              </w:rPr>
              <w:t>A.2</w:t>
            </w:r>
          </w:p>
        </w:tc>
        <w:tc>
          <w:tcPr>
            <w:tcW w:w="1843" w:type="dxa"/>
            <w:shd w:val="clear" w:color="auto" w:fill="F2F2F2" w:themeFill="background1" w:themeFillShade="F2"/>
            <w:tcMar>
              <w:top w:w="0" w:type="dxa"/>
              <w:left w:w="118" w:type="dxa"/>
              <w:bottom w:w="0" w:type="dxa"/>
              <w:right w:w="118" w:type="dxa"/>
            </w:tcMar>
            <w:hideMark/>
          </w:tcPr>
          <w:p w14:paraId="1A5C6CD0" w14:textId="77777777" w:rsidR="00154B93" w:rsidRPr="00154B93" w:rsidRDefault="00154B93" w:rsidP="00D45372">
            <w:pPr>
              <w:spacing w:after="120" w:line="240" w:lineRule="auto"/>
              <w:rPr>
                <w:color w:val="000000"/>
                <w:sz w:val="20"/>
                <w:szCs w:val="20"/>
              </w:rPr>
            </w:pPr>
            <w:r w:rsidRPr="00154B93">
              <w:rPr>
                <w:color w:val="000000"/>
                <w:sz w:val="20"/>
                <w:szCs w:val="20"/>
              </w:rPr>
              <w:t>Cost to industry</w:t>
            </w:r>
          </w:p>
        </w:tc>
        <w:tc>
          <w:tcPr>
            <w:tcW w:w="4761" w:type="dxa"/>
            <w:shd w:val="clear" w:color="auto" w:fill="F2F2F2" w:themeFill="background1" w:themeFillShade="F2"/>
            <w:tcMar>
              <w:top w:w="0" w:type="dxa"/>
              <w:left w:w="118" w:type="dxa"/>
              <w:bottom w:w="0" w:type="dxa"/>
              <w:right w:w="118" w:type="dxa"/>
            </w:tcMar>
            <w:hideMark/>
          </w:tcPr>
          <w:p w14:paraId="695A96BE" w14:textId="151B98B6" w:rsidR="00E73584" w:rsidRPr="005F4AF2" w:rsidRDefault="00E73584" w:rsidP="00D45372">
            <w:pPr>
              <w:keepNext/>
              <w:keepLines/>
              <w:spacing w:after="120" w:line="240" w:lineRule="auto"/>
              <w:rPr>
                <w:color w:val="000000"/>
                <w:sz w:val="20"/>
                <w:szCs w:val="20"/>
                <w:u w:val="single"/>
              </w:rPr>
            </w:pPr>
            <w:r>
              <w:rPr>
                <w:color w:val="000000"/>
                <w:sz w:val="20"/>
                <w:szCs w:val="20"/>
                <w:u w:val="single"/>
              </w:rPr>
              <w:t>Compliance costs</w:t>
            </w:r>
          </w:p>
          <w:p w14:paraId="18C1430F" w14:textId="539CC8DC" w:rsidR="008A06F1" w:rsidRDefault="00DB6C75" w:rsidP="00D45372">
            <w:pPr>
              <w:spacing w:after="120" w:line="240" w:lineRule="auto"/>
              <w:rPr>
                <w:color w:val="000000"/>
                <w:sz w:val="20"/>
                <w:szCs w:val="20"/>
              </w:rPr>
            </w:pPr>
            <w:r>
              <w:rPr>
                <w:color w:val="000000"/>
                <w:sz w:val="20"/>
                <w:szCs w:val="20"/>
              </w:rPr>
              <w:t xml:space="preserve">Retailers provided strong </w:t>
            </w:r>
            <w:r w:rsidR="00B36FB9">
              <w:rPr>
                <w:color w:val="000000"/>
                <w:sz w:val="20"/>
                <w:szCs w:val="20"/>
              </w:rPr>
              <w:t>feedback</w:t>
            </w:r>
            <w:r>
              <w:rPr>
                <w:color w:val="000000"/>
                <w:sz w:val="20"/>
                <w:szCs w:val="20"/>
              </w:rPr>
              <w:t xml:space="preserve"> on </w:t>
            </w:r>
            <w:r w:rsidR="00D053CA">
              <w:rPr>
                <w:color w:val="000000"/>
                <w:sz w:val="20"/>
                <w:szCs w:val="20"/>
              </w:rPr>
              <w:t xml:space="preserve">reducing customers’ tariffs outside of </w:t>
            </w:r>
            <w:r w:rsidR="00E73C09">
              <w:rPr>
                <w:color w:val="000000"/>
                <w:sz w:val="20"/>
                <w:szCs w:val="20"/>
              </w:rPr>
              <w:t xml:space="preserve">their usual timings (which is </w:t>
            </w:r>
            <w:r w:rsidR="003577FD">
              <w:rPr>
                <w:color w:val="000000"/>
                <w:sz w:val="20"/>
                <w:szCs w:val="20"/>
              </w:rPr>
              <w:t xml:space="preserve">often </w:t>
            </w:r>
            <w:r w:rsidR="00E73C09">
              <w:rPr>
                <w:color w:val="000000"/>
                <w:sz w:val="20"/>
                <w:szCs w:val="20"/>
              </w:rPr>
              <w:t>a once</w:t>
            </w:r>
            <w:r w:rsidR="003577FD">
              <w:rPr>
                <w:color w:val="000000"/>
                <w:sz w:val="20"/>
                <w:szCs w:val="20"/>
              </w:rPr>
              <w:t>-</w:t>
            </w:r>
            <w:r w:rsidR="00E73C09">
              <w:rPr>
                <w:color w:val="000000"/>
                <w:sz w:val="20"/>
                <w:szCs w:val="20"/>
              </w:rPr>
              <w:t>a</w:t>
            </w:r>
            <w:r w:rsidR="003577FD">
              <w:rPr>
                <w:color w:val="000000"/>
                <w:sz w:val="20"/>
                <w:szCs w:val="20"/>
              </w:rPr>
              <w:t>-</w:t>
            </w:r>
            <w:r w:rsidR="00E73C09">
              <w:rPr>
                <w:color w:val="000000"/>
                <w:sz w:val="20"/>
                <w:szCs w:val="20"/>
              </w:rPr>
              <w:t>year process).</w:t>
            </w:r>
            <w:r w:rsidR="003577FD">
              <w:rPr>
                <w:color w:val="000000"/>
                <w:sz w:val="20"/>
                <w:szCs w:val="20"/>
              </w:rPr>
              <w:t xml:space="preserve"> Retailers also noted that their </w:t>
            </w:r>
            <w:r w:rsidR="00154B93" w:rsidRPr="00154B93">
              <w:rPr>
                <w:color w:val="000000"/>
                <w:sz w:val="20"/>
                <w:szCs w:val="20"/>
              </w:rPr>
              <w:t xml:space="preserve">systems are not set up to unbundle existing tariffs </w:t>
            </w:r>
            <w:r w:rsidR="00C03F97">
              <w:rPr>
                <w:color w:val="000000"/>
                <w:sz w:val="20"/>
                <w:szCs w:val="20"/>
              </w:rPr>
              <w:t>from</w:t>
            </w:r>
            <w:r w:rsidR="00154B93" w:rsidRPr="00154B93">
              <w:rPr>
                <w:color w:val="000000"/>
                <w:sz w:val="20"/>
                <w:szCs w:val="20"/>
              </w:rPr>
              <w:t xml:space="preserve"> </w:t>
            </w:r>
            <w:r w:rsidR="00B36FB9">
              <w:rPr>
                <w:color w:val="000000"/>
                <w:sz w:val="20"/>
                <w:szCs w:val="20"/>
              </w:rPr>
              <w:t xml:space="preserve">plans. </w:t>
            </w:r>
            <w:r w:rsidR="003577FD">
              <w:rPr>
                <w:color w:val="000000"/>
                <w:sz w:val="20"/>
                <w:szCs w:val="20"/>
              </w:rPr>
              <w:t>Therefore, t</w:t>
            </w:r>
            <w:r w:rsidR="00154B93" w:rsidRPr="00154B93">
              <w:rPr>
                <w:color w:val="000000"/>
                <w:sz w:val="20"/>
                <w:szCs w:val="20"/>
              </w:rPr>
              <w:t xml:space="preserve">his </w:t>
            </w:r>
            <w:r w:rsidR="004D254F">
              <w:rPr>
                <w:color w:val="000000"/>
                <w:sz w:val="20"/>
                <w:szCs w:val="20"/>
              </w:rPr>
              <w:t xml:space="preserve">option </w:t>
            </w:r>
            <w:r w:rsidR="00154B93" w:rsidRPr="00154B93">
              <w:rPr>
                <w:color w:val="000000"/>
                <w:sz w:val="20"/>
                <w:szCs w:val="20"/>
              </w:rPr>
              <w:t xml:space="preserve">would </w:t>
            </w:r>
            <w:r>
              <w:rPr>
                <w:color w:val="000000"/>
                <w:sz w:val="20"/>
                <w:szCs w:val="20"/>
              </w:rPr>
              <w:t xml:space="preserve">likely </w:t>
            </w:r>
            <w:r w:rsidR="00154B93" w:rsidRPr="00154B93">
              <w:rPr>
                <w:color w:val="000000"/>
                <w:sz w:val="20"/>
                <w:szCs w:val="20"/>
              </w:rPr>
              <w:t xml:space="preserve">involve </w:t>
            </w:r>
            <w:r w:rsidR="003577FD">
              <w:rPr>
                <w:color w:val="000000"/>
                <w:sz w:val="20"/>
                <w:szCs w:val="20"/>
              </w:rPr>
              <w:t xml:space="preserve">major </w:t>
            </w:r>
            <w:r w:rsidR="00154B93" w:rsidRPr="00154B93">
              <w:rPr>
                <w:color w:val="000000"/>
                <w:sz w:val="20"/>
                <w:szCs w:val="20"/>
              </w:rPr>
              <w:t xml:space="preserve">changes to </w:t>
            </w:r>
            <w:r w:rsidR="00BA7C74">
              <w:rPr>
                <w:color w:val="000000"/>
                <w:sz w:val="20"/>
                <w:szCs w:val="20"/>
              </w:rPr>
              <w:t>retailers’</w:t>
            </w:r>
            <w:r w:rsidR="00BA7C74" w:rsidRPr="00154B93">
              <w:rPr>
                <w:color w:val="000000"/>
                <w:sz w:val="20"/>
                <w:szCs w:val="20"/>
              </w:rPr>
              <w:t xml:space="preserve"> </w:t>
            </w:r>
            <w:r>
              <w:rPr>
                <w:color w:val="000000"/>
                <w:sz w:val="20"/>
                <w:szCs w:val="20"/>
              </w:rPr>
              <w:t>processes</w:t>
            </w:r>
            <w:r w:rsidR="003577FD">
              <w:rPr>
                <w:color w:val="000000"/>
                <w:sz w:val="20"/>
                <w:szCs w:val="20"/>
              </w:rPr>
              <w:t xml:space="preserve"> (and possibly systems)</w:t>
            </w:r>
            <w:r w:rsidR="00154B93" w:rsidRPr="00154B93">
              <w:rPr>
                <w:color w:val="000000"/>
                <w:sz w:val="20"/>
                <w:szCs w:val="20"/>
              </w:rPr>
              <w:t xml:space="preserve">. </w:t>
            </w:r>
          </w:p>
          <w:p w14:paraId="24965149" w14:textId="5FB9FF3D" w:rsidR="00D34639" w:rsidRDefault="00154B93" w:rsidP="00D45372">
            <w:pPr>
              <w:spacing w:after="120" w:line="240" w:lineRule="auto"/>
              <w:rPr>
                <w:color w:val="000000"/>
                <w:sz w:val="20"/>
                <w:szCs w:val="20"/>
              </w:rPr>
            </w:pPr>
            <w:r w:rsidRPr="00154B93">
              <w:rPr>
                <w:color w:val="000000"/>
                <w:sz w:val="20"/>
                <w:szCs w:val="20"/>
              </w:rPr>
              <w:t>Under this option</w:t>
            </w:r>
            <w:r w:rsidR="008A06F1">
              <w:rPr>
                <w:color w:val="000000"/>
                <w:sz w:val="20"/>
                <w:szCs w:val="20"/>
              </w:rPr>
              <w:t>,</w:t>
            </w:r>
            <w:r w:rsidRPr="00154B93">
              <w:rPr>
                <w:color w:val="000000"/>
                <w:sz w:val="20"/>
                <w:szCs w:val="20"/>
              </w:rPr>
              <w:t xml:space="preserve"> retailers would also have to provide opt-out </w:t>
            </w:r>
            <w:r w:rsidR="00BF5763">
              <w:rPr>
                <w:color w:val="000000"/>
                <w:sz w:val="20"/>
                <w:szCs w:val="20"/>
              </w:rPr>
              <w:t xml:space="preserve">and post-switch reversal </w:t>
            </w:r>
            <w:r w:rsidRPr="00154B93">
              <w:rPr>
                <w:color w:val="000000"/>
                <w:sz w:val="20"/>
                <w:szCs w:val="20"/>
              </w:rPr>
              <w:t xml:space="preserve">processes and ensure that appropriate </w:t>
            </w:r>
            <w:r w:rsidR="00BF5763">
              <w:rPr>
                <w:color w:val="000000"/>
                <w:sz w:val="20"/>
                <w:szCs w:val="20"/>
              </w:rPr>
              <w:t>notifications and timeframes are followed.</w:t>
            </w:r>
          </w:p>
          <w:p w14:paraId="2C5F7A64" w14:textId="77777777" w:rsidR="00D34639" w:rsidRPr="005F4AF2" w:rsidRDefault="00D34639" w:rsidP="00D45372">
            <w:pPr>
              <w:keepNext/>
              <w:keepLines/>
              <w:spacing w:after="120" w:line="240" w:lineRule="auto"/>
              <w:rPr>
                <w:color w:val="000000"/>
                <w:sz w:val="20"/>
                <w:szCs w:val="20"/>
                <w:u w:val="single"/>
              </w:rPr>
            </w:pPr>
            <w:r>
              <w:rPr>
                <w:color w:val="000000"/>
                <w:sz w:val="20"/>
                <w:szCs w:val="20"/>
                <w:u w:val="single"/>
              </w:rPr>
              <w:t>Cost transfers</w:t>
            </w:r>
          </w:p>
          <w:p w14:paraId="65E724DE" w14:textId="36B7C161" w:rsidR="00D34639" w:rsidRDefault="00D34639" w:rsidP="00D45372">
            <w:pPr>
              <w:spacing w:after="120" w:line="240" w:lineRule="auto"/>
              <w:rPr>
                <w:color w:val="000000"/>
                <w:sz w:val="20"/>
                <w:szCs w:val="20"/>
              </w:rPr>
            </w:pPr>
            <w:r>
              <w:rPr>
                <w:color w:val="000000"/>
                <w:sz w:val="20"/>
                <w:szCs w:val="20"/>
              </w:rPr>
              <w:lastRenderedPageBreak/>
              <w:t>This option would involve lower foregone revenue by retailers (or costs passed onto other customers) in comparison to Option A.1, but higher than Option A.</w:t>
            </w:r>
            <w:r w:rsidR="00596BCC">
              <w:rPr>
                <w:color w:val="000000"/>
                <w:sz w:val="20"/>
                <w:szCs w:val="20"/>
              </w:rPr>
              <w:t>3</w:t>
            </w:r>
            <w:r>
              <w:rPr>
                <w:color w:val="000000"/>
                <w:sz w:val="20"/>
                <w:szCs w:val="20"/>
              </w:rPr>
              <w:t>. This reflects the assessed effectiveness of this option in helping households pay less for energy</w:t>
            </w:r>
            <w:r w:rsidR="00F356D0">
              <w:rPr>
                <w:color w:val="000000"/>
                <w:sz w:val="20"/>
                <w:szCs w:val="20"/>
              </w:rPr>
              <w:t xml:space="preserve">, which is driven by the expected duration of the financial benefit. </w:t>
            </w:r>
          </w:p>
          <w:p w14:paraId="4BEB1A95" w14:textId="7D81B5FA" w:rsidR="00154B93" w:rsidRDefault="00E73584" w:rsidP="00D45372">
            <w:pPr>
              <w:keepNext/>
              <w:keepLines/>
              <w:spacing w:after="120" w:line="240" w:lineRule="auto"/>
              <w:rPr>
                <w:color w:val="000000"/>
                <w:sz w:val="20"/>
                <w:szCs w:val="20"/>
              </w:rPr>
            </w:pPr>
            <w:r w:rsidRPr="005F4AF2">
              <w:rPr>
                <w:color w:val="000000"/>
                <w:sz w:val="20"/>
                <w:szCs w:val="20"/>
                <w:u w:val="single"/>
              </w:rPr>
              <w:t>Comparison with other options</w:t>
            </w:r>
          </w:p>
          <w:p w14:paraId="0105F90F" w14:textId="53979551" w:rsidR="0067531E" w:rsidRPr="00922FA5" w:rsidRDefault="00335427" w:rsidP="00922FA5">
            <w:pPr>
              <w:spacing w:after="120" w:line="240" w:lineRule="auto"/>
              <w:rPr>
                <w:color w:val="000000"/>
                <w:sz w:val="20"/>
                <w:szCs w:val="20"/>
              </w:rPr>
            </w:pPr>
            <w:r>
              <w:rPr>
                <w:color w:val="000000"/>
                <w:sz w:val="20"/>
                <w:szCs w:val="20"/>
              </w:rPr>
              <w:t xml:space="preserve">Given the difficulties and complexity for retailers to </w:t>
            </w:r>
            <w:r w:rsidR="00AE75C7">
              <w:rPr>
                <w:color w:val="000000"/>
                <w:sz w:val="20"/>
                <w:szCs w:val="20"/>
              </w:rPr>
              <w:t xml:space="preserve">unbundle </w:t>
            </w:r>
            <w:r w:rsidR="005B24DD">
              <w:rPr>
                <w:color w:val="000000"/>
                <w:sz w:val="20"/>
                <w:szCs w:val="20"/>
              </w:rPr>
              <w:t xml:space="preserve">existing tariffs from plans, </w:t>
            </w:r>
            <w:r w:rsidR="009E7013">
              <w:rPr>
                <w:color w:val="000000"/>
                <w:sz w:val="20"/>
                <w:szCs w:val="20"/>
              </w:rPr>
              <w:t xml:space="preserve">this </w:t>
            </w:r>
            <w:r w:rsidR="00831EAA">
              <w:rPr>
                <w:color w:val="000000"/>
                <w:sz w:val="20"/>
                <w:szCs w:val="20"/>
              </w:rPr>
              <w:t xml:space="preserve">option would require </w:t>
            </w:r>
            <w:r w:rsidR="000C33EC">
              <w:rPr>
                <w:color w:val="000000"/>
                <w:sz w:val="20"/>
                <w:szCs w:val="20"/>
              </w:rPr>
              <w:t>more significant changes to retailers’ accounts and billing systems</w:t>
            </w:r>
            <w:r w:rsidR="00D80B94">
              <w:rPr>
                <w:color w:val="000000"/>
                <w:sz w:val="20"/>
                <w:szCs w:val="20"/>
              </w:rPr>
              <w:t xml:space="preserve">, </w:t>
            </w:r>
            <w:r w:rsidR="00EF0D4B">
              <w:rPr>
                <w:color w:val="000000"/>
                <w:sz w:val="20"/>
                <w:szCs w:val="20"/>
              </w:rPr>
              <w:t>in addition to the costs related to support for customer service agents and changes to internal processes expected for Option A.1</w:t>
            </w:r>
            <w:r w:rsidR="0063457B">
              <w:rPr>
                <w:color w:val="000000"/>
                <w:sz w:val="20"/>
                <w:szCs w:val="20"/>
              </w:rPr>
              <w:t xml:space="preserve"> and Option A.3</w:t>
            </w:r>
            <w:r w:rsidR="00EF0D4B">
              <w:rPr>
                <w:color w:val="000000"/>
                <w:sz w:val="20"/>
                <w:szCs w:val="20"/>
              </w:rPr>
              <w:t xml:space="preserve">. </w:t>
            </w:r>
            <w:r w:rsidR="000058E0" w:rsidRPr="000058E0">
              <w:rPr>
                <w:color w:val="000000"/>
                <w:sz w:val="20"/>
                <w:szCs w:val="20"/>
              </w:rPr>
              <w:t>Option A.</w:t>
            </w:r>
            <w:r w:rsidR="000058E0">
              <w:rPr>
                <w:color w:val="000000"/>
                <w:sz w:val="20"/>
                <w:szCs w:val="20"/>
              </w:rPr>
              <w:t>2</w:t>
            </w:r>
            <w:r w:rsidR="000058E0" w:rsidRPr="000058E0">
              <w:rPr>
                <w:color w:val="000000"/>
                <w:sz w:val="20"/>
                <w:szCs w:val="20"/>
              </w:rPr>
              <w:t xml:space="preserve"> leads to slightly </w:t>
            </w:r>
            <w:r w:rsidR="000058E0">
              <w:rPr>
                <w:color w:val="000000"/>
                <w:sz w:val="20"/>
                <w:szCs w:val="20"/>
              </w:rPr>
              <w:t>lower</w:t>
            </w:r>
            <w:r w:rsidR="000058E0" w:rsidRPr="000058E0">
              <w:rPr>
                <w:color w:val="000000"/>
                <w:sz w:val="20"/>
                <w:szCs w:val="20"/>
              </w:rPr>
              <w:t xml:space="preserve"> forgone revenue than Option A.</w:t>
            </w:r>
            <w:r w:rsidR="00340E2E">
              <w:rPr>
                <w:color w:val="000000"/>
                <w:sz w:val="20"/>
                <w:szCs w:val="20"/>
              </w:rPr>
              <w:t>1</w:t>
            </w:r>
            <w:r w:rsidR="00C93598">
              <w:rPr>
                <w:color w:val="000000"/>
                <w:sz w:val="20"/>
                <w:szCs w:val="20"/>
              </w:rPr>
              <w:t xml:space="preserve"> </w:t>
            </w:r>
            <w:r w:rsidR="000058E0" w:rsidRPr="000058E0">
              <w:rPr>
                <w:color w:val="000000"/>
                <w:sz w:val="20"/>
                <w:szCs w:val="20"/>
              </w:rPr>
              <w:t>and</w:t>
            </w:r>
            <w:r w:rsidR="00C93598">
              <w:rPr>
                <w:color w:val="000000"/>
                <w:sz w:val="20"/>
                <w:szCs w:val="20"/>
              </w:rPr>
              <w:t xml:space="preserve"> similar foregone revenue </w:t>
            </w:r>
            <w:r w:rsidR="00B341DA">
              <w:rPr>
                <w:color w:val="000000"/>
                <w:sz w:val="20"/>
                <w:szCs w:val="20"/>
              </w:rPr>
              <w:t>to</w:t>
            </w:r>
            <w:r w:rsidR="00C93598">
              <w:rPr>
                <w:color w:val="000000"/>
                <w:sz w:val="20"/>
                <w:szCs w:val="20"/>
              </w:rPr>
              <w:t xml:space="preserve"> Option</w:t>
            </w:r>
            <w:r w:rsidR="000058E0" w:rsidRPr="000058E0">
              <w:rPr>
                <w:color w:val="000000"/>
                <w:sz w:val="20"/>
                <w:szCs w:val="20"/>
              </w:rPr>
              <w:t xml:space="preserve"> A.3</w:t>
            </w:r>
            <w:r w:rsidR="000058E0">
              <w:rPr>
                <w:color w:val="000000"/>
                <w:sz w:val="20"/>
                <w:szCs w:val="20"/>
              </w:rPr>
              <w:t xml:space="preserve">. </w:t>
            </w:r>
            <w:r w:rsidR="00D54F0C">
              <w:rPr>
                <w:color w:val="000000"/>
                <w:sz w:val="20"/>
                <w:szCs w:val="20"/>
              </w:rPr>
              <w:t xml:space="preserve">Therefore, the overall cost to industry would be </w:t>
            </w:r>
            <w:r w:rsidR="0063457B">
              <w:rPr>
                <w:color w:val="000000"/>
                <w:sz w:val="20"/>
                <w:szCs w:val="20"/>
              </w:rPr>
              <w:t xml:space="preserve">similar </w:t>
            </w:r>
            <w:r w:rsidR="00CA7E62">
              <w:rPr>
                <w:color w:val="000000"/>
                <w:sz w:val="20"/>
                <w:szCs w:val="20"/>
              </w:rPr>
              <w:t>to</w:t>
            </w:r>
            <w:r w:rsidR="0063457B">
              <w:rPr>
                <w:color w:val="000000"/>
                <w:sz w:val="20"/>
                <w:szCs w:val="20"/>
              </w:rPr>
              <w:t xml:space="preserve"> costs for Option A.1 and </w:t>
            </w:r>
            <w:r w:rsidR="00D54F0C">
              <w:rPr>
                <w:color w:val="000000"/>
                <w:sz w:val="20"/>
                <w:szCs w:val="20"/>
              </w:rPr>
              <w:t>higher than Option A.3.</w:t>
            </w:r>
          </w:p>
        </w:tc>
        <w:tc>
          <w:tcPr>
            <w:tcW w:w="1003" w:type="dxa"/>
            <w:shd w:val="clear" w:color="auto" w:fill="F2F2F2" w:themeFill="background1" w:themeFillShade="F2"/>
          </w:tcPr>
          <w:p w14:paraId="3D7A3B8F" w14:textId="054237D4" w:rsidR="00A063E7" w:rsidRDefault="00A063E7" w:rsidP="00D45372">
            <w:pPr>
              <w:spacing w:after="120" w:line="240" w:lineRule="auto"/>
              <w:ind w:right="311"/>
              <w:jc w:val="right"/>
              <w:rPr>
                <w:color w:val="000000"/>
                <w:sz w:val="20"/>
                <w:szCs w:val="20"/>
              </w:rPr>
            </w:pPr>
            <w:r>
              <w:rPr>
                <w:color w:val="000000"/>
                <w:sz w:val="20"/>
                <w:szCs w:val="20"/>
              </w:rPr>
              <w:lastRenderedPageBreak/>
              <w:t>-3</w:t>
            </w:r>
          </w:p>
        </w:tc>
        <w:tc>
          <w:tcPr>
            <w:tcW w:w="1322" w:type="dxa"/>
            <w:shd w:val="clear" w:color="auto" w:fill="F2F2F2" w:themeFill="background1" w:themeFillShade="F2"/>
            <w:tcMar>
              <w:top w:w="0" w:type="dxa"/>
              <w:left w:w="118" w:type="dxa"/>
              <w:bottom w:w="0" w:type="dxa"/>
              <w:right w:w="118" w:type="dxa"/>
            </w:tcMar>
            <w:hideMark/>
          </w:tcPr>
          <w:p w14:paraId="5D30600E" w14:textId="421432AC" w:rsidR="00154B93" w:rsidRPr="00154B93" w:rsidRDefault="00154B93" w:rsidP="00D45372">
            <w:pPr>
              <w:spacing w:after="120" w:line="240" w:lineRule="auto"/>
              <w:ind w:right="311"/>
              <w:jc w:val="right"/>
              <w:rPr>
                <w:color w:val="000000"/>
                <w:sz w:val="20"/>
                <w:szCs w:val="20"/>
              </w:rPr>
            </w:pPr>
            <w:r w:rsidRPr="00154B93">
              <w:rPr>
                <w:color w:val="000000"/>
                <w:sz w:val="20"/>
                <w:szCs w:val="20"/>
              </w:rPr>
              <w:t>-</w:t>
            </w:r>
            <w:r w:rsidR="008E5BC9">
              <w:rPr>
                <w:color w:val="000000"/>
                <w:sz w:val="20"/>
                <w:szCs w:val="20"/>
              </w:rPr>
              <w:t>1.2</w:t>
            </w:r>
          </w:p>
        </w:tc>
      </w:tr>
      <w:tr w:rsidR="00CB4D22" w14:paraId="562AE69B" w14:textId="77777777" w:rsidTr="00D45372">
        <w:tc>
          <w:tcPr>
            <w:tcW w:w="709" w:type="dxa"/>
            <w:tcBorders>
              <w:bottom w:val="single" w:sz="4" w:space="0" w:color="4986A0"/>
            </w:tcBorders>
            <w:tcMar>
              <w:top w:w="0" w:type="dxa"/>
              <w:left w:w="0" w:type="dxa"/>
              <w:bottom w:w="0" w:type="dxa"/>
              <w:right w:w="0" w:type="dxa"/>
            </w:tcMar>
            <w:hideMark/>
          </w:tcPr>
          <w:p w14:paraId="2D81BBE7" w14:textId="77777777" w:rsidR="00154B93" w:rsidRPr="00154B93" w:rsidRDefault="00154B93" w:rsidP="00D45372">
            <w:pPr>
              <w:spacing w:after="120" w:line="240" w:lineRule="auto"/>
              <w:rPr>
                <w:color w:val="000000"/>
                <w:sz w:val="20"/>
                <w:szCs w:val="20"/>
              </w:rPr>
            </w:pPr>
            <w:r w:rsidRPr="00154B93">
              <w:rPr>
                <w:color w:val="000000"/>
                <w:sz w:val="20"/>
                <w:szCs w:val="20"/>
              </w:rPr>
              <w:t>A.3</w:t>
            </w:r>
          </w:p>
        </w:tc>
        <w:tc>
          <w:tcPr>
            <w:tcW w:w="1843" w:type="dxa"/>
            <w:tcBorders>
              <w:bottom w:val="single" w:sz="4" w:space="0" w:color="4986A0"/>
            </w:tcBorders>
            <w:tcMar>
              <w:top w:w="0" w:type="dxa"/>
              <w:left w:w="118" w:type="dxa"/>
              <w:bottom w:w="0" w:type="dxa"/>
              <w:right w:w="118" w:type="dxa"/>
            </w:tcMar>
            <w:hideMark/>
          </w:tcPr>
          <w:p w14:paraId="65125226" w14:textId="77777777" w:rsidR="00154B93" w:rsidRPr="00154B93" w:rsidRDefault="00154B93" w:rsidP="00D45372">
            <w:pPr>
              <w:spacing w:after="120" w:line="240" w:lineRule="auto"/>
              <w:rPr>
                <w:color w:val="000000"/>
                <w:sz w:val="20"/>
                <w:szCs w:val="20"/>
              </w:rPr>
            </w:pPr>
            <w:r w:rsidRPr="00154B93">
              <w:rPr>
                <w:color w:val="000000"/>
                <w:sz w:val="20"/>
                <w:szCs w:val="20"/>
              </w:rPr>
              <w:t>Cost to industry</w:t>
            </w:r>
          </w:p>
        </w:tc>
        <w:tc>
          <w:tcPr>
            <w:tcW w:w="4761" w:type="dxa"/>
            <w:tcBorders>
              <w:bottom w:val="single" w:sz="4" w:space="0" w:color="4986A0"/>
            </w:tcBorders>
            <w:tcMar>
              <w:top w:w="0" w:type="dxa"/>
              <w:left w:w="118" w:type="dxa"/>
              <w:bottom w:w="0" w:type="dxa"/>
              <w:right w:w="118" w:type="dxa"/>
            </w:tcMar>
            <w:hideMark/>
          </w:tcPr>
          <w:p w14:paraId="26482A3D" w14:textId="77777777" w:rsidR="00525E67" w:rsidRPr="005F4AF2" w:rsidRDefault="00525E67" w:rsidP="00D45372">
            <w:pPr>
              <w:keepNext/>
              <w:keepLines/>
              <w:spacing w:after="120" w:line="240" w:lineRule="auto"/>
              <w:rPr>
                <w:color w:val="000000"/>
                <w:sz w:val="20"/>
                <w:szCs w:val="20"/>
                <w:u w:val="single"/>
              </w:rPr>
            </w:pPr>
            <w:r w:rsidRPr="005F4AF2">
              <w:rPr>
                <w:color w:val="000000"/>
                <w:sz w:val="20"/>
                <w:szCs w:val="20"/>
                <w:u w:val="single"/>
              </w:rPr>
              <w:t>Compliance costs</w:t>
            </w:r>
          </w:p>
          <w:p w14:paraId="7E222A97" w14:textId="5D81B699" w:rsidR="00525E67" w:rsidRDefault="00525E67" w:rsidP="00D45372">
            <w:pPr>
              <w:spacing w:after="120" w:line="240" w:lineRule="auto"/>
              <w:rPr>
                <w:color w:val="000000"/>
                <w:sz w:val="20"/>
                <w:szCs w:val="20"/>
              </w:rPr>
            </w:pPr>
            <w:r>
              <w:rPr>
                <w:color w:val="000000"/>
                <w:sz w:val="20"/>
                <w:szCs w:val="20"/>
              </w:rPr>
              <w:t>T</w:t>
            </w:r>
            <w:r w:rsidRPr="00154B93">
              <w:rPr>
                <w:color w:val="000000"/>
                <w:sz w:val="20"/>
                <w:szCs w:val="20"/>
              </w:rPr>
              <w:t xml:space="preserve">his option </w:t>
            </w:r>
            <w:r>
              <w:rPr>
                <w:color w:val="000000"/>
                <w:sz w:val="20"/>
                <w:szCs w:val="20"/>
              </w:rPr>
              <w:t>would</w:t>
            </w:r>
            <w:r w:rsidRPr="00154B93">
              <w:rPr>
                <w:color w:val="000000"/>
                <w:sz w:val="20"/>
                <w:szCs w:val="20"/>
              </w:rPr>
              <w:t xml:space="preserve"> impose more </w:t>
            </w:r>
            <w:r>
              <w:rPr>
                <w:color w:val="000000"/>
                <w:sz w:val="20"/>
                <w:szCs w:val="20"/>
              </w:rPr>
              <w:t xml:space="preserve">compliance </w:t>
            </w:r>
            <w:r w:rsidRPr="00154B93">
              <w:rPr>
                <w:color w:val="000000"/>
                <w:sz w:val="20"/>
                <w:szCs w:val="20"/>
              </w:rPr>
              <w:t xml:space="preserve">costs and be more complex </w:t>
            </w:r>
            <w:r>
              <w:rPr>
                <w:color w:val="000000"/>
                <w:sz w:val="20"/>
                <w:szCs w:val="20"/>
              </w:rPr>
              <w:t xml:space="preserve">to implement </w:t>
            </w:r>
            <w:r w:rsidRPr="00154B93">
              <w:rPr>
                <w:color w:val="000000"/>
                <w:sz w:val="20"/>
                <w:szCs w:val="20"/>
              </w:rPr>
              <w:t>than Option A.1</w:t>
            </w:r>
            <w:r w:rsidR="009D550E">
              <w:rPr>
                <w:color w:val="000000"/>
                <w:sz w:val="20"/>
                <w:szCs w:val="20"/>
              </w:rPr>
              <w:t xml:space="preserve"> but less </w:t>
            </w:r>
            <w:r w:rsidR="00190DD7">
              <w:rPr>
                <w:color w:val="000000"/>
                <w:sz w:val="20"/>
                <w:szCs w:val="20"/>
              </w:rPr>
              <w:t>complex and costly than Option A.2</w:t>
            </w:r>
            <w:r>
              <w:rPr>
                <w:color w:val="000000"/>
                <w:sz w:val="20"/>
                <w:szCs w:val="20"/>
              </w:rPr>
              <w:t>.</w:t>
            </w:r>
          </w:p>
          <w:p w14:paraId="1C377877" w14:textId="4D2D1A19" w:rsidR="007E01C0" w:rsidRDefault="007E01C0" w:rsidP="00D45372">
            <w:pPr>
              <w:spacing w:after="120" w:line="240" w:lineRule="auto"/>
              <w:rPr>
                <w:color w:val="000000"/>
                <w:sz w:val="20"/>
                <w:szCs w:val="20"/>
              </w:rPr>
            </w:pPr>
            <w:r w:rsidRPr="00550F68">
              <w:rPr>
                <w:color w:val="000000"/>
                <w:sz w:val="20"/>
                <w:szCs w:val="20"/>
              </w:rPr>
              <w:t>It is likely that major IT system changes will be required for this option</w:t>
            </w:r>
            <w:r>
              <w:rPr>
                <w:color w:val="000000"/>
                <w:sz w:val="20"/>
                <w:szCs w:val="20"/>
              </w:rPr>
              <w:t xml:space="preserve">. </w:t>
            </w:r>
          </w:p>
          <w:p w14:paraId="7481F6FC" w14:textId="22E73DB8" w:rsidR="00525E67" w:rsidRDefault="00525E67" w:rsidP="00D45372">
            <w:pPr>
              <w:spacing w:after="120" w:line="240" w:lineRule="auto"/>
              <w:rPr>
                <w:color w:val="000000"/>
                <w:sz w:val="20"/>
                <w:szCs w:val="20"/>
              </w:rPr>
            </w:pPr>
            <w:r>
              <w:rPr>
                <w:color w:val="000000"/>
                <w:sz w:val="20"/>
                <w:szCs w:val="20"/>
              </w:rPr>
              <w:t>R</w:t>
            </w:r>
            <w:r w:rsidRPr="00154B93">
              <w:rPr>
                <w:color w:val="000000"/>
                <w:sz w:val="20"/>
                <w:szCs w:val="20"/>
              </w:rPr>
              <w:t xml:space="preserve">etailer billing systems are not </w:t>
            </w:r>
            <w:r>
              <w:rPr>
                <w:color w:val="000000"/>
                <w:sz w:val="20"/>
                <w:szCs w:val="20"/>
              </w:rPr>
              <w:t xml:space="preserve">currently </w:t>
            </w:r>
            <w:r w:rsidRPr="00154B93">
              <w:rPr>
                <w:color w:val="000000"/>
                <w:sz w:val="20"/>
                <w:szCs w:val="20"/>
              </w:rPr>
              <w:t>configured to provide credits</w:t>
            </w:r>
            <w:r>
              <w:rPr>
                <w:color w:val="000000"/>
                <w:sz w:val="20"/>
                <w:szCs w:val="20"/>
              </w:rPr>
              <w:t xml:space="preserve"> based on a comparison with the customer’s best offer</w:t>
            </w:r>
            <w:r w:rsidRPr="00154B93">
              <w:rPr>
                <w:color w:val="000000"/>
                <w:sz w:val="20"/>
                <w:szCs w:val="20"/>
              </w:rPr>
              <w:t xml:space="preserve">. Retailers would need to make credit calculations and credit amounts </w:t>
            </w:r>
            <w:r>
              <w:rPr>
                <w:color w:val="000000"/>
                <w:sz w:val="20"/>
                <w:szCs w:val="20"/>
              </w:rPr>
              <w:t xml:space="preserve">to eligible customers in each bill. Given that customers can have different billing cycles, this could lead to various calculation timelines and additional complexity for compliance with new requirements. </w:t>
            </w:r>
          </w:p>
          <w:p w14:paraId="754F5C90" w14:textId="57E652E0" w:rsidR="00525E67" w:rsidRDefault="00525E67" w:rsidP="00D45372">
            <w:pPr>
              <w:spacing w:after="120" w:line="240" w:lineRule="auto"/>
              <w:rPr>
                <w:color w:val="000000"/>
                <w:sz w:val="20"/>
                <w:szCs w:val="20"/>
              </w:rPr>
            </w:pPr>
            <w:r>
              <w:rPr>
                <w:color w:val="000000"/>
                <w:sz w:val="20"/>
                <w:szCs w:val="20"/>
              </w:rPr>
              <w:t>The number of additional best offer checks (or calculations) required from a retailer would likely be higher than Option A.1</w:t>
            </w:r>
            <w:r w:rsidR="00BA7626">
              <w:rPr>
                <w:color w:val="000000"/>
                <w:sz w:val="20"/>
                <w:szCs w:val="20"/>
              </w:rPr>
              <w:t xml:space="preserve"> and similar to Option A.2</w:t>
            </w:r>
            <w:r>
              <w:rPr>
                <w:color w:val="000000"/>
                <w:sz w:val="20"/>
                <w:szCs w:val="20"/>
              </w:rPr>
              <w:t>, as a new calculation would be required for every bill.</w:t>
            </w:r>
          </w:p>
          <w:p w14:paraId="009EF0A2" w14:textId="5447044A" w:rsidR="00525E67" w:rsidRDefault="00525E67" w:rsidP="00D45372">
            <w:pPr>
              <w:spacing w:after="120" w:line="240" w:lineRule="auto"/>
              <w:rPr>
                <w:color w:val="000000"/>
                <w:sz w:val="20"/>
                <w:szCs w:val="20"/>
              </w:rPr>
            </w:pPr>
            <w:r>
              <w:rPr>
                <w:color w:val="000000"/>
                <w:sz w:val="20"/>
                <w:szCs w:val="20"/>
              </w:rPr>
              <w:t>On the other hand, u</w:t>
            </w:r>
            <w:r w:rsidRPr="00154B93">
              <w:rPr>
                <w:color w:val="000000"/>
                <w:sz w:val="20"/>
                <w:szCs w:val="20"/>
              </w:rPr>
              <w:t xml:space="preserve">nder this option retailers would </w:t>
            </w:r>
            <w:r>
              <w:rPr>
                <w:color w:val="000000"/>
                <w:sz w:val="20"/>
                <w:szCs w:val="20"/>
              </w:rPr>
              <w:t xml:space="preserve">not have to </w:t>
            </w:r>
            <w:r w:rsidRPr="00154B93">
              <w:rPr>
                <w:color w:val="000000"/>
                <w:sz w:val="20"/>
                <w:szCs w:val="20"/>
              </w:rPr>
              <w:t xml:space="preserve">provide opt-out </w:t>
            </w:r>
            <w:r>
              <w:rPr>
                <w:color w:val="000000"/>
                <w:sz w:val="20"/>
                <w:szCs w:val="20"/>
              </w:rPr>
              <w:t xml:space="preserve">and post-switch reversal protections. This would mean less </w:t>
            </w:r>
            <w:r w:rsidR="000D039B">
              <w:rPr>
                <w:color w:val="000000"/>
                <w:sz w:val="20"/>
                <w:szCs w:val="20"/>
              </w:rPr>
              <w:t xml:space="preserve">safeguard </w:t>
            </w:r>
            <w:r>
              <w:rPr>
                <w:color w:val="000000"/>
                <w:sz w:val="20"/>
                <w:szCs w:val="20"/>
              </w:rPr>
              <w:t xml:space="preserve">costs </w:t>
            </w:r>
            <w:r w:rsidR="002F0D98">
              <w:rPr>
                <w:color w:val="000000"/>
                <w:sz w:val="20"/>
                <w:szCs w:val="20"/>
              </w:rPr>
              <w:t>compared to Options A.1. and A.2</w:t>
            </w:r>
            <w:r w:rsidRPr="00154B93">
              <w:rPr>
                <w:color w:val="000000"/>
                <w:sz w:val="20"/>
                <w:szCs w:val="20"/>
              </w:rPr>
              <w:t>.</w:t>
            </w:r>
          </w:p>
          <w:p w14:paraId="13541184" w14:textId="77777777" w:rsidR="002F0D98" w:rsidRPr="005F4AF2" w:rsidRDefault="002F0D98" w:rsidP="00D45372">
            <w:pPr>
              <w:keepNext/>
              <w:keepLines/>
              <w:spacing w:after="120" w:line="240" w:lineRule="auto"/>
              <w:rPr>
                <w:color w:val="000000"/>
                <w:sz w:val="20"/>
                <w:szCs w:val="20"/>
                <w:u w:val="single"/>
              </w:rPr>
            </w:pPr>
            <w:r>
              <w:rPr>
                <w:color w:val="000000"/>
                <w:sz w:val="20"/>
                <w:szCs w:val="20"/>
                <w:u w:val="single"/>
              </w:rPr>
              <w:t>Cost transfers</w:t>
            </w:r>
          </w:p>
          <w:p w14:paraId="39B74B77" w14:textId="5054E7FF" w:rsidR="00C12176" w:rsidRDefault="0053233E" w:rsidP="00D45372">
            <w:pPr>
              <w:spacing w:after="120" w:line="240" w:lineRule="auto"/>
              <w:rPr>
                <w:color w:val="000000"/>
                <w:sz w:val="20"/>
                <w:szCs w:val="20"/>
              </w:rPr>
            </w:pPr>
            <w:r>
              <w:rPr>
                <w:color w:val="000000"/>
                <w:sz w:val="20"/>
                <w:szCs w:val="20"/>
              </w:rPr>
              <w:t>Given credits are more temporary than other Options A.1 and A.2, t</w:t>
            </w:r>
            <w:r w:rsidR="008E343D">
              <w:rPr>
                <w:color w:val="000000"/>
                <w:sz w:val="20"/>
                <w:szCs w:val="20"/>
              </w:rPr>
              <w:t xml:space="preserve">his option would involve lower foregone revenue </w:t>
            </w:r>
            <w:r>
              <w:rPr>
                <w:color w:val="000000"/>
                <w:sz w:val="20"/>
                <w:szCs w:val="20"/>
              </w:rPr>
              <w:t xml:space="preserve">from </w:t>
            </w:r>
            <w:r w:rsidR="008E343D">
              <w:rPr>
                <w:color w:val="000000"/>
                <w:sz w:val="20"/>
                <w:szCs w:val="20"/>
              </w:rPr>
              <w:t xml:space="preserve">retailers. This reflects the </w:t>
            </w:r>
            <w:r w:rsidR="001B3BC7">
              <w:rPr>
                <w:color w:val="000000"/>
                <w:sz w:val="20"/>
                <w:szCs w:val="20"/>
              </w:rPr>
              <w:t xml:space="preserve">reduced </w:t>
            </w:r>
            <w:r w:rsidR="008E343D">
              <w:rPr>
                <w:color w:val="000000"/>
                <w:sz w:val="20"/>
                <w:szCs w:val="20"/>
              </w:rPr>
              <w:t xml:space="preserve">effectiveness of this option in helping </w:t>
            </w:r>
            <w:r w:rsidR="008E343D">
              <w:rPr>
                <w:color w:val="000000"/>
                <w:sz w:val="20"/>
                <w:szCs w:val="20"/>
              </w:rPr>
              <w:lastRenderedPageBreak/>
              <w:t>households pay less for energy</w:t>
            </w:r>
            <w:r w:rsidR="000C3E93">
              <w:rPr>
                <w:color w:val="000000"/>
                <w:sz w:val="20"/>
                <w:szCs w:val="20"/>
              </w:rPr>
              <w:t>, driven by the more temporary nature of credits</w:t>
            </w:r>
            <w:r w:rsidR="008E343D">
              <w:rPr>
                <w:color w:val="000000"/>
                <w:sz w:val="20"/>
                <w:szCs w:val="20"/>
              </w:rPr>
              <w:t>.</w:t>
            </w:r>
          </w:p>
          <w:p w14:paraId="612FDA3F" w14:textId="77777777" w:rsidR="003D799D" w:rsidRDefault="003D799D" w:rsidP="00D45372">
            <w:pPr>
              <w:keepNext/>
              <w:keepLines/>
              <w:spacing w:after="120" w:line="240" w:lineRule="auto"/>
              <w:rPr>
                <w:color w:val="000000"/>
                <w:sz w:val="20"/>
                <w:szCs w:val="20"/>
              </w:rPr>
            </w:pPr>
            <w:r w:rsidRPr="005F4AF2">
              <w:rPr>
                <w:color w:val="000000"/>
                <w:sz w:val="20"/>
                <w:szCs w:val="20"/>
                <w:u w:val="single"/>
              </w:rPr>
              <w:t>Comparison with other options</w:t>
            </w:r>
          </w:p>
          <w:p w14:paraId="6A618CDE" w14:textId="55A12A40" w:rsidR="00E27AEC" w:rsidRDefault="003D799D" w:rsidP="00D45372">
            <w:pPr>
              <w:keepNext/>
              <w:keepLines/>
              <w:spacing w:after="120" w:line="240" w:lineRule="auto"/>
              <w:rPr>
                <w:color w:val="000000"/>
                <w:sz w:val="20"/>
                <w:szCs w:val="20"/>
              </w:rPr>
            </w:pPr>
            <w:r>
              <w:rPr>
                <w:color w:val="000000"/>
                <w:sz w:val="20"/>
                <w:szCs w:val="20"/>
              </w:rPr>
              <w:t xml:space="preserve">On balance, the extent of changes to retailers’ IT system changes may be </w:t>
            </w:r>
            <w:r w:rsidR="00912D62">
              <w:rPr>
                <w:color w:val="000000"/>
                <w:sz w:val="20"/>
                <w:szCs w:val="20"/>
              </w:rPr>
              <w:t xml:space="preserve">slightly higher than </w:t>
            </w:r>
            <w:r w:rsidR="00384AA2">
              <w:rPr>
                <w:color w:val="000000"/>
                <w:sz w:val="20"/>
                <w:szCs w:val="20"/>
              </w:rPr>
              <w:t>Option A.1</w:t>
            </w:r>
            <w:r>
              <w:rPr>
                <w:color w:val="000000"/>
                <w:sz w:val="20"/>
                <w:szCs w:val="20"/>
              </w:rPr>
              <w:t xml:space="preserve">. However, </w:t>
            </w:r>
            <w:r w:rsidR="007E06B6">
              <w:rPr>
                <w:color w:val="000000"/>
                <w:sz w:val="20"/>
                <w:szCs w:val="20"/>
              </w:rPr>
              <w:t xml:space="preserve">this option </w:t>
            </w:r>
            <w:r w:rsidR="00922FA5">
              <w:rPr>
                <w:color w:val="000000"/>
                <w:sz w:val="20"/>
                <w:szCs w:val="20"/>
              </w:rPr>
              <w:t xml:space="preserve">would </w:t>
            </w:r>
            <w:r w:rsidR="007E06B6">
              <w:rPr>
                <w:color w:val="000000"/>
                <w:sz w:val="20"/>
                <w:szCs w:val="20"/>
              </w:rPr>
              <w:t>involve lower forgone revenue</w:t>
            </w:r>
            <w:r w:rsidR="00E27AEC">
              <w:rPr>
                <w:color w:val="000000"/>
                <w:sz w:val="20"/>
                <w:szCs w:val="20"/>
              </w:rPr>
              <w:t xml:space="preserve"> than Option A.1</w:t>
            </w:r>
            <w:r w:rsidR="007E06B6">
              <w:rPr>
                <w:color w:val="000000"/>
                <w:sz w:val="20"/>
                <w:szCs w:val="20"/>
              </w:rPr>
              <w:t>.</w:t>
            </w:r>
          </w:p>
          <w:p w14:paraId="463EB543" w14:textId="69AFB67B" w:rsidR="007C3E86" w:rsidRPr="002257B1" w:rsidRDefault="00654273" w:rsidP="00D45372">
            <w:pPr>
              <w:keepNext/>
              <w:keepLines/>
              <w:spacing w:after="120" w:line="240" w:lineRule="auto"/>
              <w:rPr>
                <w:color w:val="000000"/>
                <w:sz w:val="20"/>
                <w:szCs w:val="20"/>
              </w:rPr>
            </w:pPr>
            <w:r w:rsidRPr="002257B1">
              <w:rPr>
                <w:color w:val="000000"/>
                <w:sz w:val="20"/>
                <w:szCs w:val="20"/>
              </w:rPr>
              <w:t xml:space="preserve">Compliance costs </w:t>
            </w:r>
            <w:r w:rsidR="006E482D" w:rsidRPr="002257B1">
              <w:rPr>
                <w:color w:val="000000"/>
                <w:sz w:val="20"/>
                <w:szCs w:val="20"/>
              </w:rPr>
              <w:t>would be less costly than Option A.2 and foregone revenue would be lower than Option A.2.</w:t>
            </w:r>
          </w:p>
        </w:tc>
        <w:tc>
          <w:tcPr>
            <w:tcW w:w="1003" w:type="dxa"/>
            <w:tcBorders>
              <w:bottom w:val="single" w:sz="4" w:space="0" w:color="4986A0"/>
            </w:tcBorders>
          </w:tcPr>
          <w:p w14:paraId="532E9A4D" w14:textId="210EC314" w:rsidR="00A063E7" w:rsidRDefault="00A063E7" w:rsidP="00D45372">
            <w:pPr>
              <w:spacing w:after="120" w:line="240" w:lineRule="auto"/>
              <w:ind w:right="311"/>
              <w:jc w:val="right"/>
              <w:rPr>
                <w:color w:val="000000"/>
                <w:sz w:val="20"/>
                <w:szCs w:val="20"/>
              </w:rPr>
            </w:pPr>
            <w:r>
              <w:rPr>
                <w:color w:val="000000"/>
                <w:sz w:val="20"/>
                <w:szCs w:val="20"/>
              </w:rPr>
              <w:lastRenderedPageBreak/>
              <w:t>-2.5</w:t>
            </w:r>
          </w:p>
        </w:tc>
        <w:tc>
          <w:tcPr>
            <w:tcW w:w="1322" w:type="dxa"/>
            <w:tcBorders>
              <w:bottom w:val="single" w:sz="4" w:space="0" w:color="4986A0"/>
            </w:tcBorders>
            <w:tcMar>
              <w:top w:w="0" w:type="dxa"/>
              <w:left w:w="118" w:type="dxa"/>
              <w:bottom w:w="0" w:type="dxa"/>
              <w:right w:w="118" w:type="dxa"/>
            </w:tcMar>
            <w:hideMark/>
          </w:tcPr>
          <w:p w14:paraId="6EBCA5A0" w14:textId="25957334" w:rsidR="00154B93" w:rsidRPr="00154B93" w:rsidRDefault="00154B93" w:rsidP="00D45372">
            <w:pPr>
              <w:spacing w:after="120" w:line="240" w:lineRule="auto"/>
              <w:ind w:right="311"/>
              <w:jc w:val="right"/>
              <w:rPr>
                <w:color w:val="000000"/>
                <w:sz w:val="20"/>
                <w:szCs w:val="20"/>
              </w:rPr>
            </w:pPr>
            <w:r w:rsidRPr="00154B93">
              <w:rPr>
                <w:color w:val="000000"/>
                <w:sz w:val="20"/>
                <w:szCs w:val="20"/>
              </w:rPr>
              <w:t>-</w:t>
            </w:r>
            <w:r w:rsidR="00D473E8">
              <w:rPr>
                <w:color w:val="000000"/>
                <w:sz w:val="20"/>
                <w:szCs w:val="20"/>
              </w:rPr>
              <w:t>1</w:t>
            </w:r>
          </w:p>
        </w:tc>
      </w:tr>
    </w:tbl>
    <w:p w14:paraId="03B46A48" w14:textId="77777777" w:rsidR="00020328" w:rsidRPr="009E483A" w:rsidRDefault="00020328" w:rsidP="009E483A"/>
    <w:p w14:paraId="68312649" w14:textId="71714D15" w:rsidR="00154B93" w:rsidRDefault="00154B93" w:rsidP="000F6481">
      <w:pPr>
        <w:pStyle w:val="Figure-Table-BoxSubtitle"/>
        <w:ind w:left="0"/>
      </w:pPr>
      <w:r w:rsidRPr="000F6481">
        <w:rPr>
          <w:rStyle w:val="Figure-Table-BoxHeadingChar"/>
        </w:rPr>
        <w:t xml:space="preserve">Table </w:t>
      </w:r>
      <w:r w:rsidR="00B05E2B" w:rsidRPr="000F6481">
        <w:rPr>
          <w:rStyle w:val="Figure-Table-BoxHeadingChar"/>
        </w:rPr>
        <w:t>1</w:t>
      </w:r>
      <w:r w:rsidR="00C33739" w:rsidRPr="000F6481">
        <w:rPr>
          <w:rStyle w:val="Figure-Table-BoxHeadingChar"/>
        </w:rPr>
        <w:t>2</w:t>
      </w:r>
      <w:r w:rsidRPr="000F6481">
        <w:rPr>
          <w:rStyle w:val="Figure-Table-BoxHeadingChar"/>
        </w:rPr>
        <w:t>:</w:t>
      </w:r>
      <w:r w:rsidRPr="000F6481">
        <w:t xml:space="preserve"> MCA assessment of options A.1, A.2 and A.3: Cost to government</w:t>
      </w:r>
    </w:p>
    <w:tbl>
      <w:tblPr>
        <w:tblW w:w="0" w:type="auto"/>
        <w:tblCellMar>
          <w:left w:w="0" w:type="dxa"/>
          <w:right w:w="0" w:type="dxa"/>
        </w:tblCellMar>
        <w:tblLook w:val="04A0" w:firstRow="1" w:lastRow="0" w:firstColumn="1" w:lastColumn="0" w:noHBand="0" w:noVBand="1"/>
      </w:tblPr>
      <w:tblGrid>
        <w:gridCol w:w="709"/>
        <w:gridCol w:w="1843"/>
        <w:gridCol w:w="4905"/>
        <w:gridCol w:w="979"/>
        <w:gridCol w:w="1202"/>
      </w:tblGrid>
      <w:tr w:rsidR="00726612" w14:paraId="08453019" w14:textId="77777777" w:rsidTr="00545E78">
        <w:tc>
          <w:tcPr>
            <w:tcW w:w="709" w:type="dxa"/>
            <w:tcBorders>
              <w:top w:val="single" w:sz="4" w:space="0" w:color="4986A0"/>
              <w:bottom w:val="single" w:sz="4" w:space="0" w:color="4986A0"/>
            </w:tcBorders>
            <w:shd w:val="clear" w:color="auto" w:fill="4986A0"/>
            <w:tcMar>
              <w:top w:w="0" w:type="dxa"/>
              <w:left w:w="0" w:type="dxa"/>
              <w:bottom w:w="0" w:type="dxa"/>
              <w:right w:w="0" w:type="dxa"/>
            </w:tcMar>
            <w:hideMark/>
          </w:tcPr>
          <w:p w14:paraId="3F5E998B" w14:textId="77777777" w:rsidR="00726612" w:rsidRPr="00726612" w:rsidRDefault="00726612" w:rsidP="00203603">
            <w:pPr>
              <w:spacing w:before="60" w:after="60" w:line="240" w:lineRule="auto"/>
              <w:jc w:val="center"/>
              <w:rPr>
                <w:color w:val="000000"/>
                <w:sz w:val="20"/>
                <w:szCs w:val="20"/>
              </w:rPr>
            </w:pPr>
            <w:r w:rsidRPr="00726612">
              <w:rPr>
                <w:b/>
                <w:bCs/>
                <w:color w:val="FFFFFF"/>
                <w:sz w:val="20"/>
                <w:szCs w:val="20"/>
              </w:rPr>
              <w:t>Option</w:t>
            </w:r>
          </w:p>
        </w:tc>
        <w:tc>
          <w:tcPr>
            <w:tcW w:w="1843"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1AACA480" w14:textId="77777777" w:rsidR="007E5365" w:rsidRDefault="00726612" w:rsidP="00203603">
            <w:pPr>
              <w:spacing w:before="60" w:after="60" w:line="240" w:lineRule="auto"/>
              <w:jc w:val="center"/>
              <w:rPr>
                <w:b/>
                <w:bCs/>
                <w:color w:val="FFFFFF"/>
                <w:sz w:val="20"/>
                <w:szCs w:val="20"/>
              </w:rPr>
            </w:pPr>
            <w:r w:rsidRPr="00726612">
              <w:rPr>
                <w:b/>
                <w:bCs/>
                <w:color w:val="FFFFFF"/>
                <w:sz w:val="20"/>
                <w:szCs w:val="20"/>
              </w:rPr>
              <w:t>Criteria</w:t>
            </w:r>
          </w:p>
          <w:p w14:paraId="2B3538EC" w14:textId="7E31C4F6" w:rsidR="00726612" w:rsidRPr="00726612" w:rsidRDefault="00726612" w:rsidP="00203603">
            <w:pPr>
              <w:spacing w:before="60" w:after="60" w:line="240" w:lineRule="auto"/>
              <w:jc w:val="center"/>
              <w:rPr>
                <w:color w:val="000000"/>
                <w:sz w:val="20"/>
                <w:szCs w:val="20"/>
              </w:rPr>
            </w:pPr>
            <w:r w:rsidRPr="00726612">
              <w:rPr>
                <w:b/>
                <w:bCs/>
                <w:color w:val="FFFFFF"/>
                <w:sz w:val="20"/>
                <w:szCs w:val="20"/>
              </w:rPr>
              <w:t>(weighting 10%)</w:t>
            </w:r>
          </w:p>
        </w:tc>
        <w:tc>
          <w:tcPr>
            <w:tcW w:w="4905"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33D57DE4" w14:textId="77777777" w:rsidR="00726612" w:rsidRPr="00726612" w:rsidRDefault="00726612" w:rsidP="00203603">
            <w:pPr>
              <w:spacing w:before="60" w:after="60" w:line="240" w:lineRule="auto"/>
              <w:jc w:val="center"/>
              <w:rPr>
                <w:color w:val="000000"/>
                <w:sz w:val="20"/>
                <w:szCs w:val="20"/>
              </w:rPr>
            </w:pPr>
            <w:r w:rsidRPr="00726612">
              <w:rPr>
                <w:b/>
                <w:bCs/>
                <w:color w:val="FFFFFF"/>
                <w:sz w:val="20"/>
                <w:szCs w:val="20"/>
              </w:rPr>
              <w:t>Assessment</w:t>
            </w:r>
          </w:p>
        </w:tc>
        <w:tc>
          <w:tcPr>
            <w:tcW w:w="979" w:type="dxa"/>
            <w:tcBorders>
              <w:top w:val="single" w:sz="4" w:space="0" w:color="4986A0"/>
              <w:bottom w:val="single" w:sz="4" w:space="0" w:color="4986A0"/>
            </w:tcBorders>
            <w:shd w:val="clear" w:color="auto" w:fill="4986A0"/>
          </w:tcPr>
          <w:p w14:paraId="4B7EC199" w14:textId="2CE5FDDF" w:rsidR="007E5365" w:rsidRDefault="00A063E7" w:rsidP="00203603">
            <w:pPr>
              <w:spacing w:before="60" w:after="60" w:line="240" w:lineRule="auto"/>
              <w:jc w:val="center"/>
              <w:rPr>
                <w:b/>
                <w:bCs/>
                <w:color w:val="FFFFFF"/>
                <w:sz w:val="20"/>
                <w:szCs w:val="20"/>
              </w:rPr>
            </w:pPr>
            <w:r>
              <w:rPr>
                <w:b/>
                <w:bCs/>
                <w:color w:val="FFFFFF"/>
                <w:sz w:val="20"/>
                <w:szCs w:val="20"/>
              </w:rPr>
              <w:t>Score</w:t>
            </w:r>
          </w:p>
          <w:p w14:paraId="2B04C47E" w14:textId="3E047163" w:rsidR="00A063E7" w:rsidRDefault="007E5365" w:rsidP="00203603">
            <w:pPr>
              <w:spacing w:before="60" w:after="60" w:line="240" w:lineRule="auto"/>
              <w:jc w:val="center"/>
              <w:rPr>
                <w:b/>
                <w:bCs/>
                <w:color w:val="FFFFFF"/>
                <w:sz w:val="20"/>
                <w:szCs w:val="20"/>
              </w:rPr>
            </w:pPr>
            <w:r>
              <w:rPr>
                <w:b/>
                <w:bCs/>
                <w:color w:val="FFFFFF"/>
                <w:sz w:val="20"/>
                <w:szCs w:val="20"/>
              </w:rPr>
              <w:t>(-10 to 10)</w:t>
            </w:r>
          </w:p>
        </w:tc>
        <w:tc>
          <w:tcPr>
            <w:tcW w:w="1202" w:type="dxa"/>
            <w:tcBorders>
              <w:top w:val="single" w:sz="4" w:space="0" w:color="4986A0"/>
              <w:bottom w:val="single" w:sz="4" w:space="0" w:color="4986A0"/>
            </w:tcBorders>
            <w:shd w:val="clear" w:color="auto" w:fill="4986A0"/>
            <w:tcMar>
              <w:top w:w="0" w:type="dxa"/>
              <w:left w:w="118" w:type="dxa"/>
              <w:bottom w:w="0" w:type="dxa"/>
              <w:right w:w="118" w:type="dxa"/>
            </w:tcMar>
            <w:hideMark/>
          </w:tcPr>
          <w:p w14:paraId="204B6A99" w14:textId="77777777" w:rsidR="00726612" w:rsidRPr="00726612" w:rsidRDefault="00726612" w:rsidP="00203603">
            <w:pPr>
              <w:spacing w:before="60" w:after="60" w:line="240" w:lineRule="auto"/>
              <w:jc w:val="center"/>
              <w:rPr>
                <w:color w:val="000000"/>
                <w:sz w:val="20"/>
                <w:szCs w:val="20"/>
              </w:rPr>
            </w:pPr>
            <w:r w:rsidRPr="00726612">
              <w:rPr>
                <w:b/>
                <w:bCs/>
                <w:color w:val="FFFFFF"/>
                <w:sz w:val="20"/>
                <w:szCs w:val="20"/>
              </w:rPr>
              <w:t>Weighted score</w:t>
            </w:r>
          </w:p>
        </w:tc>
      </w:tr>
      <w:tr w:rsidR="00726612" w14:paraId="23CFE79D" w14:textId="77777777" w:rsidTr="00545E78">
        <w:trPr>
          <w:trHeight w:val="534"/>
        </w:trPr>
        <w:tc>
          <w:tcPr>
            <w:tcW w:w="709" w:type="dxa"/>
            <w:tcMar>
              <w:top w:w="0" w:type="dxa"/>
              <w:left w:w="0" w:type="dxa"/>
              <w:bottom w:w="0" w:type="dxa"/>
              <w:right w:w="0" w:type="dxa"/>
            </w:tcMar>
            <w:hideMark/>
          </w:tcPr>
          <w:p w14:paraId="6152F19E" w14:textId="77777777" w:rsidR="00726612" w:rsidRPr="00726612" w:rsidRDefault="00726612">
            <w:pPr>
              <w:spacing w:after="120" w:line="240" w:lineRule="auto"/>
              <w:rPr>
                <w:color w:val="000000"/>
                <w:sz w:val="20"/>
                <w:szCs w:val="20"/>
              </w:rPr>
            </w:pPr>
            <w:r w:rsidRPr="00726612">
              <w:rPr>
                <w:color w:val="000000"/>
                <w:sz w:val="20"/>
                <w:szCs w:val="20"/>
              </w:rPr>
              <w:t>A.1</w:t>
            </w:r>
          </w:p>
        </w:tc>
        <w:tc>
          <w:tcPr>
            <w:tcW w:w="1843" w:type="dxa"/>
            <w:tcMar>
              <w:top w:w="0" w:type="dxa"/>
              <w:left w:w="118" w:type="dxa"/>
              <w:bottom w:w="0" w:type="dxa"/>
              <w:right w:w="118" w:type="dxa"/>
            </w:tcMar>
            <w:hideMark/>
          </w:tcPr>
          <w:p w14:paraId="460C1FA0" w14:textId="77777777" w:rsidR="00726612" w:rsidRPr="00726612" w:rsidRDefault="00726612">
            <w:pPr>
              <w:spacing w:after="120" w:line="240" w:lineRule="auto"/>
              <w:rPr>
                <w:color w:val="000000"/>
                <w:sz w:val="20"/>
                <w:szCs w:val="20"/>
              </w:rPr>
            </w:pPr>
            <w:r w:rsidRPr="00726612">
              <w:rPr>
                <w:color w:val="000000"/>
                <w:sz w:val="20"/>
                <w:szCs w:val="20"/>
              </w:rPr>
              <w:t xml:space="preserve">Cost to government </w:t>
            </w:r>
          </w:p>
        </w:tc>
        <w:tc>
          <w:tcPr>
            <w:tcW w:w="4905" w:type="dxa"/>
            <w:tcMar>
              <w:top w:w="0" w:type="dxa"/>
              <w:left w:w="118" w:type="dxa"/>
              <w:bottom w:w="0" w:type="dxa"/>
              <w:right w:w="118" w:type="dxa"/>
            </w:tcMar>
            <w:hideMark/>
          </w:tcPr>
          <w:p w14:paraId="7AF2BDEB" w14:textId="3A7F70AB" w:rsidR="00375CA5" w:rsidRDefault="008323B9">
            <w:pPr>
              <w:spacing w:after="120" w:line="240" w:lineRule="auto"/>
              <w:rPr>
                <w:color w:val="000000"/>
                <w:sz w:val="20"/>
                <w:szCs w:val="20"/>
              </w:rPr>
            </w:pPr>
            <w:r>
              <w:rPr>
                <w:color w:val="000000"/>
                <w:sz w:val="20"/>
                <w:szCs w:val="20"/>
              </w:rPr>
              <w:t>The commission</w:t>
            </w:r>
            <w:r w:rsidR="00726612" w:rsidRPr="00726612">
              <w:rPr>
                <w:color w:val="000000"/>
                <w:sz w:val="20"/>
                <w:szCs w:val="20"/>
              </w:rPr>
              <w:t xml:space="preserve"> would need to monitor implementation, including </w:t>
            </w:r>
            <w:r w:rsidR="007D1DB0">
              <w:rPr>
                <w:color w:val="000000"/>
                <w:sz w:val="20"/>
                <w:szCs w:val="20"/>
              </w:rPr>
              <w:t>with the best offer checks</w:t>
            </w:r>
            <w:r w:rsidR="00375CA5">
              <w:rPr>
                <w:color w:val="000000"/>
                <w:sz w:val="20"/>
                <w:szCs w:val="20"/>
              </w:rPr>
              <w:t>,</w:t>
            </w:r>
            <w:r w:rsidR="007D1DB0">
              <w:rPr>
                <w:color w:val="000000"/>
                <w:sz w:val="20"/>
                <w:szCs w:val="20"/>
              </w:rPr>
              <w:t xml:space="preserve"> </w:t>
            </w:r>
            <w:r w:rsidR="00726612" w:rsidRPr="00726612">
              <w:rPr>
                <w:color w:val="000000"/>
                <w:sz w:val="20"/>
                <w:szCs w:val="20"/>
              </w:rPr>
              <w:t xml:space="preserve">opt-out </w:t>
            </w:r>
            <w:r>
              <w:rPr>
                <w:color w:val="000000"/>
                <w:sz w:val="20"/>
                <w:szCs w:val="20"/>
              </w:rPr>
              <w:t xml:space="preserve">and post-switch reversal </w:t>
            </w:r>
            <w:r w:rsidR="00726612" w:rsidRPr="00726612">
              <w:rPr>
                <w:color w:val="000000"/>
                <w:sz w:val="20"/>
                <w:szCs w:val="20"/>
              </w:rPr>
              <w:t>pro</w:t>
            </w:r>
            <w:r>
              <w:rPr>
                <w:color w:val="000000"/>
                <w:sz w:val="20"/>
                <w:szCs w:val="20"/>
              </w:rPr>
              <w:t>tections</w:t>
            </w:r>
            <w:r w:rsidR="000B5138">
              <w:rPr>
                <w:color w:val="000000"/>
                <w:sz w:val="20"/>
                <w:szCs w:val="20"/>
              </w:rPr>
              <w:t>. It would</w:t>
            </w:r>
            <w:r w:rsidR="006267B6">
              <w:rPr>
                <w:color w:val="000000"/>
                <w:sz w:val="20"/>
                <w:szCs w:val="20"/>
              </w:rPr>
              <w:t xml:space="preserve"> need to </w:t>
            </w:r>
            <w:r w:rsidR="00726612" w:rsidRPr="00726612">
              <w:rPr>
                <w:color w:val="000000"/>
                <w:sz w:val="20"/>
                <w:szCs w:val="20"/>
              </w:rPr>
              <w:t>ensure that retailers adhere to the steps for switching</w:t>
            </w:r>
            <w:r w:rsidR="00375CA5">
              <w:rPr>
                <w:color w:val="000000"/>
                <w:sz w:val="20"/>
                <w:szCs w:val="20"/>
              </w:rPr>
              <w:t xml:space="preserve"> customers without their explicit informed consent</w:t>
            </w:r>
            <w:r w:rsidR="00726612" w:rsidRPr="00726612">
              <w:rPr>
                <w:color w:val="000000"/>
                <w:sz w:val="20"/>
                <w:szCs w:val="20"/>
              </w:rPr>
              <w:t xml:space="preserve">. </w:t>
            </w:r>
          </w:p>
          <w:p w14:paraId="5A26262C" w14:textId="34F0E9B9" w:rsidR="00726612" w:rsidRPr="00726612" w:rsidRDefault="00BB4502">
            <w:pPr>
              <w:spacing w:after="120" w:line="240" w:lineRule="auto"/>
              <w:rPr>
                <w:color w:val="000000"/>
                <w:sz w:val="20"/>
                <w:szCs w:val="20"/>
              </w:rPr>
            </w:pPr>
            <w:r>
              <w:rPr>
                <w:color w:val="000000"/>
                <w:sz w:val="20"/>
                <w:szCs w:val="20"/>
              </w:rPr>
              <w:t>The commission’s</w:t>
            </w:r>
            <w:r w:rsidR="00726612" w:rsidRPr="00726612">
              <w:rPr>
                <w:color w:val="000000"/>
                <w:sz w:val="20"/>
                <w:szCs w:val="20"/>
              </w:rPr>
              <w:t xml:space="preserve"> costs </w:t>
            </w:r>
            <w:r w:rsidR="00375CA5">
              <w:rPr>
                <w:color w:val="000000"/>
                <w:sz w:val="20"/>
                <w:szCs w:val="20"/>
              </w:rPr>
              <w:t>would involve</w:t>
            </w:r>
            <w:r w:rsidR="004B218A">
              <w:rPr>
                <w:color w:val="000000"/>
                <w:sz w:val="20"/>
                <w:szCs w:val="20"/>
              </w:rPr>
              <w:t xml:space="preserve"> </w:t>
            </w:r>
            <w:r w:rsidR="00375CA5">
              <w:rPr>
                <w:color w:val="000000"/>
                <w:sz w:val="20"/>
                <w:szCs w:val="20"/>
              </w:rPr>
              <w:t xml:space="preserve">reviewing </w:t>
            </w:r>
            <w:r w:rsidR="004B218A">
              <w:rPr>
                <w:color w:val="000000"/>
                <w:sz w:val="20"/>
                <w:szCs w:val="20"/>
              </w:rPr>
              <w:t xml:space="preserve">retailers’ </w:t>
            </w:r>
            <w:r w:rsidR="00375CA5">
              <w:rPr>
                <w:color w:val="000000"/>
                <w:sz w:val="20"/>
                <w:szCs w:val="20"/>
              </w:rPr>
              <w:t>compliance and performance reporting obligation</w:t>
            </w:r>
            <w:r w:rsidR="00456243">
              <w:rPr>
                <w:color w:val="000000"/>
                <w:sz w:val="20"/>
                <w:szCs w:val="20"/>
              </w:rPr>
              <w:t>s, assisting with implementation and monitoring compliance with the new switching process.</w:t>
            </w:r>
            <w:r w:rsidR="00A063E7">
              <w:rPr>
                <w:color w:val="000000"/>
                <w:sz w:val="20"/>
                <w:szCs w:val="20"/>
              </w:rPr>
              <w:t xml:space="preserve"> </w:t>
            </w:r>
            <w:r>
              <w:rPr>
                <w:color w:val="000000"/>
                <w:sz w:val="20"/>
                <w:szCs w:val="20"/>
              </w:rPr>
              <w:t xml:space="preserve">Costs </w:t>
            </w:r>
            <w:r w:rsidR="00726612" w:rsidRPr="00726612">
              <w:rPr>
                <w:color w:val="000000"/>
                <w:sz w:val="20"/>
                <w:szCs w:val="20"/>
              </w:rPr>
              <w:t xml:space="preserve">for this option are relatively minor once </w:t>
            </w:r>
            <w:r w:rsidR="00700E01">
              <w:rPr>
                <w:color w:val="000000"/>
                <w:sz w:val="20"/>
                <w:szCs w:val="20"/>
              </w:rPr>
              <w:t>updated reporting is in place</w:t>
            </w:r>
            <w:r w:rsidR="00726612" w:rsidRPr="00726612">
              <w:rPr>
                <w:color w:val="000000"/>
                <w:sz w:val="20"/>
                <w:szCs w:val="20"/>
              </w:rPr>
              <w:t>.</w:t>
            </w:r>
            <w:r w:rsidR="000518DF">
              <w:rPr>
                <w:color w:val="000000"/>
                <w:sz w:val="20"/>
                <w:szCs w:val="20"/>
              </w:rPr>
              <w:t xml:space="preserve"> They are not significantly different than the costs for monitoring compliance with Options A.2 and A.3.</w:t>
            </w:r>
          </w:p>
        </w:tc>
        <w:tc>
          <w:tcPr>
            <w:tcW w:w="979" w:type="dxa"/>
          </w:tcPr>
          <w:p w14:paraId="1C499114" w14:textId="565E0462" w:rsidR="00A063E7" w:rsidRPr="00726612" w:rsidRDefault="00700E01">
            <w:pPr>
              <w:spacing w:after="120" w:line="240" w:lineRule="auto"/>
              <w:ind w:right="311"/>
              <w:jc w:val="right"/>
              <w:rPr>
                <w:color w:val="000000"/>
                <w:sz w:val="20"/>
                <w:szCs w:val="20"/>
              </w:rPr>
            </w:pPr>
            <w:r>
              <w:rPr>
                <w:color w:val="000000"/>
                <w:sz w:val="20"/>
                <w:szCs w:val="20"/>
              </w:rPr>
              <w:t>-</w:t>
            </w:r>
            <w:r w:rsidR="00AC74C2">
              <w:rPr>
                <w:color w:val="000000"/>
                <w:sz w:val="20"/>
                <w:szCs w:val="20"/>
              </w:rPr>
              <w:t>1.0</w:t>
            </w:r>
          </w:p>
        </w:tc>
        <w:tc>
          <w:tcPr>
            <w:tcW w:w="1202" w:type="dxa"/>
            <w:tcMar>
              <w:top w:w="0" w:type="dxa"/>
              <w:left w:w="118" w:type="dxa"/>
              <w:bottom w:w="0" w:type="dxa"/>
              <w:right w:w="118" w:type="dxa"/>
            </w:tcMar>
            <w:hideMark/>
          </w:tcPr>
          <w:p w14:paraId="04935927" w14:textId="3E31359F" w:rsidR="00726612" w:rsidRPr="00726612" w:rsidRDefault="00726612" w:rsidP="00700E01">
            <w:pPr>
              <w:spacing w:after="120" w:line="240" w:lineRule="auto"/>
              <w:jc w:val="center"/>
              <w:rPr>
                <w:color w:val="000000"/>
                <w:sz w:val="20"/>
                <w:szCs w:val="20"/>
              </w:rPr>
            </w:pPr>
            <w:r w:rsidRPr="00726612">
              <w:rPr>
                <w:color w:val="000000"/>
                <w:sz w:val="20"/>
                <w:szCs w:val="20"/>
              </w:rPr>
              <w:t>-0.</w:t>
            </w:r>
            <w:r w:rsidR="00AC74C2">
              <w:rPr>
                <w:color w:val="000000"/>
                <w:sz w:val="20"/>
                <w:szCs w:val="20"/>
              </w:rPr>
              <w:t>10</w:t>
            </w:r>
          </w:p>
        </w:tc>
      </w:tr>
      <w:tr w:rsidR="00726612" w14:paraId="6CA13BD6" w14:textId="77777777" w:rsidTr="00545E78">
        <w:tc>
          <w:tcPr>
            <w:tcW w:w="709" w:type="dxa"/>
            <w:shd w:val="clear" w:color="auto" w:fill="F2F2F2" w:themeFill="background1" w:themeFillShade="F2"/>
            <w:tcMar>
              <w:top w:w="0" w:type="dxa"/>
              <w:left w:w="0" w:type="dxa"/>
              <w:bottom w:w="0" w:type="dxa"/>
              <w:right w:w="0" w:type="dxa"/>
            </w:tcMar>
            <w:hideMark/>
          </w:tcPr>
          <w:p w14:paraId="79F53F95" w14:textId="77777777" w:rsidR="00726612" w:rsidRPr="00726612" w:rsidRDefault="00726612">
            <w:pPr>
              <w:spacing w:after="120" w:line="240" w:lineRule="auto"/>
              <w:rPr>
                <w:color w:val="000000"/>
                <w:sz w:val="20"/>
                <w:szCs w:val="20"/>
              </w:rPr>
            </w:pPr>
            <w:r w:rsidRPr="00726612">
              <w:rPr>
                <w:color w:val="000000"/>
                <w:sz w:val="20"/>
                <w:szCs w:val="20"/>
              </w:rPr>
              <w:t>A.2</w:t>
            </w:r>
          </w:p>
        </w:tc>
        <w:tc>
          <w:tcPr>
            <w:tcW w:w="1843" w:type="dxa"/>
            <w:shd w:val="clear" w:color="auto" w:fill="F2F2F2" w:themeFill="background1" w:themeFillShade="F2"/>
            <w:tcMar>
              <w:top w:w="0" w:type="dxa"/>
              <w:left w:w="118" w:type="dxa"/>
              <w:bottom w:w="0" w:type="dxa"/>
              <w:right w:w="118" w:type="dxa"/>
            </w:tcMar>
            <w:hideMark/>
          </w:tcPr>
          <w:p w14:paraId="50953741" w14:textId="77777777" w:rsidR="00726612" w:rsidRPr="00726612" w:rsidRDefault="00726612">
            <w:pPr>
              <w:spacing w:after="120" w:line="240" w:lineRule="auto"/>
              <w:rPr>
                <w:color w:val="000000"/>
                <w:sz w:val="20"/>
                <w:szCs w:val="20"/>
              </w:rPr>
            </w:pPr>
            <w:r w:rsidRPr="00726612">
              <w:rPr>
                <w:color w:val="000000"/>
                <w:sz w:val="20"/>
                <w:szCs w:val="20"/>
              </w:rPr>
              <w:t>Cost to government</w:t>
            </w:r>
          </w:p>
        </w:tc>
        <w:tc>
          <w:tcPr>
            <w:tcW w:w="4905" w:type="dxa"/>
            <w:shd w:val="clear" w:color="auto" w:fill="F2F2F2" w:themeFill="background1" w:themeFillShade="F2"/>
            <w:tcMar>
              <w:top w:w="0" w:type="dxa"/>
              <w:left w:w="118" w:type="dxa"/>
              <w:bottom w:w="0" w:type="dxa"/>
              <w:right w:w="118" w:type="dxa"/>
            </w:tcMar>
            <w:hideMark/>
          </w:tcPr>
          <w:p w14:paraId="0775A9D5" w14:textId="200F7037" w:rsidR="00726612" w:rsidRPr="00726612" w:rsidRDefault="00F2062E">
            <w:pPr>
              <w:spacing w:after="120" w:line="240" w:lineRule="auto"/>
              <w:rPr>
                <w:color w:val="000000"/>
                <w:sz w:val="20"/>
                <w:szCs w:val="20"/>
              </w:rPr>
            </w:pPr>
            <w:r>
              <w:rPr>
                <w:color w:val="000000"/>
                <w:sz w:val="20"/>
                <w:szCs w:val="20"/>
              </w:rPr>
              <w:t>The commission’s</w:t>
            </w:r>
            <w:r w:rsidR="00726612" w:rsidRPr="00726612">
              <w:rPr>
                <w:color w:val="000000"/>
                <w:sz w:val="20"/>
                <w:szCs w:val="20"/>
              </w:rPr>
              <w:t xml:space="preserve"> costs for this option would not be materially different from Option A.1, since it would monitor and enforce the </w:t>
            </w:r>
            <w:r w:rsidR="00E71128">
              <w:rPr>
                <w:color w:val="000000"/>
                <w:sz w:val="20"/>
                <w:szCs w:val="20"/>
              </w:rPr>
              <w:t xml:space="preserve">best offer checks, </w:t>
            </w:r>
            <w:r w:rsidR="00E71128" w:rsidRPr="00726612">
              <w:rPr>
                <w:color w:val="000000"/>
                <w:sz w:val="20"/>
                <w:szCs w:val="20"/>
              </w:rPr>
              <w:t xml:space="preserve">opt-out </w:t>
            </w:r>
            <w:r w:rsidR="00E71128">
              <w:rPr>
                <w:color w:val="000000"/>
                <w:sz w:val="20"/>
                <w:szCs w:val="20"/>
              </w:rPr>
              <w:t xml:space="preserve">and post-switch reversal </w:t>
            </w:r>
            <w:r w:rsidR="00E71128" w:rsidRPr="00726612">
              <w:rPr>
                <w:color w:val="000000"/>
                <w:sz w:val="20"/>
                <w:szCs w:val="20"/>
              </w:rPr>
              <w:t>pro</w:t>
            </w:r>
            <w:r w:rsidR="00E71128">
              <w:rPr>
                <w:color w:val="000000"/>
                <w:sz w:val="20"/>
                <w:szCs w:val="20"/>
              </w:rPr>
              <w:t>tections</w:t>
            </w:r>
            <w:r w:rsidR="00E71128" w:rsidRPr="00726612" w:rsidDel="00E71128">
              <w:rPr>
                <w:color w:val="000000"/>
                <w:sz w:val="20"/>
                <w:szCs w:val="20"/>
              </w:rPr>
              <w:t xml:space="preserve"> </w:t>
            </w:r>
            <w:r w:rsidR="00726612" w:rsidRPr="00726612">
              <w:rPr>
                <w:color w:val="000000"/>
                <w:sz w:val="20"/>
                <w:szCs w:val="20"/>
              </w:rPr>
              <w:t xml:space="preserve">and ensure that retailers adhere to the steps for </w:t>
            </w:r>
            <w:r>
              <w:rPr>
                <w:color w:val="000000"/>
                <w:sz w:val="20"/>
                <w:szCs w:val="20"/>
              </w:rPr>
              <w:t>changing customers’ tariffs</w:t>
            </w:r>
            <w:r w:rsidR="00726612" w:rsidRPr="00726612">
              <w:rPr>
                <w:color w:val="000000"/>
                <w:sz w:val="20"/>
                <w:szCs w:val="20"/>
              </w:rPr>
              <w:t>.</w:t>
            </w:r>
          </w:p>
        </w:tc>
        <w:tc>
          <w:tcPr>
            <w:tcW w:w="979" w:type="dxa"/>
            <w:shd w:val="clear" w:color="auto" w:fill="F2F2F2" w:themeFill="background1" w:themeFillShade="F2"/>
          </w:tcPr>
          <w:p w14:paraId="3E131AA5" w14:textId="00E2E9CF" w:rsidR="00A063E7" w:rsidRPr="00726612" w:rsidRDefault="00700E01">
            <w:pPr>
              <w:spacing w:after="120" w:line="240" w:lineRule="auto"/>
              <w:ind w:right="311"/>
              <w:jc w:val="right"/>
              <w:rPr>
                <w:color w:val="000000"/>
                <w:sz w:val="20"/>
                <w:szCs w:val="20"/>
              </w:rPr>
            </w:pPr>
            <w:r>
              <w:rPr>
                <w:color w:val="000000"/>
                <w:sz w:val="20"/>
                <w:szCs w:val="20"/>
              </w:rPr>
              <w:t>-</w:t>
            </w:r>
            <w:r w:rsidR="00AC74C2">
              <w:rPr>
                <w:color w:val="000000"/>
                <w:sz w:val="20"/>
                <w:szCs w:val="20"/>
              </w:rPr>
              <w:t>1.</w:t>
            </w:r>
            <w:r>
              <w:rPr>
                <w:color w:val="000000"/>
                <w:sz w:val="20"/>
                <w:szCs w:val="20"/>
              </w:rPr>
              <w:t>0</w:t>
            </w:r>
          </w:p>
        </w:tc>
        <w:tc>
          <w:tcPr>
            <w:tcW w:w="1202" w:type="dxa"/>
            <w:shd w:val="clear" w:color="auto" w:fill="F2F2F2" w:themeFill="background1" w:themeFillShade="F2"/>
            <w:tcMar>
              <w:top w:w="0" w:type="dxa"/>
              <w:left w:w="118" w:type="dxa"/>
              <w:bottom w:w="0" w:type="dxa"/>
              <w:right w:w="118" w:type="dxa"/>
            </w:tcMar>
            <w:hideMark/>
          </w:tcPr>
          <w:p w14:paraId="48011576" w14:textId="07751CCA" w:rsidR="00726612" w:rsidRPr="00726612" w:rsidRDefault="00726612" w:rsidP="00700E01">
            <w:pPr>
              <w:spacing w:after="120" w:line="240" w:lineRule="auto"/>
              <w:jc w:val="center"/>
              <w:rPr>
                <w:color w:val="000000"/>
                <w:sz w:val="20"/>
                <w:szCs w:val="20"/>
              </w:rPr>
            </w:pPr>
            <w:r w:rsidRPr="00726612">
              <w:rPr>
                <w:color w:val="000000"/>
                <w:sz w:val="20"/>
                <w:szCs w:val="20"/>
              </w:rPr>
              <w:t>-0.1</w:t>
            </w:r>
            <w:r w:rsidR="00AC74C2">
              <w:rPr>
                <w:color w:val="000000"/>
                <w:sz w:val="20"/>
                <w:szCs w:val="20"/>
              </w:rPr>
              <w:t>0</w:t>
            </w:r>
          </w:p>
        </w:tc>
      </w:tr>
      <w:tr w:rsidR="00726612" w14:paraId="099AE21E" w14:textId="77777777" w:rsidTr="00545E78">
        <w:tc>
          <w:tcPr>
            <w:tcW w:w="709" w:type="dxa"/>
            <w:tcBorders>
              <w:bottom w:val="single" w:sz="4" w:space="0" w:color="4986A0"/>
            </w:tcBorders>
            <w:tcMar>
              <w:top w:w="0" w:type="dxa"/>
              <w:left w:w="0" w:type="dxa"/>
              <w:bottom w:w="0" w:type="dxa"/>
              <w:right w:w="0" w:type="dxa"/>
            </w:tcMar>
            <w:hideMark/>
          </w:tcPr>
          <w:p w14:paraId="00817722" w14:textId="77777777" w:rsidR="00726612" w:rsidRPr="00726612" w:rsidRDefault="00726612">
            <w:pPr>
              <w:spacing w:after="120" w:line="240" w:lineRule="auto"/>
              <w:rPr>
                <w:color w:val="000000"/>
                <w:sz w:val="20"/>
                <w:szCs w:val="20"/>
              </w:rPr>
            </w:pPr>
            <w:r w:rsidRPr="00726612">
              <w:rPr>
                <w:color w:val="000000"/>
                <w:sz w:val="20"/>
                <w:szCs w:val="20"/>
              </w:rPr>
              <w:t>A.3</w:t>
            </w:r>
          </w:p>
        </w:tc>
        <w:tc>
          <w:tcPr>
            <w:tcW w:w="1843" w:type="dxa"/>
            <w:tcBorders>
              <w:bottom w:val="single" w:sz="4" w:space="0" w:color="4986A0"/>
            </w:tcBorders>
            <w:tcMar>
              <w:top w:w="0" w:type="dxa"/>
              <w:left w:w="118" w:type="dxa"/>
              <w:bottom w:w="0" w:type="dxa"/>
              <w:right w:w="118" w:type="dxa"/>
            </w:tcMar>
            <w:hideMark/>
          </w:tcPr>
          <w:p w14:paraId="01C40688" w14:textId="77777777" w:rsidR="00726612" w:rsidRPr="00726612" w:rsidRDefault="00726612">
            <w:pPr>
              <w:spacing w:after="120" w:line="240" w:lineRule="auto"/>
              <w:rPr>
                <w:color w:val="000000"/>
                <w:sz w:val="20"/>
                <w:szCs w:val="20"/>
              </w:rPr>
            </w:pPr>
            <w:r w:rsidRPr="00726612">
              <w:rPr>
                <w:color w:val="000000"/>
                <w:sz w:val="20"/>
                <w:szCs w:val="20"/>
              </w:rPr>
              <w:t>Cost to government</w:t>
            </w:r>
          </w:p>
        </w:tc>
        <w:tc>
          <w:tcPr>
            <w:tcW w:w="4905" w:type="dxa"/>
            <w:tcBorders>
              <w:bottom w:val="single" w:sz="4" w:space="0" w:color="4986A0"/>
            </w:tcBorders>
            <w:tcMar>
              <w:top w:w="0" w:type="dxa"/>
              <w:left w:w="118" w:type="dxa"/>
              <w:bottom w:w="0" w:type="dxa"/>
              <w:right w:w="118" w:type="dxa"/>
            </w:tcMar>
            <w:hideMark/>
          </w:tcPr>
          <w:p w14:paraId="583B4534" w14:textId="32DE3322" w:rsidR="00726612" w:rsidRPr="00726612" w:rsidRDefault="00F2062E" w:rsidP="003C0CA2">
            <w:pPr>
              <w:spacing w:after="120" w:line="240" w:lineRule="auto"/>
              <w:rPr>
                <w:color w:val="000000"/>
                <w:sz w:val="20"/>
                <w:szCs w:val="20"/>
              </w:rPr>
            </w:pPr>
            <w:r>
              <w:rPr>
                <w:color w:val="000000"/>
                <w:sz w:val="20"/>
                <w:szCs w:val="20"/>
              </w:rPr>
              <w:t>The commission</w:t>
            </w:r>
            <w:r w:rsidR="00726612" w:rsidRPr="00726612">
              <w:rPr>
                <w:color w:val="000000"/>
                <w:sz w:val="20"/>
                <w:szCs w:val="20"/>
              </w:rPr>
              <w:t xml:space="preserve"> would need to monitor implementation</w:t>
            </w:r>
            <w:r w:rsidR="0028118E">
              <w:rPr>
                <w:color w:val="000000"/>
                <w:sz w:val="20"/>
                <w:szCs w:val="20"/>
              </w:rPr>
              <w:t xml:space="preserve"> of</w:t>
            </w:r>
            <w:r w:rsidR="00726612" w:rsidRPr="00726612">
              <w:rPr>
                <w:color w:val="000000"/>
                <w:sz w:val="20"/>
                <w:szCs w:val="20"/>
              </w:rPr>
              <w:t xml:space="preserve"> the crediting arrangements.</w:t>
            </w:r>
            <w:r w:rsidR="00C84E78">
              <w:rPr>
                <w:color w:val="000000"/>
                <w:sz w:val="20"/>
                <w:szCs w:val="20"/>
              </w:rPr>
              <w:t xml:space="preserve"> </w:t>
            </w:r>
            <w:r w:rsidR="00CC5C40">
              <w:rPr>
                <w:color w:val="000000"/>
                <w:sz w:val="20"/>
                <w:szCs w:val="20"/>
              </w:rPr>
              <w:t xml:space="preserve">As these arrangements are likely to be more complex than switching customers or reducing their tariffs, </w:t>
            </w:r>
            <w:r w:rsidR="009A01EE">
              <w:rPr>
                <w:color w:val="000000"/>
                <w:sz w:val="20"/>
                <w:szCs w:val="20"/>
              </w:rPr>
              <w:t>this could involve reviewing and monitoring additional reporting obligations.</w:t>
            </w:r>
            <w:r w:rsidR="00D56125">
              <w:rPr>
                <w:color w:val="000000"/>
                <w:sz w:val="20"/>
                <w:szCs w:val="20"/>
              </w:rPr>
              <w:t xml:space="preserve"> However, we do not expect th</w:t>
            </w:r>
            <w:r w:rsidR="002F0F2A">
              <w:rPr>
                <w:color w:val="000000"/>
                <w:sz w:val="20"/>
                <w:szCs w:val="20"/>
              </w:rPr>
              <w:t>e commission’s</w:t>
            </w:r>
            <w:r w:rsidR="00D56125">
              <w:rPr>
                <w:color w:val="000000"/>
                <w:sz w:val="20"/>
                <w:szCs w:val="20"/>
              </w:rPr>
              <w:t xml:space="preserve"> costs would be significantly different </w:t>
            </w:r>
            <w:r w:rsidR="002F0F2A">
              <w:rPr>
                <w:color w:val="000000"/>
                <w:sz w:val="20"/>
                <w:szCs w:val="20"/>
              </w:rPr>
              <w:t xml:space="preserve">than </w:t>
            </w:r>
            <w:r w:rsidR="006116CA">
              <w:rPr>
                <w:color w:val="000000"/>
                <w:sz w:val="20"/>
                <w:szCs w:val="20"/>
              </w:rPr>
              <w:t xml:space="preserve">for </w:t>
            </w:r>
            <w:r w:rsidR="00884CDF">
              <w:rPr>
                <w:color w:val="000000"/>
                <w:sz w:val="20"/>
                <w:szCs w:val="20"/>
              </w:rPr>
              <w:t>Options A.1 and A.2</w:t>
            </w:r>
            <w:r w:rsidR="006116CA">
              <w:rPr>
                <w:color w:val="000000"/>
                <w:sz w:val="20"/>
                <w:szCs w:val="20"/>
              </w:rPr>
              <w:t>.</w:t>
            </w:r>
          </w:p>
        </w:tc>
        <w:tc>
          <w:tcPr>
            <w:tcW w:w="979" w:type="dxa"/>
            <w:tcBorders>
              <w:bottom w:val="single" w:sz="4" w:space="0" w:color="4986A0"/>
            </w:tcBorders>
          </w:tcPr>
          <w:p w14:paraId="4C3524EE" w14:textId="22FFB5C8" w:rsidR="00A063E7" w:rsidRPr="00726612" w:rsidRDefault="00700E01">
            <w:pPr>
              <w:spacing w:after="120" w:line="240" w:lineRule="auto"/>
              <w:ind w:right="311"/>
              <w:jc w:val="right"/>
              <w:rPr>
                <w:color w:val="000000"/>
                <w:sz w:val="20"/>
                <w:szCs w:val="20"/>
              </w:rPr>
            </w:pPr>
            <w:r>
              <w:rPr>
                <w:color w:val="000000"/>
                <w:sz w:val="20"/>
                <w:szCs w:val="20"/>
              </w:rPr>
              <w:t>-</w:t>
            </w:r>
            <w:r w:rsidR="00AC74C2">
              <w:rPr>
                <w:color w:val="000000"/>
                <w:sz w:val="20"/>
                <w:szCs w:val="20"/>
              </w:rPr>
              <w:t>1.0</w:t>
            </w:r>
          </w:p>
        </w:tc>
        <w:tc>
          <w:tcPr>
            <w:tcW w:w="1202" w:type="dxa"/>
            <w:tcBorders>
              <w:bottom w:val="single" w:sz="4" w:space="0" w:color="4986A0"/>
            </w:tcBorders>
            <w:tcMar>
              <w:top w:w="0" w:type="dxa"/>
              <w:left w:w="118" w:type="dxa"/>
              <w:bottom w:w="0" w:type="dxa"/>
              <w:right w:w="118" w:type="dxa"/>
            </w:tcMar>
            <w:hideMark/>
          </w:tcPr>
          <w:p w14:paraId="74DAD143" w14:textId="20B52E1A" w:rsidR="00726612" w:rsidRPr="00726612" w:rsidRDefault="00726612" w:rsidP="00700E01">
            <w:pPr>
              <w:spacing w:after="120" w:line="240" w:lineRule="auto"/>
              <w:jc w:val="center"/>
              <w:rPr>
                <w:color w:val="000000"/>
                <w:sz w:val="20"/>
                <w:szCs w:val="20"/>
              </w:rPr>
            </w:pPr>
            <w:r w:rsidRPr="00726612">
              <w:rPr>
                <w:color w:val="000000"/>
                <w:sz w:val="20"/>
                <w:szCs w:val="20"/>
              </w:rPr>
              <w:t>-0.1</w:t>
            </w:r>
            <w:r w:rsidR="00AC74C2">
              <w:rPr>
                <w:color w:val="000000"/>
                <w:sz w:val="20"/>
                <w:szCs w:val="20"/>
              </w:rPr>
              <w:t>0</w:t>
            </w:r>
          </w:p>
        </w:tc>
      </w:tr>
    </w:tbl>
    <w:p w14:paraId="49AD2F43" w14:textId="77777777" w:rsidR="00A51643" w:rsidRDefault="00A51643" w:rsidP="00A51643"/>
    <w:p w14:paraId="1F2B62E7" w14:textId="77777777" w:rsidR="00A51643" w:rsidRDefault="00A51643">
      <w:pPr>
        <w:spacing w:before="0" w:line="259" w:lineRule="auto"/>
        <w:rPr>
          <w:rFonts w:ascii="Tahoma" w:eastAsiaTheme="majorEastAsia" w:hAnsi="Tahoma" w:cstheme="majorBidi"/>
          <w:b/>
          <w:color w:val="4986A0" w:themeColor="text2"/>
          <w:szCs w:val="24"/>
        </w:rPr>
      </w:pPr>
      <w:r>
        <w:br w:type="page"/>
      </w:r>
    </w:p>
    <w:p w14:paraId="48925042" w14:textId="13FAFF93" w:rsidR="00905501" w:rsidRDefault="00905501" w:rsidP="00E97BD3">
      <w:pPr>
        <w:pStyle w:val="Heading3numbered"/>
      </w:pPr>
      <w:r>
        <w:lastRenderedPageBreak/>
        <w:t xml:space="preserve">Preferred </w:t>
      </w:r>
      <w:r w:rsidR="00DE58E9">
        <w:t>o</w:t>
      </w:r>
      <w:r>
        <w:t xml:space="preserve">ption – </w:t>
      </w:r>
      <w:r w:rsidR="007078D4">
        <w:t>i</w:t>
      </w:r>
      <w:r w:rsidR="001C0B13">
        <w:t>mplementation</w:t>
      </w:r>
    </w:p>
    <w:p w14:paraId="301DD96E" w14:textId="0F879EDC" w:rsidR="00905501" w:rsidRPr="006C36E7" w:rsidRDefault="00905501" w:rsidP="000F6481">
      <w:pPr>
        <w:pStyle w:val="Figure-Table-BoxSubtitle"/>
        <w:ind w:left="0"/>
      </w:pPr>
      <w:r w:rsidRPr="000F6481">
        <w:rPr>
          <w:b/>
          <w:bCs/>
        </w:rPr>
        <w:t xml:space="preserve">Table </w:t>
      </w:r>
      <w:r w:rsidR="00B05E2B" w:rsidRPr="000F6481">
        <w:rPr>
          <w:b/>
          <w:bCs/>
        </w:rPr>
        <w:t>1</w:t>
      </w:r>
      <w:r w:rsidR="00C33739" w:rsidRPr="000F6481">
        <w:rPr>
          <w:b/>
          <w:bCs/>
        </w:rPr>
        <w:t>3</w:t>
      </w:r>
      <w:r w:rsidRPr="000F6481">
        <w:rPr>
          <w:b/>
          <w:bCs/>
        </w:rPr>
        <w:t>:</w:t>
      </w:r>
      <w:r w:rsidRPr="000F6481">
        <w:t xml:space="preserve"> Summary</w:t>
      </w:r>
      <w:r w:rsidRPr="000648CA">
        <w:t xml:space="preserve"> of MCA assessments ‒ Automatic switching to best offer</w:t>
      </w:r>
      <w:r>
        <w:t xml:space="preserve">: </w:t>
      </w:r>
      <w:r w:rsidR="00BF0C1A">
        <w:t>Implementation</w:t>
      </w:r>
    </w:p>
    <w:tbl>
      <w:tblPr>
        <w:tblW w:w="0" w:type="auto"/>
        <w:tblBorders>
          <w:insideH w:val="single" w:sz="8" w:space="0" w:color="FFFFFF"/>
        </w:tblBorders>
        <w:tblCellMar>
          <w:left w:w="0" w:type="dxa"/>
          <w:right w:w="0" w:type="dxa"/>
        </w:tblCellMar>
        <w:tblLook w:val="04A0" w:firstRow="1" w:lastRow="0" w:firstColumn="1" w:lastColumn="0" w:noHBand="0" w:noVBand="1"/>
      </w:tblPr>
      <w:tblGrid>
        <w:gridCol w:w="1432"/>
        <w:gridCol w:w="6070"/>
        <w:gridCol w:w="2136"/>
      </w:tblGrid>
      <w:tr w:rsidR="00905501" w14:paraId="247AD386" w14:textId="77777777">
        <w:tc>
          <w:tcPr>
            <w:tcW w:w="1438" w:type="dxa"/>
            <w:tcBorders>
              <w:bottom w:val="single" w:sz="8" w:space="0" w:color="FFFFFF"/>
            </w:tcBorders>
            <w:shd w:val="clear" w:color="auto" w:fill="4986A0"/>
            <w:tcMar>
              <w:top w:w="85" w:type="dxa"/>
              <w:left w:w="95" w:type="dxa"/>
              <w:bottom w:w="85" w:type="dxa"/>
              <w:right w:w="67" w:type="dxa"/>
            </w:tcMar>
            <w:hideMark/>
          </w:tcPr>
          <w:p w14:paraId="042B288E" w14:textId="77777777" w:rsidR="00905501" w:rsidRDefault="00905501" w:rsidP="00E97BD3">
            <w:pPr>
              <w:keepNext/>
              <w:keepLines/>
              <w:spacing w:after="120" w:line="240" w:lineRule="auto"/>
              <w:rPr>
                <w:color w:val="000000"/>
                <w:sz w:val="20"/>
                <w:szCs w:val="20"/>
              </w:rPr>
            </w:pPr>
            <w:r>
              <w:rPr>
                <w:b/>
                <w:bCs/>
                <w:color w:val="FFFFFF"/>
                <w:sz w:val="20"/>
                <w:szCs w:val="20"/>
              </w:rPr>
              <w:t>Option</w:t>
            </w:r>
          </w:p>
        </w:tc>
        <w:tc>
          <w:tcPr>
            <w:tcW w:w="6115" w:type="dxa"/>
            <w:tcBorders>
              <w:bottom w:val="single" w:sz="8" w:space="0" w:color="FFFFFF"/>
            </w:tcBorders>
            <w:shd w:val="clear" w:color="auto" w:fill="4986A0"/>
            <w:tcMar>
              <w:top w:w="85" w:type="dxa"/>
              <w:left w:w="95" w:type="dxa"/>
              <w:bottom w:w="85" w:type="dxa"/>
              <w:right w:w="67" w:type="dxa"/>
            </w:tcMar>
            <w:hideMark/>
          </w:tcPr>
          <w:p w14:paraId="06BF9007" w14:textId="77777777" w:rsidR="00905501" w:rsidRDefault="00905501" w:rsidP="00E97BD3">
            <w:pPr>
              <w:keepNext/>
              <w:keepLines/>
              <w:spacing w:after="120" w:line="240" w:lineRule="auto"/>
              <w:rPr>
                <w:color w:val="000000"/>
                <w:sz w:val="20"/>
                <w:szCs w:val="20"/>
              </w:rPr>
            </w:pPr>
            <w:r>
              <w:rPr>
                <w:b/>
                <w:bCs/>
                <w:color w:val="FFFFFF"/>
                <w:sz w:val="20"/>
                <w:szCs w:val="20"/>
              </w:rPr>
              <w:t>Description</w:t>
            </w:r>
          </w:p>
        </w:tc>
        <w:tc>
          <w:tcPr>
            <w:tcW w:w="2145" w:type="dxa"/>
            <w:tcBorders>
              <w:bottom w:val="single" w:sz="8" w:space="0" w:color="FFFFFF"/>
            </w:tcBorders>
            <w:shd w:val="clear" w:color="auto" w:fill="4986A0"/>
            <w:tcMar>
              <w:top w:w="85" w:type="dxa"/>
              <w:left w:w="95" w:type="dxa"/>
              <w:bottom w:w="85" w:type="dxa"/>
              <w:right w:w="67" w:type="dxa"/>
            </w:tcMar>
            <w:hideMark/>
          </w:tcPr>
          <w:p w14:paraId="7E05181C" w14:textId="77777777" w:rsidR="00905501" w:rsidRDefault="00905501" w:rsidP="00E97BD3">
            <w:pPr>
              <w:keepNext/>
              <w:keepLines/>
              <w:spacing w:after="120" w:line="240" w:lineRule="auto"/>
              <w:jc w:val="center"/>
              <w:rPr>
                <w:color w:val="000000"/>
                <w:sz w:val="20"/>
                <w:szCs w:val="20"/>
              </w:rPr>
            </w:pPr>
            <w:r>
              <w:rPr>
                <w:b/>
                <w:bCs/>
                <w:color w:val="FFFFFF"/>
                <w:sz w:val="20"/>
                <w:szCs w:val="20"/>
              </w:rPr>
              <w:t>Weighted score</w:t>
            </w:r>
          </w:p>
        </w:tc>
      </w:tr>
      <w:tr w:rsidR="00905501" w14:paraId="79F24FEE" w14:textId="77777777" w:rsidTr="00377483">
        <w:tc>
          <w:tcPr>
            <w:tcW w:w="1438"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17117E25" w14:textId="2807B53C" w:rsidR="00905501" w:rsidRDefault="00905501" w:rsidP="00E97BD3">
            <w:pPr>
              <w:keepNext/>
              <w:keepLines/>
              <w:spacing w:after="120" w:line="240" w:lineRule="auto"/>
              <w:rPr>
                <w:color w:val="000000"/>
                <w:sz w:val="20"/>
                <w:szCs w:val="20"/>
              </w:rPr>
            </w:pPr>
            <w:r>
              <w:rPr>
                <w:color w:val="000000"/>
                <w:sz w:val="20"/>
                <w:szCs w:val="20"/>
              </w:rPr>
              <w:t>A.1</w:t>
            </w:r>
          </w:p>
        </w:tc>
        <w:tc>
          <w:tcPr>
            <w:tcW w:w="6115"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15210957" w14:textId="2260D9A1" w:rsidR="00905501" w:rsidRDefault="00377483" w:rsidP="00E97BD3">
            <w:pPr>
              <w:keepNext/>
              <w:keepLines/>
              <w:spacing w:after="120" w:line="240" w:lineRule="auto"/>
              <w:rPr>
                <w:color w:val="000000"/>
                <w:sz w:val="20"/>
                <w:szCs w:val="20"/>
              </w:rPr>
            </w:pPr>
            <w:r>
              <w:rPr>
                <w:color w:val="000000"/>
                <w:sz w:val="20"/>
                <w:szCs w:val="20"/>
              </w:rPr>
              <w:t>Switching plans</w:t>
            </w:r>
          </w:p>
        </w:tc>
        <w:tc>
          <w:tcPr>
            <w:tcW w:w="2145"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2F70156A" w14:textId="0CAC30FB" w:rsidR="00905501" w:rsidRPr="00F2257E" w:rsidRDefault="008A3677" w:rsidP="00E97BD3">
            <w:pPr>
              <w:keepNext/>
              <w:keepLines/>
              <w:spacing w:after="120" w:line="240" w:lineRule="auto"/>
              <w:jc w:val="center"/>
              <w:rPr>
                <w:b/>
                <w:bCs/>
                <w:color w:val="000000"/>
                <w:sz w:val="20"/>
                <w:szCs w:val="20"/>
              </w:rPr>
            </w:pPr>
            <w:r>
              <w:rPr>
                <w:b/>
                <w:bCs/>
                <w:color w:val="000000"/>
                <w:sz w:val="20"/>
                <w:szCs w:val="20"/>
              </w:rPr>
              <w:t>0.70</w:t>
            </w:r>
            <w:r w:rsidR="00377483" w:rsidRPr="00F2257E">
              <w:rPr>
                <w:b/>
                <w:bCs/>
                <w:color w:val="000000"/>
                <w:sz w:val="20"/>
                <w:szCs w:val="20"/>
              </w:rPr>
              <w:t xml:space="preserve"> (preferred)</w:t>
            </w:r>
          </w:p>
        </w:tc>
      </w:tr>
      <w:tr w:rsidR="00905501" w14:paraId="2E312633" w14:textId="77777777" w:rsidTr="00377483">
        <w:tc>
          <w:tcPr>
            <w:tcW w:w="1438" w:type="dxa"/>
            <w:tcBorders>
              <w:top w:val="single" w:sz="8" w:space="0" w:color="FFFFFF"/>
              <w:bottom w:val="single" w:sz="8" w:space="0" w:color="FFFFFF"/>
            </w:tcBorders>
            <w:shd w:val="clear" w:color="auto" w:fill="F2F2F2" w:themeFill="background1" w:themeFillShade="F2"/>
            <w:tcMar>
              <w:top w:w="85" w:type="dxa"/>
              <w:left w:w="95" w:type="dxa"/>
              <w:bottom w:w="85" w:type="dxa"/>
              <w:right w:w="67" w:type="dxa"/>
            </w:tcMar>
            <w:hideMark/>
          </w:tcPr>
          <w:p w14:paraId="5FF16827" w14:textId="3F5823DF" w:rsidR="00905501" w:rsidRDefault="00905501" w:rsidP="00E97BD3">
            <w:pPr>
              <w:keepNext/>
              <w:keepLines/>
              <w:spacing w:after="120" w:line="240" w:lineRule="auto"/>
              <w:rPr>
                <w:color w:val="000000"/>
                <w:sz w:val="20"/>
                <w:szCs w:val="20"/>
              </w:rPr>
            </w:pPr>
            <w:r>
              <w:rPr>
                <w:color w:val="000000"/>
                <w:sz w:val="20"/>
                <w:szCs w:val="20"/>
              </w:rPr>
              <w:t>A.2</w:t>
            </w:r>
          </w:p>
        </w:tc>
        <w:tc>
          <w:tcPr>
            <w:tcW w:w="6115" w:type="dxa"/>
            <w:tcBorders>
              <w:top w:val="single" w:sz="8" w:space="0" w:color="FFFFFF"/>
              <w:bottom w:val="single" w:sz="8" w:space="0" w:color="FFFFFF"/>
            </w:tcBorders>
            <w:shd w:val="clear" w:color="auto" w:fill="F2F2F2" w:themeFill="background1" w:themeFillShade="F2"/>
            <w:tcMar>
              <w:top w:w="85" w:type="dxa"/>
              <w:left w:w="95" w:type="dxa"/>
              <w:bottom w:w="85" w:type="dxa"/>
              <w:right w:w="67" w:type="dxa"/>
            </w:tcMar>
            <w:hideMark/>
          </w:tcPr>
          <w:p w14:paraId="4B358266" w14:textId="6C0EC74D" w:rsidR="00905501" w:rsidRDefault="00377483" w:rsidP="00E97BD3">
            <w:pPr>
              <w:keepNext/>
              <w:keepLines/>
              <w:spacing w:after="120" w:line="240" w:lineRule="auto"/>
              <w:rPr>
                <w:color w:val="000000"/>
                <w:sz w:val="20"/>
                <w:szCs w:val="20"/>
              </w:rPr>
            </w:pPr>
            <w:r>
              <w:rPr>
                <w:color w:val="000000"/>
                <w:sz w:val="20"/>
                <w:szCs w:val="20"/>
              </w:rPr>
              <w:t>Changing tariffs</w:t>
            </w:r>
          </w:p>
        </w:tc>
        <w:tc>
          <w:tcPr>
            <w:tcW w:w="2145" w:type="dxa"/>
            <w:tcBorders>
              <w:top w:val="single" w:sz="8" w:space="0" w:color="FFFFFF"/>
              <w:bottom w:val="single" w:sz="8" w:space="0" w:color="FFFFFF"/>
            </w:tcBorders>
            <w:shd w:val="clear" w:color="auto" w:fill="F2F2F2" w:themeFill="background1" w:themeFillShade="F2"/>
            <w:tcMar>
              <w:top w:w="85" w:type="dxa"/>
              <w:left w:w="95" w:type="dxa"/>
              <w:bottom w:w="85" w:type="dxa"/>
              <w:right w:w="67" w:type="dxa"/>
            </w:tcMar>
            <w:hideMark/>
          </w:tcPr>
          <w:p w14:paraId="5ED861EA" w14:textId="44DFD74A" w:rsidR="00905501" w:rsidRPr="00F2257E" w:rsidRDefault="00953BBB" w:rsidP="00E97BD3">
            <w:pPr>
              <w:keepNext/>
              <w:keepLines/>
              <w:spacing w:after="120" w:line="240" w:lineRule="auto"/>
              <w:jc w:val="center"/>
              <w:rPr>
                <w:color w:val="000000"/>
                <w:sz w:val="20"/>
                <w:szCs w:val="20"/>
              </w:rPr>
            </w:pPr>
            <w:r>
              <w:rPr>
                <w:color w:val="000000"/>
                <w:sz w:val="20"/>
                <w:szCs w:val="20"/>
              </w:rPr>
              <w:t>0.</w:t>
            </w:r>
            <w:r w:rsidR="00705906">
              <w:rPr>
                <w:color w:val="000000"/>
                <w:sz w:val="20"/>
                <w:szCs w:val="20"/>
              </w:rPr>
              <w:t>4</w:t>
            </w:r>
            <w:r>
              <w:rPr>
                <w:color w:val="000000"/>
                <w:sz w:val="20"/>
                <w:szCs w:val="20"/>
              </w:rPr>
              <w:t>5</w:t>
            </w:r>
          </w:p>
        </w:tc>
      </w:tr>
      <w:tr w:rsidR="00377483" w14:paraId="1EE7D067" w14:textId="77777777" w:rsidTr="00C733E0">
        <w:tc>
          <w:tcPr>
            <w:tcW w:w="1438" w:type="dxa"/>
            <w:tcBorders>
              <w:top w:val="single" w:sz="8" w:space="0" w:color="FFFFFF"/>
              <w:bottom w:val="single" w:sz="8" w:space="0" w:color="FFFFFF"/>
            </w:tcBorders>
            <w:shd w:val="clear" w:color="auto" w:fill="F2F2F2" w:themeFill="background1" w:themeFillShade="F2"/>
            <w:tcMar>
              <w:top w:w="85" w:type="dxa"/>
              <w:left w:w="95" w:type="dxa"/>
              <w:bottom w:w="85" w:type="dxa"/>
              <w:right w:w="67" w:type="dxa"/>
            </w:tcMar>
          </w:tcPr>
          <w:p w14:paraId="0AF56AE4" w14:textId="3360772B" w:rsidR="00377483" w:rsidRDefault="00377483">
            <w:pPr>
              <w:spacing w:after="120" w:line="240" w:lineRule="auto"/>
              <w:rPr>
                <w:color w:val="000000"/>
                <w:sz w:val="20"/>
                <w:szCs w:val="20"/>
              </w:rPr>
            </w:pPr>
            <w:r>
              <w:rPr>
                <w:color w:val="000000"/>
                <w:sz w:val="20"/>
                <w:szCs w:val="20"/>
              </w:rPr>
              <w:t>A.3</w:t>
            </w:r>
          </w:p>
        </w:tc>
        <w:tc>
          <w:tcPr>
            <w:tcW w:w="6115" w:type="dxa"/>
            <w:tcBorders>
              <w:top w:val="single" w:sz="8" w:space="0" w:color="FFFFFF"/>
              <w:bottom w:val="single" w:sz="8" w:space="0" w:color="FFFFFF"/>
            </w:tcBorders>
            <w:shd w:val="clear" w:color="auto" w:fill="F2F2F2" w:themeFill="background1" w:themeFillShade="F2"/>
            <w:tcMar>
              <w:top w:w="85" w:type="dxa"/>
              <w:left w:w="95" w:type="dxa"/>
              <w:bottom w:w="85" w:type="dxa"/>
              <w:right w:w="67" w:type="dxa"/>
            </w:tcMar>
          </w:tcPr>
          <w:p w14:paraId="041262DB" w14:textId="3F78AA81" w:rsidR="00377483" w:rsidRDefault="00377483">
            <w:pPr>
              <w:spacing w:after="120" w:line="240" w:lineRule="auto"/>
              <w:rPr>
                <w:color w:val="000000"/>
                <w:sz w:val="20"/>
                <w:szCs w:val="20"/>
              </w:rPr>
            </w:pPr>
            <w:r>
              <w:rPr>
                <w:color w:val="000000"/>
                <w:sz w:val="20"/>
                <w:szCs w:val="20"/>
              </w:rPr>
              <w:t>Crediting</w:t>
            </w:r>
          </w:p>
        </w:tc>
        <w:tc>
          <w:tcPr>
            <w:tcW w:w="2145" w:type="dxa"/>
            <w:tcBorders>
              <w:top w:val="single" w:sz="8" w:space="0" w:color="FFFFFF"/>
              <w:bottom w:val="single" w:sz="8" w:space="0" w:color="FFFFFF"/>
            </w:tcBorders>
            <w:shd w:val="clear" w:color="auto" w:fill="F2F2F2" w:themeFill="background1" w:themeFillShade="F2"/>
            <w:tcMar>
              <w:top w:w="85" w:type="dxa"/>
              <w:left w:w="95" w:type="dxa"/>
              <w:bottom w:w="85" w:type="dxa"/>
              <w:right w:w="67" w:type="dxa"/>
            </w:tcMar>
          </w:tcPr>
          <w:p w14:paraId="50671D9C" w14:textId="5A52FE02" w:rsidR="00377483" w:rsidRPr="00003A38" w:rsidRDefault="00003A38">
            <w:pPr>
              <w:spacing w:after="120" w:line="240" w:lineRule="auto"/>
              <w:jc w:val="center"/>
              <w:rPr>
                <w:color w:val="000000"/>
                <w:sz w:val="20"/>
                <w:szCs w:val="20"/>
              </w:rPr>
            </w:pPr>
            <w:r w:rsidRPr="00003A38">
              <w:rPr>
                <w:color w:val="000000"/>
                <w:sz w:val="20"/>
                <w:szCs w:val="20"/>
              </w:rPr>
              <w:t>0.4</w:t>
            </w:r>
            <w:r w:rsidR="00705906">
              <w:rPr>
                <w:color w:val="000000"/>
                <w:sz w:val="20"/>
                <w:szCs w:val="20"/>
              </w:rPr>
              <w:t>0</w:t>
            </w:r>
          </w:p>
        </w:tc>
      </w:tr>
    </w:tbl>
    <w:p w14:paraId="122AB3D3" w14:textId="3664FCFF" w:rsidR="001F07AB" w:rsidRPr="001F07AB" w:rsidRDefault="001F07AB" w:rsidP="001F07AB">
      <w:pPr>
        <w:pStyle w:val="Heading2numbered"/>
      </w:pPr>
      <w:bookmarkStart w:id="157" w:name="_Toc195617172"/>
      <w:bookmarkStart w:id="158" w:name="_Toc195642857"/>
      <w:bookmarkStart w:id="159" w:name="_Toc195692569"/>
      <w:bookmarkStart w:id="160" w:name="_Toc195701861"/>
      <w:bookmarkStart w:id="161" w:name="_Toc195617173"/>
      <w:bookmarkStart w:id="162" w:name="_Toc195642858"/>
      <w:bookmarkStart w:id="163" w:name="_Toc195692570"/>
      <w:bookmarkStart w:id="164" w:name="_Toc195701862"/>
      <w:bookmarkStart w:id="165" w:name="_Toc195617174"/>
      <w:bookmarkStart w:id="166" w:name="_Toc195642859"/>
      <w:bookmarkStart w:id="167" w:name="_Toc195692571"/>
      <w:bookmarkStart w:id="168" w:name="_Toc195701863"/>
      <w:bookmarkStart w:id="169" w:name="_Toc195617175"/>
      <w:bookmarkStart w:id="170" w:name="_Toc195642860"/>
      <w:bookmarkStart w:id="171" w:name="_Toc195692572"/>
      <w:bookmarkStart w:id="172" w:name="_Toc195701864"/>
      <w:bookmarkStart w:id="173" w:name="_Toc19795943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1F07AB">
        <w:t>Summary and preferred option</w:t>
      </w:r>
      <w:r w:rsidR="00B81A57">
        <w:t>s</w:t>
      </w:r>
      <w:bookmarkEnd w:id="173"/>
    </w:p>
    <w:p w14:paraId="57FAFADA" w14:textId="53755771" w:rsidR="000239D4" w:rsidRDefault="000239D4" w:rsidP="000239D4">
      <w:r>
        <w:t xml:space="preserve">The MCA assessment suggests that the preferred options are Option AA.2 (for eligibility) and Option A.1 (for </w:t>
      </w:r>
      <w:r w:rsidR="004628FE">
        <w:t>implementation). T</w:t>
      </w:r>
      <w:r>
        <w:t xml:space="preserve">hat is, energy retailers automatically switching to the best offer </w:t>
      </w:r>
      <w:r w:rsidR="002C4F96">
        <w:t xml:space="preserve">customers </w:t>
      </w:r>
      <w:r>
        <w:t xml:space="preserve">who are receiving tailored assistance as well as customers who have been in arrears for </w:t>
      </w:r>
      <w:r w:rsidR="00472057">
        <w:t xml:space="preserve">at least </w:t>
      </w:r>
      <w:r w:rsidR="00673AD9">
        <w:t xml:space="preserve">three </w:t>
      </w:r>
      <w:r>
        <w:t xml:space="preserve">months </w:t>
      </w:r>
      <w:r w:rsidR="00472057">
        <w:t>and</w:t>
      </w:r>
      <w:r w:rsidR="00E15A00">
        <w:t xml:space="preserve"> </w:t>
      </w:r>
      <w:r>
        <w:t xml:space="preserve">with </w:t>
      </w:r>
      <w:r w:rsidR="00673AD9">
        <w:t>arrears</w:t>
      </w:r>
      <w:r>
        <w:t xml:space="preserve"> o</w:t>
      </w:r>
      <w:r w:rsidR="0032620B">
        <w:t>f</w:t>
      </w:r>
      <w:r>
        <w:t xml:space="preserve"> $1</w:t>
      </w:r>
      <w:r w:rsidR="00C733E0">
        <w:t>,</w:t>
      </w:r>
      <w:r>
        <w:t>000</w:t>
      </w:r>
      <w:r w:rsidR="0032620B">
        <w:t xml:space="preserve"> or more</w:t>
      </w:r>
      <w:r>
        <w:t>.</w:t>
      </w:r>
    </w:p>
    <w:p w14:paraId="527656BC" w14:textId="287DD766" w:rsidR="000239D4" w:rsidRDefault="000239D4" w:rsidP="000239D4">
      <w:r>
        <w:t xml:space="preserve">First, an MCA assessment was undertaken to assess two proposals to determine the preferred </w:t>
      </w:r>
      <w:r w:rsidR="00673AD9">
        <w:t>eligibility</w:t>
      </w:r>
      <w:r>
        <w:t xml:space="preserve"> option. Option AA.2, applying to customers receiving tailored assistance as well as customers in arrears for </w:t>
      </w:r>
      <w:r w:rsidR="00793ADF">
        <w:t xml:space="preserve">at least </w:t>
      </w:r>
      <w:r w:rsidR="00673AD9">
        <w:t>three</w:t>
      </w:r>
      <w:r>
        <w:t xml:space="preserve"> months and </w:t>
      </w:r>
      <w:r w:rsidR="00673AD9">
        <w:t>with arrears</w:t>
      </w:r>
      <w:r w:rsidR="0032620B">
        <w:t xml:space="preserve"> of</w:t>
      </w:r>
      <w:r>
        <w:t xml:space="preserve"> $1</w:t>
      </w:r>
      <w:r w:rsidR="00673AD9">
        <w:t>,</w:t>
      </w:r>
      <w:r>
        <w:t>000</w:t>
      </w:r>
      <w:r w:rsidR="0032620B">
        <w:t xml:space="preserve"> or more</w:t>
      </w:r>
      <w:r>
        <w:t xml:space="preserve">, was the preferred option (see table below). This is primarily because it covered </w:t>
      </w:r>
      <w:r w:rsidR="00B16D42">
        <w:t>a larger number of people experiencing payment difficulty</w:t>
      </w:r>
      <w:r>
        <w:t xml:space="preserve">, and hence was more effective. While this option imposed higher costs on industry and higher administrative costs on government than Option AA.1, the higher benefits attached </w:t>
      </w:r>
      <w:r w:rsidR="00E67389">
        <w:t xml:space="preserve">to </w:t>
      </w:r>
      <w:r>
        <w:t>this option were higher than those for AA.1 (and considerably higher than the base case).</w:t>
      </w:r>
    </w:p>
    <w:p w14:paraId="60CC5382" w14:textId="5F4E2597" w:rsidR="000239D4" w:rsidRDefault="000239D4" w:rsidP="000239D4">
      <w:pPr>
        <w:rPr>
          <w:highlight w:val="yellow"/>
        </w:rPr>
      </w:pPr>
      <w:r>
        <w:t xml:space="preserve">Second, three implementation options were considered to assess the preferred </w:t>
      </w:r>
      <w:r w:rsidR="00B16D42">
        <w:t>implementation</w:t>
      </w:r>
      <w:r>
        <w:t xml:space="preserve"> </w:t>
      </w:r>
      <w:r w:rsidR="0091365B">
        <w:t xml:space="preserve">of </w:t>
      </w:r>
      <w:r>
        <w:t xml:space="preserve">Option AA.2. Option A.1, automatic switching to the best offer for all customers experiencing payment difficulty who meet the chosen eligibility criteria was preferred. The main difference between these options </w:t>
      </w:r>
      <w:r w:rsidR="00135D9D">
        <w:t>was</w:t>
      </w:r>
      <w:r>
        <w:t xml:space="preserve"> the </w:t>
      </w:r>
      <w:r w:rsidR="00EB1095">
        <w:t xml:space="preserve">effectiveness in delivering </w:t>
      </w:r>
      <w:r w:rsidR="00814AA9">
        <w:t xml:space="preserve">assistance to </w:t>
      </w:r>
      <w:r w:rsidR="000976C4">
        <w:t>consumers</w:t>
      </w:r>
      <w:r w:rsidR="00135D9D">
        <w:t xml:space="preserve">, </w:t>
      </w:r>
      <w:r w:rsidR="000976C4">
        <w:t>particularly in relation to the</w:t>
      </w:r>
      <w:r w:rsidR="00135D9D">
        <w:t xml:space="preserve"> expected duration of the </w:t>
      </w:r>
      <w:r w:rsidR="00284D21">
        <w:t xml:space="preserve">benefits. </w:t>
      </w:r>
      <w:r w:rsidR="008B2578">
        <w:t>Another key difference was noted in the c</w:t>
      </w:r>
      <w:r>
        <w:t>osts and complexity associated with changing payment systems to deliver Option A.2 and Option A.3, resulting in higher costs for industry.</w:t>
      </w:r>
    </w:p>
    <w:p w14:paraId="0977A0B5" w14:textId="28C0E0EF" w:rsidR="00375145" w:rsidRDefault="00375145" w:rsidP="000F6481">
      <w:pPr>
        <w:pStyle w:val="Figure-Table-BoxSubtitle"/>
        <w:ind w:left="0"/>
      </w:pPr>
      <w:bookmarkStart w:id="174" w:name="_Hlk194387820"/>
      <w:r w:rsidRPr="000F6481">
        <w:rPr>
          <w:rStyle w:val="Figure-Table-BoxHeadingChar"/>
        </w:rPr>
        <w:t xml:space="preserve">Table </w:t>
      </w:r>
      <w:r w:rsidR="00292DEE" w:rsidRPr="000F6481">
        <w:rPr>
          <w:rStyle w:val="Figure-Table-BoxHeadingChar"/>
        </w:rPr>
        <w:t>1</w:t>
      </w:r>
      <w:r w:rsidR="00C33739" w:rsidRPr="000F6481">
        <w:rPr>
          <w:rStyle w:val="Figure-Table-BoxHeadingChar"/>
        </w:rPr>
        <w:t>4</w:t>
      </w:r>
      <w:r w:rsidRPr="000F6481">
        <w:rPr>
          <w:rStyle w:val="Figure-Table-BoxHeadingChar"/>
        </w:rPr>
        <w:t>:</w:t>
      </w:r>
      <w:r w:rsidRPr="000F6481">
        <w:t xml:space="preserve"> Summary of MCA assessments ‒ Automatic switching to best offer</w:t>
      </w:r>
    </w:p>
    <w:tbl>
      <w:tblPr>
        <w:tblW w:w="0" w:type="auto"/>
        <w:tblBorders>
          <w:insideH w:val="single" w:sz="8" w:space="0" w:color="FFFFFF"/>
        </w:tblBorders>
        <w:tblCellMar>
          <w:left w:w="0" w:type="dxa"/>
          <w:right w:w="0" w:type="dxa"/>
        </w:tblCellMar>
        <w:tblLook w:val="04A0" w:firstRow="1" w:lastRow="0" w:firstColumn="1" w:lastColumn="0" w:noHBand="0" w:noVBand="1"/>
      </w:tblPr>
      <w:tblGrid>
        <w:gridCol w:w="1425"/>
        <w:gridCol w:w="6080"/>
        <w:gridCol w:w="2133"/>
      </w:tblGrid>
      <w:tr w:rsidR="00375145" w14:paraId="3A724396" w14:textId="77777777" w:rsidTr="008B2578">
        <w:tc>
          <w:tcPr>
            <w:tcW w:w="1425" w:type="dxa"/>
            <w:tcBorders>
              <w:bottom w:val="single" w:sz="8" w:space="0" w:color="FFFFFF"/>
            </w:tcBorders>
            <w:shd w:val="clear" w:color="auto" w:fill="4986A0"/>
            <w:tcMar>
              <w:top w:w="85" w:type="dxa"/>
              <w:left w:w="90" w:type="dxa"/>
              <w:bottom w:w="85" w:type="dxa"/>
              <w:right w:w="62" w:type="dxa"/>
            </w:tcMar>
            <w:hideMark/>
          </w:tcPr>
          <w:p w14:paraId="4D5CFEFE" w14:textId="77777777" w:rsidR="00375145" w:rsidRDefault="00375145" w:rsidP="002676A4">
            <w:pPr>
              <w:spacing w:before="0" w:after="120" w:line="240" w:lineRule="auto"/>
              <w:rPr>
                <w:color w:val="000000"/>
                <w:sz w:val="20"/>
                <w:szCs w:val="20"/>
              </w:rPr>
            </w:pPr>
            <w:r>
              <w:rPr>
                <w:b/>
                <w:bCs/>
                <w:color w:val="FFFFFF"/>
                <w:sz w:val="20"/>
                <w:szCs w:val="20"/>
              </w:rPr>
              <w:t>Option</w:t>
            </w:r>
          </w:p>
        </w:tc>
        <w:tc>
          <w:tcPr>
            <w:tcW w:w="6080" w:type="dxa"/>
            <w:tcBorders>
              <w:bottom w:val="single" w:sz="8" w:space="0" w:color="FFFFFF"/>
            </w:tcBorders>
            <w:shd w:val="clear" w:color="auto" w:fill="4986A0"/>
            <w:tcMar>
              <w:top w:w="85" w:type="dxa"/>
              <w:left w:w="90" w:type="dxa"/>
              <w:bottom w:w="85" w:type="dxa"/>
              <w:right w:w="62" w:type="dxa"/>
            </w:tcMar>
            <w:hideMark/>
          </w:tcPr>
          <w:p w14:paraId="03AF3BCE" w14:textId="77777777" w:rsidR="00375145" w:rsidRDefault="00375145" w:rsidP="002676A4">
            <w:pPr>
              <w:spacing w:before="0" w:after="120" w:line="240" w:lineRule="auto"/>
              <w:rPr>
                <w:color w:val="000000"/>
                <w:sz w:val="20"/>
                <w:szCs w:val="20"/>
              </w:rPr>
            </w:pPr>
            <w:r>
              <w:rPr>
                <w:b/>
                <w:bCs/>
                <w:color w:val="FFFFFF"/>
                <w:sz w:val="20"/>
                <w:szCs w:val="20"/>
              </w:rPr>
              <w:t>Description</w:t>
            </w:r>
          </w:p>
        </w:tc>
        <w:tc>
          <w:tcPr>
            <w:tcW w:w="2133" w:type="dxa"/>
            <w:tcBorders>
              <w:bottom w:val="single" w:sz="8" w:space="0" w:color="FFFFFF"/>
            </w:tcBorders>
            <w:shd w:val="clear" w:color="auto" w:fill="4986A0"/>
            <w:tcMar>
              <w:top w:w="85" w:type="dxa"/>
              <w:left w:w="90" w:type="dxa"/>
              <w:bottom w:w="85" w:type="dxa"/>
              <w:right w:w="62" w:type="dxa"/>
            </w:tcMar>
            <w:hideMark/>
          </w:tcPr>
          <w:p w14:paraId="74960607" w14:textId="77777777" w:rsidR="00375145" w:rsidRDefault="00375145" w:rsidP="002676A4">
            <w:pPr>
              <w:spacing w:before="0" w:after="120" w:line="240" w:lineRule="auto"/>
              <w:rPr>
                <w:color w:val="000000"/>
                <w:sz w:val="20"/>
                <w:szCs w:val="20"/>
              </w:rPr>
            </w:pPr>
            <w:r>
              <w:rPr>
                <w:b/>
                <w:bCs/>
                <w:color w:val="FFFFFF"/>
                <w:sz w:val="20"/>
                <w:szCs w:val="20"/>
              </w:rPr>
              <w:t>Weighted score</w:t>
            </w:r>
          </w:p>
        </w:tc>
      </w:tr>
      <w:tr w:rsidR="00375145" w14:paraId="7E08B372" w14:textId="77777777" w:rsidTr="008B2578">
        <w:tc>
          <w:tcPr>
            <w:tcW w:w="1425"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4C97B3DF" w14:textId="7B67CB53" w:rsidR="00375145" w:rsidRDefault="00375145" w:rsidP="002676A4">
            <w:pPr>
              <w:spacing w:before="0" w:after="120" w:line="240" w:lineRule="auto"/>
              <w:jc w:val="center"/>
              <w:rPr>
                <w:color w:val="000000"/>
                <w:sz w:val="20"/>
                <w:szCs w:val="20"/>
              </w:rPr>
            </w:pPr>
            <w:r>
              <w:rPr>
                <w:color w:val="000000"/>
                <w:sz w:val="20"/>
                <w:szCs w:val="20"/>
              </w:rPr>
              <w:t>AA.1</w:t>
            </w:r>
          </w:p>
        </w:tc>
        <w:tc>
          <w:tcPr>
            <w:tcW w:w="6080"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72DC5ECE" w14:textId="07A74808" w:rsidR="00375145" w:rsidRDefault="00375145" w:rsidP="002676A4">
            <w:pPr>
              <w:spacing w:before="0" w:after="120" w:line="240" w:lineRule="auto"/>
              <w:rPr>
                <w:color w:val="000000"/>
                <w:sz w:val="20"/>
                <w:szCs w:val="20"/>
              </w:rPr>
            </w:pPr>
            <w:r>
              <w:rPr>
                <w:color w:val="000000"/>
                <w:sz w:val="20"/>
                <w:szCs w:val="20"/>
              </w:rPr>
              <w:t>Customers receiving tailored assistance</w:t>
            </w:r>
            <w:r w:rsidR="00281B87">
              <w:rPr>
                <w:color w:val="000000"/>
                <w:sz w:val="20"/>
                <w:szCs w:val="20"/>
              </w:rPr>
              <w:t>.</w:t>
            </w:r>
          </w:p>
        </w:tc>
        <w:tc>
          <w:tcPr>
            <w:tcW w:w="2133"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0B2DFB27" w14:textId="72379AE0" w:rsidR="00375145" w:rsidRDefault="00DE0B3F" w:rsidP="002676A4">
            <w:pPr>
              <w:spacing w:before="0" w:after="120" w:line="240" w:lineRule="auto"/>
              <w:jc w:val="center"/>
              <w:rPr>
                <w:color w:val="000000"/>
                <w:sz w:val="20"/>
                <w:szCs w:val="20"/>
              </w:rPr>
            </w:pPr>
            <w:r>
              <w:rPr>
                <w:color w:val="000000"/>
                <w:sz w:val="20"/>
                <w:szCs w:val="20"/>
              </w:rPr>
              <w:t>0</w:t>
            </w:r>
            <w:r w:rsidR="00A978E5">
              <w:rPr>
                <w:color w:val="000000"/>
                <w:sz w:val="20"/>
                <w:szCs w:val="20"/>
              </w:rPr>
              <w:t>.</w:t>
            </w:r>
            <w:r w:rsidR="004E60BB">
              <w:rPr>
                <w:color w:val="000000"/>
                <w:sz w:val="20"/>
                <w:szCs w:val="20"/>
              </w:rPr>
              <w:t>925</w:t>
            </w:r>
          </w:p>
        </w:tc>
      </w:tr>
      <w:tr w:rsidR="00375145" w14:paraId="07E922C4" w14:textId="77777777" w:rsidTr="008B2578">
        <w:tc>
          <w:tcPr>
            <w:tcW w:w="1425" w:type="dxa"/>
            <w:tcBorders>
              <w:top w:val="single" w:sz="8" w:space="0" w:color="FFFFFF"/>
              <w:bottom w:val="single" w:sz="8" w:space="0" w:color="FFFFFF"/>
            </w:tcBorders>
            <w:shd w:val="clear" w:color="auto" w:fill="FFE8C8" w:themeFill="accent4" w:themeFillTint="33"/>
            <w:tcMar>
              <w:top w:w="85" w:type="dxa"/>
              <w:left w:w="90" w:type="dxa"/>
              <w:bottom w:w="85" w:type="dxa"/>
              <w:right w:w="62" w:type="dxa"/>
            </w:tcMar>
            <w:hideMark/>
          </w:tcPr>
          <w:p w14:paraId="2ED92A08" w14:textId="486F47F8" w:rsidR="00375145" w:rsidRDefault="00375145" w:rsidP="002676A4">
            <w:pPr>
              <w:spacing w:before="0" w:after="120" w:line="240" w:lineRule="auto"/>
              <w:jc w:val="center"/>
              <w:rPr>
                <w:color w:val="000000"/>
                <w:sz w:val="20"/>
                <w:szCs w:val="20"/>
              </w:rPr>
            </w:pPr>
            <w:r>
              <w:rPr>
                <w:color w:val="000000"/>
                <w:sz w:val="20"/>
                <w:szCs w:val="20"/>
              </w:rPr>
              <w:lastRenderedPageBreak/>
              <w:t>AA.2</w:t>
            </w:r>
          </w:p>
        </w:tc>
        <w:tc>
          <w:tcPr>
            <w:tcW w:w="6080" w:type="dxa"/>
            <w:tcBorders>
              <w:top w:val="single" w:sz="8" w:space="0" w:color="FFFFFF"/>
              <w:bottom w:val="single" w:sz="8" w:space="0" w:color="FFFFFF"/>
            </w:tcBorders>
            <w:shd w:val="clear" w:color="auto" w:fill="FFE8C8" w:themeFill="accent4" w:themeFillTint="33"/>
            <w:tcMar>
              <w:top w:w="85" w:type="dxa"/>
              <w:left w:w="90" w:type="dxa"/>
              <w:bottom w:w="85" w:type="dxa"/>
              <w:right w:w="62" w:type="dxa"/>
            </w:tcMar>
            <w:hideMark/>
          </w:tcPr>
          <w:p w14:paraId="5C2E3412" w14:textId="5EFFDF62" w:rsidR="00375145" w:rsidRDefault="00375145" w:rsidP="002676A4">
            <w:pPr>
              <w:spacing w:before="0" w:after="120" w:line="240" w:lineRule="auto"/>
              <w:rPr>
                <w:color w:val="000000"/>
                <w:sz w:val="20"/>
                <w:szCs w:val="20"/>
              </w:rPr>
            </w:pPr>
            <w:r>
              <w:rPr>
                <w:color w:val="000000"/>
                <w:sz w:val="20"/>
                <w:szCs w:val="20"/>
              </w:rPr>
              <w:t xml:space="preserve">Customers receiving tailored assistance and customers in arrears for </w:t>
            </w:r>
            <w:r w:rsidR="00793ADF">
              <w:rPr>
                <w:color w:val="000000"/>
                <w:sz w:val="20"/>
                <w:szCs w:val="20"/>
              </w:rPr>
              <w:t xml:space="preserve">at least </w:t>
            </w:r>
            <w:r w:rsidR="00BE6B59">
              <w:rPr>
                <w:color w:val="000000"/>
                <w:sz w:val="20"/>
                <w:szCs w:val="20"/>
              </w:rPr>
              <w:t>three</w:t>
            </w:r>
            <w:r>
              <w:rPr>
                <w:color w:val="000000"/>
                <w:sz w:val="20"/>
                <w:szCs w:val="20"/>
              </w:rPr>
              <w:t xml:space="preserve"> months</w:t>
            </w:r>
            <w:r w:rsidR="00BE6B59">
              <w:rPr>
                <w:color w:val="000000"/>
                <w:sz w:val="20"/>
                <w:szCs w:val="20"/>
              </w:rPr>
              <w:t xml:space="preserve"> </w:t>
            </w:r>
            <w:r>
              <w:rPr>
                <w:color w:val="000000"/>
                <w:sz w:val="20"/>
                <w:szCs w:val="20"/>
              </w:rPr>
              <w:t xml:space="preserve">and </w:t>
            </w:r>
            <w:r w:rsidR="00793ADF">
              <w:rPr>
                <w:color w:val="000000"/>
                <w:sz w:val="20"/>
                <w:szCs w:val="20"/>
              </w:rPr>
              <w:t xml:space="preserve">with arrears of </w:t>
            </w:r>
            <w:r>
              <w:rPr>
                <w:color w:val="000000"/>
                <w:sz w:val="20"/>
                <w:szCs w:val="20"/>
              </w:rPr>
              <w:t>$1000</w:t>
            </w:r>
            <w:r w:rsidR="00793ADF">
              <w:rPr>
                <w:color w:val="000000"/>
                <w:sz w:val="20"/>
                <w:szCs w:val="20"/>
              </w:rPr>
              <w:t xml:space="preserve"> or more</w:t>
            </w:r>
            <w:r w:rsidR="00281B87">
              <w:rPr>
                <w:color w:val="000000"/>
                <w:sz w:val="20"/>
                <w:szCs w:val="20"/>
              </w:rPr>
              <w:t>.</w:t>
            </w:r>
          </w:p>
        </w:tc>
        <w:tc>
          <w:tcPr>
            <w:tcW w:w="2133" w:type="dxa"/>
            <w:tcBorders>
              <w:top w:val="single" w:sz="8" w:space="0" w:color="FFFFFF"/>
              <w:bottom w:val="single" w:sz="8" w:space="0" w:color="FFFFFF"/>
            </w:tcBorders>
            <w:shd w:val="clear" w:color="auto" w:fill="FFE8C8" w:themeFill="accent4" w:themeFillTint="33"/>
            <w:tcMar>
              <w:top w:w="85" w:type="dxa"/>
              <w:left w:w="90" w:type="dxa"/>
              <w:bottom w:w="85" w:type="dxa"/>
              <w:right w:w="62" w:type="dxa"/>
            </w:tcMar>
            <w:hideMark/>
          </w:tcPr>
          <w:p w14:paraId="23F906D6" w14:textId="57A86F6D" w:rsidR="00CF4011" w:rsidRDefault="00A978E5" w:rsidP="005456AC">
            <w:pPr>
              <w:spacing w:before="0" w:after="0" w:line="240" w:lineRule="auto"/>
              <w:jc w:val="center"/>
              <w:rPr>
                <w:b/>
                <w:bCs/>
                <w:color w:val="000000"/>
                <w:sz w:val="20"/>
                <w:szCs w:val="20"/>
              </w:rPr>
            </w:pPr>
            <w:r>
              <w:rPr>
                <w:b/>
                <w:bCs/>
                <w:color w:val="000000"/>
                <w:sz w:val="20"/>
                <w:szCs w:val="20"/>
              </w:rPr>
              <w:t>1.</w:t>
            </w:r>
            <w:r w:rsidR="003370E4">
              <w:rPr>
                <w:b/>
                <w:bCs/>
                <w:color w:val="000000"/>
                <w:sz w:val="20"/>
                <w:szCs w:val="20"/>
              </w:rPr>
              <w:t>02</w:t>
            </w:r>
            <w:r>
              <w:rPr>
                <w:b/>
                <w:bCs/>
                <w:color w:val="000000"/>
                <w:sz w:val="20"/>
                <w:szCs w:val="20"/>
              </w:rPr>
              <w:t>5</w:t>
            </w:r>
            <w:r w:rsidR="004628FE">
              <w:rPr>
                <w:b/>
                <w:bCs/>
                <w:color w:val="000000"/>
                <w:sz w:val="20"/>
                <w:szCs w:val="20"/>
              </w:rPr>
              <w:t xml:space="preserve"> </w:t>
            </w:r>
          </w:p>
          <w:p w14:paraId="73907519" w14:textId="328E9BBA" w:rsidR="00375145" w:rsidRDefault="004628FE" w:rsidP="005456AC">
            <w:pPr>
              <w:spacing w:before="0" w:after="0" w:line="240" w:lineRule="auto"/>
              <w:jc w:val="center"/>
              <w:rPr>
                <w:color w:val="000000"/>
                <w:sz w:val="20"/>
                <w:szCs w:val="20"/>
              </w:rPr>
            </w:pPr>
            <w:r>
              <w:rPr>
                <w:b/>
                <w:bCs/>
                <w:color w:val="000000"/>
                <w:sz w:val="20"/>
                <w:szCs w:val="20"/>
              </w:rPr>
              <w:t>(preferred</w:t>
            </w:r>
            <w:r w:rsidR="00CF4011">
              <w:rPr>
                <w:b/>
                <w:bCs/>
                <w:color w:val="000000"/>
                <w:sz w:val="20"/>
                <w:szCs w:val="20"/>
              </w:rPr>
              <w:t xml:space="preserve"> </w:t>
            </w:r>
            <w:r>
              <w:rPr>
                <w:b/>
                <w:bCs/>
                <w:color w:val="000000"/>
                <w:sz w:val="20"/>
                <w:szCs w:val="20"/>
              </w:rPr>
              <w:t>eligibility)</w:t>
            </w:r>
          </w:p>
        </w:tc>
      </w:tr>
      <w:bookmarkEnd w:id="174"/>
      <w:tr w:rsidR="008B2578" w14:paraId="44000230" w14:textId="77777777" w:rsidTr="008B2578">
        <w:tc>
          <w:tcPr>
            <w:tcW w:w="1425" w:type="dxa"/>
            <w:tcBorders>
              <w:top w:val="single" w:sz="8" w:space="0" w:color="FFFFFF"/>
              <w:bottom w:val="single" w:sz="8" w:space="0" w:color="FFFFFF"/>
            </w:tcBorders>
            <w:shd w:val="clear" w:color="auto" w:fill="FFE8C8" w:themeFill="accent4" w:themeFillTint="33"/>
            <w:tcMar>
              <w:top w:w="85" w:type="dxa"/>
              <w:left w:w="90" w:type="dxa"/>
              <w:bottom w:w="85" w:type="dxa"/>
              <w:right w:w="62" w:type="dxa"/>
            </w:tcMar>
            <w:hideMark/>
          </w:tcPr>
          <w:p w14:paraId="15E77539" w14:textId="266B3CA1" w:rsidR="008B2578" w:rsidRDefault="008B2578" w:rsidP="008B2578">
            <w:pPr>
              <w:spacing w:before="0" w:after="120" w:line="240" w:lineRule="auto"/>
              <w:jc w:val="center"/>
              <w:rPr>
                <w:color w:val="000000"/>
                <w:sz w:val="20"/>
                <w:szCs w:val="20"/>
              </w:rPr>
            </w:pPr>
            <w:r>
              <w:rPr>
                <w:color w:val="000000"/>
                <w:sz w:val="20"/>
                <w:szCs w:val="20"/>
              </w:rPr>
              <w:t>A.1</w:t>
            </w:r>
          </w:p>
        </w:tc>
        <w:tc>
          <w:tcPr>
            <w:tcW w:w="6080" w:type="dxa"/>
            <w:tcBorders>
              <w:top w:val="single" w:sz="8" w:space="0" w:color="FFFFFF"/>
              <w:bottom w:val="single" w:sz="8" w:space="0" w:color="FFFFFF"/>
            </w:tcBorders>
            <w:shd w:val="clear" w:color="auto" w:fill="FFE8C8" w:themeFill="accent4" w:themeFillTint="33"/>
            <w:tcMar>
              <w:top w:w="85" w:type="dxa"/>
              <w:left w:w="90" w:type="dxa"/>
              <w:bottom w:w="85" w:type="dxa"/>
              <w:right w:w="62" w:type="dxa"/>
            </w:tcMar>
            <w:hideMark/>
          </w:tcPr>
          <w:p w14:paraId="6B88D223" w14:textId="1BCA3EFD" w:rsidR="008B2578" w:rsidRDefault="008B2578" w:rsidP="008B2578">
            <w:pPr>
              <w:spacing w:before="0" w:after="120" w:line="240" w:lineRule="auto"/>
              <w:rPr>
                <w:color w:val="000000"/>
                <w:sz w:val="20"/>
                <w:szCs w:val="20"/>
              </w:rPr>
            </w:pPr>
            <w:r>
              <w:rPr>
                <w:color w:val="000000"/>
                <w:sz w:val="20"/>
                <w:szCs w:val="20"/>
              </w:rPr>
              <w:t>Automatic switch to best offer for all customers experiencing payment difficulty who meet the chosen eligibility criteria</w:t>
            </w:r>
            <w:r w:rsidR="00E95229">
              <w:rPr>
                <w:color w:val="000000"/>
                <w:sz w:val="20"/>
                <w:szCs w:val="20"/>
              </w:rPr>
              <w:t>.</w:t>
            </w:r>
          </w:p>
        </w:tc>
        <w:tc>
          <w:tcPr>
            <w:tcW w:w="2133" w:type="dxa"/>
            <w:tcBorders>
              <w:top w:val="single" w:sz="8" w:space="0" w:color="FFFFFF"/>
              <w:bottom w:val="single" w:sz="8" w:space="0" w:color="FFFFFF"/>
            </w:tcBorders>
            <w:shd w:val="clear" w:color="auto" w:fill="FFE8C8" w:themeFill="accent4" w:themeFillTint="33"/>
            <w:tcMar>
              <w:top w:w="85" w:type="dxa"/>
              <w:left w:w="90" w:type="dxa"/>
              <w:bottom w:w="85" w:type="dxa"/>
              <w:right w:w="62" w:type="dxa"/>
            </w:tcMar>
            <w:hideMark/>
          </w:tcPr>
          <w:p w14:paraId="3721FC9D" w14:textId="08168DA0" w:rsidR="00CF4011" w:rsidRDefault="009111FF" w:rsidP="005456AC">
            <w:pPr>
              <w:spacing w:before="0" w:after="0" w:line="240" w:lineRule="auto"/>
              <w:jc w:val="center"/>
              <w:rPr>
                <w:b/>
                <w:bCs/>
                <w:color w:val="000000"/>
                <w:sz w:val="20"/>
                <w:szCs w:val="20"/>
              </w:rPr>
            </w:pPr>
            <w:r>
              <w:rPr>
                <w:b/>
                <w:bCs/>
                <w:color w:val="000000"/>
                <w:sz w:val="20"/>
                <w:szCs w:val="20"/>
              </w:rPr>
              <w:t>0.70</w:t>
            </w:r>
            <w:r w:rsidR="008B2578" w:rsidRPr="00F2257E">
              <w:rPr>
                <w:b/>
                <w:bCs/>
                <w:color w:val="000000"/>
                <w:sz w:val="20"/>
                <w:szCs w:val="20"/>
              </w:rPr>
              <w:t xml:space="preserve"> </w:t>
            </w:r>
          </w:p>
          <w:p w14:paraId="7AF27F06" w14:textId="1287C550" w:rsidR="008B2578" w:rsidRDefault="008B2578" w:rsidP="005456AC">
            <w:pPr>
              <w:spacing w:before="0" w:after="0" w:line="240" w:lineRule="auto"/>
              <w:jc w:val="center"/>
              <w:rPr>
                <w:color w:val="000000"/>
                <w:sz w:val="20"/>
                <w:szCs w:val="20"/>
              </w:rPr>
            </w:pPr>
            <w:r w:rsidRPr="00F2257E">
              <w:rPr>
                <w:b/>
                <w:bCs/>
                <w:color w:val="000000"/>
                <w:sz w:val="20"/>
                <w:szCs w:val="20"/>
              </w:rPr>
              <w:t>(preferred</w:t>
            </w:r>
            <w:r>
              <w:rPr>
                <w:b/>
                <w:bCs/>
                <w:color w:val="000000"/>
                <w:sz w:val="20"/>
                <w:szCs w:val="20"/>
              </w:rPr>
              <w:t xml:space="preserve"> implementation</w:t>
            </w:r>
            <w:r w:rsidRPr="00F2257E">
              <w:rPr>
                <w:b/>
                <w:bCs/>
                <w:color w:val="000000"/>
                <w:sz w:val="20"/>
                <w:szCs w:val="20"/>
              </w:rPr>
              <w:t>)</w:t>
            </w:r>
          </w:p>
        </w:tc>
      </w:tr>
      <w:tr w:rsidR="008B2578" w14:paraId="3C5DF27C" w14:textId="77777777" w:rsidTr="008B2578">
        <w:tc>
          <w:tcPr>
            <w:tcW w:w="1425"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4F60D2C3" w14:textId="1C342857" w:rsidR="008B2578" w:rsidRDefault="008B2578" w:rsidP="008B2578">
            <w:pPr>
              <w:spacing w:before="0" w:after="120" w:line="240" w:lineRule="auto"/>
              <w:jc w:val="center"/>
              <w:rPr>
                <w:color w:val="000000"/>
                <w:sz w:val="20"/>
                <w:szCs w:val="20"/>
              </w:rPr>
            </w:pPr>
            <w:r>
              <w:rPr>
                <w:color w:val="000000"/>
                <w:sz w:val="20"/>
                <w:szCs w:val="20"/>
              </w:rPr>
              <w:t>A.2</w:t>
            </w:r>
          </w:p>
        </w:tc>
        <w:tc>
          <w:tcPr>
            <w:tcW w:w="6080"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50826F2F" w14:textId="0CCEB33D" w:rsidR="008B2578" w:rsidRDefault="008B2578" w:rsidP="008B2578">
            <w:pPr>
              <w:spacing w:before="0" w:after="120" w:line="240" w:lineRule="auto"/>
              <w:rPr>
                <w:color w:val="000000"/>
                <w:sz w:val="20"/>
                <w:szCs w:val="20"/>
              </w:rPr>
            </w:pPr>
            <w:r>
              <w:rPr>
                <w:color w:val="000000"/>
                <w:sz w:val="20"/>
                <w:szCs w:val="20"/>
              </w:rPr>
              <w:t>Chan</w:t>
            </w:r>
            <w:r w:rsidR="00E95229">
              <w:rPr>
                <w:color w:val="000000"/>
                <w:sz w:val="20"/>
                <w:szCs w:val="20"/>
              </w:rPr>
              <w:t>ge</w:t>
            </w:r>
            <w:r>
              <w:rPr>
                <w:color w:val="000000"/>
                <w:sz w:val="20"/>
                <w:szCs w:val="20"/>
              </w:rPr>
              <w:t xml:space="preserve"> customer tariff to cheapest available tariff, for customers who meet chosen eligibility criteria</w:t>
            </w:r>
            <w:r w:rsidR="00E95229">
              <w:rPr>
                <w:color w:val="000000"/>
                <w:sz w:val="20"/>
                <w:szCs w:val="20"/>
              </w:rPr>
              <w:t>.</w:t>
            </w:r>
          </w:p>
        </w:tc>
        <w:tc>
          <w:tcPr>
            <w:tcW w:w="2133"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36F050F1" w14:textId="6443F090" w:rsidR="008B2578" w:rsidRDefault="008B2578" w:rsidP="008B2578">
            <w:pPr>
              <w:spacing w:before="0" w:after="120" w:line="240" w:lineRule="auto"/>
              <w:jc w:val="center"/>
              <w:rPr>
                <w:color w:val="000000"/>
                <w:sz w:val="20"/>
                <w:szCs w:val="20"/>
              </w:rPr>
            </w:pPr>
            <w:r>
              <w:rPr>
                <w:color w:val="000000"/>
                <w:sz w:val="20"/>
                <w:szCs w:val="20"/>
              </w:rPr>
              <w:t>0.</w:t>
            </w:r>
            <w:r w:rsidR="00AD7465">
              <w:rPr>
                <w:color w:val="000000"/>
                <w:sz w:val="20"/>
                <w:szCs w:val="20"/>
              </w:rPr>
              <w:t>45</w:t>
            </w:r>
          </w:p>
        </w:tc>
      </w:tr>
      <w:tr w:rsidR="008B2578" w:rsidRPr="005040F5" w14:paraId="034C9B35" w14:textId="77777777" w:rsidTr="008B2578">
        <w:tc>
          <w:tcPr>
            <w:tcW w:w="1425" w:type="dxa"/>
            <w:tcBorders>
              <w:top w:val="single" w:sz="8" w:space="0" w:color="FFFFFF"/>
            </w:tcBorders>
            <w:shd w:val="clear" w:color="auto" w:fill="F2F2F2"/>
            <w:tcMar>
              <w:top w:w="85" w:type="dxa"/>
              <w:left w:w="90" w:type="dxa"/>
              <w:bottom w:w="85" w:type="dxa"/>
              <w:right w:w="62" w:type="dxa"/>
            </w:tcMar>
            <w:hideMark/>
          </w:tcPr>
          <w:p w14:paraId="7B2C5D14" w14:textId="5FC2ACD8" w:rsidR="008B2578" w:rsidRDefault="008B2578" w:rsidP="008B2578">
            <w:pPr>
              <w:spacing w:before="0" w:after="120" w:line="240" w:lineRule="auto"/>
              <w:jc w:val="center"/>
              <w:rPr>
                <w:color w:val="000000"/>
                <w:sz w:val="20"/>
                <w:szCs w:val="20"/>
              </w:rPr>
            </w:pPr>
            <w:r>
              <w:rPr>
                <w:color w:val="000000"/>
                <w:sz w:val="20"/>
                <w:szCs w:val="20"/>
              </w:rPr>
              <w:t>A.3</w:t>
            </w:r>
          </w:p>
        </w:tc>
        <w:tc>
          <w:tcPr>
            <w:tcW w:w="6080" w:type="dxa"/>
            <w:tcBorders>
              <w:top w:val="single" w:sz="8" w:space="0" w:color="FFFFFF"/>
            </w:tcBorders>
            <w:shd w:val="clear" w:color="auto" w:fill="F2F2F2"/>
            <w:tcMar>
              <w:top w:w="85" w:type="dxa"/>
              <w:left w:w="90" w:type="dxa"/>
              <w:bottom w:w="85" w:type="dxa"/>
              <w:right w:w="62" w:type="dxa"/>
            </w:tcMar>
            <w:hideMark/>
          </w:tcPr>
          <w:p w14:paraId="6FFBC6E4" w14:textId="6644AB6B" w:rsidR="008B2578" w:rsidRPr="005040F5" w:rsidRDefault="008B2578" w:rsidP="008B2578">
            <w:pPr>
              <w:spacing w:before="0" w:after="120" w:line="240" w:lineRule="auto"/>
              <w:rPr>
                <w:color w:val="000000"/>
                <w:sz w:val="20"/>
                <w:szCs w:val="20"/>
              </w:rPr>
            </w:pPr>
            <w:bookmarkStart w:id="175" w:name="_Hlk194235030"/>
            <w:r w:rsidRPr="005040F5">
              <w:rPr>
                <w:color w:val="000000"/>
                <w:sz w:val="20"/>
                <w:szCs w:val="20"/>
              </w:rPr>
              <w:t>Credit difference between customer offer and best offer, for customers who meet chosen eligibility criteria</w:t>
            </w:r>
            <w:bookmarkEnd w:id="175"/>
            <w:r w:rsidR="00E95229">
              <w:rPr>
                <w:color w:val="000000"/>
                <w:sz w:val="20"/>
                <w:szCs w:val="20"/>
              </w:rPr>
              <w:t>.</w:t>
            </w:r>
          </w:p>
        </w:tc>
        <w:tc>
          <w:tcPr>
            <w:tcW w:w="2133" w:type="dxa"/>
            <w:tcBorders>
              <w:top w:val="single" w:sz="8" w:space="0" w:color="FFFFFF"/>
            </w:tcBorders>
            <w:shd w:val="clear" w:color="auto" w:fill="F2F2F2"/>
            <w:tcMar>
              <w:top w:w="85" w:type="dxa"/>
              <w:left w:w="90" w:type="dxa"/>
              <w:bottom w:w="85" w:type="dxa"/>
              <w:right w:w="62" w:type="dxa"/>
            </w:tcMar>
            <w:hideMark/>
          </w:tcPr>
          <w:p w14:paraId="290A1822" w14:textId="1D70C26B" w:rsidR="008B2578" w:rsidRDefault="008B2578" w:rsidP="008B2578">
            <w:pPr>
              <w:spacing w:before="0" w:after="120" w:line="240" w:lineRule="auto"/>
              <w:jc w:val="center"/>
              <w:rPr>
                <w:color w:val="000000"/>
                <w:sz w:val="20"/>
                <w:szCs w:val="20"/>
              </w:rPr>
            </w:pPr>
            <w:r w:rsidRPr="00003A38">
              <w:rPr>
                <w:color w:val="000000"/>
                <w:sz w:val="20"/>
                <w:szCs w:val="20"/>
              </w:rPr>
              <w:t>0.4</w:t>
            </w:r>
            <w:r w:rsidR="00AD7465">
              <w:rPr>
                <w:color w:val="000000"/>
                <w:sz w:val="20"/>
                <w:szCs w:val="20"/>
              </w:rPr>
              <w:t>0</w:t>
            </w:r>
          </w:p>
        </w:tc>
      </w:tr>
    </w:tbl>
    <w:p w14:paraId="1990DC78" w14:textId="3E198ABE" w:rsidR="00323792" w:rsidRPr="00323792" w:rsidRDefault="00EF2D56" w:rsidP="003F0B7D">
      <w:pPr>
        <w:pStyle w:val="Heading2numbered"/>
      </w:pPr>
      <w:bookmarkStart w:id="176" w:name="_Toc195617177"/>
      <w:bookmarkStart w:id="177" w:name="_Toc195642862"/>
      <w:bookmarkStart w:id="178" w:name="_Toc195692574"/>
      <w:bookmarkStart w:id="179" w:name="_Toc195701866"/>
      <w:bookmarkStart w:id="180" w:name="_Toc197959437"/>
      <w:bookmarkEnd w:id="176"/>
      <w:bookmarkEnd w:id="177"/>
      <w:bookmarkEnd w:id="178"/>
      <w:bookmarkEnd w:id="179"/>
      <w:r w:rsidRPr="00EF2D56">
        <w:t xml:space="preserve">Questions </w:t>
      </w:r>
      <w:r w:rsidR="003F0B7D">
        <w:t>for stakeholders</w:t>
      </w:r>
      <w:bookmarkEnd w:id="180"/>
      <w:r w:rsidR="003F0B7D">
        <w:t xml:space="preserve"> </w:t>
      </w:r>
    </w:p>
    <w:p w14:paraId="0FB68C45" w14:textId="77777777" w:rsidR="00F84346" w:rsidRDefault="00F84346" w:rsidP="00F84346">
      <w:pPr>
        <w:sectPr w:rsidR="00F84346" w:rsidSect="005E5FCE">
          <w:footerReference w:type="default" r:id="rId50"/>
          <w:type w:val="continuous"/>
          <w:pgSz w:w="11906" w:h="16838" w:code="9"/>
          <w:pgMar w:top="1134" w:right="1134" w:bottom="1134" w:left="1134" w:header="709" w:footer="692" w:gutter="0"/>
          <w:cols w:space="708"/>
          <w:docGrid w:linePitch="360"/>
        </w:sectPr>
      </w:pPr>
      <w:bookmarkStart w:id="181" w:name="_Toc480988886"/>
      <w:bookmarkStart w:id="182" w:name="_Toc481138197"/>
      <w:bookmarkStart w:id="183" w:name="_Toc481138405"/>
    </w:p>
    <w:p w14:paraId="1E34514C" w14:textId="77777777" w:rsidR="0048198D" w:rsidRDefault="0048198D" w:rsidP="00B87094">
      <w:pPr>
        <w:pStyle w:val="Pull-outBullet1"/>
        <w:numPr>
          <w:ilvl w:val="0"/>
          <w:numId w:val="42"/>
        </w:numPr>
      </w:pPr>
      <w:r>
        <w:t xml:space="preserve">Are there other mechanisms we should consider in the designing of the automatic best offer to </w:t>
      </w:r>
      <w:r w:rsidRPr="000A260B">
        <w:t>protect c</w:t>
      </w:r>
      <w:r>
        <w:t>onsumer</w:t>
      </w:r>
      <w:r w:rsidRPr="000A260B">
        <w:t xml:space="preserve"> choice and agency</w:t>
      </w:r>
      <w:r>
        <w:t xml:space="preserve"> (in addition to the proposed opt-out and post switch reversal periods)? </w:t>
      </w:r>
    </w:p>
    <w:p w14:paraId="13EB9E9F" w14:textId="73C79F95" w:rsidR="00176E46" w:rsidRDefault="0048198D" w:rsidP="00B87094">
      <w:pPr>
        <w:pStyle w:val="Pull-outBullet1"/>
        <w:numPr>
          <w:ilvl w:val="0"/>
          <w:numId w:val="42"/>
        </w:numPr>
      </w:pPr>
      <w:r>
        <w:t>Could the proposed amendments for the automatic best offer be enhanced to further reduce implementation costs and maximise benefits to customers experiencing payment difficulty?</w:t>
      </w:r>
    </w:p>
    <w:p w14:paraId="5025E31B" w14:textId="4C42020D" w:rsidR="0048198D" w:rsidRDefault="0048198D" w:rsidP="00B87094">
      <w:pPr>
        <w:pStyle w:val="Pull-outBullet1"/>
        <w:numPr>
          <w:ilvl w:val="0"/>
          <w:numId w:val="42"/>
        </w:numPr>
      </w:pPr>
      <w:r>
        <w:t>Do you have any feedback on the proposed process and implementation timeframes for the automatic best offer?</w:t>
      </w:r>
    </w:p>
    <w:p w14:paraId="66BC871A" w14:textId="77777777" w:rsidR="00F84346" w:rsidRPr="0082261D" w:rsidRDefault="00F84346" w:rsidP="00F84346"/>
    <w:p w14:paraId="58FA89D8" w14:textId="77777777" w:rsidR="0047135C" w:rsidRDefault="0047135C">
      <w:bookmarkStart w:id="184" w:name="_Toc195701868"/>
      <w:bookmarkStart w:id="185" w:name="_Toc195701869"/>
      <w:bookmarkStart w:id="186" w:name="_Toc195701870"/>
      <w:bookmarkStart w:id="187" w:name="_Toc195617179"/>
      <w:bookmarkStart w:id="188" w:name="_Toc195642864"/>
      <w:bookmarkStart w:id="189" w:name="_Toc195692576"/>
      <w:bookmarkStart w:id="190" w:name="_Toc195701871"/>
      <w:bookmarkEnd w:id="181"/>
      <w:bookmarkEnd w:id="182"/>
      <w:bookmarkEnd w:id="183"/>
      <w:bookmarkEnd w:id="184"/>
      <w:bookmarkEnd w:id="185"/>
      <w:bookmarkEnd w:id="186"/>
      <w:bookmarkEnd w:id="187"/>
      <w:bookmarkEnd w:id="188"/>
      <w:bookmarkEnd w:id="189"/>
      <w:bookmarkEnd w:id="190"/>
    </w:p>
    <w:p w14:paraId="4F0BF472" w14:textId="77777777" w:rsidR="002A5978" w:rsidRDefault="002A5978" w:rsidP="006844BC">
      <w:pPr>
        <w:pStyle w:val="Heading1numbered"/>
        <w:rPr>
          <w:rFonts w:eastAsiaTheme="minorHAnsi"/>
        </w:rPr>
      </w:pPr>
      <w:bookmarkStart w:id="191" w:name="_Toc197959438"/>
      <w:r>
        <w:rPr>
          <w:rFonts w:eastAsiaTheme="minorHAnsi"/>
        </w:rPr>
        <w:lastRenderedPageBreak/>
        <w:t>Improving access to cheaper offers</w:t>
      </w:r>
      <w:bookmarkEnd w:id="191"/>
    </w:p>
    <w:p w14:paraId="678D2056" w14:textId="4128D8C3" w:rsidR="006849B2" w:rsidRPr="006849B2" w:rsidRDefault="00D26457" w:rsidP="00BD7752">
      <w:pPr>
        <w:pStyle w:val="Pull-outHeading"/>
        <w:ind w:left="0"/>
      </w:pPr>
      <w:r>
        <w:t>Preferred option</w:t>
      </w:r>
    </w:p>
    <w:p w14:paraId="3438F23B" w14:textId="77777777" w:rsidR="00B95101" w:rsidRDefault="00E7614F" w:rsidP="00BD7752">
      <w:pPr>
        <w:pStyle w:val="Pull-outHeading"/>
        <w:ind w:left="0"/>
        <w:rPr>
          <w:b w:val="0"/>
          <w:bCs w:val="0"/>
        </w:rPr>
      </w:pPr>
      <w:r>
        <w:rPr>
          <w:b w:val="0"/>
          <w:bCs w:val="0"/>
        </w:rPr>
        <w:t>A retailer would be required to</w:t>
      </w:r>
      <w:r w:rsidR="00B95101">
        <w:rPr>
          <w:b w:val="0"/>
          <w:bCs w:val="0"/>
        </w:rPr>
        <w:t>:</w:t>
      </w:r>
    </w:p>
    <w:p w14:paraId="66339864" w14:textId="3457B19B" w:rsidR="00D26457" w:rsidRDefault="00CE7734" w:rsidP="00B95101">
      <w:pPr>
        <w:pStyle w:val="Pull-outBullet1"/>
      </w:pPr>
      <w:r>
        <w:t xml:space="preserve">offer alternative payment methods for </w:t>
      </w:r>
      <w:r w:rsidR="00A22174">
        <w:t>all contracts</w:t>
      </w:r>
    </w:p>
    <w:p w14:paraId="65E018DA" w14:textId="113A21D5" w:rsidR="00B95101" w:rsidRDefault="00B95101" w:rsidP="00B95101">
      <w:pPr>
        <w:pStyle w:val="Pull-outBullet1"/>
      </w:pPr>
      <w:r>
        <w:t xml:space="preserve">offer </w:t>
      </w:r>
      <w:r w:rsidR="00C646EA">
        <w:t>paper bills and e</w:t>
      </w:r>
      <w:r w:rsidR="00726FEF">
        <w:t xml:space="preserve">-billing for all </w:t>
      </w:r>
      <w:r w:rsidR="000C3BF9">
        <w:t>contracts</w:t>
      </w:r>
      <w:r w:rsidR="007E79DB">
        <w:t>.</w:t>
      </w:r>
    </w:p>
    <w:p w14:paraId="6D427559" w14:textId="1A8F6A4C" w:rsidR="00B95101" w:rsidRPr="00E7614F" w:rsidRDefault="00FF3B8A" w:rsidP="009616AA">
      <w:pPr>
        <w:pStyle w:val="Pull-outBullet2"/>
        <w:rPr>
          <w:b/>
        </w:rPr>
      </w:pPr>
      <w:r>
        <w:t xml:space="preserve">A retailer would be able to charge a conditional fee or to offer a conditional discount </w:t>
      </w:r>
      <w:r w:rsidR="00A30CE2">
        <w:t>related to payment conditions</w:t>
      </w:r>
      <w:r w:rsidR="00B51B8B">
        <w:t>. However, all</w:t>
      </w:r>
      <w:r w:rsidR="00C75A8E">
        <w:t xml:space="preserve"> conditional fees or discounts </w:t>
      </w:r>
      <w:r w:rsidR="003A125A">
        <w:t>would be</w:t>
      </w:r>
      <w:r w:rsidR="00C75A8E">
        <w:t xml:space="preserve"> limited to the reasonable costs incurred by the retailer</w:t>
      </w:r>
      <w:r w:rsidR="009616AA">
        <w:t xml:space="preserve"> resulting from the customer’s failure to satisfy </w:t>
      </w:r>
      <w:r w:rsidR="00A949A2">
        <w:t>a</w:t>
      </w:r>
      <w:r w:rsidR="009616AA">
        <w:t xml:space="preserve"> payment condition.</w:t>
      </w:r>
    </w:p>
    <w:p w14:paraId="18AD9594" w14:textId="77777777" w:rsidR="00AE6E32" w:rsidDel="00AE6E32" w:rsidRDefault="00AE6E32" w:rsidP="002A5978">
      <w:pPr>
        <w:pStyle w:val="Heading2numbered"/>
      </w:pPr>
      <w:bookmarkStart w:id="192" w:name="_Toc197959439"/>
      <w:r w:rsidDel="00AE6E32">
        <w:t>Scope of reform</w:t>
      </w:r>
      <w:bookmarkEnd w:id="192"/>
    </w:p>
    <w:p w14:paraId="599199D8" w14:textId="0F2FA95F" w:rsidR="00C238A6" w:rsidRPr="00C238A6" w:rsidDel="00AE6E32" w:rsidRDefault="00C916C1" w:rsidP="00C238A6">
      <w:pPr>
        <w:pStyle w:val="Heading3numbered"/>
      </w:pPr>
      <w:r>
        <w:t>Purpose of reform</w:t>
      </w:r>
    </w:p>
    <w:p w14:paraId="3010E997" w14:textId="2C4099F5" w:rsidR="00B64AA3" w:rsidRDefault="002A1EE8" w:rsidP="002A1EE8">
      <w:r>
        <w:t xml:space="preserve">As discussed in </w:t>
      </w:r>
      <w:r w:rsidR="00EF4DCC">
        <w:t>S</w:t>
      </w:r>
      <w:r>
        <w:t xml:space="preserve">ection 2.1.1, </w:t>
      </w:r>
      <w:r w:rsidR="003370C8">
        <w:t>most</w:t>
      </w:r>
      <w:r>
        <w:t xml:space="preserve"> electricity and gas customers are not on their retailer’s best offer.</w:t>
      </w:r>
      <w:r w:rsidR="000A5216">
        <w:t xml:space="preserve"> </w:t>
      </w:r>
      <w:r w:rsidR="00FF0038">
        <w:t xml:space="preserve">Additionally, many cannot access </w:t>
      </w:r>
      <w:r w:rsidR="0000008F">
        <w:t>their</w:t>
      </w:r>
      <w:r w:rsidR="00E506DD">
        <w:t xml:space="preserve"> </w:t>
      </w:r>
      <w:r w:rsidR="00C5718D">
        <w:t xml:space="preserve">retailers’ cheapest offers due to </w:t>
      </w:r>
      <w:r w:rsidR="00154489">
        <w:t>plans requiring</w:t>
      </w:r>
      <w:r w:rsidR="00C5718D">
        <w:t xml:space="preserve"> direct debit </w:t>
      </w:r>
      <w:r w:rsidR="00154489">
        <w:t>and</w:t>
      </w:r>
      <w:r w:rsidR="00E76837">
        <w:t xml:space="preserve"> </w:t>
      </w:r>
      <w:r w:rsidR="00154489">
        <w:t>e-</w:t>
      </w:r>
      <w:r w:rsidR="00E76837">
        <w:t xml:space="preserve">billing. </w:t>
      </w:r>
      <w:r w:rsidR="00B64AA3">
        <w:t>C</w:t>
      </w:r>
      <w:r w:rsidR="006C084C">
        <w:t xml:space="preserve">ustomers </w:t>
      </w:r>
      <w:r w:rsidR="00792A6C">
        <w:t>at risk of experiencing</w:t>
      </w:r>
      <w:r w:rsidR="006C084C">
        <w:t xml:space="preserve"> </w:t>
      </w:r>
      <w:r w:rsidR="002B0A45">
        <w:t>vulnerability</w:t>
      </w:r>
      <w:r w:rsidR="002F3246">
        <w:t xml:space="preserve"> </w:t>
      </w:r>
      <w:r w:rsidR="00DF0066" w:rsidRPr="00DF0066">
        <w:t xml:space="preserve">including the elderly, First Nations </w:t>
      </w:r>
      <w:r w:rsidR="0000008F">
        <w:t>p</w:t>
      </w:r>
      <w:r w:rsidR="00DF0066" w:rsidRPr="00DF0066">
        <w:t>eoples and culturally and linguistically diverse Victorians</w:t>
      </w:r>
      <w:r w:rsidR="00B64AA3">
        <w:t xml:space="preserve"> are often unable to </w:t>
      </w:r>
      <w:r w:rsidR="00E474AB">
        <w:t>sign up to plans with those requirements.</w:t>
      </w:r>
    </w:p>
    <w:p w14:paraId="1226C7C4" w14:textId="455F27B7" w:rsidR="0037675E" w:rsidRPr="002A1EE8" w:rsidRDefault="00F45086" w:rsidP="002A1EE8">
      <w:r>
        <w:t>T</w:t>
      </w:r>
      <w:r w:rsidR="004613E4">
        <w:t xml:space="preserve">o support </w:t>
      </w:r>
      <w:r w:rsidR="00430D57">
        <w:t xml:space="preserve">all </w:t>
      </w:r>
      <w:r w:rsidR="0059539D">
        <w:t xml:space="preserve">small </w:t>
      </w:r>
      <w:r w:rsidR="004613E4">
        <w:t>customers</w:t>
      </w:r>
      <w:r>
        <w:t xml:space="preserve">, we are </w:t>
      </w:r>
      <w:r w:rsidR="009E5572">
        <w:t>proposing</w:t>
      </w:r>
      <w:r>
        <w:t xml:space="preserve"> changes</w:t>
      </w:r>
      <w:r w:rsidR="000C2E11">
        <w:t xml:space="preserve"> </w:t>
      </w:r>
      <w:r w:rsidR="00F715AF">
        <w:t xml:space="preserve">to improve access to </w:t>
      </w:r>
      <w:r w:rsidR="0072215E">
        <w:t>cheaper</w:t>
      </w:r>
      <w:r w:rsidR="00465E01">
        <w:t xml:space="preserve"> plans</w:t>
      </w:r>
      <w:r w:rsidR="00B71CDF">
        <w:t xml:space="preserve">. This </w:t>
      </w:r>
      <w:r w:rsidR="00AB37A6">
        <w:t>would involve</w:t>
      </w:r>
      <w:r w:rsidR="004B2C15">
        <w:t xml:space="preserve"> </w:t>
      </w:r>
      <w:r w:rsidR="00AB37A6">
        <w:t>ensuring</w:t>
      </w:r>
      <w:r w:rsidR="00E474AB">
        <w:t xml:space="preserve"> that</w:t>
      </w:r>
      <w:r w:rsidR="004B2C15">
        <w:t xml:space="preserve"> payment method</w:t>
      </w:r>
      <w:r w:rsidR="00E474AB">
        <w:t xml:space="preserve"> </w:t>
      </w:r>
      <w:r w:rsidR="00AD04E1">
        <w:t xml:space="preserve">restrictions or electronic communication requirements are not </w:t>
      </w:r>
      <w:r w:rsidR="00B71CDF">
        <w:t>used as barriers for cheaper plans</w:t>
      </w:r>
      <w:r w:rsidR="004B2C15">
        <w:t>.</w:t>
      </w:r>
    </w:p>
    <w:p w14:paraId="445888C6" w14:textId="17F6E403" w:rsidR="000C4FAF" w:rsidRDefault="006D0EE8" w:rsidP="000C4FAF">
      <w:r>
        <w:t>While m</w:t>
      </w:r>
      <w:r w:rsidR="00C66DC9">
        <w:t>ost plans on the market do not require payment through direct debit or e-billing</w:t>
      </w:r>
      <w:r>
        <w:t xml:space="preserve">, some retailers offer plans that restrict payments to direct debit and/or </w:t>
      </w:r>
      <w:r w:rsidR="00AB37A6">
        <w:t xml:space="preserve">require </w:t>
      </w:r>
      <w:r>
        <w:t>e-billing</w:t>
      </w:r>
      <w:r w:rsidR="00C66DC9">
        <w:t xml:space="preserve">. </w:t>
      </w:r>
      <w:r w:rsidR="00355153" w:rsidRPr="00355153">
        <w:t xml:space="preserve">We </w:t>
      </w:r>
      <w:r w:rsidR="00B07F05">
        <w:t>found</w:t>
      </w:r>
      <w:r w:rsidR="00355153" w:rsidRPr="00355153">
        <w:t xml:space="preserve"> five retailers with electricity offers restricted to e-billing and/or direct debit</w:t>
      </w:r>
      <w:r w:rsidR="008F25C5">
        <w:t xml:space="preserve">, with some retailers having </w:t>
      </w:r>
      <w:r w:rsidR="00B07F05">
        <w:t>most of its</w:t>
      </w:r>
      <w:r w:rsidR="008F25C5">
        <w:t xml:space="preserve"> offers with these conditions</w:t>
      </w:r>
      <w:r w:rsidR="00355153" w:rsidRPr="00355153">
        <w:t>.</w:t>
      </w:r>
      <w:r w:rsidR="004519D0">
        <w:rPr>
          <w:rStyle w:val="FootnoteReference"/>
        </w:rPr>
        <w:footnoteReference w:id="171"/>
      </w:r>
      <w:r w:rsidR="000E60C2">
        <w:t xml:space="preserve"> </w:t>
      </w:r>
      <w:r w:rsidR="000C4FAF">
        <w:t xml:space="preserve">Momentum Energy </w:t>
      </w:r>
      <w:r w:rsidR="00161181">
        <w:t xml:space="preserve">and Tango Energy </w:t>
      </w:r>
      <w:r w:rsidR="000C4FAF">
        <w:t xml:space="preserve">have the largest share of </w:t>
      </w:r>
      <w:r w:rsidR="00B07F05">
        <w:t>its</w:t>
      </w:r>
      <w:r w:rsidR="000C4FAF">
        <w:t xml:space="preserve"> offers with these conditions, as shown below.</w:t>
      </w:r>
      <w:r w:rsidR="66050D2A">
        <w:t xml:space="preserve"> Also note that only one retailer, Momentum, has all its </w:t>
      </w:r>
      <w:r w:rsidR="00DA0E92">
        <w:t>electricity market</w:t>
      </w:r>
      <w:r w:rsidR="66050D2A">
        <w:t xml:space="preserve"> offers restricted by payment or billing type.</w:t>
      </w:r>
    </w:p>
    <w:p w14:paraId="1383EF6C" w14:textId="1E2DCE66" w:rsidR="000C4FAF" w:rsidRPr="00E973DE" w:rsidRDefault="000C4FAF" w:rsidP="00FF0A83">
      <w:pPr>
        <w:pStyle w:val="Figure-Table-BoxSubtitle"/>
        <w:keepNext/>
        <w:keepLines/>
        <w:ind w:left="0"/>
      </w:pPr>
      <w:r w:rsidRPr="00E973DE">
        <w:rPr>
          <w:b/>
          <w:bCs/>
        </w:rPr>
        <w:lastRenderedPageBreak/>
        <w:t>Figure 1</w:t>
      </w:r>
      <w:r w:rsidR="003316D5">
        <w:rPr>
          <w:b/>
          <w:bCs/>
        </w:rPr>
        <w:t>6</w:t>
      </w:r>
      <w:r w:rsidRPr="00E973DE">
        <w:t xml:space="preserve">: Percentage of </w:t>
      </w:r>
      <w:r>
        <w:t xml:space="preserve">electricity </w:t>
      </w:r>
      <w:r w:rsidRPr="00E973DE">
        <w:t>offers with e-billing and/or direct debit condition, by retailer</w:t>
      </w:r>
    </w:p>
    <w:p w14:paraId="4784AD65" w14:textId="77777777" w:rsidR="000C4FAF" w:rsidRDefault="000C4FAF" w:rsidP="00A43457">
      <w:pPr>
        <w:keepNext/>
        <w:keepLines/>
        <w:jc w:val="center"/>
      </w:pPr>
      <w:r>
        <w:rPr>
          <w:noProof/>
        </w:rPr>
        <w:drawing>
          <wp:inline distT="0" distB="0" distL="0" distR="0" wp14:anchorId="47FCC725" wp14:editId="17C74738">
            <wp:extent cx="5731510" cy="2371659"/>
            <wp:effectExtent l="0" t="0" r="2540" b="0"/>
            <wp:docPr id="1080308453" name="Picture 1"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08453" name="Picture 1" descr="A graph of a bar graph&#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1510" cy="2371659"/>
                    </a:xfrm>
                    <a:prstGeom prst="rect">
                      <a:avLst/>
                    </a:prstGeom>
                    <a:noFill/>
                    <a:ln>
                      <a:noFill/>
                    </a:ln>
                  </pic:spPr>
                </pic:pic>
              </a:graphicData>
            </a:graphic>
          </wp:inline>
        </w:drawing>
      </w:r>
    </w:p>
    <w:p w14:paraId="68242075" w14:textId="5AC12D0C" w:rsidR="00A43457" w:rsidRDefault="00A43457" w:rsidP="00A43457">
      <w:pPr>
        <w:pStyle w:val="Source"/>
        <w:keepNext/>
        <w:keepLines/>
        <w:spacing w:before="0" w:after="0"/>
        <w:ind w:left="284" w:right="1276"/>
        <w:jc w:val="left"/>
      </w:pPr>
      <w:r w:rsidRPr="000F6481">
        <w:rPr>
          <w:b/>
          <w:bCs/>
        </w:rPr>
        <w:t>Source:</w:t>
      </w:r>
      <w:r w:rsidRPr="00447028">
        <w:t xml:space="preserve"> </w:t>
      </w:r>
      <w:r w:rsidR="005A64F0">
        <w:t>Victorian Energy Compare (VEC) data from April 2025</w:t>
      </w:r>
      <w:r>
        <w:t>.</w:t>
      </w:r>
    </w:p>
    <w:p w14:paraId="69B575A5" w14:textId="19A2480B" w:rsidR="00643FDF" w:rsidRDefault="004966F8" w:rsidP="00D32FE0">
      <w:r>
        <w:t xml:space="preserve">Note that we </w:t>
      </w:r>
      <w:r w:rsidR="000002A0">
        <w:t>found</w:t>
      </w:r>
      <w:r>
        <w:t xml:space="preserve"> only two gas retailers offering similarly restricted </w:t>
      </w:r>
      <w:r w:rsidR="00CC0DB7">
        <w:t>gas plans</w:t>
      </w:r>
      <w:r w:rsidR="000002A0">
        <w:t>. Together</w:t>
      </w:r>
      <w:r w:rsidR="00670075">
        <w:t>,</w:t>
      </w:r>
      <w:r w:rsidR="000002A0">
        <w:t xml:space="preserve"> t</w:t>
      </w:r>
      <w:r w:rsidR="004A208C">
        <w:t xml:space="preserve">hese plans account for at least fifty per cent of </w:t>
      </w:r>
      <w:r w:rsidR="00764772">
        <w:t>each</w:t>
      </w:r>
      <w:r w:rsidR="004A208C">
        <w:t xml:space="preserve"> </w:t>
      </w:r>
      <w:r w:rsidR="00982BE4">
        <w:t>retailer's</w:t>
      </w:r>
      <w:r w:rsidR="00070B93">
        <w:t xml:space="preserve"> available offers.</w:t>
      </w:r>
      <w:r w:rsidR="00982BE4">
        <w:rPr>
          <w:rStyle w:val="FootnoteReference"/>
        </w:rPr>
        <w:footnoteReference w:id="172"/>
      </w:r>
    </w:p>
    <w:p w14:paraId="117FF748" w14:textId="5584FA97" w:rsidR="002D513F" w:rsidRPr="00146BF2" w:rsidRDefault="001C13EB" w:rsidP="00EE3B03">
      <w:r>
        <w:t xml:space="preserve">When compared to the wider market, plans with </w:t>
      </w:r>
      <w:r w:rsidR="009D6F3E">
        <w:t xml:space="preserve">payment method </w:t>
      </w:r>
      <w:r w:rsidR="002C31A3">
        <w:t xml:space="preserve">or </w:t>
      </w:r>
      <w:r w:rsidR="00E07AF9">
        <w:t xml:space="preserve">paper bill </w:t>
      </w:r>
      <w:r w:rsidR="002C31A3">
        <w:t xml:space="preserve">restrictions </w:t>
      </w:r>
      <w:r w:rsidR="00C6781C">
        <w:t xml:space="preserve">are </w:t>
      </w:r>
      <w:r w:rsidR="00E07AF9">
        <w:t xml:space="preserve">among the cheapest in the market, though they </w:t>
      </w:r>
      <w:r w:rsidR="00C6781C">
        <w:t xml:space="preserve">might </w:t>
      </w:r>
      <w:r w:rsidR="00E07AF9">
        <w:t xml:space="preserve">not </w:t>
      </w:r>
      <w:r w:rsidR="00541B22">
        <w:t>always</w:t>
      </w:r>
      <w:r w:rsidR="00E07AF9">
        <w:t xml:space="preserve"> </w:t>
      </w:r>
      <w:r w:rsidR="006B5FBC">
        <w:t xml:space="preserve">be </w:t>
      </w:r>
      <w:r w:rsidR="007F4416">
        <w:t>the</w:t>
      </w:r>
      <w:r w:rsidR="00E07AF9">
        <w:t xml:space="preserve"> cheapest</w:t>
      </w:r>
      <w:r w:rsidR="007F4416">
        <w:t xml:space="preserve"> </w:t>
      </w:r>
      <w:r w:rsidR="008623A0">
        <w:t>plans offered by</w:t>
      </w:r>
      <w:r w:rsidR="007F4416">
        <w:t xml:space="preserve"> all retailers</w:t>
      </w:r>
      <w:r w:rsidR="00E07AF9">
        <w:t>.</w:t>
      </w:r>
      <w:r w:rsidR="00F12072">
        <w:t xml:space="preserve"> </w:t>
      </w:r>
    </w:p>
    <w:p w14:paraId="0EB3CA38" w14:textId="4C81132C" w:rsidR="00EE3B03" w:rsidRDefault="00EE3B03" w:rsidP="00EE3B03">
      <w:r>
        <w:t>As energy is an essential service, we consider it necessary that customers have the same access to competitively priced energy offers, without restrictions on payment or billing types.</w:t>
      </w:r>
    </w:p>
    <w:p w14:paraId="7E0BECCB" w14:textId="237A2B5D" w:rsidR="00A10A9C" w:rsidRPr="002A1EE8" w:rsidRDefault="00A10A9C" w:rsidP="0032478A">
      <w:r>
        <w:t xml:space="preserve">This reform </w:t>
      </w:r>
      <w:r w:rsidR="00951C6E">
        <w:t>is expected</w:t>
      </w:r>
      <w:r w:rsidR="001E065E">
        <w:t xml:space="preserve"> to</w:t>
      </w:r>
      <w:r w:rsidR="00CC5FAF">
        <w:t xml:space="preserve"> increase fairness when competing for customers in the energy market</w:t>
      </w:r>
      <w:r w:rsidR="00951C6E">
        <w:t xml:space="preserve">, preventing energy retailers </w:t>
      </w:r>
      <w:r w:rsidR="00E37E17">
        <w:t xml:space="preserve">from restricting </w:t>
      </w:r>
      <w:r w:rsidR="006E0B88">
        <w:t>specific type</w:t>
      </w:r>
      <w:r w:rsidR="00645D83">
        <w:t>s</w:t>
      </w:r>
      <w:r w:rsidR="006E0B88">
        <w:t xml:space="preserve"> of </w:t>
      </w:r>
      <w:r w:rsidR="005B4B8F">
        <w:t xml:space="preserve">customers </w:t>
      </w:r>
      <w:r w:rsidR="006E0B88">
        <w:t xml:space="preserve">from accessing cheaper plans. </w:t>
      </w:r>
      <w:r w:rsidR="00FE49C7">
        <w:t xml:space="preserve">This would </w:t>
      </w:r>
      <w:r w:rsidR="00B42082">
        <w:t xml:space="preserve">provide additional benefits for customers </w:t>
      </w:r>
      <w:r w:rsidR="005B4B8F">
        <w:t>who cannot choose direct debit or e-bills</w:t>
      </w:r>
      <w:r w:rsidR="00A94D2D">
        <w:t>.</w:t>
      </w:r>
    </w:p>
    <w:p w14:paraId="419C0A89" w14:textId="692B0192" w:rsidR="00C916C1" w:rsidRDefault="00C916C1" w:rsidP="00C916C1">
      <w:pPr>
        <w:pStyle w:val="Heading3numbered"/>
      </w:pPr>
      <w:r>
        <w:t>What we heard from stakeholders</w:t>
      </w:r>
    </w:p>
    <w:p w14:paraId="39109C9B" w14:textId="77777777" w:rsidR="008E5F61" w:rsidRDefault="00E76837" w:rsidP="00AA06D7">
      <w:r>
        <w:t xml:space="preserve">During consultation and workshops, consumer groups and public entities raised the issue of paper billing and alternative payment methods to direct debit. They noted that customers who require these alternatives may be restricted from accessing </w:t>
      </w:r>
      <w:r w:rsidR="00FA21F5">
        <w:t xml:space="preserve">some </w:t>
      </w:r>
      <w:r>
        <w:t xml:space="preserve">retailers’ cheapest plans. </w:t>
      </w:r>
    </w:p>
    <w:p w14:paraId="4F583D11" w14:textId="5D10EBF2" w:rsidR="00AA06D7" w:rsidRDefault="00FA21F5" w:rsidP="00AA06D7">
      <w:r>
        <w:lastRenderedPageBreak/>
        <w:t xml:space="preserve">Stakeholders </w:t>
      </w:r>
      <w:r w:rsidR="003809A7">
        <w:t>considered that</w:t>
      </w:r>
      <w:r w:rsidR="00AA06D7" w:rsidRPr="00AA06D7">
        <w:t xml:space="preserve"> consumers </w:t>
      </w:r>
      <w:r w:rsidR="00FC4639">
        <w:t>affected by these restrictions</w:t>
      </w:r>
      <w:r w:rsidR="00AA06D7" w:rsidRPr="00AA06D7">
        <w:t xml:space="preserve"> are often from groups that </w:t>
      </w:r>
      <w:r w:rsidR="00FC4639">
        <w:t>are</w:t>
      </w:r>
      <w:r w:rsidR="00AA06D7" w:rsidRPr="00AA06D7">
        <w:t xml:space="preserve"> </w:t>
      </w:r>
      <w:r w:rsidR="007B1B4C">
        <w:t>more likely to be experiencing vulnerability</w:t>
      </w:r>
      <w:r w:rsidR="00A0365C">
        <w:t>. They include</w:t>
      </w:r>
      <w:r w:rsidR="00AA06D7" w:rsidRPr="00AA06D7">
        <w:t xml:space="preserve"> the elderly, First Nations </w:t>
      </w:r>
      <w:r w:rsidR="0000008F">
        <w:t>p</w:t>
      </w:r>
      <w:r w:rsidR="00AA06D7" w:rsidRPr="00AA06D7">
        <w:t>eoples and culturally and linguistically diverse Victorians.</w:t>
      </w:r>
      <w:r w:rsidR="00322CE2">
        <w:rPr>
          <w:rStyle w:val="FootnoteReference"/>
        </w:rPr>
        <w:footnoteReference w:id="173"/>
      </w:r>
    </w:p>
    <w:p w14:paraId="431DCEF4" w14:textId="5CE45C2A" w:rsidR="00AA06D7" w:rsidRPr="00AA06D7" w:rsidRDefault="00EC36F4" w:rsidP="00FC2E32">
      <w:r>
        <w:t>S</w:t>
      </w:r>
      <w:r w:rsidR="00AA06D7">
        <w:t xml:space="preserve">ome retailers </w:t>
      </w:r>
      <w:r w:rsidR="00F26AB3">
        <w:t>stated</w:t>
      </w:r>
      <w:r w:rsidR="00AA06D7">
        <w:t xml:space="preserve"> that prohibitions </w:t>
      </w:r>
      <w:r w:rsidR="00F26AB3">
        <w:t>on requiring certain</w:t>
      </w:r>
      <w:r w:rsidR="00AA06D7">
        <w:t xml:space="preserve"> payment methods and e-billing would raise costs</w:t>
      </w:r>
      <w:r w:rsidR="006B4A36">
        <w:t xml:space="preserve">. They </w:t>
      </w:r>
      <w:r w:rsidR="008B30D2">
        <w:t>considered</w:t>
      </w:r>
      <w:r w:rsidR="00AA06D7">
        <w:t xml:space="preserve"> that </w:t>
      </w:r>
      <w:r w:rsidR="006B4A36">
        <w:t>these</w:t>
      </w:r>
      <w:r w:rsidR="00AA06D7">
        <w:t xml:space="preserve"> </w:t>
      </w:r>
      <w:r w:rsidR="008B30D2">
        <w:t>costs co</w:t>
      </w:r>
      <w:r w:rsidR="00AA06D7">
        <w:t xml:space="preserve">uld be socialised across their entire customer base. However, other retailers noted that </w:t>
      </w:r>
      <w:r w:rsidR="008B30D2">
        <w:t>they have</w:t>
      </w:r>
      <w:r w:rsidR="00AA06D7">
        <w:t xml:space="preserve"> </w:t>
      </w:r>
      <w:r w:rsidR="00060954">
        <w:t xml:space="preserve">already </w:t>
      </w:r>
      <w:r w:rsidR="00AA06D7">
        <w:t>mov</w:t>
      </w:r>
      <w:r w:rsidR="008B30D2">
        <w:t>ed</w:t>
      </w:r>
      <w:r w:rsidR="00AA06D7">
        <w:t xml:space="preserve"> away from offering direct debit</w:t>
      </w:r>
      <w:r w:rsidR="008B30D2">
        <w:t>-</w:t>
      </w:r>
      <w:r w:rsidR="00AA06D7">
        <w:t>only plans</w:t>
      </w:r>
      <w:r w:rsidR="008B30D2">
        <w:t xml:space="preserve"> or e-billing only plans</w:t>
      </w:r>
      <w:r w:rsidR="00DC1F71">
        <w:t xml:space="preserve">. They </w:t>
      </w:r>
      <w:r w:rsidR="00972447">
        <w:t xml:space="preserve">noted that they already </w:t>
      </w:r>
      <w:r w:rsidR="00DC1F71">
        <w:t>offer a wider range of payment and communication methods across all their plans</w:t>
      </w:r>
      <w:r w:rsidR="00AA06D7">
        <w:t>.</w:t>
      </w:r>
      <w:r w:rsidR="00AA06D7">
        <w:rPr>
          <w:rStyle w:val="FootnoteReference"/>
        </w:rPr>
        <w:footnoteReference w:id="174"/>
      </w:r>
    </w:p>
    <w:p w14:paraId="6E50DFD4" w14:textId="72CA034C" w:rsidR="00C916C1" w:rsidRPr="00C916C1" w:rsidDel="00AE6E32" w:rsidRDefault="002A1EE8" w:rsidP="00FC2E32">
      <w:pPr>
        <w:pStyle w:val="Heading3numbered"/>
      </w:pPr>
      <w:r>
        <w:t>Approach to options development</w:t>
      </w:r>
    </w:p>
    <w:p w14:paraId="5D50EE8B" w14:textId="7DC03C5E" w:rsidR="00F17168" w:rsidRDefault="000A21BF" w:rsidP="00B144AB">
      <w:r>
        <w:t>Our</w:t>
      </w:r>
      <w:r w:rsidR="00DA384E">
        <w:t xml:space="preserve"> </w:t>
      </w:r>
      <w:r w:rsidR="005D20D9">
        <w:t xml:space="preserve">approach </w:t>
      </w:r>
      <w:r w:rsidR="00F72410">
        <w:t>to</w:t>
      </w:r>
      <w:r w:rsidR="005D20D9">
        <w:t xml:space="preserve"> </w:t>
      </w:r>
      <w:r w:rsidR="00C929BF">
        <w:t xml:space="preserve"> develop</w:t>
      </w:r>
      <w:r w:rsidR="003B1A8C">
        <w:t>ing</w:t>
      </w:r>
      <w:r w:rsidR="008F1CEF">
        <w:t xml:space="preserve"> options</w:t>
      </w:r>
      <w:r w:rsidR="005D20D9">
        <w:t xml:space="preserve"> consider</w:t>
      </w:r>
      <w:r w:rsidR="008F1CEF">
        <w:t>ed</w:t>
      </w:r>
      <w:r w:rsidR="005D20D9">
        <w:t xml:space="preserve"> the current variety of energy plans offered in the Victorian market</w:t>
      </w:r>
      <w:r w:rsidR="003A4BC5">
        <w:t xml:space="preserve"> and the feedback we heard from stakeholders</w:t>
      </w:r>
      <w:r w:rsidR="00687B66">
        <w:t>.</w:t>
      </w:r>
      <w:r w:rsidR="003A4BC5">
        <w:t xml:space="preserve"> We </w:t>
      </w:r>
      <w:r w:rsidR="00894292">
        <w:t xml:space="preserve">compared current Victorian regulations with requirements </w:t>
      </w:r>
      <w:r w:rsidR="004D6B65">
        <w:t>in other jurisdictions and</w:t>
      </w:r>
      <w:r w:rsidR="00EB09A9">
        <w:t xml:space="preserve"> developments </w:t>
      </w:r>
      <w:r w:rsidR="009B63E3">
        <w:t xml:space="preserve">in other industries. </w:t>
      </w:r>
      <w:r w:rsidR="00BC7C88">
        <w:t xml:space="preserve">We considered </w:t>
      </w:r>
      <w:r w:rsidR="000853D5">
        <w:t>the potential consequences of different interventions and how retailers might react to new rules.</w:t>
      </w:r>
      <w:r w:rsidR="00F3090A">
        <w:t xml:space="preserve"> </w:t>
      </w:r>
    </w:p>
    <w:p w14:paraId="15A4C99A" w14:textId="7238D2F6" w:rsidR="00127971" w:rsidRDefault="00B075C0" w:rsidP="00B144AB">
      <w:r>
        <w:t>We understand</w:t>
      </w:r>
      <w:r w:rsidR="00B45CE1">
        <w:t xml:space="preserve"> that the majority of </w:t>
      </w:r>
      <w:r w:rsidR="0002287E">
        <w:t xml:space="preserve">plans </w:t>
      </w:r>
      <w:r w:rsidR="00B92247">
        <w:t xml:space="preserve">with </w:t>
      </w:r>
      <w:r w:rsidR="00333630">
        <w:t>payment or billing</w:t>
      </w:r>
      <w:r w:rsidR="00284B80">
        <w:t xml:space="preserve"> restrictions</w:t>
      </w:r>
      <w:r w:rsidR="00B92247">
        <w:t xml:space="preserve"> </w:t>
      </w:r>
      <w:r w:rsidR="00F17168">
        <w:t xml:space="preserve">required </w:t>
      </w:r>
      <w:r w:rsidR="00114677">
        <w:t>both</w:t>
      </w:r>
      <w:r w:rsidR="00F17168">
        <w:t xml:space="preserve"> e-billing and payment by direct debit</w:t>
      </w:r>
      <w:r w:rsidR="00770EF4">
        <w:t xml:space="preserve">. We therefore </w:t>
      </w:r>
      <w:r w:rsidR="00A815C1">
        <w:t>consider</w:t>
      </w:r>
      <w:r w:rsidR="00F17168">
        <w:t xml:space="preserve"> t</w:t>
      </w:r>
      <w:r w:rsidR="0095449D">
        <w:t>hat</w:t>
      </w:r>
      <w:r w:rsidR="0060401E">
        <w:t xml:space="preserve"> </w:t>
      </w:r>
      <w:r w:rsidR="00A815C1">
        <w:t xml:space="preserve">any </w:t>
      </w:r>
      <w:r w:rsidR="00261699">
        <w:t xml:space="preserve">intervention would need to </w:t>
      </w:r>
      <w:r w:rsidR="0060401E">
        <w:t xml:space="preserve">address </w:t>
      </w:r>
      <w:r w:rsidR="00A815C1">
        <w:t>bot</w:t>
      </w:r>
      <w:r w:rsidR="00261699">
        <w:t>h</w:t>
      </w:r>
      <w:r w:rsidR="0060401E">
        <w:t xml:space="preserve"> restrictions </w:t>
      </w:r>
      <w:r w:rsidR="007E1F41">
        <w:t>collectively</w:t>
      </w:r>
      <w:r w:rsidR="00EA5816">
        <w:t>.</w:t>
      </w:r>
      <w:r>
        <w:t xml:space="preserve"> We welcome stakeholders</w:t>
      </w:r>
      <w:r w:rsidR="00D2318C">
        <w:t>’</w:t>
      </w:r>
      <w:r>
        <w:t xml:space="preserve"> views on our proposed approach.</w:t>
      </w:r>
    </w:p>
    <w:p w14:paraId="431BD318" w14:textId="5D1A342D" w:rsidR="00C06552" w:rsidRDefault="00F738BA" w:rsidP="00B144AB">
      <w:r>
        <w:t>W</w:t>
      </w:r>
      <w:r w:rsidR="00127971">
        <w:t>e</w:t>
      </w:r>
      <w:r w:rsidR="00F3090A">
        <w:t xml:space="preserve"> a</w:t>
      </w:r>
      <w:r w:rsidR="008C32EB">
        <w:t>lso</w:t>
      </w:r>
      <w:r w:rsidR="00F3090A">
        <w:t xml:space="preserve"> consider</w:t>
      </w:r>
      <w:r w:rsidR="008C32EB">
        <w:t>ed</w:t>
      </w:r>
      <w:r w:rsidR="00C06552">
        <w:t xml:space="preserve"> that </w:t>
      </w:r>
      <w:r w:rsidR="00A44A58">
        <w:t xml:space="preserve">retailers could react to new rules requiring them to offer alternative payment methods or paper bills </w:t>
      </w:r>
      <w:r w:rsidR="00291197">
        <w:t xml:space="preserve">by introducing conditional fees or discounts that </w:t>
      </w:r>
      <w:r w:rsidR="00193D04">
        <w:t xml:space="preserve">would </w:t>
      </w:r>
      <w:r w:rsidR="00FC384E">
        <w:t xml:space="preserve">act as barriers </w:t>
      </w:r>
      <w:r w:rsidR="007C281D">
        <w:t>preventing customers from accessing these options.</w:t>
      </w:r>
    </w:p>
    <w:p w14:paraId="7299EB61" w14:textId="77777777" w:rsidR="00A80FCD" w:rsidRDefault="004C3462" w:rsidP="004C3462">
      <w:r>
        <w:t>In developing the options below, we considered</w:t>
      </w:r>
      <w:r w:rsidR="00A80FCD">
        <w:t>:</w:t>
      </w:r>
      <w:r>
        <w:t xml:space="preserve"> </w:t>
      </w:r>
    </w:p>
    <w:p w14:paraId="5B629453" w14:textId="77777777" w:rsidR="00A80FCD" w:rsidRDefault="004C3462" w:rsidP="00A92E17">
      <w:pPr>
        <w:pStyle w:val="ListBullet"/>
      </w:pPr>
      <w:r>
        <w:t>potential savings for customers</w:t>
      </w:r>
    </w:p>
    <w:p w14:paraId="1E0E9419" w14:textId="0BC48BE1" w:rsidR="00A80FCD" w:rsidRDefault="004C3462" w:rsidP="00A92E17">
      <w:pPr>
        <w:pStyle w:val="ListBullet"/>
      </w:pPr>
      <w:r>
        <w:t>the likelihood of cheaper offers being withdrawn from the market</w:t>
      </w:r>
    </w:p>
    <w:p w14:paraId="49EF052B" w14:textId="0E36E486" w:rsidR="004C3462" w:rsidRDefault="004C3462" w:rsidP="00A92E17">
      <w:pPr>
        <w:pStyle w:val="ListBullet"/>
      </w:pPr>
      <w:r>
        <w:t>potential implementation costs for retailers.</w:t>
      </w:r>
    </w:p>
    <w:p w14:paraId="3C8F2600" w14:textId="77777777" w:rsidR="000830F8" w:rsidRDefault="000830F8" w:rsidP="000830F8">
      <w:pPr>
        <w:pStyle w:val="Heading2numbered"/>
      </w:pPr>
      <w:bookmarkStart w:id="193" w:name="_Toc191540402"/>
      <w:bookmarkStart w:id="194" w:name="_Toc191540497"/>
      <w:bookmarkStart w:id="195" w:name="_Toc191540573"/>
      <w:bookmarkStart w:id="196" w:name="_Toc191540649"/>
      <w:bookmarkStart w:id="197" w:name="_Toc197959440"/>
      <w:bookmarkEnd w:id="193"/>
      <w:bookmarkEnd w:id="194"/>
      <w:bookmarkEnd w:id="195"/>
      <w:bookmarkEnd w:id="196"/>
      <w:r>
        <w:t>Options considered but not progressed to assessment</w:t>
      </w:r>
      <w:bookmarkEnd w:id="197"/>
    </w:p>
    <w:p w14:paraId="5DBD6F20" w14:textId="6F4A6A66" w:rsidR="00FE647A" w:rsidRDefault="00092D70" w:rsidP="008E7A41">
      <w:r>
        <w:t>We have not considered options that do not allow retailers to recoup</w:t>
      </w:r>
      <w:r w:rsidR="00EC7194">
        <w:t xml:space="preserve"> reasonable</w:t>
      </w:r>
      <w:r>
        <w:t xml:space="preserve"> costs for paper bills or </w:t>
      </w:r>
      <w:r w:rsidR="00F05F47">
        <w:t xml:space="preserve">alternative payment methods. </w:t>
      </w:r>
      <w:r w:rsidR="009F361C">
        <w:t xml:space="preserve">Failing to allow retailers to do </w:t>
      </w:r>
      <w:r w:rsidR="000F5D5E">
        <w:t xml:space="preserve">so </w:t>
      </w:r>
      <w:r w:rsidR="009F361C">
        <w:t xml:space="preserve">would place </w:t>
      </w:r>
      <w:r w:rsidR="000D4B64">
        <w:t>increased</w:t>
      </w:r>
      <w:r w:rsidR="009F361C">
        <w:t xml:space="preserve"> costs on retailers</w:t>
      </w:r>
      <w:r w:rsidR="000F5D5E">
        <w:t xml:space="preserve"> that would potentially be socialised among the wider customer base.</w:t>
      </w:r>
      <w:r w:rsidR="00FE647A">
        <w:t xml:space="preserve"> In addition</w:t>
      </w:r>
      <w:r w:rsidR="000F5D5E">
        <w:t>,</w:t>
      </w:r>
      <w:r w:rsidR="000734B6">
        <w:t xml:space="preserve"> </w:t>
      </w:r>
      <w:r w:rsidR="001466B2">
        <w:t xml:space="preserve">there </w:t>
      </w:r>
      <w:r w:rsidR="001466B2">
        <w:lastRenderedPageBreak/>
        <w:t xml:space="preserve">are already </w:t>
      </w:r>
      <w:r w:rsidR="00FE647A">
        <w:t>provisions</w:t>
      </w:r>
      <w:r w:rsidR="001466B2">
        <w:t xml:space="preserve"> in the code </w:t>
      </w:r>
      <w:r w:rsidR="009D0065">
        <w:t>that</w:t>
      </w:r>
      <w:r w:rsidR="001466B2">
        <w:t xml:space="preserve"> allow retailers to recoup</w:t>
      </w:r>
      <w:r w:rsidR="004A7827">
        <w:t xml:space="preserve"> costs such as merchant service fees or additional retailer charges</w:t>
      </w:r>
      <w:r w:rsidR="001466B2">
        <w:t>.</w:t>
      </w:r>
      <w:r w:rsidR="006E1562">
        <w:rPr>
          <w:rStyle w:val="FootnoteReference"/>
        </w:rPr>
        <w:footnoteReference w:id="175"/>
      </w:r>
      <w:r w:rsidR="001466B2">
        <w:t xml:space="preserve"> </w:t>
      </w:r>
    </w:p>
    <w:p w14:paraId="40BA4293" w14:textId="085DDA35" w:rsidR="00154C6E" w:rsidRDefault="00C91D35" w:rsidP="008E7A41">
      <w:r>
        <w:t xml:space="preserve">We </w:t>
      </w:r>
      <w:r w:rsidR="00207808">
        <w:t xml:space="preserve">noted that some </w:t>
      </w:r>
      <w:r w:rsidR="000D6D03">
        <w:t>conditional discounts or fees</w:t>
      </w:r>
      <w:r w:rsidR="00EE3D09">
        <w:t xml:space="preserve"> may incentivise more efficient communications and billing, leading to </w:t>
      </w:r>
      <w:r w:rsidR="00F553F1">
        <w:t xml:space="preserve">indirect benefits </w:t>
      </w:r>
      <w:r w:rsidR="00EE3D09">
        <w:t>fo</w:t>
      </w:r>
      <w:r w:rsidR="00B4301A">
        <w:t xml:space="preserve">r </w:t>
      </w:r>
      <w:r w:rsidR="00307B56">
        <w:t xml:space="preserve">customers, retailers and society (for example, by avoiding </w:t>
      </w:r>
      <w:r w:rsidR="00706441">
        <w:t xml:space="preserve">the use of </w:t>
      </w:r>
      <w:r w:rsidR="001B1A10">
        <w:t>postal services</w:t>
      </w:r>
      <w:r w:rsidR="00706441">
        <w:t xml:space="preserve"> when possible</w:t>
      </w:r>
      <w:r w:rsidR="001B1A10">
        <w:t>)</w:t>
      </w:r>
      <w:r w:rsidR="00706441">
        <w:t>.</w:t>
      </w:r>
    </w:p>
    <w:p w14:paraId="445A4DF5" w14:textId="31A6A9F2" w:rsidR="00592DCA" w:rsidRDefault="00C0091C" w:rsidP="008E7A41">
      <w:r>
        <w:t xml:space="preserve">We </w:t>
      </w:r>
      <w:r w:rsidR="003F75CB">
        <w:t xml:space="preserve">also </w:t>
      </w:r>
      <w:r>
        <w:t xml:space="preserve">considered </w:t>
      </w:r>
      <w:r w:rsidR="001B7CBB">
        <w:t xml:space="preserve">the recent AEMC </w:t>
      </w:r>
      <w:r w:rsidR="00F523F5">
        <w:t xml:space="preserve">draft determination </w:t>
      </w:r>
      <w:r w:rsidR="001B7CBB">
        <w:t>to restrict certain fees and charges</w:t>
      </w:r>
      <w:r w:rsidR="00656375">
        <w:t>.</w:t>
      </w:r>
      <w:r w:rsidR="00656375">
        <w:rPr>
          <w:rStyle w:val="FootnoteReference"/>
        </w:rPr>
        <w:footnoteReference w:id="176"/>
      </w:r>
      <w:r w:rsidR="002935F1">
        <w:t xml:space="preserve"> The AEMC</w:t>
      </w:r>
      <w:r w:rsidR="009B0F31">
        <w:t xml:space="preserve"> considered that prohibiting paper bills fe</w:t>
      </w:r>
      <w:r w:rsidR="00130281">
        <w:t>e</w:t>
      </w:r>
      <w:r w:rsidR="009B0F31">
        <w:t xml:space="preserve">s for all consumers would be unnecessary. However, </w:t>
      </w:r>
      <w:r w:rsidR="003959A4">
        <w:t xml:space="preserve">its draft determination </w:t>
      </w:r>
      <w:r w:rsidR="002E004F">
        <w:t xml:space="preserve">proposes to restrict all ancillary fees and charges </w:t>
      </w:r>
      <w:r w:rsidR="002E0E85">
        <w:t>to hardship customers, customers of payment plans, customers experiencing family violence and customers receiving a concession.</w:t>
      </w:r>
      <w:r w:rsidR="002E0E85">
        <w:rPr>
          <w:rStyle w:val="FootnoteReference"/>
        </w:rPr>
        <w:footnoteReference w:id="177"/>
      </w:r>
      <w:r w:rsidR="007E5B10">
        <w:t xml:space="preserve"> </w:t>
      </w:r>
      <w:r w:rsidR="003F75CB">
        <w:t xml:space="preserve">We understand that the Victorian Government will consider </w:t>
      </w:r>
      <w:r w:rsidR="003B4BFC">
        <w:t xml:space="preserve">the AEMC’s </w:t>
      </w:r>
      <w:r w:rsidR="003F75CB">
        <w:t>reforms</w:t>
      </w:r>
      <w:r w:rsidR="007E5B10">
        <w:t xml:space="preserve">, so we have not </w:t>
      </w:r>
      <w:r w:rsidR="00082B03">
        <w:t xml:space="preserve">progressed options involving </w:t>
      </w:r>
      <w:r w:rsidR="00B91256">
        <w:t>prohibiting</w:t>
      </w:r>
      <w:r w:rsidR="008B6967">
        <w:t xml:space="preserve"> certain fees and charges</w:t>
      </w:r>
      <w:r w:rsidR="00B91256">
        <w:t>.</w:t>
      </w:r>
    </w:p>
    <w:p w14:paraId="58D9FA85" w14:textId="77777777" w:rsidR="002A5978" w:rsidRDefault="002A5978" w:rsidP="002A5978">
      <w:pPr>
        <w:pStyle w:val="Heading2numbered"/>
      </w:pPr>
      <w:bookmarkStart w:id="198" w:name="_Toc197959441"/>
      <w:r>
        <w:t>Options</w:t>
      </w:r>
      <w:bookmarkEnd w:id="198"/>
    </w:p>
    <w:p w14:paraId="3B2543D3" w14:textId="77777777" w:rsidR="0080599B" w:rsidRDefault="0080599B" w:rsidP="00BB724F">
      <w:pPr>
        <w:pStyle w:val="Heading3numbered"/>
      </w:pPr>
      <w:r>
        <w:t>Base case</w:t>
      </w:r>
    </w:p>
    <w:p w14:paraId="607C0A75" w14:textId="4DAC4F84" w:rsidR="00E04146" w:rsidRDefault="00037B59">
      <w:r w:rsidRPr="00037B59">
        <w:t>The base case for this reform would be the status quo</w:t>
      </w:r>
      <w:r w:rsidR="00DF7E8F">
        <w:t>.</w:t>
      </w:r>
      <w:r w:rsidR="00A473CD">
        <w:t xml:space="preserve"> R</w:t>
      </w:r>
      <w:r w:rsidR="005C1E8B">
        <w:t>etailers</w:t>
      </w:r>
      <w:r w:rsidR="00222548">
        <w:t xml:space="preserve"> would continue to be able to offer plans that require payment via direct debit</w:t>
      </w:r>
      <w:r w:rsidR="00746AA4">
        <w:t xml:space="preserve"> or the use of e-billing. </w:t>
      </w:r>
      <w:r w:rsidR="006D27AE">
        <w:t xml:space="preserve">While </w:t>
      </w:r>
      <w:r w:rsidR="00ED5D1A">
        <w:t>most</w:t>
      </w:r>
      <w:r w:rsidR="006D27AE">
        <w:t xml:space="preserve"> plans are not restricted</w:t>
      </w:r>
      <w:r w:rsidR="002D607E">
        <w:t xml:space="preserve"> </w:t>
      </w:r>
      <w:r w:rsidR="00746AA4">
        <w:t>in this way, som</w:t>
      </w:r>
      <w:r w:rsidR="00F702EB">
        <w:t>e are</w:t>
      </w:r>
      <w:r w:rsidR="008C30AF">
        <w:t>. The latter include</w:t>
      </w:r>
      <w:r w:rsidR="00FD60BE">
        <w:t xml:space="preserve"> the cheapest offers </w:t>
      </w:r>
      <w:r w:rsidR="009A23DB">
        <w:t xml:space="preserve">for some retailers. </w:t>
      </w:r>
      <w:r w:rsidR="0074444E">
        <w:t xml:space="preserve">Customers </w:t>
      </w:r>
      <w:r w:rsidR="00723CB0">
        <w:t>unable or unwilling to pay via direct debit or use e-billing would not be able to access these plans.</w:t>
      </w:r>
    </w:p>
    <w:p w14:paraId="01F40760" w14:textId="47B7E838" w:rsidR="00037B59" w:rsidRPr="00037B59" w:rsidRDefault="00F8201C" w:rsidP="00FC2E32">
      <w:r>
        <w:t>N</w:t>
      </w:r>
      <w:r w:rsidR="005C1E8B">
        <w:t xml:space="preserve">o </w:t>
      </w:r>
      <w:r w:rsidR="0022397E">
        <w:t xml:space="preserve">changes would be made to </w:t>
      </w:r>
      <w:r w:rsidR="005C1E8B">
        <w:t>limit</w:t>
      </w:r>
      <w:r w:rsidR="0022397E">
        <w:t xml:space="preserve"> conditional </w:t>
      </w:r>
      <w:r w:rsidR="005C1E8B">
        <w:t>discount</w:t>
      </w:r>
      <w:r w:rsidR="009E04A1">
        <w:t>s or conditional</w:t>
      </w:r>
      <w:r w:rsidR="0022397E">
        <w:t xml:space="preserve"> fees.</w:t>
      </w:r>
      <w:r w:rsidR="009E04A1">
        <w:t xml:space="preserve"> The code currently allows </w:t>
      </w:r>
      <w:r w:rsidR="00FD7DD8">
        <w:t xml:space="preserve">retailers to </w:t>
      </w:r>
      <w:r w:rsidR="004F089D">
        <w:t xml:space="preserve">recover </w:t>
      </w:r>
      <w:r w:rsidR="00E20AEE">
        <w:t>merchant service fe</w:t>
      </w:r>
      <w:r w:rsidR="008A7581">
        <w:t xml:space="preserve">es (for example, </w:t>
      </w:r>
      <w:r w:rsidR="0069251A">
        <w:t>for payments with a credit card)</w:t>
      </w:r>
      <w:r w:rsidR="00910DB1">
        <w:t xml:space="preserve"> an</w:t>
      </w:r>
      <w:r w:rsidR="002B6561">
        <w:t>d to add additional charges for specific services</w:t>
      </w:r>
      <w:r w:rsidR="00174FD5">
        <w:t>. Any additional retail charges must be fair and reasonable having regard to related costs incurred by the retailer.</w:t>
      </w:r>
      <w:r w:rsidR="00174FD5">
        <w:rPr>
          <w:rStyle w:val="FootnoteReference"/>
        </w:rPr>
        <w:footnoteReference w:id="178"/>
      </w:r>
    </w:p>
    <w:p w14:paraId="7C589456" w14:textId="51223E87" w:rsidR="0080599B" w:rsidRDefault="008E6F62" w:rsidP="6693F1B1">
      <w:pPr>
        <w:pStyle w:val="Heading3numbered"/>
      </w:pPr>
      <w:r>
        <w:t xml:space="preserve">Option </w:t>
      </w:r>
      <w:r w:rsidR="009935A4">
        <w:t>B.</w:t>
      </w:r>
      <w:r>
        <w:t xml:space="preserve">1 </w:t>
      </w:r>
      <w:r w:rsidR="00506EB0">
        <w:t xml:space="preserve">– </w:t>
      </w:r>
      <w:r w:rsidR="00E4439A">
        <w:t xml:space="preserve">Requiring retailers to offer paper billing and alternative </w:t>
      </w:r>
      <w:r w:rsidR="00765C96">
        <w:t>payment methods to direct debit</w:t>
      </w:r>
      <w:r w:rsidR="00CF5028">
        <w:t xml:space="preserve"> with no further consumer protections</w:t>
      </w:r>
    </w:p>
    <w:p w14:paraId="63FD2282" w14:textId="03D284A4" w:rsidR="008D4037" w:rsidRDefault="00402928" w:rsidP="00506EB0">
      <w:r>
        <w:t>This option</w:t>
      </w:r>
      <w:r w:rsidR="00F13848">
        <w:t xml:space="preserve"> </w:t>
      </w:r>
      <w:r w:rsidR="00720ED6">
        <w:t>would require</w:t>
      </w:r>
      <w:r w:rsidR="00F13848">
        <w:t xml:space="preserve"> </w:t>
      </w:r>
      <w:r w:rsidR="00FA4649">
        <w:t xml:space="preserve">retailers </w:t>
      </w:r>
      <w:r w:rsidR="00F36984">
        <w:t xml:space="preserve">to </w:t>
      </w:r>
      <w:r w:rsidR="007F7E9F">
        <w:t xml:space="preserve">offer </w:t>
      </w:r>
      <w:r w:rsidR="00DE126A">
        <w:t xml:space="preserve">paper billing and </w:t>
      </w:r>
      <w:r w:rsidR="00E4439A">
        <w:t xml:space="preserve">alternative payment methods to </w:t>
      </w:r>
      <w:r w:rsidR="00FA4649">
        <w:t>direct debit</w:t>
      </w:r>
      <w:r w:rsidR="00720ED6">
        <w:t xml:space="preserve"> for all plans</w:t>
      </w:r>
      <w:r w:rsidR="00E4439A">
        <w:t>.</w:t>
      </w:r>
    </w:p>
    <w:p w14:paraId="200B6ABB" w14:textId="63842EA9" w:rsidR="00E65F16" w:rsidRDefault="00094B1D" w:rsidP="00506EB0">
      <w:r>
        <w:lastRenderedPageBreak/>
        <w:t>Any current or future plans offered by retailers would have to allow the option of paper billing and</w:t>
      </w:r>
      <w:r w:rsidR="00A00D7F">
        <w:t xml:space="preserve"> </w:t>
      </w:r>
      <w:r w:rsidR="00FD372C">
        <w:t xml:space="preserve">to offer </w:t>
      </w:r>
      <w:r w:rsidR="004663BF">
        <w:t>payment method</w:t>
      </w:r>
      <w:r w:rsidR="005D7B0B">
        <w:t>s</w:t>
      </w:r>
      <w:r w:rsidR="004663BF">
        <w:t xml:space="preserve"> other than direct debit.</w:t>
      </w:r>
      <w:r w:rsidR="00BE3DC4">
        <w:t xml:space="preserve"> </w:t>
      </w:r>
      <w:r w:rsidR="00641BC8">
        <w:t>These alternative payment methods would include payments in person (</w:t>
      </w:r>
      <w:r w:rsidR="008B12C9">
        <w:t>for example, at an Australia Post office)</w:t>
      </w:r>
      <w:r w:rsidR="002056F5">
        <w:t xml:space="preserve">, by telephone, by mail or by electronic funds transfer. </w:t>
      </w:r>
      <w:r w:rsidR="00753A14">
        <w:t>These payment methods are already required for</w:t>
      </w:r>
      <w:r w:rsidR="004B0EDC">
        <w:t xml:space="preserve"> a retailer’s standing offers.</w:t>
      </w:r>
    </w:p>
    <w:p w14:paraId="6989E724" w14:textId="52D8E738" w:rsidR="00D41F85" w:rsidRDefault="00BE3DC4" w:rsidP="00506EB0">
      <w:r>
        <w:t xml:space="preserve">No </w:t>
      </w:r>
      <w:r w:rsidR="008F1560">
        <w:t>other</w:t>
      </w:r>
      <w:r>
        <w:t xml:space="preserve"> </w:t>
      </w:r>
      <w:r w:rsidR="004E5025">
        <w:t xml:space="preserve">protections or amendments to </w:t>
      </w:r>
      <w:r w:rsidR="00B831CC">
        <w:t xml:space="preserve">the </w:t>
      </w:r>
      <w:r w:rsidR="00FB353E">
        <w:t>code</w:t>
      </w:r>
      <w:r w:rsidR="004E5025">
        <w:t xml:space="preserve"> would be made</w:t>
      </w:r>
      <w:r w:rsidR="000B1779">
        <w:t>,</w:t>
      </w:r>
      <w:r w:rsidR="00242570">
        <w:t xml:space="preserve"> </w:t>
      </w:r>
      <w:r w:rsidR="004E5025">
        <w:t xml:space="preserve">allowing retailers to engage in various pricing practices to </w:t>
      </w:r>
      <w:r w:rsidR="007A790B">
        <w:t xml:space="preserve">recoup </w:t>
      </w:r>
      <w:r w:rsidR="008F1560">
        <w:t xml:space="preserve">the </w:t>
      </w:r>
      <w:r w:rsidR="007A790B">
        <w:t>costs</w:t>
      </w:r>
      <w:r w:rsidR="008F1560">
        <w:t xml:space="preserve"> of paper bills </w:t>
      </w:r>
      <w:r w:rsidR="009A7CDD">
        <w:t xml:space="preserve">or alternative payment methods. </w:t>
      </w:r>
      <w:r w:rsidR="00DA1BAB">
        <w:t xml:space="preserve">The use of e-billing and direct debit could be subject, for example, to conditional discounts of varying amounts. </w:t>
      </w:r>
      <w:r w:rsidR="00CA3182">
        <w:t xml:space="preserve">Payment methods or paper bills could </w:t>
      </w:r>
      <w:r w:rsidR="00136411">
        <w:t xml:space="preserve">also </w:t>
      </w:r>
      <w:r w:rsidR="00CA3182">
        <w:t xml:space="preserve">be the subject of additional retail charges, </w:t>
      </w:r>
      <w:r w:rsidR="00EB0D3C">
        <w:t>but these</w:t>
      </w:r>
      <w:r w:rsidR="00136411">
        <w:t xml:space="preserve"> are already</w:t>
      </w:r>
      <w:r w:rsidR="00EB0D3C">
        <w:t xml:space="preserve"> limited to </w:t>
      </w:r>
      <w:r w:rsidR="001B2F1B">
        <w:t>reasonable costs incurred by the retailer</w:t>
      </w:r>
      <w:r w:rsidR="00136411">
        <w:t xml:space="preserve"> under the code</w:t>
      </w:r>
      <w:r w:rsidR="001B2F1B">
        <w:t>.</w:t>
      </w:r>
      <w:r w:rsidR="001B2F1B">
        <w:rPr>
          <w:rStyle w:val="FootnoteReference"/>
        </w:rPr>
        <w:footnoteReference w:id="179"/>
      </w:r>
    </w:p>
    <w:p w14:paraId="7F4754CC" w14:textId="6D1DA58B" w:rsidR="00C53ED9" w:rsidRDefault="002C43E9" w:rsidP="00D41F85">
      <w:r>
        <w:t xml:space="preserve">Under this option, </w:t>
      </w:r>
      <w:r w:rsidR="00D47B1E">
        <w:t>retailers could</w:t>
      </w:r>
      <w:r w:rsidR="00A33105">
        <w:t xml:space="preserve"> </w:t>
      </w:r>
      <w:r w:rsidR="005500D4">
        <w:t>offer plans with</w:t>
      </w:r>
      <w:r w:rsidR="00656913">
        <w:t xml:space="preserve"> </w:t>
      </w:r>
      <w:r w:rsidR="00290CF4">
        <w:t xml:space="preserve">large </w:t>
      </w:r>
      <w:r w:rsidR="00656913">
        <w:t>discounts</w:t>
      </w:r>
      <w:r w:rsidR="00BE4F3C">
        <w:t xml:space="preserve"> </w:t>
      </w:r>
      <w:r w:rsidR="005D155D">
        <w:t xml:space="preserve">for customers </w:t>
      </w:r>
      <w:r w:rsidR="007945BE">
        <w:t xml:space="preserve">who </w:t>
      </w:r>
      <w:r w:rsidR="005500D4">
        <w:t xml:space="preserve">use e-billing or who pay using direct debit. </w:t>
      </w:r>
      <w:r w:rsidR="00916C3B">
        <w:t>T</w:t>
      </w:r>
      <w:r w:rsidR="005500D4">
        <w:t>his</w:t>
      </w:r>
      <w:r w:rsidR="00E67B5E">
        <w:t xml:space="preserve"> may </w:t>
      </w:r>
      <w:r w:rsidR="006E559C">
        <w:t xml:space="preserve">benefit customers </w:t>
      </w:r>
      <w:r w:rsidR="001A5DFC">
        <w:t xml:space="preserve">who </w:t>
      </w:r>
      <w:r w:rsidR="007819AF">
        <w:t>c</w:t>
      </w:r>
      <w:r w:rsidR="00697BB1">
        <w:t>an use</w:t>
      </w:r>
      <w:r w:rsidR="001A5DFC">
        <w:t xml:space="preserve"> </w:t>
      </w:r>
      <w:r w:rsidR="00074D73">
        <w:t xml:space="preserve">these </w:t>
      </w:r>
      <w:r w:rsidR="0042505D">
        <w:t>options. However</w:t>
      </w:r>
      <w:r w:rsidR="00632699">
        <w:t xml:space="preserve">, </w:t>
      </w:r>
      <w:r w:rsidR="00EB45F1">
        <w:t xml:space="preserve">customers who </w:t>
      </w:r>
      <w:r w:rsidR="008C5DC7">
        <w:t>could not</w:t>
      </w:r>
      <w:r w:rsidR="00EB45F1">
        <w:t xml:space="preserve"> </w:t>
      </w:r>
      <w:r w:rsidR="002268EE">
        <w:t>meet the conditions of these discounts w</w:t>
      </w:r>
      <w:r w:rsidR="008C5DC7">
        <w:t>ould</w:t>
      </w:r>
      <w:r w:rsidR="002268EE">
        <w:t xml:space="preserve"> continue to pay higher prices. </w:t>
      </w:r>
    </w:p>
    <w:p w14:paraId="61C5DE49" w14:textId="77777777" w:rsidR="00B94B3E" w:rsidRDefault="00D02C0C" w:rsidP="00D41F85">
      <w:r>
        <w:t xml:space="preserve">For example, </w:t>
      </w:r>
      <w:r w:rsidR="00C53ED9">
        <w:t>under this option</w:t>
      </w:r>
      <w:r w:rsidR="00051983">
        <w:t>,</w:t>
      </w:r>
      <w:r w:rsidR="00C53ED9">
        <w:t xml:space="preserve"> </w:t>
      </w:r>
      <w:r>
        <w:t xml:space="preserve">a retailer could offer a </w:t>
      </w:r>
      <w:r w:rsidR="00027038">
        <w:t>higher-priced</w:t>
      </w:r>
      <w:r>
        <w:t xml:space="preserve"> plan</w:t>
      </w:r>
      <w:r w:rsidR="00C03F21">
        <w:t xml:space="preserve"> </w:t>
      </w:r>
      <w:r w:rsidR="00023703">
        <w:t xml:space="preserve">that </w:t>
      </w:r>
      <w:r w:rsidR="00027038">
        <w:t xml:space="preserve">includes significant discounts for </w:t>
      </w:r>
      <w:r w:rsidR="009C51D0">
        <w:t xml:space="preserve">the </w:t>
      </w:r>
      <w:r w:rsidR="00BC4DF8">
        <w:t xml:space="preserve">use of e-billing and </w:t>
      </w:r>
      <w:r w:rsidR="004C19DA">
        <w:t xml:space="preserve">payment </w:t>
      </w:r>
      <w:r w:rsidR="00372BE4">
        <w:t>by direct debit</w:t>
      </w:r>
      <w:r w:rsidR="00C53ED9">
        <w:t>. When</w:t>
      </w:r>
      <w:r w:rsidR="003B7CFE">
        <w:t xml:space="preserve"> </w:t>
      </w:r>
      <w:r w:rsidR="001A6E82">
        <w:t>excluding</w:t>
      </w:r>
      <w:r w:rsidR="003B7CFE">
        <w:t xml:space="preserve"> discounts,</w:t>
      </w:r>
      <w:r w:rsidR="00372BE4">
        <w:t xml:space="preserve"> the </w:t>
      </w:r>
      <w:r w:rsidR="00413290">
        <w:t xml:space="preserve">total price of the </w:t>
      </w:r>
      <w:r w:rsidR="00B51B32">
        <w:t xml:space="preserve">plan </w:t>
      </w:r>
      <w:r w:rsidR="00D06A85">
        <w:t xml:space="preserve">could </w:t>
      </w:r>
      <w:r w:rsidR="003B7CFE">
        <w:t>be</w:t>
      </w:r>
      <w:r w:rsidR="00303E37">
        <w:t xml:space="preserve"> </w:t>
      </w:r>
      <w:r w:rsidR="00D06A85">
        <w:t>higher than</w:t>
      </w:r>
      <w:r w:rsidR="001A6E82">
        <w:t xml:space="preserve"> </w:t>
      </w:r>
      <w:r w:rsidR="00B92ABE">
        <w:t xml:space="preserve">plans that already allow </w:t>
      </w:r>
      <w:r w:rsidR="00D2632D">
        <w:t>for paper bills and alternative paymen</w:t>
      </w:r>
      <w:r w:rsidR="00630241">
        <w:t>t</w:t>
      </w:r>
      <w:r w:rsidR="00D2632D">
        <w:t xml:space="preserve"> methods</w:t>
      </w:r>
      <w:r w:rsidR="00B45DF5">
        <w:t>.</w:t>
      </w:r>
      <w:r w:rsidR="00D06A85">
        <w:t xml:space="preserve"> </w:t>
      </w:r>
    </w:p>
    <w:p w14:paraId="277E7540" w14:textId="1FDC4EC0" w:rsidR="00D71CD3" w:rsidRDefault="00D06A85" w:rsidP="00D41F85">
      <w:r>
        <w:t>I</w:t>
      </w:r>
      <w:r w:rsidR="00242F4F">
        <w:t xml:space="preserve">t is worth noting that </w:t>
      </w:r>
      <w:r w:rsidR="0093440F">
        <w:t xml:space="preserve">because direct debit is necessarily paid on time, </w:t>
      </w:r>
      <w:r w:rsidR="005D056D">
        <w:t xml:space="preserve">large discounts for direct debit could </w:t>
      </w:r>
      <w:r w:rsidR="00FA27AD">
        <w:t>provide a me</w:t>
      </w:r>
      <w:r w:rsidR="006470F8">
        <w:t xml:space="preserve">thod for retailers to </w:t>
      </w:r>
      <w:r w:rsidR="00025E5C">
        <w:t xml:space="preserve">bypass </w:t>
      </w:r>
      <w:r w:rsidR="00D57EFA">
        <w:t>the current cap on</w:t>
      </w:r>
      <w:r w:rsidR="006470F8">
        <w:t xml:space="preserve"> pay-on-time discount</w:t>
      </w:r>
      <w:r w:rsidR="00D57EFA">
        <w:t>s</w:t>
      </w:r>
      <w:r w:rsidR="006470F8">
        <w:t>.</w:t>
      </w:r>
      <w:r w:rsidR="00D57EFA">
        <w:rPr>
          <w:rStyle w:val="FootnoteReference"/>
        </w:rPr>
        <w:footnoteReference w:id="180"/>
      </w:r>
    </w:p>
    <w:p w14:paraId="4DE1E693" w14:textId="5272780B" w:rsidR="00037B59" w:rsidRDefault="00506EB0" w:rsidP="00BB724F">
      <w:pPr>
        <w:pStyle w:val="Heading3numbered"/>
      </w:pPr>
      <w:r>
        <w:t xml:space="preserve">Option </w:t>
      </w:r>
      <w:r w:rsidR="009935A4">
        <w:t>B.</w:t>
      </w:r>
      <w:r>
        <w:t xml:space="preserve">2 – </w:t>
      </w:r>
      <w:r w:rsidR="00F77401" w:rsidRPr="00F77401">
        <w:t xml:space="preserve">Requiring retailers to offer paper billing and alternative payment methods to direct debit </w:t>
      </w:r>
      <w:r w:rsidR="00F77401">
        <w:t>and limiting conditional fees and discounts to ‘reasonable costs’</w:t>
      </w:r>
    </w:p>
    <w:p w14:paraId="0735765B" w14:textId="0C0B26EB" w:rsidR="0005072F" w:rsidRDefault="004F0205" w:rsidP="00C3182E">
      <w:r>
        <w:t xml:space="preserve">Similar to </w:t>
      </w:r>
      <w:r w:rsidR="005E26AD">
        <w:t xml:space="preserve">Option </w:t>
      </w:r>
      <w:r>
        <w:t>B.</w:t>
      </w:r>
      <w:r w:rsidR="005E26AD">
        <w:t xml:space="preserve">1, </w:t>
      </w:r>
      <w:r>
        <w:t>this option</w:t>
      </w:r>
      <w:r w:rsidR="00F17EA7">
        <w:t xml:space="preserve"> </w:t>
      </w:r>
      <w:r w:rsidR="00F83F0F">
        <w:t>would require</w:t>
      </w:r>
      <w:r w:rsidR="00954338">
        <w:t xml:space="preserve"> retailer</w:t>
      </w:r>
      <w:r w:rsidR="00891ECD">
        <w:t>s</w:t>
      </w:r>
      <w:r w:rsidR="00954338">
        <w:t xml:space="preserve"> </w:t>
      </w:r>
      <w:r w:rsidR="00892573">
        <w:t xml:space="preserve">to offer paper </w:t>
      </w:r>
      <w:r w:rsidR="00954338">
        <w:t xml:space="preserve">billing </w:t>
      </w:r>
      <w:r w:rsidR="00892573">
        <w:t xml:space="preserve">and </w:t>
      </w:r>
      <w:r w:rsidR="00BC0E95">
        <w:t>alternative payment methods</w:t>
      </w:r>
      <w:r w:rsidR="00954338">
        <w:t xml:space="preserve"> to </w:t>
      </w:r>
      <w:r w:rsidR="00BC0E95">
        <w:t>direct debit on all plans</w:t>
      </w:r>
      <w:r w:rsidR="005E26AD">
        <w:t>.</w:t>
      </w:r>
      <w:r w:rsidR="002464A7">
        <w:t xml:space="preserve"> </w:t>
      </w:r>
      <w:r w:rsidR="007E33D2">
        <w:t>In add</w:t>
      </w:r>
      <w:r w:rsidR="00F17EA7">
        <w:t xml:space="preserve">ition, </w:t>
      </w:r>
      <w:r>
        <w:t>this option</w:t>
      </w:r>
      <w:r w:rsidR="00F17EA7">
        <w:t xml:space="preserve"> would </w:t>
      </w:r>
      <w:r w:rsidR="00AB10C1">
        <w:t xml:space="preserve">include additional limits </w:t>
      </w:r>
      <w:r w:rsidR="009619FB">
        <w:t>to</w:t>
      </w:r>
      <w:r w:rsidR="00954338">
        <w:t xml:space="preserve"> </w:t>
      </w:r>
      <w:r w:rsidR="00BC0E95">
        <w:t xml:space="preserve">cap </w:t>
      </w:r>
      <w:r w:rsidR="009D2AD9">
        <w:t xml:space="preserve">the </w:t>
      </w:r>
      <w:r w:rsidR="0028422C">
        <w:t>sum</w:t>
      </w:r>
      <w:r w:rsidR="009D2AD9">
        <w:t xml:space="preserve"> of </w:t>
      </w:r>
      <w:r w:rsidR="00BC0E95">
        <w:t>any conditional</w:t>
      </w:r>
      <w:r w:rsidR="00954338">
        <w:t xml:space="preserve"> fees </w:t>
      </w:r>
      <w:r w:rsidR="00BC0E95">
        <w:t xml:space="preserve">and </w:t>
      </w:r>
      <w:r>
        <w:t>conditional</w:t>
      </w:r>
      <w:r w:rsidR="00BC0E95">
        <w:t xml:space="preserve"> </w:t>
      </w:r>
      <w:r w:rsidR="00D50D0D">
        <w:t xml:space="preserve">discounts </w:t>
      </w:r>
      <w:r w:rsidR="00060003">
        <w:t>related to payment conditions.</w:t>
      </w:r>
      <w:r w:rsidR="006A1D80">
        <w:t xml:space="preserve"> These conditional fees </w:t>
      </w:r>
      <w:r w:rsidR="00260960">
        <w:t xml:space="preserve">and </w:t>
      </w:r>
      <w:r w:rsidR="006A1D80">
        <w:t>discounts would be limited</w:t>
      </w:r>
      <w:r w:rsidR="00D50D0D">
        <w:t xml:space="preserve"> </w:t>
      </w:r>
      <w:r w:rsidR="00954338">
        <w:t xml:space="preserve">to </w:t>
      </w:r>
      <w:r w:rsidR="00391E7B">
        <w:t>a reasona</w:t>
      </w:r>
      <w:r w:rsidR="00FA6BC1">
        <w:t xml:space="preserve">ble estimate </w:t>
      </w:r>
      <w:r w:rsidR="00CF79DD">
        <w:t xml:space="preserve">of the costs incurred, or likely to be incurred, by the retailer </w:t>
      </w:r>
      <w:r w:rsidR="00203E78">
        <w:t xml:space="preserve">resulting from a customer’s failure to satisfy the </w:t>
      </w:r>
      <w:r w:rsidR="00706F75">
        <w:t>condition</w:t>
      </w:r>
      <w:r w:rsidR="00D86A2A">
        <w:t>(s).</w:t>
      </w:r>
      <w:r w:rsidR="00511D15">
        <w:t xml:space="preserve"> We would also require retailers to offer at least one fee-free payment option.</w:t>
      </w:r>
    </w:p>
    <w:p w14:paraId="14B11B91" w14:textId="5FE0E51F" w:rsidR="00471B5B" w:rsidRDefault="009619FB" w:rsidP="00C3182E">
      <w:r>
        <w:t xml:space="preserve">This would </w:t>
      </w:r>
      <w:r w:rsidR="006D79C7">
        <w:t>reduce</w:t>
      </w:r>
      <w:r w:rsidR="0000677A">
        <w:t xml:space="preserve"> the risk that customers who </w:t>
      </w:r>
      <w:r w:rsidR="00A55BAC">
        <w:t xml:space="preserve">require </w:t>
      </w:r>
      <w:r w:rsidR="00DA5B5F">
        <w:t xml:space="preserve">paper </w:t>
      </w:r>
      <w:r w:rsidR="00A55BAC">
        <w:t xml:space="preserve">billing or </w:t>
      </w:r>
      <w:r w:rsidR="00855D4D">
        <w:t xml:space="preserve">alternative payment </w:t>
      </w:r>
      <w:r w:rsidR="00A55BAC">
        <w:t>methods</w:t>
      </w:r>
      <w:r w:rsidR="007009C2">
        <w:t xml:space="preserve"> </w:t>
      </w:r>
      <w:r w:rsidR="006D79C7">
        <w:t>may</w:t>
      </w:r>
      <w:r w:rsidR="0009419E">
        <w:t xml:space="preserve"> still </w:t>
      </w:r>
      <w:r w:rsidR="00B80D90">
        <w:t>end up</w:t>
      </w:r>
      <w:r w:rsidR="0009419E">
        <w:t xml:space="preserve"> pay</w:t>
      </w:r>
      <w:r w:rsidR="00B80D90">
        <w:t>ing</w:t>
      </w:r>
      <w:r w:rsidR="0009419E">
        <w:t xml:space="preserve"> significantly higher cost</w:t>
      </w:r>
      <w:r w:rsidR="00497E50">
        <w:t>s</w:t>
      </w:r>
      <w:r w:rsidR="0009419E">
        <w:t xml:space="preserve"> than </w:t>
      </w:r>
      <w:r w:rsidR="003C7522">
        <w:t xml:space="preserve">other </w:t>
      </w:r>
      <w:r w:rsidR="0009419E">
        <w:t>customers</w:t>
      </w:r>
      <w:r w:rsidR="003C7522">
        <w:t>.</w:t>
      </w:r>
    </w:p>
    <w:p w14:paraId="7202892F" w14:textId="662B3FF5" w:rsidR="00DA7573" w:rsidRDefault="003C267F" w:rsidP="00C3182E">
      <w:r>
        <w:lastRenderedPageBreak/>
        <w:t xml:space="preserve">We would seek to </w:t>
      </w:r>
      <w:r w:rsidR="00223B03">
        <w:t xml:space="preserve">replicate the </w:t>
      </w:r>
      <w:r w:rsidR="00D43829">
        <w:t>operation of caps</w:t>
      </w:r>
      <w:r>
        <w:t xml:space="preserve"> </w:t>
      </w:r>
      <w:r w:rsidR="00223B03">
        <w:t xml:space="preserve">to conditional </w:t>
      </w:r>
      <w:r w:rsidR="00260960">
        <w:t xml:space="preserve">fees and conditional </w:t>
      </w:r>
      <w:r w:rsidR="00223B03">
        <w:t xml:space="preserve">discounts in </w:t>
      </w:r>
      <w:r>
        <w:t>the</w:t>
      </w:r>
      <w:r w:rsidRPr="003C267F">
        <w:t xml:space="preserve"> </w:t>
      </w:r>
      <w:r w:rsidR="000D3832">
        <w:t>NERR</w:t>
      </w:r>
      <w:r>
        <w:t>.</w:t>
      </w:r>
      <w:r w:rsidR="009E37B4">
        <w:rPr>
          <w:rStyle w:val="FootnoteReference"/>
        </w:rPr>
        <w:footnoteReference w:id="181"/>
      </w:r>
      <w:r w:rsidR="00AD44B2">
        <w:rPr>
          <w:rStyle w:val="CommentReference"/>
          <w:rFonts w:ascii="Arial" w:eastAsia="Arial" w:hAnsi="Arial" w:cs="Arial"/>
          <w:lang w:val="en-US"/>
        </w:rPr>
        <w:t xml:space="preserve"> </w:t>
      </w:r>
      <w:r w:rsidR="00012A4E">
        <w:t xml:space="preserve">We note that </w:t>
      </w:r>
      <w:r w:rsidR="0056047D">
        <w:t xml:space="preserve">when these rules were made by </w:t>
      </w:r>
      <w:r w:rsidR="00012A4E">
        <w:t xml:space="preserve">the </w:t>
      </w:r>
      <w:r w:rsidR="00AD44B2">
        <w:t>AEMC</w:t>
      </w:r>
      <w:r w:rsidR="00DF5803">
        <w:t xml:space="preserve">, </w:t>
      </w:r>
      <w:r w:rsidR="00F4582F">
        <w:t xml:space="preserve">it </w:t>
      </w:r>
      <w:r w:rsidR="0076121B">
        <w:t>considered</w:t>
      </w:r>
      <w:r w:rsidR="00F4582F">
        <w:t xml:space="preserve"> that </w:t>
      </w:r>
      <w:r w:rsidR="00AD44B2">
        <w:t>a definition of ‘reasonable costs’ was not required, given the term was a widely used and understood concept.</w:t>
      </w:r>
      <w:r w:rsidR="007070A4">
        <w:t xml:space="preserve"> The AEMC </w:t>
      </w:r>
      <w:r w:rsidR="00E77B9D">
        <w:t xml:space="preserve">also considered </w:t>
      </w:r>
      <w:r w:rsidR="00914BF9">
        <w:t xml:space="preserve">it would be unnecessary </w:t>
      </w:r>
      <w:r w:rsidR="00C1041C">
        <w:t>to require the AER to develop a guideline to determine reasonable costs levels.</w:t>
      </w:r>
      <w:r w:rsidR="00AD44B2">
        <w:rPr>
          <w:rStyle w:val="FootnoteReference"/>
        </w:rPr>
        <w:footnoteReference w:id="182"/>
      </w:r>
    </w:p>
    <w:p w14:paraId="2F324BC2" w14:textId="57294307" w:rsidR="00AD44B2" w:rsidRDefault="00EA5F81" w:rsidP="00C3182E">
      <w:r>
        <w:t>Given the range of different retailer costs and types of conditional fees and discounts, e</w:t>
      </w:r>
      <w:r w:rsidR="00CA4E0E">
        <w:t xml:space="preserve">nforcement of these rules would </w:t>
      </w:r>
      <w:r w:rsidR="00F374AE">
        <w:t>be on a case-by-case basis</w:t>
      </w:r>
      <w:r w:rsidR="00164E03">
        <w:t>.</w:t>
      </w:r>
      <w:r w:rsidR="00DA7573">
        <w:t xml:space="preserve"> </w:t>
      </w:r>
      <w:r w:rsidR="00287E29">
        <w:t>Nevertheless, in a</w:t>
      </w:r>
      <w:r w:rsidR="009515AC">
        <w:t>n internal analysis we found that credit or debit card fees were generally hal</w:t>
      </w:r>
      <w:r w:rsidR="00F24237">
        <w:t>f a per</w:t>
      </w:r>
      <w:r w:rsidR="009B6115">
        <w:t xml:space="preserve"> </w:t>
      </w:r>
      <w:r w:rsidR="00F24237">
        <w:t>cent to one per</w:t>
      </w:r>
      <w:r w:rsidR="009B6115">
        <w:t xml:space="preserve"> </w:t>
      </w:r>
      <w:r w:rsidR="00F24237">
        <w:t>cent</w:t>
      </w:r>
      <w:r w:rsidR="00890D51">
        <w:t xml:space="preserve"> </w:t>
      </w:r>
      <w:r w:rsidR="00893968">
        <w:t xml:space="preserve">charged on top </w:t>
      </w:r>
      <w:r w:rsidR="00890D51">
        <w:t xml:space="preserve">of the </w:t>
      </w:r>
      <w:r w:rsidR="00F1318F">
        <w:t xml:space="preserve">total </w:t>
      </w:r>
      <w:r w:rsidR="00893968">
        <w:t>bill amount</w:t>
      </w:r>
      <w:r w:rsidR="00F24237">
        <w:t xml:space="preserve">. </w:t>
      </w:r>
      <w:r w:rsidR="00C56ABC">
        <w:t xml:space="preserve">Some retailers did not charge </w:t>
      </w:r>
      <w:r w:rsidR="00327C9C">
        <w:t>a fee for this</w:t>
      </w:r>
      <w:r w:rsidR="00462F79">
        <w:t xml:space="preserve">. </w:t>
      </w:r>
      <w:r w:rsidR="005012ED">
        <w:t>Fees for paying in person at Australia Post ranged between $</w:t>
      </w:r>
      <w:r w:rsidR="00596797">
        <w:t>2 and $4</w:t>
      </w:r>
      <w:r w:rsidR="00EE6028">
        <w:t xml:space="preserve">. </w:t>
      </w:r>
      <w:r w:rsidR="00F0198D">
        <w:t>T</w:t>
      </w:r>
      <w:r w:rsidR="00C67B1A">
        <w:t xml:space="preserve">he average fee for paper bills was $2.16 for </w:t>
      </w:r>
      <w:r w:rsidR="001238C2">
        <w:t xml:space="preserve">electricity and $2.34 for gas. </w:t>
      </w:r>
      <w:r w:rsidR="00862990">
        <w:t xml:space="preserve">We expect </w:t>
      </w:r>
      <w:r w:rsidR="002C5AED">
        <w:t xml:space="preserve">that </w:t>
      </w:r>
      <w:r w:rsidR="009850B0">
        <w:t>any conditional fees or discounts</w:t>
      </w:r>
      <w:r w:rsidR="00B20AB8">
        <w:t xml:space="preserve"> </w:t>
      </w:r>
      <w:r w:rsidR="00CA4819">
        <w:t xml:space="preserve">to cover reasonable costs would be </w:t>
      </w:r>
      <w:r w:rsidR="000C1FC9">
        <w:t xml:space="preserve">within current market </w:t>
      </w:r>
      <w:r w:rsidR="00852DEA">
        <w:t>practice</w:t>
      </w:r>
      <w:r w:rsidR="00CA4819">
        <w:t>.</w:t>
      </w:r>
    </w:p>
    <w:p w14:paraId="346E512F" w14:textId="66A126CF" w:rsidR="009C4963" w:rsidRDefault="00506373" w:rsidP="00C3182E">
      <w:r>
        <w:t xml:space="preserve">Under this option, </w:t>
      </w:r>
      <w:r w:rsidR="005216E7">
        <w:t xml:space="preserve">retailers </w:t>
      </w:r>
      <w:r>
        <w:t>would be able</w:t>
      </w:r>
      <w:r w:rsidR="005216E7">
        <w:t xml:space="preserve"> to recoup the costs of providing paper bills and alternative payment methods</w:t>
      </w:r>
      <w:r w:rsidR="003B4912">
        <w:t xml:space="preserve">. </w:t>
      </w:r>
      <w:r w:rsidR="002D6306">
        <w:t xml:space="preserve">This would </w:t>
      </w:r>
      <w:r w:rsidR="00DC4C19">
        <w:t xml:space="preserve">minimise the risk of </w:t>
      </w:r>
      <w:r w:rsidR="00361E08">
        <w:t xml:space="preserve">relevant </w:t>
      </w:r>
      <w:r w:rsidR="00DC4C19">
        <w:t xml:space="preserve">retailers </w:t>
      </w:r>
      <w:r w:rsidR="00163644">
        <w:t xml:space="preserve">needing to </w:t>
      </w:r>
      <w:r w:rsidR="00DC4C19">
        <w:t>remov</w:t>
      </w:r>
      <w:r w:rsidR="00163644">
        <w:t>e</w:t>
      </w:r>
      <w:r w:rsidR="00DC4C19">
        <w:t xml:space="preserve"> their cheapest plans </w:t>
      </w:r>
      <w:r w:rsidR="00361E08">
        <w:t>from the market.</w:t>
      </w:r>
    </w:p>
    <w:p w14:paraId="0ADF851D" w14:textId="24419A6F" w:rsidR="00BD14C3" w:rsidRDefault="00BD14C3" w:rsidP="00BD14C3">
      <w:r>
        <w:t xml:space="preserve">A ‘reasonable cost’ cap </w:t>
      </w:r>
      <w:r w:rsidR="002D6440">
        <w:t>w</w:t>
      </w:r>
      <w:r>
        <w:t>ould coexist and reduce the risk of these reforms impacting existing pay-on-time discount caps. It would also discourage pricing strategies that might negate the intent of this reform.</w:t>
      </w:r>
    </w:p>
    <w:p w14:paraId="1084B98A" w14:textId="64FD3955" w:rsidR="00761078" w:rsidRDefault="001E7F7C" w:rsidP="00C3182E">
      <w:r>
        <w:t>This option would also include a similar provision</w:t>
      </w:r>
      <w:r w:rsidR="00F118FB">
        <w:t xml:space="preserve"> related to payment methods</w:t>
      </w:r>
      <w:r>
        <w:t xml:space="preserve"> proposed by the AEMC in its </w:t>
      </w:r>
      <w:r w:rsidR="00941B04">
        <w:t>‘</w:t>
      </w:r>
      <w:r w:rsidR="00DA39A8" w:rsidRPr="00DA39A8">
        <w:t>Improving consumer confidence in retail energy plans</w:t>
      </w:r>
      <w:r w:rsidR="00941B04">
        <w:t xml:space="preserve">’ </w:t>
      </w:r>
      <w:r w:rsidR="004D0202">
        <w:t>draft determination.</w:t>
      </w:r>
      <w:r w:rsidR="001B4B8E">
        <w:rPr>
          <w:rStyle w:val="FootnoteReference"/>
        </w:rPr>
        <w:footnoteReference w:id="183"/>
      </w:r>
      <w:r w:rsidR="004D0202">
        <w:t xml:space="preserve"> </w:t>
      </w:r>
      <w:r w:rsidR="00F118FB">
        <w:t xml:space="preserve">This would require a retailer to provide a customer with at least one method of payment which is commonly used and accessible, </w:t>
      </w:r>
      <w:r w:rsidR="002B7288">
        <w:t xml:space="preserve">for which no charges are imposed (whether by the retailer or the payment service provider). We consider this aligns with the intended outcomes of this option, to expand access to payment methods </w:t>
      </w:r>
      <w:r w:rsidR="00BD14C3">
        <w:t>for customers without imposing unnecessary restrictions.</w:t>
      </w:r>
    </w:p>
    <w:p w14:paraId="1BFFBF01" w14:textId="5A842ED0" w:rsidR="001E7F7C" w:rsidRDefault="00761078" w:rsidP="00C3182E">
      <w:r>
        <w:t>This requirement for a fee-free payment method would be in addition to the requirement for alternative payment methods. Direct debit could be the free payment method if a retailer</w:t>
      </w:r>
      <w:r w:rsidR="00505B20">
        <w:t xml:space="preserve"> so chose.</w:t>
      </w:r>
    </w:p>
    <w:p w14:paraId="3D6C9A28" w14:textId="77777777" w:rsidR="002A5978" w:rsidRDefault="002A5978" w:rsidP="002A5978">
      <w:pPr>
        <w:pStyle w:val="Heading2numbered"/>
      </w:pPr>
      <w:bookmarkStart w:id="199" w:name="_Toc191540408"/>
      <w:bookmarkStart w:id="200" w:name="_Toc191540500"/>
      <w:bookmarkStart w:id="201" w:name="_Toc191540576"/>
      <w:bookmarkStart w:id="202" w:name="_Toc191540652"/>
      <w:bookmarkStart w:id="203" w:name="_Toc197959442"/>
      <w:bookmarkEnd w:id="199"/>
      <w:bookmarkEnd w:id="200"/>
      <w:bookmarkEnd w:id="201"/>
      <w:bookmarkEnd w:id="202"/>
      <w:r>
        <w:lastRenderedPageBreak/>
        <w:t>Analysis</w:t>
      </w:r>
      <w:bookmarkEnd w:id="203"/>
    </w:p>
    <w:p w14:paraId="6618EE8B" w14:textId="613C9B48" w:rsidR="001570D5" w:rsidRDefault="000F2089" w:rsidP="000F2089">
      <w:pPr>
        <w:pStyle w:val="Heading3numbered"/>
      </w:pPr>
      <w:r>
        <w:t xml:space="preserve"> MCA assessment – Option</w:t>
      </w:r>
      <w:r w:rsidR="00DE22C2">
        <w:t>s</w:t>
      </w:r>
      <w:r>
        <w:t xml:space="preserve"> B.1</w:t>
      </w:r>
      <w:r w:rsidR="006E776D">
        <w:t xml:space="preserve"> and B.2</w:t>
      </w:r>
    </w:p>
    <w:p w14:paraId="56646048" w14:textId="61D266A7" w:rsidR="006A5A9F" w:rsidRDefault="006A5A9F" w:rsidP="00CF6D57">
      <w:r>
        <w:t xml:space="preserve">Based on our analysis, currently only </w:t>
      </w:r>
      <w:r w:rsidR="00BC6A85">
        <w:t>five</w:t>
      </w:r>
      <w:r>
        <w:t xml:space="preserve"> retailers offer </w:t>
      </w:r>
      <w:r w:rsidR="002D3930">
        <w:t xml:space="preserve">electricity </w:t>
      </w:r>
      <w:r w:rsidR="00EC6B61">
        <w:t>plans restricted by direct debit</w:t>
      </w:r>
      <w:r w:rsidR="00283D0F">
        <w:t xml:space="preserve"> payment</w:t>
      </w:r>
      <w:r w:rsidR="00EC6B61">
        <w:t xml:space="preserve"> and</w:t>
      </w:r>
      <w:r w:rsidR="00BC6A85">
        <w:t>/or</w:t>
      </w:r>
      <w:r w:rsidR="00EC6B61">
        <w:t xml:space="preserve"> </w:t>
      </w:r>
      <w:r w:rsidR="00283D0F">
        <w:t>e-billing.</w:t>
      </w:r>
      <w:r w:rsidR="00437C14">
        <w:t xml:space="preserve"> </w:t>
      </w:r>
      <w:r w:rsidR="00BC6A85">
        <w:t>This represents a small number of</w:t>
      </w:r>
      <w:r w:rsidR="00283D0F">
        <w:t xml:space="preserve"> retailers </w:t>
      </w:r>
      <w:r w:rsidR="00BC6A85">
        <w:t xml:space="preserve">compared to over </w:t>
      </w:r>
      <w:r w:rsidR="001757B4">
        <w:t>2</w:t>
      </w:r>
      <w:r w:rsidR="00BC6A85">
        <w:t>0 retailers operating in Victoria.</w:t>
      </w:r>
    </w:p>
    <w:p w14:paraId="3BBAB031" w14:textId="10E5B400" w:rsidR="0067199F" w:rsidRDefault="000F463D" w:rsidP="00CF6D57">
      <w:r>
        <w:t>C</w:t>
      </w:r>
      <w:r w:rsidR="00CF6D57">
        <w:t xml:space="preserve">ustomers who cannot meet those conditions </w:t>
      </w:r>
      <w:r w:rsidR="00A27ED3">
        <w:t xml:space="preserve">may miss </w:t>
      </w:r>
      <w:r w:rsidR="00CF6D57">
        <w:t xml:space="preserve">out on potential savings. </w:t>
      </w:r>
      <w:r w:rsidR="00702168">
        <w:t xml:space="preserve">For example, we have identified </w:t>
      </w:r>
      <w:r w:rsidR="00F22AD1">
        <w:t xml:space="preserve">offers with these restrictions from these retailers, where a customer could save </w:t>
      </w:r>
      <w:r w:rsidR="000B02FD">
        <w:t xml:space="preserve">between $164 and </w:t>
      </w:r>
      <w:r w:rsidR="008A60BF">
        <w:t>$</w:t>
      </w:r>
      <w:r w:rsidR="000B02FD">
        <w:t>398</w:t>
      </w:r>
      <w:r w:rsidR="008A60BF">
        <w:t xml:space="preserve"> </w:t>
      </w:r>
      <w:r w:rsidR="00330B75">
        <w:t>per</w:t>
      </w:r>
      <w:r w:rsidR="008A60BF">
        <w:t xml:space="preserve"> year</w:t>
      </w:r>
      <w:r w:rsidR="00AF6BD0">
        <w:t xml:space="preserve"> </w:t>
      </w:r>
      <w:r w:rsidR="00F22AD1">
        <w:t>compared to the VDO.</w:t>
      </w:r>
      <w:r w:rsidR="00AE2790">
        <w:rPr>
          <w:rStyle w:val="FootnoteReference"/>
        </w:rPr>
        <w:footnoteReference w:id="184"/>
      </w:r>
      <w:r w:rsidR="0080099F">
        <w:t xml:space="preserve"> </w:t>
      </w:r>
    </w:p>
    <w:p w14:paraId="48C68086" w14:textId="1CB08A69" w:rsidR="00CF6D57" w:rsidRDefault="0077320C" w:rsidP="00CF6D57">
      <w:r>
        <w:t>We recognise</w:t>
      </w:r>
      <w:r w:rsidR="006F7C8A">
        <w:t xml:space="preserve"> the value to a retailer </w:t>
      </w:r>
      <w:r w:rsidR="006B0C63">
        <w:t>of</w:t>
      </w:r>
      <w:r w:rsidR="006F7C8A">
        <w:t xml:space="preserve"> a customer who pays on time, but</w:t>
      </w:r>
      <w:r w:rsidR="00CB5E5C">
        <w:t xml:space="preserve"> we do not have data on </w:t>
      </w:r>
      <w:r w:rsidR="00D83042">
        <w:t>the</w:t>
      </w:r>
      <w:r w:rsidR="006F7C8A">
        <w:t xml:space="preserve"> </w:t>
      </w:r>
      <w:r w:rsidR="00CB5E5C">
        <w:t>actual savings to a retailer for direct-debit only offers. However, we note that:</w:t>
      </w:r>
    </w:p>
    <w:p w14:paraId="229C91AE" w14:textId="379D840E" w:rsidR="00CF6D57" w:rsidRDefault="00CF6D57" w:rsidP="00A92E17">
      <w:pPr>
        <w:pStyle w:val="ListBullet"/>
      </w:pPr>
      <w:r>
        <w:t xml:space="preserve">The current </w:t>
      </w:r>
      <w:r w:rsidRPr="00A92E17">
        <w:t>regulated</w:t>
      </w:r>
      <w:r>
        <w:t xml:space="preserve"> cap for pay-on-time discounts is 6.62 per cent. The average bill for a customer on the VDO is $1,6</w:t>
      </w:r>
      <w:r w:rsidR="000F702D">
        <w:t>63</w:t>
      </w:r>
      <w:r>
        <w:t xml:space="preserve"> during the same year, meaning the estimated actual cost of a pay-on-time discount</w:t>
      </w:r>
      <w:r w:rsidR="00CB5E5C">
        <w:t xml:space="preserve"> (which is like a direct-debit payment</w:t>
      </w:r>
      <w:r>
        <w:t>) is approximately $110.</w:t>
      </w:r>
      <w:r w:rsidR="0098657D">
        <w:rPr>
          <w:rStyle w:val="FootnoteReference"/>
        </w:rPr>
        <w:footnoteReference w:id="185"/>
      </w:r>
    </w:p>
    <w:p w14:paraId="6B8D78DB" w14:textId="6589EAF0" w:rsidR="00CF6D57" w:rsidRDefault="00CF6D57" w:rsidP="00367E8D">
      <w:pPr>
        <w:pStyle w:val="ListBullet"/>
      </w:pPr>
      <w:r>
        <w:t>The average paper bill fee is $2.</w:t>
      </w:r>
      <w:r w:rsidR="00C003C4">
        <w:t>16</w:t>
      </w:r>
      <w:r>
        <w:t>.</w:t>
      </w:r>
      <w:r w:rsidR="00F07BE8">
        <w:rPr>
          <w:rStyle w:val="FootnoteReference"/>
        </w:rPr>
        <w:footnoteReference w:id="186"/>
      </w:r>
      <w:r>
        <w:t xml:space="preserve"> This would result in an actual yearly cost of $8.</w:t>
      </w:r>
      <w:r w:rsidR="002822AD">
        <w:t>64</w:t>
      </w:r>
      <w:r>
        <w:t xml:space="preserve"> for a customer who receives bills quarterly, and $</w:t>
      </w:r>
      <w:r w:rsidR="001B1867">
        <w:t>25</w:t>
      </w:r>
      <w:r>
        <w:t>.</w:t>
      </w:r>
      <w:r w:rsidR="001B1867">
        <w:t>92</w:t>
      </w:r>
      <w:r>
        <w:t xml:space="preserve"> for a customer who receives a monthly bill.</w:t>
      </w:r>
    </w:p>
    <w:p w14:paraId="2D624FB0" w14:textId="27660395" w:rsidR="00CF6D57" w:rsidRDefault="00660737" w:rsidP="00CF6D57">
      <w:r>
        <w:t>Together</w:t>
      </w:r>
      <w:r w:rsidR="00CF6D57">
        <w:t xml:space="preserve"> these costs ($136 per year) are </w:t>
      </w:r>
      <w:r w:rsidR="00F76BD3">
        <w:t xml:space="preserve">lower than </w:t>
      </w:r>
      <w:r w:rsidR="00D84F59">
        <w:t>the</w:t>
      </w:r>
      <w:r w:rsidR="00CF6D57">
        <w:t xml:space="preserve"> ‘opportunity cost’ of </w:t>
      </w:r>
      <w:r w:rsidR="009358DE">
        <w:t xml:space="preserve">some of </w:t>
      </w:r>
      <w:r w:rsidR="00330B75">
        <w:t>these</w:t>
      </w:r>
      <w:r w:rsidR="00CF6D57">
        <w:t xml:space="preserve"> restricted plan</w:t>
      </w:r>
      <w:r w:rsidR="009358DE">
        <w:t>s</w:t>
      </w:r>
      <w:r w:rsidR="00CF6D57">
        <w:t xml:space="preserve"> ($</w:t>
      </w:r>
      <w:r w:rsidR="007436E2">
        <w:t xml:space="preserve">164 </w:t>
      </w:r>
      <w:r w:rsidR="00330B75">
        <w:t>to $3</w:t>
      </w:r>
      <w:r w:rsidR="007436E2">
        <w:t>98</w:t>
      </w:r>
      <w:r w:rsidR="00CF6D57">
        <w:t xml:space="preserve"> per year). </w:t>
      </w:r>
    </w:p>
    <w:p w14:paraId="2F97DC98" w14:textId="59DC8BB0" w:rsidR="00CF6D57" w:rsidRDefault="00896E76" w:rsidP="00CF6D57">
      <w:r>
        <w:t>Therefore, w</w:t>
      </w:r>
      <w:r w:rsidR="00CF6D57">
        <w:t xml:space="preserve">e consider there are two </w:t>
      </w:r>
      <w:r w:rsidR="003A0024">
        <w:t xml:space="preserve">main </w:t>
      </w:r>
      <w:r w:rsidR="00CF6D57">
        <w:t>types of benefits for this reform:</w:t>
      </w:r>
    </w:p>
    <w:p w14:paraId="6FF67BE6" w14:textId="71DB4FC4" w:rsidR="00CF6D57" w:rsidRDefault="00CF6D57" w:rsidP="00A92E17">
      <w:pPr>
        <w:pStyle w:val="ListBullet"/>
      </w:pPr>
      <w:r>
        <w:t xml:space="preserve">Improved access for all Victorian customers to competitively priced offers without payment or billing type restrictions. This </w:t>
      </w:r>
      <w:r w:rsidR="002F7CF5">
        <w:t>would</w:t>
      </w:r>
      <w:r>
        <w:t xml:space="preserve"> also improve access to more offers for customers experiencing vulnerability</w:t>
      </w:r>
      <w:r w:rsidR="002F7CF5">
        <w:t>, noting that</w:t>
      </w:r>
      <w:r>
        <w:t xml:space="preserve"> every extra dollar saved by these customers is likely to be worth more to them than the average customer.</w:t>
      </w:r>
    </w:p>
    <w:p w14:paraId="5DFC07BC" w14:textId="511DCF64" w:rsidR="00CF6D57" w:rsidRDefault="00CF6D57" w:rsidP="00A92E17">
      <w:pPr>
        <w:pStyle w:val="ListBullet"/>
      </w:pPr>
      <w:r>
        <w:t xml:space="preserve">Improved competition between all Victorian retailers, as all retailers </w:t>
      </w:r>
      <w:r w:rsidR="00180351">
        <w:t>would not be able to</w:t>
      </w:r>
      <w:r>
        <w:t xml:space="preserve"> use conditions for payment as a barrier to cheaper offers. Retailers </w:t>
      </w:r>
      <w:r w:rsidR="00180351">
        <w:t>would</w:t>
      </w:r>
      <w:r>
        <w:t xml:space="preserve"> compete with equal restrictions </w:t>
      </w:r>
      <w:r w:rsidR="00180351">
        <w:t xml:space="preserve">and would </w:t>
      </w:r>
      <w:r>
        <w:t xml:space="preserve">not be able to segment customers differently, based on their preferred </w:t>
      </w:r>
      <w:r>
        <w:lastRenderedPageBreak/>
        <w:t>payment method or billing type. Some retailers who already offer plans without these restrictions may benefit and gain further market share because of the reforms.</w:t>
      </w:r>
    </w:p>
    <w:p w14:paraId="5ACA1BC0" w14:textId="6B82973E" w:rsidR="009F7EC5" w:rsidRDefault="009F7EC5" w:rsidP="00CF6D57">
      <w:r>
        <w:t>We note that, f</w:t>
      </w:r>
      <w:r w:rsidRPr="009F7EC5">
        <w:t xml:space="preserve">or both options, the extent of effectiveness will depend </w:t>
      </w:r>
      <w:r w:rsidR="004745AA">
        <w:t>on</w:t>
      </w:r>
      <w:r w:rsidRPr="009F7EC5">
        <w:t xml:space="preserve"> the level of behavioural change (the proportion of customers choosing to switch plans).</w:t>
      </w:r>
    </w:p>
    <w:p w14:paraId="28C1A7C4" w14:textId="078D823D" w:rsidR="00CF6D57" w:rsidRDefault="00CF6D57" w:rsidP="00CF6D57">
      <w:r>
        <w:t xml:space="preserve">In terms of costs, only retailers who currently have restricted plans in this manner </w:t>
      </w:r>
      <w:r w:rsidR="003B4B12">
        <w:t>would</w:t>
      </w:r>
      <w:r>
        <w:t xml:space="preserve"> need to </w:t>
      </w:r>
      <w:r w:rsidR="003B4B12">
        <w:t>review and adjust their offers</w:t>
      </w:r>
      <w:r>
        <w:t>. We note th</w:t>
      </w:r>
      <w:r w:rsidR="007647B4">
        <w:t>at</w:t>
      </w:r>
      <w:r>
        <w:t xml:space="preserve"> retailers regularly change their offers, including the development, creation and marketing of these offers. We are providing a six-month implementation time for these reforms, allowing retailers to incorporate these changes into </w:t>
      </w:r>
      <w:r w:rsidR="00DC0F45">
        <w:t>their</w:t>
      </w:r>
      <w:r>
        <w:t xml:space="preserve"> business-as-usual processes (to minimise additional costs). Most retailers </w:t>
      </w:r>
      <w:r w:rsidR="00444AB8">
        <w:t>would</w:t>
      </w:r>
      <w:r>
        <w:t xml:space="preserve"> not need to make any changes because of this reform.</w:t>
      </w:r>
      <w:r w:rsidR="00B06B0E">
        <w:t xml:space="preserve"> </w:t>
      </w:r>
    </w:p>
    <w:p w14:paraId="284DD655" w14:textId="65749E00" w:rsidR="00CF6D57" w:rsidRDefault="00CF6D57" w:rsidP="00CF6D57">
      <w:r>
        <w:t xml:space="preserve">We also recognise that there may be some merit in retailers offering novel energy plans with certain restrictions, </w:t>
      </w:r>
      <w:r w:rsidR="000E3527">
        <w:t>for example</w:t>
      </w:r>
      <w:r>
        <w:t xml:space="preserve"> plans </w:t>
      </w:r>
      <w:r w:rsidR="009027B9">
        <w:t xml:space="preserve">for </w:t>
      </w:r>
      <w:r>
        <w:t xml:space="preserve">customers who own an </w:t>
      </w:r>
      <w:r w:rsidR="000E3527">
        <w:t>e</w:t>
      </w:r>
      <w:r w:rsidR="00FB3E04">
        <w:t xml:space="preserve">lectric </w:t>
      </w:r>
      <w:r w:rsidR="000E3527">
        <w:t>v</w:t>
      </w:r>
      <w:r w:rsidR="00FB3E04">
        <w:t>ehicle</w:t>
      </w:r>
      <w:r>
        <w:t xml:space="preserve">. </w:t>
      </w:r>
      <w:r w:rsidR="009027B9">
        <w:t>W</w:t>
      </w:r>
      <w:r>
        <w:t xml:space="preserve">e will </w:t>
      </w:r>
      <w:r w:rsidR="0014736F">
        <w:t xml:space="preserve">continue to monitor </w:t>
      </w:r>
      <w:r>
        <w:t>how restricted plans are being offered by retailers.</w:t>
      </w:r>
    </w:p>
    <w:p w14:paraId="14C28C8C" w14:textId="1BBF992A" w:rsidR="00D0699C" w:rsidRDefault="0041602D" w:rsidP="00D0699C">
      <w:r>
        <w:t>Customers</w:t>
      </w:r>
      <w:r w:rsidR="007F143A">
        <w:t xml:space="preserve"> may be able to switch to a lower-priced unrestricted plan with another retailer noting that a c</w:t>
      </w:r>
      <w:r w:rsidR="0032478A" w:rsidRPr="0032478A">
        <w:t xml:space="preserve">ustomers’ ability to switch is influenced by many factors such as pricing, incentives, bundling, consumer energy resources and search costs. </w:t>
      </w:r>
      <w:r w:rsidR="00692C71">
        <w:t xml:space="preserve">While </w:t>
      </w:r>
      <w:r w:rsidR="00692C71" w:rsidRPr="0032478A">
        <w:t>it</w:t>
      </w:r>
      <w:r w:rsidR="0032478A" w:rsidRPr="0032478A">
        <w:t xml:space="preserve"> is </w:t>
      </w:r>
      <w:r w:rsidR="00692C71" w:rsidRPr="0032478A">
        <w:t>not possible</w:t>
      </w:r>
      <w:r w:rsidR="0032478A" w:rsidRPr="0032478A">
        <w:t xml:space="preserve"> to </w:t>
      </w:r>
      <w:r w:rsidR="00692C71">
        <w:t>predict</w:t>
      </w:r>
      <w:r w:rsidR="00692C71" w:rsidRPr="0032478A">
        <w:t xml:space="preserve"> the number of </w:t>
      </w:r>
      <w:r w:rsidR="0032478A" w:rsidRPr="0032478A">
        <w:t xml:space="preserve">customers </w:t>
      </w:r>
      <w:r w:rsidR="00692C71" w:rsidRPr="0032478A">
        <w:t xml:space="preserve">that </w:t>
      </w:r>
      <w:r w:rsidR="00692C71">
        <w:t>w</w:t>
      </w:r>
      <w:r w:rsidR="00692C71" w:rsidRPr="0032478A">
        <w:t xml:space="preserve">ould </w:t>
      </w:r>
      <w:r w:rsidR="0032478A" w:rsidRPr="0032478A">
        <w:t xml:space="preserve">switch to </w:t>
      </w:r>
      <w:r w:rsidR="00692C71" w:rsidRPr="0032478A">
        <w:t>cheaper offers if this proposed reform is implemented</w:t>
      </w:r>
      <w:r w:rsidR="0032478A" w:rsidRPr="0032478A">
        <w:t xml:space="preserve">, </w:t>
      </w:r>
      <w:r w:rsidR="00843D3F" w:rsidRPr="00843D3F">
        <w:t xml:space="preserve">we expect </w:t>
      </w:r>
      <w:r w:rsidR="00A76B62">
        <w:t>it</w:t>
      </w:r>
      <w:r w:rsidR="00843D3F" w:rsidRPr="00843D3F">
        <w:t xml:space="preserve"> to benefit a limited number of customers and consequently impose minimal </w:t>
      </w:r>
      <w:r w:rsidR="00F97934">
        <w:t xml:space="preserve">total </w:t>
      </w:r>
      <w:r w:rsidR="00843D3F" w:rsidRPr="00843D3F">
        <w:t xml:space="preserve">costs on </w:t>
      </w:r>
      <w:r w:rsidR="00F97934">
        <w:t>the industry</w:t>
      </w:r>
      <w:r w:rsidR="00843D3F">
        <w:t>.</w:t>
      </w:r>
    </w:p>
    <w:p w14:paraId="61F9CCD0" w14:textId="40A09F1F" w:rsidR="00E82B0B" w:rsidRDefault="009F6683" w:rsidP="00B85A89">
      <w:pPr>
        <w:rPr>
          <w:rStyle w:val="Figure-Table-BoxHeadingChar"/>
        </w:rPr>
      </w:pPr>
      <w:r>
        <w:t>An MCA assessment was undertaken to compare the costs and benefits of Option B alternatives. The table</w:t>
      </w:r>
      <w:r w:rsidR="00DD4A58">
        <w:t>s</w:t>
      </w:r>
      <w:r>
        <w:t xml:space="preserve"> below show these results</w:t>
      </w:r>
      <w:r w:rsidR="00DD4A58">
        <w:t>, broken down by assessment criteria</w:t>
      </w:r>
      <w:r>
        <w:t xml:space="preserve">. </w:t>
      </w:r>
    </w:p>
    <w:p w14:paraId="60D815A5" w14:textId="7F631C22" w:rsidR="009B58A0" w:rsidRDefault="009B58A0" w:rsidP="000F6481">
      <w:pPr>
        <w:pStyle w:val="Figure-Table-BoxSubtitle"/>
        <w:ind w:left="0"/>
      </w:pPr>
      <w:r w:rsidRPr="000F6481">
        <w:rPr>
          <w:rStyle w:val="Figure-Table-BoxHeadingChar"/>
        </w:rPr>
        <w:t xml:space="preserve">Table </w:t>
      </w:r>
      <w:r w:rsidRPr="000F6481">
        <w:rPr>
          <w:rStyle w:val="Figure-Table-BoxHeadingChar"/>
        </w:rPr>
        <w:fldChar w:fldCharType="begin"/>
      </w:r>
      <w:r w:rsidRPr="000F6481">
        <w:rPr>
          <w:rStyle w:val="Figure-Table-BoxHeadingChar"/>
        </w:rPr>
        <w:instrText xml:space="preserve"> SEQ Table \* ARABIC </w:instrText>
      </w:r>
      <w:r w:rsidRPr="000F6481">
        <w:rPr>
          <w:rStyle w:val="Figure-Table-BoxHeadingChar"/>
        </w:rPr>
        <w:fldChar w:fldCharType="separate"/>
      </w:r>
      <w:r w:rsidR="009A244B">
        <w:rPr>
          <w:rStyle w:val="Figure-Table-BoxHeadingChar"/>
          <w:noProof/>
        </w:rPr>
        <w:t>1</w:t>
      </w:r>
      <w:r w:rsidRPr="000F6481">
        <w:rPr>
          <w:rStyle w:val="Figure-Table-BoxHeadingChar"/>
        </w:rPr>
        <w:fldChar w:fldCharType="end"/>
      </w:r>
      <w:r w:rsidR="002E5943" w:rsidRPr="000F6481">
        <w:rPr>
          <w:rStyle w:val="Figure-Table-BoxHeadingChar"/>
        </w:rPr>
        <w:t>5</w:t>
      </w:r>
      <w:r w:rsidRPr="000F6481">
        <w:rPr>
          <w:rStyle w:val="Figure-Table-BoxHeadingChar"/>
        </w:rPr>
        <w:t>:</w:t>
      </w:r>
      <w:r w:rsidRPr="000F6481">
        <w:t xml:space="preserve"> MCA Assessment of Option</w:t>
      </w:r>
      <w:r w:rsidR="00057A0D" w:rsidRPr="000F6481">
        <w:t>s</w:t>
      </w:r>
      <w:r w:rsidRPr="000F6481">
        <w:t xml:space="preserve"> B.1 </w:t>
      </w:r>
      <w:r w:rsidR="00167541" w:rsidRPr="000F6481">
        <w:t>and B.2</w:t>
      </w:r>
      <w:r w:rsidR="00385397" w:rsidRPr="000F6481">
        <w:t>: Effectiveness</w:t>
      </w:r>
    </w:p>
    <w:tbl>
      <w:tblPr>
        <w:tblW w:w="0" w:type="auto"/>
        <w:tblLayout w:type="fixed"/>
        <w:tblCellMar>
          <w:left w:w="0" w:type="dxa"/>
          <w:right w:w="0" w:type="dxa"/>
        </w:tblCellMar>
        <w:tblLook w:val="04A0" w:firstRow="1" w:lastRow="0" w:firstColumn="1" w:lastColumn="0" w:noHBand="0" w:noVBand="1"/>
      </w:tblPr>
      <w:tblGrid>
        <w:gridCol w:w="709"/>
        <w:gridCol w:w="1985"/>
        <w:gridCol w:w="4536"/>
        <w:gridCol w:w="1134"/>
        <w:gridCol w:w="1274"/>
      </w:tblGrid>
      <w:tr w:rsidR="00371158" w14:paraId="46842085" w14:textId="77777777" w:rsidTr="45C6BC9C">
        <w:tc>
          <w:tcPr>
            <w:tcW w:w="709" w:type="dxa"/>
            <w:tcBorders>
              <w:top w:val="single" w:sz="4" w:space="0" w:color="4986A0" w:themeColor="accent3"/>
              <w:bottom w:val="single" w:sz="4" w:space="0" w:color="4986A0" w:themeColor="accent3"/>
            </w:tcBorders>
            <w:shd w:val="clear" w:color="auto" w:fill="4986A0" w:themeFill="accent3"/>
            <w:tcMar>
              <w:top w:w="0" w:type="dxa"/>
              <w:left w:w="0" w:type="dxa"/>
              <w:bottom w:w="0" w:type="dxa"/>
              <w:right w:w="0" w:type="dxa"/>
            </w:tcMar>
            <w:hideMark/>
          </w:tcPr>
          <w:p w14:paraId="2B4ADC49" w14:textId="77777777" w:rsidR="002F1E67" w:rsidRDefault="002F1E67" w:rsidP="00203603">
            <w:pPr>
              <w:keepNext/>
              <w:keepLines/>
              <w:spacing w:before="60" w:after="60" w:line="240" w:lineRule="auto"/>
              <w:jc w:val="center"/>
              <w:rPr>
                <w:color w:val="000000"/>
                <w:sz w:val="20"/>
                <w:szCs w:val="20"/>
              </w:rPr>
            </w:pPr>
            <w:r>
              <w:rPr>
                <w:b/>
                <w:bCs/>
                <w:color w:val="FFFFFF"/>
                <w:sz w:val="20"/>
                <w:szCs w:val="20"/>
              </w:rPr>
              <w:lastRenderedPageBreak/>
              <w:t>Option</w:t>
            </w:r>
          </w:p>
        </w:tc>
        <w:tc>
          <w:tcPr>
            <w:tcW w:w="1985" w:type="dxa"/>
            <w:tcBorders>
              <w:top w:val="single" w:sz="4" w:space="0" w:color="4986A0" w:themeColor="accent3"/>
              <w:bottom w:val="single" w:sz="4" w:space="0" w:color="4986A0" w:themeColor="accent3"/>
            </w:tcBorders>
            <w:shd w:val="clear" w:color="auto" w:fill="4986A0" w:themeFill="accent3"/>
            <w:tcMar>
              <w:top w:w="0" w:type="dxa"/>
              <w:left w:w="123" w:type="dxa"/>
              <w:bottom w:w="0" w:type="dxa"/>
              <w:right w:w="123" w:type="dxa"/>
            </w:tcMar>
            <w:hideMark/>
          </w:tcPr>
          <w:p w14:paraId="1E8B9C57" w14:textId="77777777" w:rsidR="00541C0E" w:rsidRDefault="002F1E67" w:rsidP="00203603">
            <w:pPr>
              <w:keepNext/>
              <w:keepLines/>
              <w:spacing w:before="60" w:after="60" w:line="240" w:lineRule="auto"/>
              <w:jc w:val="center"/>
              <w:rPr>
                <w:b/>
                <w:bCs/>
                <w:color w:val="FFFFFF"/>
                <w:sz w:val="20"/>
                <w:szCs w:val="20"/>
              </w:rPr>
            </w:pPr>
            <w:r>
              <w:rPr>
                <w:b/>
                <w:bCs/>
                <w:color w:val="FFFFFF"/>
                <w:sz w:val="20"/>
                <w:szCs w:val="20"/>
              </w:rPr>
              <w:t>Criteria</w:t>
            </w:r>
          </w:p>
          <w:p w14:paraId="71F19AC8" w14:textId="10A75E20" w:rsidR="002F1E67" w:rsidRDefault="002F1E67" w:rsidP="00203603">
            <w:pPr>
              <w:keepNext/>
              <w:keepLines/>
              <w:spacing w:before="60" w:after="60" w:line="240" w:lineRule="auto"/>
              <w:jc w:val="center"/>
              <w:rPr>
                <w:color w:val="000000"/>
                <w:sz w:val="20"/>
                <w:szCs w:val="20"/>
              </w:rPr>
            </w:pPr>
            <w:r>
              <w:rPr>
                <w:b/>
                <w:bCs/>
                <w:color w:val="FFFFFF"/>
                <w:sz w:val="20"/>
                <w:szCs w:val="20"/>
              </w:rPr>
              <w:t>(weighting 50%)</w:t>
            </w:r>
          </w:p>
        </w:tc>
        <w:tc>
          <w:tcPr>
            <w:tcW w:w="4536" w:type="dxa"/>
            <w:tcBorders>
              <w:top w:val="single" w:sz="4" w:space="0" w:color="4986A0" w:themeColor="accent3"/>
              <w:bottom w:val="single" w:sz="4" w:space="0" w:color="4986A0" w:themeColor="accent3"/>
            </w:tcBorders>
            <w:shd w:val="clear" w:color="auto" w:fill="4986A0" w:themeFill="accent3"/>
            <w:tcMar>
              <w:top w:w="0" w:type="dxa"/>
              <w:left w:w="123" w:type="dxa"/>
              <w:bottom w:w="0" w:type="dxa"/>
              <w:right w:w="123" w:type="dxa"/>
            </w:tcMar>
            <w:hideMark/>
          </w:tcPr>
          <w:p w14:paraId="5CCBE8AF" w14:textId="77777777" w:rsidR="002F1E67" w:rsidRDefault="002F1E67" w:rsidP="00203603">
            <w:pPr>
              <w:keepNext/>
              <w:keepLines/>
              <w:spacing w:before="60" w:after="60" w:line="240" w:lineRule="auto"/>
              <w:jc w:val="center"/>
              <w:rPr>
                <w:color w:val="000000"/>
                <w:sz w:val="20"/>
                <w:szCs w:val="20"/>
              </w:rPr>
            </w:pPr>
            <w:r>
              <w:rPr>
                <w:b/>
                <w:bCs/>
                <w:color w:val="FFFFFF"/>
                <w:sz w:val="20"/>
                <w:szCs w:val="20"/>
              </w:rPr>
              <w:t>Assessment</w:t>
            </w:r>
          </w:p>
        </w:tc>
        <w:tc>
          <w:tcPr>
            <w:tcW w:w="1134" w:type="dxa"/>
            <w:tcBorders>
              <w:top w:val="single" w:sz="4" w:space="0" w:color="4986A0" w:themeColor="accent3"/>
              <w:bottom w:val="single" w:sz="4" w:space="0" w:color="4986A0" w:themeColor="accent3"/>
            </w:tcBorders>
            <w:shd w:val="clear" w:color="auto" w:fill="4986A0" w:themeFill="accent3"/>
          </w:tcPr>
          <w:p w14:paraId="755E235D" w14:textId="77777777" w:rsidR="00700E01" w:rsidRDefault="00700E01" w:rsidP="00203603">
            <w:pPr>
              <w:keepNext/>
              <w:keepLines/>
              <w:spacing w:before="60" w:after="60" w:line="240" w:lineRule="auto"/>
              <w:jc w:val="center"/>
              <w:rPr>
                <w:b/>
                <w:bCs/>
                <w:color w:val="FFFFFF"/>
                <w:sz w:val="20"/>
                <w:szCs w:val="20"/>
              </w:rPr>
            </w:pPr>
            <w:r>
              <w:rPr>
                <w:b/>
                <w:bCs/>
                <w:color w:val="FFFFFF"/>
                <w:sz w:val="20"/>
                <w:szCs w:val="20"/>
              </w:rPr>
              <w:t>Score</w:t>
            </w:r>
          </w:p>
          <w:p w14:paraId="4DEDC365" w14:textId="4CCF20D4" w:rsidR="00700E01" w:rsidRDefault="00DF6867" w:rsidP="00203603">
            <w:pPr>
              <w:keepNext/>
              <w:keepLines/>
              <w:spacing w:before="60" w:after="60" w:line="240" w:lineRule="auto"/>
              <w:jc w:val="center"/>
              <w:rPr>
                <w:b/>
                <w:bCs/>
                <w:color w:val="FFFFFF"/>
                <w:sz w:val="20"/>
                <w:szCs w:val="20"/>
              </w:rPr>
            </w:pPr>
            <w:r>
              <w:rPr>
                <w:b/>
                <w:bCs/>
                <w:color w:val="FFFFFF"/>
                <w:sz w:val="20"/>
                <w:szCs w:val="20"/>
              </w:rPr>
              <w:t>(-10 to 10)</w:t>
            </w:r>
          </w:p>
        </w:tc>
        <w:tc>
          <w:tcPr>
            <w:tcW w:w="1274" w:type="dxa"/>
            <w:tcBorders>
              <w:top w:val="single" w:sz="4" w:space="0" w:color="4986A0" w:themeColor="accent3"/>
              <w:bottom w:val="single" w:sz="4" w:space="0" w:color="4986A0" w:themeColor="accent3"/>
            </w:tcBorders>
            <w:shd w:val="clear" w:color="auto" w:fill="4986A0" w:themeFill="accent3"/>
            <w:tcMar>
              <w:top w:w="0" w:type="dxa"/>
              <w:left w:w="123" w:type="dxa"/>
              <w:bottom w:w="0" w:type="dxa"/>
              <w:right w:w="123" w:type="dxa"/>
            </w:tcMar>
            <w:hideMark/>
          </w:tcPr>
          <w:p w14:paraId="15AA6F7F" w14:textId="77777777" w:rsidR="002F1E67" w:rsidRDefault="002F1E67" w:rsidP="00203603">
            <w:pPr>
              <w:keepNext/>
              <w:keepLines/>
              <w:spacing w:before="60" w:after="60" w:line="240" w:lineRule="auto"/>
              <w:jc w:val="center"/>
              <w:rPr>
                <w:color w:val="000000"/>
                <w:sz w:val="20"/>
                <w:szCs w:val="20"/>
              </w:rPr>
            </w:pPr>
            <w:r>
              <w:rPr>
                <w:b/>
                <w:bCs/>
                <w:color w:val="FFFFFF"/>
                <w:sz w:val="20"/>
                <w:szCs w:val="20"/>
              </w:rPr>
              <w:t>Weighted score</w:t>
            </w:r>
          </w:p>
        </w:tc>
      </w:tr>
      <w:tr w:rsidR="002F1E67" w14:paraId="03873EFF" w14:textId="77777777" w:rsidTr="002331C7">
        <w:trPr>
          <w:trHeight w:val="333"/>
        </w:trPr>
        <w:tc>
          <w:tcPr>
            <w:tcW w:w="709" w:type="dxa"/>
            <w:tcMar>
              <w:top w:w="0" w:type="dxa"/>
              <w:left w:w="0" w:type="dxa"/>
              <w:bottom w:w="0" w:type="dxa"/>
              <w:right w:w="0" w:type="dxa"/>
            </w:tcMar>
            <w:hideMark/>
          </w:tcPr>
          <w:p w14:paraId="55E06FCC" w14:textId="77777777" w:rsidR="002F1E67" w:rsidRDefault="002F1E67" w:rsidP="00700E01">
            <w:pPr>
              <w:keepNext/>
              <w:keepLines/>
              <w:spacing w:after="120" w:line="240" w:lineRule="auto"/>
              <w:rPr>
                <w:color w:val="000000"/>
                <w:sz w:val="20"/>
                <w:szCs w:val="20"/>
              </w:rPr>
            </w:pPr>
            <w:r>
              <w:rPr>
                <w:color w:val="000000"/>
                <w:sz w:val="20"/>
                <w:szCs w:val="20"/>
              </w:rPr>
              <w:t>B.1</w:t>
            </w:r>
          </w:p>
        </w:tc>
        <w:tc>
          <w:tcPr>
            <w:tcW w:w="1985" w:type="dxa"/>
            <w:tcMar>
              <w:top w:w="0" w:type="dxa"/>
              <w:left w:w="123" w:type="dxa"/>
              <w:bottom w:w="0" w:type="dxa"/>
              <w:right w:w="123" w:type="dxa"/>
            </w:tcMar>
            <w:hideMark/>
          </w:tcPr>
          <w:p w14:paraId="72635E87" w14:textId="77777777" w:rsidR="002F1E67" w:rsidRDefault="002F1E67" w:rsidP="00700E01">
            <w:pPr>
              <w:keepNext/>
              <w:keepLines/>
              <w:spacing w:after="120" w:line="240" w:lineRule="auto"/>
              <w:rPr>
                <w:color w:val="000000"/>
                <w:sz w:val="20"/>
                <w:szCs w:val="20"/>
              </w:rPr>
            </w:pPr>
            <w:r>
              <w:rPr>
                <w:color w:val="000000"/>
                <w:sz w:val="20"/>
                <w:szCs w:val="20"/>
              </w:rPr>
              <w:t xml:space="preserve">Effectiveness </w:t>
            </w:r>
          </w:p>
          <w:p w14:paraId="6DA1CF74" w14:textId="77777777" w:rsidR="0086435B" w:rsidRDefault="0086435B" w:rsidP="0086435B">
            <w:pPr>
              <w:keepNext/>
              <w:keepLines/>
              <w:spacing w:after="120" w:line="240" w:lineRule="auto"/>
              <w:rPr>
                <w:color w:val="000000"/>
                <w:sz w:val="20"/>
                <w:szCs w:val="20"/>
              </w:rPr>
            </w:pPr>
            <w:r>
              <w:rPr>
                <w:color w:val="000000"/>
                <w:sz w:val="20"/>
                <w:szCs w:val="20"/>
              </w:rPr>
              <w:t>Reform objectives:</w:t>
            </w:r>
          </w:p>
          <w:p w14:paraId="3F0DB7D8" w14:textId="77777777" w:rsidR="0086435B" w:rsidRDefault="0086435B" w:rsidP="00B43F3C">
            <w:pPr>
              <w:keepNext/>
              <w:keepLines/>
              <w:numPr>
                <w:ilvl w:val="0"/>
                <w:numId w:val="26"/>
              </w:numPr>
              <w:spacing w:after="0" w:line="240" w:lineRule="auto"/>
              <w:ind w:left="189" w:hanging="256"/>
              <w:rPr>
                <w:color w:val="000000"/>
                <w:sz w:val="20"/>
                <w:szCs w:val="20"/>
              </w:rPr>
            </w:pPr>
            <w:r>
              <w:rPr>
                <w:color w:val="000000"/>
                <w:sz w:val="20"/>
                <w:szCs w:val="20"/>
              </w:rPr>
              <w:t>help households pay less for energy</w:t>
            </w:r>
          </w:p>
          <w:p w14:paraId="1E2DCB04" w14:textId="616371B3" w:rsidR="0086435B" w:rsidRDefault="0086435B" w:rsidP="00B43F3C">
            <w:pPr>
              <w:keepNext/>
              <w:keepLines/>
              <w:numPr>
                <w:ilvl w:val="0"/>
                <w:numId w:val="26"/>
              </w:numPr>
              <w:spacing w:after="0" w:line="240" w:lineRule="auto"/>
              <w:ind w:left="189" w:hanging="256"/>
              <w:rPr>
                <w:color w:val="000000"/>
                <w:sz w:val="20"/>
                <w:szCs w:val="20"/>
              </w:rPr>
            </w:pPr>
            <w:r>
              <w:rPr>
                <w:color w:val="000000"/>
                <w:sz w:val="20"/>
                <w:szCs w:val="20"/>
              </w:rPr>
              <w:t>enhance protections for energy consumers.</w:t>
            </w:r>
          </w:p>
        </w:tc>
        <w:tc>
          <w:tcPr>
            <w:tcW w:w="4536" w:type="dxa"/>
            <w:tcMar>
              <w:top w:w="0" w:type="dxa"/>
              <w:left w:w="123" w:type="dxa"/>
              <w:bottom w:w="0" w:type="dxa"/>
              <w:right w:w="123" w:type="dxa"/>
            </w:tcMar>
            <w:hideMark/>
          </w:tcPr>
          <w:p w14:paraId="2305CDBC" w14:textId="58BB37F4" w:rsidR="00813395" w:rsidRDefault="002F1E67" w:rsidP="00700E01">
            <w:pPr>
              <w:keepNext/>
              <w:keepLines/>
              <w:spacing w:after="120" w:line="240" w:lineRule="auto"/>
              <w:rPr>
                <w:color w:val="000000"/>
                <w:sz w:val="20"/>
                <w:szCs w:val="20"/>
              </w:rPr>
            </w:pPr>
            <w:r>
              <w:rPr>
                <w:color w:val="000000"/>
                <w:sz w:val="20"/>
                <w:szCs w:val="20"/>
              </w:rPr>
              <w:t xml:space="preserve">While only a small proportion of energy retailers have </w:t>
            </w:r>
            <w:r w:rsidR="00335406">
              <w:rPr>
                <w:color w:val="000000"/>
                <w:sz w:val="20"/>
                <w:szCs w:val="20"/>
              </w:rPr>
              <w:t>plan</w:t>
            </w:r>
            <w:r w:rsidR="00817680">
              <w:rPr>
                <w:color w:val="000000"/>
                <w:sz w:val="20"/>
                <w:szCs w:val="20"/>
              </w:rPr>
              <w:t xml:space="preserve">s that are restricted to </w:t>
            </w:r>
            <w:r w:rsidR="00C36015">
              <w:rPr>
                <w:color w:val="000000"/>
                <w:sz w:val="20"/>
                <w:szCs w:val="20"/>
              </w:rPr>
              <w:t xml:space="preserve">require direct debit </w:t>
            </w:r>
            <w:r w:rsidR="00EE10D3">
              <w:rPr>
                <w:color w:val="000000"/>
                <w:sz w:val="20"/>
                <w:szCs w:val="20"/>
              </w:rPr>
              <w:t>or e-billing</w:t>
            </w:r>
            <w:r w:rsidR="00A65366">
              <w:rPr>
                <w:color w:val="000000"/>
                <w:sz w:val="20"/>
                <w:szCs w:val="20"/>
              </w:rPr>
              <w:t>,</w:t>
            </w:r>
            <w:r w:rsidR="00335406">
              <w:rPr>
                <w:color w:val="000000"/>
                <w:sz w:val="20"/>
                <w:szCs w:val="20"/>
              </w:rPr>
              <w:t xml:space="preserve"> </w:t>
            </w:r>
            <w:r>
              <w:rPr>
                <w:color w:val="000000"/>
                <w:sz w:val="20"/>
                <w:szCs w:val="20"/>
              </w:rPr>
              <w:t xml:space="preserve">the impact </w:t>
            </w:r>
            <w:r w:rsidR="00AC0CBF">
              <w:rPr>
                <w:color w:val="000000"/>
                <w:sz w:val="20"/>
                <w:szCs w:val="20"/>
              </w:rPr>
              <w:t xml:space="preserve">on </w:t>
            </w:r>
            <w:r w:rsidR="00A1273C">
              <w:rPr>
                <w:color w:val="000000"/>
                <w:sz w:val="20"/>
                <w:szCs w:val="20"/>
              </w:rPr>
              <w:t xml:space="preserve">a customer experiencing vulnerability </w:t>
            </w:r>
            <w:r>
              <w:rPr>
                <w:color w:val="000000"/>
                <w:sz w:val="20"/>
                <w:szCs w:val="20"/>
              </w:rPr>
              <w:t xml:space="preserve">can be considerable. </w:t>
            </w:r>
          </w:p>
          <w:p w14:paraId="3499A0EB" w14:textId="7EB20AFC" w:rsidR="00757097" w:rsidRDefault="00757097" w:rsidP="00700E01">
            <w:pPr>
              <w:keepNext/>
              <w:keepLines/>
              <w:spacing w:after="120" w:line="240" w:lineRule="auto"/>
              <w:rPr>
                <w:color w:val="000000"/>
                <w:sz w:val="20"/>
                <w:szCs w:val="20"/>
              </w:rPr>
            </w:pPr>
            <w:r>
              <w:rPr>
                <w:color w:val="000000"/>
                <w:sz w:val="20"/>
                <w:szCs w:val="20"/>
              </w:rPr>
              <w:t>This option is expected to im</w:t>
            </w:r>
            <w:r w:rsidRPr="00757097">
              <w:rPr>
                <w:color w:val="000000"/>
                <w:sz w:val="20"/>
                <w:szCs w:val="20"/>
              </w:rPr>
              <w:t>prove access for all Victorian customers to competitively priced offers without payment or billing type restrictions</w:t>
            </w:r>
            <w:r>
              <w:rPr>
                <w:color w:val="000000"/>
                <w:sz w:val="20"/>
                <w:szCs w:val="20"/>
              </w:rPr>
              <w:t xml:space="preserve"> as well as i</w:t>
            </w:r>
            <w:r w:rsidRPr="00757097">
              <w:rPr>
                <w:color w:val="000000"/>
                <w:sz w:val="20"/>
                <w:szCs w:val="20"/>
              </w:rPr>
              <w:t>mprove competition between all Victorian retailers</w:t>
            </w:r>
            <w:r>
              <w:rPr>
                <w:color w:val="000000"/>
                <w:sz w:val="20"/>
                <w:szCs w:val="20"/>
              </w:rPr>
              <w:t xml:space="preserve"> (</w:t>
            </w:r>
            <w:r w:rsidRPr="00757097">
              <w:rPr>
                <w:color w:val="000000"/>
                <w:sz w:val="20"/>
                <w:szCs w:val="20"/>
              </w:rPr>
              <w:t>as all retailers would not be able to use conditions for payment as a barrier to cheaper offers</w:t>
            </w:r>
            <w:r>
              <w:rPr>
                <w:color w:val="000000"/>
                <w:sz w:val="20"/>
                <w:szCs w:val="20"/>
              </w:rPr>
              <w:t>).</w:t>
            </w:r>
            <w:r w:rsidR="00F35AB0">
              <w:rPr>
                <w:color w:val="000000"/>
                <w:sz w:val="20"/>
                <w:szCs w:val="20"/>
              </w:rPr>
              <w:t xml:space="preserve"> This is expected to benefit consumers experiencing vulnerability who currently cannot access those cheaper plans.</w:t>
            </w:r>
          </w:p>
          <w:p w14:paraId="5DD20D20" w14:textId="7FB9DA9C" w:rsidR="002F1E67" w:rsidRDefault="002F1E67" w:rsidP="00700E01">
            <w:pPr>
              <w:keepNext/>
              <w:keepLines/>
              <w:spacing w:after="120" w:line="240" w:lineRule="auto"/>
              <w:rPr>
                <w:color w:val="000000"/>
                <w:sz w:val="20"/>
                <w:szCs w:val="20"/>
              </w:rPr>
            </w:pPr>
            <w:r>
              <w:rPr>
                <w:color w:val="000000"/>
                <w:sz w:val="20"/>
                <w:szCs w:val="20"/>
              </w:rPr>
              <w:t>Under this option</w:t>
            </w:r>
            <w:r w:rsidR="00D34608">
              <w:rPr>
                <w:color w:val="000000"/>
                <w:sz w:val="20"/>
                <w:szCs w:val="20"/>
              </w:rPr>
              <w:t>,</w:t>
            </w:r>
            <w:r>
              <w:rPr>
                <w:color w:val="000000"/>
                <w:sz w:val="20"/>
                <w:szCs w:val="20"/>
              </w:rPr>
              <w:t xml:space="preserve"> energy retailers would be able to </w:t>
            </w:r>
            <w:r w:rsidR="009C7119">
              <w:rPr>
                <w:color w:val="000000"/>
                <w:sz w:val="20"/>
                <w:szCs w:val="20"/>
              </w:rPr>
              <w:t xml:space="preserve">include conditional discounts for </w:t>
            </w:r>
            <w:r w:rsidR="00F61230">
              <w:rPr>
                <w:color w:val="000000"/>
                <w:sz w:val="20"/>
                <w:szCs w:val="20"/>
              </w:rPr>
              <w:t xml:space="preserve">new plans </w:t>
            </w:r>
            <w:r w:rsidR="009C7119">
              <w:rPr>
                <w:color w:val="000000"/>
                <w:sz w:val="20"/>
                <w:szCs w:val="20"/>
              </w:rPr>
              <w:t xml:space="preserve">using direct debit and e-billing </w:t>
            </w:r>
            <w:r>
              <w:rPr>
                <w:color w:val="000000"/>
                <w:sz w:val="20"/>
                <w:szCs w:val="20"/>
              </w:rPr>
              <w:t xml:space="preserve">without general restrictions. </w:t>
            </w:r>
            <w:r w:rsidR="00DC596A">
              <w:rPr>
                <w:color w:val="000000"/>
                <w:sz w:val="20"/>
                <w:szCs w:val="20"/>
              </w:rPr>
              <w:t>This could result in reduced benefits</w:t>
            </w:r>
            <w:r w:rsidR="00B31FCC">
              <w:rPr>
                <w:color w:val="000000"/>
                <w:sz w:val="20"/>
                <w:szCs w:val="20"/>
              </w:rPr>
              <w:t>,</w:t>
            </w:r>
            <w:r w:rsidR="00DC596A">
              <w:rPr>
                <w:color w:val="000000"/>
                <w:sz w:val="20"/>
                <w:szCs w:val="20"/>
              </w:rPr>
              <w:t xml:space="preserve"> because </w:t>
            </w:r>
            <w:r w:rsidR="00227B73">
              <w:rPr>
                <w:color w:val="000000"/>
                <w:sz w:val="20"/>
                <w:szCs w:val="20"/>
              </w:rPr>
              <w:t xml:space="preserve">customers who cannot use direct debit or e-billing could still pay significantly more </w:t>
            </w:r>
            <w:r w:rsidR="008B343C">
              <w:rPr>
                <w:color w:val="000000"/>
                <w:sz w:val="20"/>
                <w:szCs w:val="20"/>
              </w:rPr>
              <w:t xml:space="preserve">than customers who can </w:t>
            </w:r>
            <w:r w:rsidR="00732389">
              <w:rPr>
                <w:color w:val="000000"/>
                <w:sz w:val="20"/>
                <w:szCs w:val="20"/>
              </w:rPr>
              <w:t>(</w:t>
            </w:r>
            <w:r w:rsidR="007D1395">
              <w:rPr>
                <w:color w:val="000000"/>
                <w:sz w:val="20"/>
                <w:szCs w:val="20"/>
              </w:rPr>
              <w:t xml:space="preserve">by </w:t>
            </w:r>
            <w:r w:rsidR="008B343C">
              <w:rPr>
                <w:color w:val="000000"/>
                <w:sz w:val="20"/>
                <w:szCs w:val="20"/>
              </w:rPr>
              <w:t>not being able to access discounts)</w:t>
            </w:r>
            <w:r w:rsidRPr="45C6BC9C">
              <w:rPr>
                <w:color w:val="000000" w:themeColor="text1"/>
                <w:sz w:val="20"/>
                <w:szCs w:val="20"/>
              </w:rPr>
              <w:t>.</w:t>
            </w:r>
          </w:p>
        </w:tc>
        <w:tc>
          <w:tcPr>
            <w:tcW w:w="1134" w:type="dxa"/>
          </w:tcPr>
          <w:p w14:paraId="0710DE25" w14:textId="3DE0A838" w:rsidR="00700E01" w:rsidRDefault="00700E01" w:rsidP="00700E01">
            <w:pPr>
              <w:keepNext/>
              <w:keepLines/>
              <w:spacing w:after="120" w:line="240" w:lineRule="auto"/>
              <w:ind w:right="311"/>
              <w:jc w:val="right"/>
              <w:rPr>
                <w:color w:val="000000"/>
                <w:sz w:val="20"/>
                <w:szCs w:val="20"/>
              </w:rPr>
            </w:pPr>
            <w:r>
              <w:rPr>
                <w:color w:val="000000"/>
                <w:sz w:val="20"/>
                <w:szCs w:val="20"/>
              </w:rPr>
              <w:t>2</w:t>
            </w:r>
          </w:p>
        </w:tc>
        <w:tc>
          <w:tcPr>
            <w:tcW w:w="1274" w:type="dxa"/>
            <w:tcMar>
              <w:top w:w="0" w:type="dxa"/>
              <w:left w:w="123" w:type="dxa"/>
              <w:bottom w:w="0" w:type="dxa"/>
              <w:right w:w="123" w:type="dxa"/>
            </w:tcMar>
            <w:hideMark/>
          </w:tcPr>
          <w:p w14:paraId="5E4E7910" w14:textId="7D0F1E07" w:rsidR="002F1E67" w:rsidRDefault="002B18AF" w:rsidP="00700E01">
            <w:pPr>
              <w:keepNext/>
              <w:keepLines/>
              <w:spacing w:after="120" w:line="240" w:lineRule="auto"/>
              <w:ind w:right="311"/>
              <w:jc w:val="right"/>
              <w:rPr>
                <w:color w:val="000000"/>
                <w:sz w:val="20"/>
                <w:szCs w:val="20"/>
              </w:rPr>
            </w:pPr>
            <w:r>
              <w:rPr>
                <w:color w:val="000000"/>
                <w:sz w:val="20"/>
                <w:szCs w:val="20"/>
              </w:rPr>
              <w:t>1</w:t>
            </w:r>
            <w:r w:rsidR="002F1E67">
              <w:rPr>
                <w:color w:val="000000"/>
                <w:sz w:val="20"/>
                <w:szCs w:val="20"/>
              </w:rPr>
              <w:t>.0</w:t>
            </w:r>
          </w:p>
        </w:tc>
      </w:tr>
      <w:tr w:rsidR="00371158" w14:paraId="2A0DC213" w14:textId="77777777" w:rsidTr="45C6BC9C">
        <w:tc>
          <w:tcPr>
            <w:tcW w:w="709" w:type="dxa"/>
            <w:tcBorders>
              <w:bottom w:val="single" w:sz="4" w:space="0" w:color="000000" w:themeColor="text1"/>
            </w:tcBorders>
            <w:shd w:val="clear" w:color="auto" w:fill="F2F2F2" w:themeFill="background1" w:themeFillShade="F2"/>
            <w:tcMar>
              <w:top w:w="0" w:type="dxa"/>
              <w:left w:w="0" w:type="dxa"/>
              <w:bottom w:w="0" w:type="dxa"/>
              <w:right w:w="0" w:type="dxa"/>
            </w:tcMar>
            <w:hideMark/>
          </w:tcPr>
          <w:p w14:paraId="76886A7D" w14:textId="77777777" w:rsidR="002F1E67" w:rsidRDefault="002F1E67">
            <w:pPr>
              <w:spacing w:after="120" w:line="240" w:lineRule="auto"/>
              <w:rPr>
                <w:color w:val="000000"/>
                <w:sz w:val="20"/>
                <w:szCs w:val="20"/>
              </w:rPr>
            </w:pPr>
            <w:r>
              <w:rPr>
                <w:color w:val="000000"/>
                <w:sz w:val="20"/>
                <w:szCs w:val="20"/>
              </w:rPr>
              <w:t>B.2</w:t>
            </w:r>
          </w:p>
        </w:tc>
        <w:tc>
          <w:tcPr>
            <w:tcW w:w="1985" w:type="dxa"/>
            <w:tcBorders>
              <w:bottom w:val="single" w:sz="4" w:space="0" w:color="000000" w:themeColor="text1"/>
            </w:tcBorders>
            <w:shd w:val="clear" w:color="auto" w:fill="F2F2F2" w:themeFill="background1" w:themeFillShade="F2"/>
            <w:tcMar>
              <w:top w:w="0" w:type="dxa"/>
              <w:left w:w="123" w:type="dxa"/>
              <w:bottom w:w="0" w:type="dxa"/>
              <w:right w:w="123" w:type="dxa"/>
            </w:tcMar>
            <w:hideMark/>
          </w:tcPr>
          <w:p w14:paraId="64EFBF59" w14:textId="2A381BE9" w:rsidR="002F1E67" w:rsidRDefault="002F1E67">
            <w:pPr>
              <w:spacing w:after="120" w:line="240" w:lineRule="auto"/>
              <w:rPr>
                <w:color w:val="000000"/>
                <w:sz w:val="20"/>
                <w:szCs w:val="20"/>
              </w:rPr>
            </w:pPr>
            <w:r>
              <w:rPr>
                <w:color w:val="000000"/>
                <w:sz w:val="20"/>
                <w:szCs w:val="20"/>
              </w:rPr>
              <w:t>Effectiveness</w:t>
            </w:r>
          </w:p>
          <w:p w14:paraId="4B02D8BC" w14:textId="77777777" w:rsidR="000A1559" w:rsidRDefault="000A1559" w:rsidP="000A1559">
            <w:pPr>
              <w:keepNext/>
              <w:keepLines/>
              <w:spacing w:after="120" w:line="240" w:lineRule="auto"/>
              <w:rPr>
                <w:color w:val="000000"/>
                <w:sz w:val="20"/>
                <w:szCs w:val="20"/>
              </w:rPr>
            </w:pPr>
            <w:r>
              <w:rPr>
                <w:color w:val="000000"/>
                <w:sz w:val="20"/>
                <w:szCs w:val="20"/>
              </w:rPr>
              <w:t>Reform objectives:</w:t>
            </w:r>
          </w:p>
          <w:p w14:paraId="17372F5C" w14:textId="77777777" w:rsidR="000A1559" w:rsidRDefault="000A1559" w:rsidP="00B43F3C">
            <w:pPr>
              <w:keepNext/>
              <w:keepLines/>
              <w:numPr>
                <w:ilvl w:val="0"/>
                <w:numId w:val="26"/>
              </w:numPr>
              <w:spacing w:after="0" w:line="240" w:lineRule="auto"/>
              <w:ind w:left="189" w:hanging="256"/>
              <w:rPr>
                <w:color w:val="000000"/>
                <w:sz w:val="20"/>
                <w:szCs w:val="20"/>
              </w:rPr>
            </w:pPr>
            <w:r>
              <w:rPr>
                <w:color w:val="000000"/>
                <w:sz w:val="20"/>
                <w:szCs w:val="20"/>
              </w:rPr>
              <w:t>help households pay less for energy</w:t>
            </w:r>
          </w:p>
          <w:p w14:paraId="6A6A43E7" w14:textId="0EC0D850" w:rsidR="000A1559" w:rsidRPr="000A1559" w:rsidRDefault="000A1559" w:rsidP="00B43F3C">
            <w:pPr>
              <w:keepNext/>
              <w:keepLines/>
              <w:numPr>
                <w:ilvl w:val="0"/>
                <w:numId w:val="26"/>
              </w:numPr>
              <w:spacing w:after="0" w:line="240" w:lineRule="auto"/>
              <w:ind w:left="189" w:hanging="256"/>
              <w:rPr>
                <w:color w:val="000000"/>
                <w:sz w:val="20"/>
                <w:szCs w:val="20"/>
              </w:rPr>
            </w:pPr>
            <w:r w:rsidRPr="000A1559">
              <w:rPr>
                <w:color w:val="000000"/>
                <w:sz w:val="20"/>
                <w:szCs w:val="20"/>
              </w:rPr>
              <w:t>enhance protections for energy consumers.</w:t>
            </w:r>
          </w:p>
        </w:tc>
        <w:tc>
          <w:tcPr>
            <w:tcW w:w="4536" w:type="dxa"/>
            <w:tcBorders>
              <w:bottom w:val="single" w:sz="4" w:space="0" w:color="000000" w:themeColor="text1"/>
            </w:tcBorders>
            <w:shd w:val="clear" w:color="auto" w:fill="F2F2F2" w:themeFill="background1" w:themeFillShade="F2"/>
            <w:tcMar>
              <w:top w:w="0" w:type="dxa"/>
              <w:left w:w="123" w:type="dxa"/>
              <w:bottom w:w="0" w:type="dxa"/>
              <w:right w:w="123" w:type="dxa"/>
            </w:tcMar>
            <w:hideMark/>
          </w:tcPr>
          <w:p w14:paraId="78B30BA9" w14:textId="18049E44" w:rsidR="006F70CD" w:rsidRDefault="006F70CD" w:rsidP="00926975">
            <w:pPr>
              <w:spacing w:after="120" w:line="240" w:lineRule="auto"/>
              <w:rPr>
                <w:color w:val="000000"/>
                <w:sz w:val="20"/>
                <w:szCs w:val="20"/>
              </w:rPr>
            </w:pPr>
            <w:r>
              <w:rPr>
                <w:color w:val="000000"/>
                <w:sz w:val="20"/>
                <w:szCs w:val="20"/>
              </w:rPr>
              <w:t>This option is also expected to im</w:t>
            </w:r>
            <w:r w:rsidRPr="00757097">
              <w:rPr>
                <w:color w:val="000000"/>
                <w:sz w:val="20"/>
                <w:szCs w:val="20"/>
              </w:rPr>
              <w:t>prove access for all Victorian customers to competitively priced offers without payment or billing type restrictions</w:t>
            </w:r>
            <w:r>
              <w:rPr>
                <w:color w:val="000000"/>
                <w:sz w:val="20"/>
                <w:szCs w:val="20"/>
              </w:rPr>
              <w:t xml:space="preserve"> as well as i</w:t>
            </w:r>
            <w:r w:rsidRPr="00757097">
              <w:rPr>
                <w:color w:val="000000"/>
                <w:sz w:val="20"/>
                <w:szCs w:val="20"/>
              </w:rPr>
              <w:t>mprove competition between all Victorian retailers</w:t>
            </w:r>
            <w:r>
              <w:rPr>
                <w:color w:val="000000"/>
                <w:sz w:val="20"/>
                <w:szCs w:val="20"/>
              </w:rPr>
              <w:t xml:space="preserve"> (</w:t>
            </w:r>
            <w:r w:rsidRPr="00757097">
              <w:rPr>
                <w:color w:val="000000"/>
                <w:sz w:val="20"/>
                <w:szCs w:val="20"/>
              </w:rPr>
              <w:t>as all retailers would not be able to use conditions for payment as a barrier to cheaper offers</w:t>
            </w:r>
            <w:r>
              <w:rPr>
                <w:color w:val="000000"/>
                <w:sz w:val="20"/>
                <w:szCs w:val="20"/>
              </w:rPr>
              <w:t>).</w:t>
            </w:r>
            <w:r w:rsidR="00F35AB0">
              <w:rPr>
                <w:color w:val="000000"/>
                <w:sz w:val="20"/>
                <w:szCs w:val="20"/>
              </w:rPr>
              <w:t xml:space="preserve"> As with Option B.1, this is expected to benefit consumers experiencing vulnerability who currently cannot access those cheaper plans.</w:t>
            </w:r>
            <w:r w:rsidR="00926975">
              <w:rPr>
                <w:color w:val="000000"/>
                <w:sz w:val="20"/>
                <w:szCs w:val="20"/>
              </w:rPr>
              <w:t xml:space="preserve"> </w:t>
            </w:r>
          </w:p>
          <w:p w14:paraId="3B86821C" w14:textId="533922AF" w:rsidR="00926975" w:rsidRDefault="00EF4121">
            <w:pPr>
              <w:spacing w:after="120" w:line="240" w:lineRule="auto"/>
              <w:rPr>
                <w:color w:val="000000"/>
                <w:sz w:val="20"/>
                <w:szCs w:val="20"/>
              </w:rPr>
            </w:pPr>
            <w:r>
              <w:rPr>
                <w:color w:val="000000"/>
                <w:sz w:val="20"/>
                <w:szCs w:val="20"/>
              </w:rPr>
              <w:t>Unlike</w:t>
            </w:r>
            <w:r w:rsidR="002F1E67">
              <w:rPr>
                <w:color w:val="000000"/>
                <w:sz w:val="20"/>
                <w:szCs w:val="20"/>
              </w:rPr>
              <w:t xml:space="preserve"> Option B.1</w:t>
            </w:r>
            <w:r>
              <w:rPr>
                <w:color w:val="000000"/>
                <w:sz w:val="20"/>
                <w:szCs w:val="20"/>
              </w:rPr>
              <w:t xml:space="preserve">, </w:t>
            </w:r>
            <w:r w:rsidR="002F1E67">
              <w:rPr>
                <w:color w:val="000000"/>
                <w:sz w:val="20"/>
                <w:szCs w:val="20"/>
              </w:rPr>
              <w:t xml:space="preserve">retailers would be limited in applying </w:t>
            </w:r>
            <w:r w:rsidR="001A53BF">
              <w:rPr>
                <w:color w:val="000000"/>
                <w:sz w:val="20"/>
                <w:szCs w:val="20"/>
              </w:rPr>
              <w:t>conditional discounts related to payment methods to</w:t>
            </w:r>
            <w:r w:rsidR="002F1E67">
              <w:rPr>
                <w:color w:val="000000"/>
                <w:sz w:val="20"/>
                <w:szCs w:val="20"/>
              </w:rPr>
              <w:t xml:space="preserve"> ‘reasonable costs’</w:t>
            </w:r>
            <w:r w:rsidR="00B320CA">
              <w:rPr>
                <w:color w:val="000000"/>
                <w:sz w:val="20"/>
                <w:szCs w:val="20"/>
              </w:rPr>
              <w:t xml:space="preserve"> for new plans</w:t>
            </w:r>
            <w:r w:rsidR="002F1E67">
              <w:rPr>
                <w:color w:val="000000"/>
                <w:sz w:val="20"/>
                <w:szCs w:val="20"/>
              </w:rPr>
              <w:t xml:space="preserve">. </w:t>
            </w:r>
          </w:p>
          <w:p w14:paraId="7910EAC4" w14:textId="4A241710" w:rsidR="00116129" w:rsidRDefault="003269A0">
            <w:pPr>
              <w:spacing w:after="120" w:line="240" w:lineRule="auto"/>
              <w:rPr>
                <w:color w:val="000000"/>
                <w:sz w:val="20"/>
                <w:szCs w:val="20"/>
              </w:rPr>
            </w:pPr>
            <w:r>
              <w:rPr>
                <w:color w:val="000000"/>
                <w:sz w:val="20"/>
                <w:szCs w:val="20"/>
              </w:rPr>
              <w:t>Compared to Option B.1</w:t>
            </w:r>
            <w:r w:rsidR="005A5E52">
              <w:rPr>
                <w:color w:val="000000"/>
                <w:sz w:val="20"/>
                <w:szCs w:val="20"/>
              </w:rPr>
              <w:t>, this option provides greater</w:t>
            </w:r>
            <w:r w:rsidR="002F1E67">
              <w:rPr>
                <w:color w:val="000000"/>
                <w:sz w:val="20"/>
                <w:szCs w:val="20"/>
              </w:rPr>
              <w:t xml:space="preserve"> certainty t</w:t>
            </w:r>
            <w:r w:rsidR="005A5E52">
              <w:rPr>
                <w:color w:val="000000"/>
                <w:sz w:val="20"/>
                <w:szCs w:val="20"/>
              </w:rPr>
              <w:t xml:space="preserve">hat </w:t>
            </w:r>
            <w:r w:rsidR="00794893">
              <w:rPr>
                <w:color w:val="000000"/>
                <w:sz w:val="20"/>
                <w:szCs w:val="20"/>
              </w:rPr>
              <w:t>customers</w:t>
            </w:r>
            <w:r w:rsidR="005A5E52">
              <w:rPr>
                <w:color w:val="000000"/>
                <w:sz w:val="20"/>
                <w:szCs w:val="20"/>
              </w:rPr>
              <w:t xml:space="preserve"> who</w:t>
            </w:r>
            <w:r w:rsidR="002F1E67">
              <w:rPr>
                <w:color w:val="000000"/>
                <w:sz w:val="20"/>
                <w:szCs w:val="20"/>
              </w:rPr>
              <w:t xml:space="preserve"> c</w:t>
            </w:r>
            <w:r w:rsidR="00CA7CEF">
              <w:rPr>
                <w:color w:val="000000"/>
                <w:sz w:val="20"/>
                <w:szCs w:val="20"/>
              </w:rPr>
              <w:t xml:space="preserve">annot use direct debit or e-billing will not pay </w:t>
            </w:r>
            <w:r w:rsidR="00E25B96">
              <w:rPr>
                <w:color w:val="000000"/>
                <w:sz w:val="20"/>
                <w:szCs w:val="20"/>
              </w:rPr>
              <w:t xml:space="preserve">unreasonably </w:t>
            </w:r>
            <w:r w:rsidR="00CA7CEF">
              <w:rPr>
                <w:color w:val="000000"/>
                <w:sz w:val="20"/>
                <w:szCs w:val="20"/>
              </w:rPr>
              <w:t>more</w:t>
            </w:r>
            <w:r w:rsidR="00931792">
              <w:rPr>
                <w:color w:val="000000"/>
                <w:sz w:val="20"/>
                <w:szCs w:val="20"/>
              </w:rPr>
              <w:t xml:space="preserve"> </w:t>
            </w:r>
            <w:r w:rsidR="00330401">
              <w:rPr>
                <w:color w:val="000000"/>
                <w:sz w:val="20"/>
                <w:szCs w:val="20"/>
              </w:rPr>
              <w:t>than</w:t>
            </w:r>
            <w:r w:rsidR="00865D64">
              <w:rPr>
                <w:color w:val="000000"/>
                <w:sz w:val="20"/>
                <w:szCs w:val="20"/>
              </w:rPr>
              <w:t xml:space="preserve"> </w:t>
            </w:r>
            <w:r w:rsidR="00794893">
              <w:rPr>
                <w:color w:val="000000"/>
                <w:sz w:val="20"/>
                <w:szCs w:val="20"/>
              </w:rPr>
              <w:t>customers</w:t>
            </w:r>
            <w:r w:rsidR="00B67210">
              <w:rPr>
                <w:color w:val="000000"/>
                <w:sz w:val="20"/>
                <w:szCs w:val="20"/>
              </w:rPr>
              <w:t xml:space="preserve"> who can</w:t>
            </w:r>
            <w:r w:rsidR="00931792">
              <w:rPr>
                <w:color w:val="000000"/>
                <w:sz w:val="20"/>
                <w:szCs w:val="20"/>
              </w:rPr>
              <w:t xml:space="preserve">. </w:t>
            </w:r>
            <w:r w:rsidR="00937B3A">
              <w:rPr>
                <w:color w:val="000000"/>
                <w:sz w:val="20"/>
                <w:szCs w:val="20"/>
              </w:rPr>
              <w:t>Under this option, retailers w</w:t>
            </w:r>
            <w:r w:rsidR="00E25B96">
              <w:rPr>
                <w:color w:val="000000"/>
                <w:sz w:val="20"/>
                <w:szCs w:val="20"/>
              </w:rPr>
              <w:t>ould</w:t>
            </w:r>
            <w:r w:rsidR="00937B3A">
              <w:rPr>
                <w:color w:val="000000"/>
                <w:sz w:val="20"/>
                <w:szCs w:val="20"/>
              </w:rPr>
              <w:t xml:space="preserve"> not be able to </w:t>
            </w:r>
            <w:r w:rsidR="00794893">
              <w:rPr>
                <w:color w:val="000000"/>
                <w:sz w:val="20"/>
                <w:szCs w:val="20"/>
              </w:rPr>
              <w:t>charge</w:t>
            </w:r>
            <w:r w:rsidR="006406CD">
              <w:rPr>
                <w:color w:val="000000"/>
                <w:sz w:val="20"/>
                <w:szCs w:val="20"/>
              </w:rPr>
              <w:t xml:space="preserve"> significant, unreasonable costs </w:t>
            </w:r>
            <w:r w:rsidR="00591CF2">
              <w:rPr>
                <w:color w:val="000000"/>
                <w:sz w:val="20"/>
                <w:szCs w:val="20"/>
              </w:rPr>
              <w:t xml:space="preserve">for the use of non-direct debit payment methods or </w:t>
            </w:r>
            <w:r w:rsidR="00AE3BED">
              <w:rPr>
                <w:color w:val="000000"/>
                <w:sz w:val="20"/>
                <w:szCs w:val="20"/>
              </w:rPr>
              <w:t>paper bills</w:t>
            </w:r>
            <w:r w:rsidR="00EA002D">
              <w:rPr>
                <w:color w:val="000000"/>
                <w:sz w:val="20"/>
                <w:szCs w:val="20"/>
              </w:rPr>
              <w:t xml:space="preserve">. They would also not be able to </w:t>
            </w:r>
            <w:r w:rsidR="00643D44">
              <w:rPr>
                <w:color w:val="000000"/>
                <w:sz w:val="20"/>
                <w:szCs w:val="20"/>
              </w:rPr>
              <w:t>offer significan</w:t>
            </w:r>
            <w:r w:rsidR="00DA4B22">
              <w:rPr>
                <w:color w:val="000000"/>
                <w:sz w:val="20"/>
                <w:szCs w:val="20"/>
              </w:rPr>
              <w:t xml:space="preserve">t discounts for the use of </w:t>
            </w:r>
            <w:r w:rsidR="00CC29DD">
              <w:rPr>
                <w:color w:val="000000"/>
                <w:sz w:val="20"/>
                <w:szCs w:val="20"/>
              </w:rPr>
              <w:t>direct debit or e-billing</w:t>
            </w:r>
            <w:r w:rsidR="001B579F">
              <w:rPr>
                <w:color w:val="000000"/>
                <w:sz w:val="20"/>
                <w:szCs w:val="20"/>
              </w:rPr>
              <w:t xml:space="preserve"> that have the effect of </w:t>
            </w:r>
            <w:r w:rsidR="00EA490E">
              <w:rPr>
                <w:color w:val="000000"/>
                <w:sz w:val="20"/>
                <w:szCs w:val="20"/>
              </w:rPr>
              <w:t xml:space="preserve">significantly raising prices for customers who cannot meet those conditions or </w:t>
            </w:r>
            <w:r w:rsidR="00116129">
              <w:rPr>
                <w:color w:val="000000"/>
                <w:sz w:val="20"/>
                <w:szCs w:val="20"/>
              </w:rPr>
              <w:t>pricing those customers out of access</w:t>
            </w:r>
            <w:r w:rsidR="0095622B">
              <w:rPr>
                <w:color w:val="000000"/>
                <w:sz w:val="20"/>
                <w:szCs w:val="20"/>
              </w:rPr>
              <w:t>ing</w:t>
            </w:r>
            <w:r w:rsidR="00116129">
              <w:rPr>
                <w:color w:val="000000"/>
                <w:sz w:val="20"/>
                <w:szCs w:val="20"/>
              </w:rPr>
              <w:t xml:space="preserve"> these plans altogether.</w:t>
            </w:r>
            <w:r w:rsidR="00591CF2">
              <w:rPr>
                <w:color w:val="000000"/>
                <w:sz w:val="20"/>
                <w:szCs w:val="20"/>
              </w:rPr>
              <w:t xml:space="preserve"> </w:t>
            </w:r>
          </w:p>
          <w:p w14:paraId="0AFC74D5" w14:textId="0D3D9085" w:rsidR="002F1E67" w:rsidRDefault="00116129">
            <w:pPr>
              <w:spacing w:after="120" w:line="240" w:lineRule="auto"/>
              <w:rPr>
                <w:color w:val="000000"/>
                <w:sz w:val="20"/>
                <w:szCs w:val="20"/>
              </w:rPr>
            </w:pPr>
            <w:r>
              <w:rPr>
                <w:color w:val="000000"/>
                <w:sz w:val="20"/>
                <w:szCs w:val="20"/>
              </w:rPr>
              <w:t xml:space="preserve">Because of the </w:t>
            </w:r>
            <w:r w:rsidR="00ED4F65">
              <w:rPr>
                <w:color w:val="000000"/>
                <w:sz w:val="20"/>
                <w:szCs w:val="20"/>
              </w:rPr>
              <w:t>additional protections</w:t>
            </w:r>
            <w:r w:rsidR="00931792">
              <w:rPr>
                <w:color w:val="000000"/>
                <w:sz w:val="20"/>
                <w:szCs w:val="20"/>
              </w:rPr>
              <w:t xml:space="preserve"> </w:t>
            </w:r>
            <w:r w:rsidR="00525638">
              <w:rPr>
                <w:color w:val="000000"/>
                <w:sz w:val="20"/>
                <w:szCs w:val="20"/>
              </w:rPr>
              <w:t xml:space="preserve">provided </w:t>
            </w:r>
            <w:r w:rsidR="0029641B">
              <w:rPr>
                <w:color w:val="000000"/>
                <w:sz w:val="20"/>
                <w:szCs w:val="20"/>
              </w:rPr>
              <w:t>under this option</w:t>
            </w:r>
            <w:r w:rsidR="002F1E67">
              <w:rPr>
                <w:color w:val="000000"/>
                <w:sz w:val="20"/>
                <w:szCs w:val="20"/>
              </w:rPr>
              <w:t xml:space="preserve"> and potential </w:t>
            </w:r>
            <w:r w:rsidR="0029641B">
              <w:rPr>
                <w:color w:val="000000"/>
                <w:sz w:val="20"/>
                <w:szCs w:val="20"/>
              </w:rPr>
              <w:t>for wider</w:t>
            </w:r>
            <w:r w:rsidR="002F1E67">
              <w:rPr>
                <w:color w:val="000000"/>
                <w:sz w:val="20"/>
                <w:szCs w:val="20"/>
              </w:rPr>
              <w:t xml:space="preserve"> savings </w:t>
            </w:r>
            <w:r w:rsidR="0029641B">
              <w:rPr>
                <w:color w:val="000000"/>
                <w:sz w:val="20"/>
                <w:szCs w:val="20"/>
              </w:rPr>
              <w:t xml:space="preserve">across the </w:t>
            </w:r>
            <w:r w:rsidR="0095622B">
              <w:rPr>
                <w:color w:val="000000"/>
                <w:sz w:val="20"/>
                <w:szCs w:val="20"/>
              </w:rPr>
              <w:t>customer</w:t>
            </w:r>
            <w:r w:rsidR="0029641B">
              <w:rPr>
                <w:color w:val="000000"/>
                <w:sz w:val="20"/>
                <w:szCs w:val="20"/>
              </w:rPr>
              <w:t xml:space="preserve"> base</w:t>
            </w:r>
            <w:r w:rsidR="002F1E67">
              <w:rPr>
                <w:color w:val="000000"/>
                <w:sz w:val="20"/>
                <w:szCs w:val="20"/>
              </w:rPr>
              <w:t>,</w:t>
            </w:r>
            <w:r w:rsidR="0029641B">
              <w:rPr>
                <w:color w:val="000000"/>
                <w:sz w:val="20"/>
                <w:szCs w:val="20"/>
              </w:rPr>
              <w:t xml:space="preserve"> this option</w:t>
            </w:r>
            <w:r w:rsidR="002F1E67">
              <w:rPr>
                <w:color w:val="000000"/>
                <w:sz w:val="20"/>
                <w:szCs w:val="20"/>
              </w:rPr>
              <w:t xml:space="preserve"> </w:t>
            </w:r>
            <w:r w:rsidR="009F1212">
              <w:rPr>
                <w:color w:val="000000"/>
                <w:sz w:val="20"/>
                <w:szCs w:val="20"/>
              </w:rPr>
              <w:t>would</w:t>
            </w:r>
            <w:r w:rsidR="002F1E67">
              <w:rPr>
                <w:color w:val="000000"/>
                <w:sz w:val="20"/>
                <w:szCs w:val="20"/>
              </w:rPr>
              <w:t xml:space="preserve"> </w:t>
            </w:r>
            <w:r w:rsidR="002F1E67">
              <w:rPr>
                <w:color w:val="000000"/>
                <w:sz w:val="20"/>
                <w:szCs w:val="20"/>
              </w:rPr>
              <w:lastRenderedPageBreak/>
              <w:t xml:space="preserve">achieve </w:t>
            </w:r>
            <w:r w:rsidR="0029641B">
              <w:rPr>
                <w:color w:val="000000"/>
                <w:sz w:val="20"/>
                <w:szCs w:val="20"/>
              </w:rPr>
              <w:t>our</w:t>
            </w:r>
            <w:r w:rsidR="002F1E67">
              <w:rPr>
                <w:color w:val="000000"/>
                <w:sz w:val="20"/>
                <w:szCs w:val="20"/>
              </w:rPr>
              <w:t xml:space="preserve"> primary objective of helping households pay less for energy to a greater degree than Option B.1. </w:t>
            </w:r>
          </w:p>
        </w:tc>
        <w:tc>
          <w:tcPr>
            <w:tcW w:w="1134" w:type="dxa"/>
            <w:tcBorders>
              <w:bottom w:val="single" w:sz="4" w:space="0" w:color="000000" w:themeColor="text1"/>
            </w:tcBorders>
            <w:shd w:val="clear" w:color="auto" w:fill="F2F2F2" w:themeFill="background1" w:themeFillShade="F2"/>
          </w:tcPr>
          <w:p w14:paraId="7FD1A6F4" w14:textId="2089B7CE" w:rsidR="00700E01" w:rsidRDefault="0003060C">
            <w:pPr>
              <w:spacing w:after="120" w:line="240" w:lineRule="auto"/>
              <w:ind w:right="311"/>
              <w:jc w:val="right"/>
              <w:rPr>
                <w:color w:val="000000"/>
                <w:sz w:val="20"/>
                <w:szCs w:val="20"/>
              </w:rPr>
            </w:pPr>
            <w:r>
              <w:rPr>
                <w:color w:val="000000"/>
                <w:sz w:val="20"/>
                <w:szCs w:val="20"/>
              </w:rPr>
              <w:lastRenderedPageBreak/>
              <w:t>3</w:t>
            </w:r>
          </w:p>
        </w:tc>
        <w:tc>
          <w:tcPr>
            <w:tcW w:w="1274" w:type="dxa"/>
            <w:tcBorders>
              <w:bottom w:val="single" w:sz="4" w:space="0" w:color="000000" w:themeColor="text1"/>
            </w:tcBorders>
            <w:shd w:val="clear" w:color="auto" w:fill="F2F2F2" w:themeFill="background1" w:themeFillShade="F2"/>
            <w:tcMar>
              <w:top w:w="0" w:type="dxa"/>
              <w:left w:w="123" w:type="dxa"/>
              <w:bottom w:w="0" w:type="dxa"/>
              <w:right w:w="123" w:type="dxa"/>
            </w:tcMar>
            <w:hideMark/>
          </w:tcPr>
          <w:p w14:paraId="121AD298" w14:textId="5E5D140E" w:rsidR="002F1E67" w:rsidRDefault="0003060C">
            <w:pPr>
              <w:spacing w:after="120" w:line="240" w:lineRule="auto"/>
              <w:ind w:right="311"/>
              <w:jc w:val="right"/>
              <w:rPr>
                <w:color w:val="000000"/>
                <w:sz w:val="20"/>
                <w:szCs w:val="20"/>
              </w:rPr>
            </w:pPr>
            <w:r>
              <w:rPr>
                <w:color w:val="000000"/>
                <w:sz w:val="20"/>
                <w:szCs w:val="20"/>
              </w:rPr>
              <w:t>1</w:t>
            </w:r>
            <w:r w:rsidR="002F1E67">
              <w:rPr>
                <w:color w:val="000000"/>
                <w:sz w:val="20"/>
                <w:szCs w:val="20"/>
              </w:rPr>
              <w:t>.5</w:t>
            </w:r>
          </w:p>
        </w:tc>
      </w:tr>
    </w:tbl>
    <w:p w14:paraId="2F209AC3" w14:textId="77777777" w:rsidR="00E82B0B" w:rsidRPr="00A10638" w:rsidRDefault="00E82B0B" w:rsidP="00800122"/>
    <w:p w14:paraId="5B7FE89B" w14:textId="49AD1B34" w:rsidR="007F6645" w:rsidRPr="000F6481" w:rsidRDefault="007F6645" w:rsidP="000F6481">
      <w:pPr>
        <w:pStyle w:val="Figure-Table-BoxSubtitle"/>
        <w:ind w:left="0"/>
      </w:pPr>
      <w:r w:rsidRPr="000F6481">
        <w:rPr>
          <w:rStyle w:val="Figure-Table-BoxHeadingChar"/>
        </w:rPr>
        <w:t xml:space="preserve">Table </w:t>
      </w:r>
      <w:r w:rsidR="00340EBB" w:rsidRPr="000F6481">
        <w:rPr>
          <w:rStyle w:val="Figure-Table-BoxHeadingChar"/>
        </w:rPr>
        <w:t>1</w:t>
      </w:r>
      <w:r w:rsidR="002E5943" w:rsidRPr="000F6481">
        <w:rPr>
          <w:rStyle w:val="Figure-Table-BoxHeadingChar"/>
        </w:rPr>
        <w:t>6</w:t>
      </w:r>
      <w:r w:rsidRPr="000F6481">
        <w:rPr>
          <w:rStyle w:val="Figure-Table-BoxHeadingChar"/>
        </w:rPr>
        <w:t>:</w:t>
      </w:r>
      <w:r w:rsidRPr="000F6481">
        <w:t xml:space="preserve"> MCA Assessment of Option</w:t>
      </w:r>
      <w:r w:rsidR="00057A0D" w:rsidRPr="000F6481">
        <w:t>s</w:t>
      </w:r>
      <w:r w:rsidRPr="000F6481">
        <w:t xml:space="preserve"> </w:t>
      </w:r>
      <w:r w:rsidR="004A3285" w:rsidRPr="000F6481">
        <w:t>B.1 and B.2: Cost to industry</w:t>
      </w:r>
    </w:p>
    <w:tbl>
      <w:tblPr>
        <w:tblW w:w="0" w:type="auto"/>
        <w:tblCellMar>
          <w:left w:w="0" w:type="dxa"/>
          <w:right w:w="0" w:type="dxa"/>
        </w:tblCellMar>
        <w:tblLook w:val="04A0" w:firstRow="1" w:lastRow="0" w:firstColumn="1" w:lastColumn="0" w:noHBand="0" w:noVBand="1"/>
      </w:tblPr>
      <w:tblGrid>
        <w:gridCol w:w="709"/>
        <w:gridCol w:w="1842"/>
        <w:gridCol w:w="4876"/>
        <w:gridCol w:w="994"/>
        <w:gridCol w:w="1217"/>
      </w:tblGrid>
      <w:tr w:rsidR="008072DB" w14:paraId="0E43F1A5" w14:textId="77777777" w:rsidTr="002331C7">
        <w:tc>
          <w:tcPr>
            <w:tcW w:w="709" w:type="dxa"/>
            <w:tcBorders>
              <w:top w:val="single" w:sz="4" w:space="0" w:color="4986A0"/>
              <w:bottom w:val="single" w:sz="4" w:space="0" w:color="4986A0"/>
            </w:tcBorders>
            <w:shd w:val="clear" w:color="auto" w:fill="4986A0"/>
            <w:tcMar>
              <w:top w:w="0" w:type="dxa"/>
              <w:left w:w="0" w:type="dxa"/>
              <w:bottom w:w="0" w:type="dxa"/>
              <w:right w:w="0" w:type="dxa"/>
            </w:tcMar>
            <w:hideMark/>
          </w:tcPr>
          <w:p w14:paraId="62B10844" w14:textId="77777777" w:rsidR="008072DB" w:rsidRDefault="008072DB" w:rsidP="00203603">
            <w:pPr>
              <w:spacing w:before="60" w:after="60" w:line="240" w:lineRule="auto"/>
              <w:jc w:val="center"/>
              <w:rPr>
                <w:color w:val="000000"/>
                <w:sz w:val="20"/>
                <w:szCs w:val="20"/>
              </w:rPr>
            </w:pPr>
            <w:r>
              <w:rPr>
                <w:b/>
                <w:bCs/>
                <w:color w:val="FFFFFF"/>
                <w:sz w:val="20"/>
                <w:szCs w:val="20"/>
              </w:rPr>
              <w:t>Option</w:t>
            </w:r>
          </w:p>
        </w:tc>
        <w:tc>
          <w:tcPr>
            <w:tcW w:w="1842"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6975DBF8" w14:textId="77777777" w:rsidR="00945B21" w:rsidRDefault="008072DB" w:rsidP="00203603">
            <w:pPr>
              <w:spacing w:before="60" w:after="60" w:line="240" w:lineRule="auto"/>
              <w:jc w:val="center"/>
              <w:rPr>
                <w:b/>
                <w:bCs/>
                <w:color w:val="FFFFFF"/>
                <w:sz w:val="20"/>
                <w:szCs w:val="20"/>
              </w:rPr>
            </w:pPr>
            <w:r>
              <w:rPr>
                <w:b/>
                <w:bCs/>
                <w:color w:val="FFFFFF"/>
                <w:sz w:val="20"/>
                <w:szCs w:val="20"/>
              </w:rPr>
              <w:t>Criteria</w:t>
            </w:r>
          </w:p>
          <w:p w14:paraId="3C971682" w14:textId="42293069" w:rsidR="008072DB" w:rsidRDefault="008072DB" w:rsidP="00203603">
            <w:pPr>
              <w:spacing w:before="60" w:after="60" w:line="240" w:lineRule="auto"/>
              <w:jc w:val="center"/>
              <w:rPr>
                <w:color w:val="000000"/>
                <w:sz w:val="20"/>
                <w:szCs w:val="20"/>
              </w:rPr>
            </w:pPr>
            <w:r>
              <w:rPr>
                <w:b/>
                <w:bCs/>
                <w:color w:val="FFFFFF"/>
                <w:sz w:val="20"/>
                <w:szCs w:val="20"/>
              </w:rPr>
              <w:t>(weighting 40%)</w:t>
            </w:r>
          </w:p>
        </w:tc>
        <w:tc>
          <w:tcPr>
            <w:tcW w:w="4876"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0B475218" w14:textId="77777777" w:rsidR="008072DB" w:rsidRDefault="008072DB" w:rsidP="00203603">
            <w:pPr>
              <w:spacing w:before="60" w:after="60" w:line="240" w:lineRule="auto"/>
              <w:jc w:val="center"/>
              <w:rPr>
                <w:color w:val="000000"/>
                <w:sz w:val="20"/>
                <w:szCs w:val="20"/>
              </w:rPr>
            </w:pPr>
            <w:r>
              <w:rPr>
                <w:b/>
                <w:bCs/>
                <w:color w:val="FFFFFF"/>
                <w:sz w:val="20"/>
                <w:szCs w:val="20"/>
              </w:rPr>
              <w:t>Assessment</w:t>
            </w:r>
          </w:p>
        </w:tc>
        <w:tc>
          <w:tcPr>
            <w:tcW w:w="994" w:type="dxa"/>
            <w:tcBorders>
              <w:top w:val="single" w:sz="4" w:space="0" w:color="4986A0"/>
              <w:bottom w:val="single" w:sz="4" w:space="0" w:color="4986A0"/>
            </w:tcBorders>
            <w:shd w:val="clear" w:color="auto" w:fill="4986A0"/>
          </w:tcPr>
          <w:p w14:paraId="5DD3CC9C" w14:textId="77777777" w:rsidR="00700E01" w:rsidRDefault="00700E01" w:rsidP="00203603">
            <w:pPr>
              <w:spacing w:before="60" w:after="60" w:line="240" w:lineRule="auto"/>
              <w:jc w:val="center"/>
              <w:rPr>
                <w:b/>
                <w:bCs/>
                <w:color w:val="FFFFFF"/>
                <w:sz w:val="20"/>
                <w:szCs w:val="20"/>
              </w:rPr>
            </w:pPr>
            <w:r>
              <w:rPr>
                <w:b/>
                <w:bCs/>
                <w:color w:val="FFFFFF"/>
                <w:sz w:val="20"/>
                <w:szCs w:val="20"/>
              </w:rPr>
              <w:t>Score</w:t>
            </w:r>
          </w:p>
          <w:p w14:paraId="66BE4E10" w14:textId="281A1573" w:rsidR="00700E01" w:rsidRDefault="00D712FD" w:rsidP="00203603">
            <w:pPr>
              <w:spacing w:before="60" w:after="60" w:line="240" w:lineRule="auto"/>
              <w:jc w:val="center"/>
              <w:rPr>
                <w:b/>
                <w:bCs/>
                <w:color w:val="FFFFFF"/>
                <w:sz w:val="20"/>
                <w:szCs w:val="20"/>
              </w:rPr>
            </w:pPr>
            <w:r>
              <w:rPr>
                <w:b/>
                <w:bCs/>
                <w:color w:val="FFFFFF"/>
                <w:sz w:val="20"/>
                <w:szCs w:val="20"/>
              </w:rPr>
              <w:t>(-10 to 10)</w:t>
            </w:r>
          </w:p>
        </w:tc>
        <w:tc>
          <w:tcPr>
            <w:tcW w:w="1217"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4A252687" w14:textId="77777777" w:rsidR="008072DB" w:rsidRDefault="008072DB" w:rsidP="00203603">
            <w:pPr>
              <w:spacing w:before="60" w:after="60" w:line="240" w:lineRule="auto"/>
              <w:jc w:val="center"/>
              <w:rPr>
                <w:color w:val="000000"/>
                <w:sz w:val="20"/>
                <w:szCs w:val="20"/>
              </w:rPr>
            </w:pPr>
            <w:r>
              <w:rPr>
                <w:b/>
                <w:bCs/>
                <w:color w:val="FFFFFF"/>
                <w:sz w:val="20"/>
                <w:szCs w:val="20"/>
              </w:rPr>
              <w:t>Weighted score</w:t>
            </w:r>
          </w:p>
        </w:tc>
      </w:tr>
      <w:tr w:rsidR="008072DB" w14:paraId="2C39FABB" w14:textId="77777777" w:rsidTr="002331C7">
        <w:trPr>
          <w:trHeight w:val="333"/>
        </w:trPr>
        <w:tc>
          <w:tcPr>
            <w:tcW w:w="709" w:type="dxa"/>
            <w:tcMar>
              <w:top w:w="0" w:type="dxa"/>
              <w:left w:w="0" w:type="dxa"/>
              <w:bottom w:w="0" w:type="dxa"/>
              <w:right w:w="0" w:type="dxa"/>
            </w:tcMar>
            <w:hideMark/>
          </w:tcPr>
          <w:p w14:paraId="5F9A104B" w14:textId="77777777" w:rsidR="008072DB" w:rsidRDefault="008072DB">
            <w:pPr>
              <w:spacing w:after="120" w:line="240" w:lineRule="auto"/>
              <w:rPr>
                <w:color w:val="000000"/>
                <w:sz w:val="20"/>
                <w:szCs w:val="20"/>
              </w:rPr>
            </w:pPr>
            <w:r>
              <w:rPr>
                <w:color w:val="000000"/>
                <w:sz w:val="20"/>
                <w:szCs w:val="20"/>
              </w:rPr>
              <w:t>B.1</w:t>
            </w:r>
          </w:p>
        </w:tc>
        <w:tc>
          <w:tcPr>
            <w:tcW w:w="1842" w:type="dxa"/>
            <w:tcMar>
              <w:top w:w="0" w:type="dxa"/>
              <w:left w:w="123" w:type="dxa"/>
              <w:bottom w:w="0" w:type="dxa"/>
              <w:right w:w="123" w:type="dxa"/>
            </w:tcMar>
            <w:hideMark/>
          </w:tcPr>
          <w:p w14:paraId="347006C8" w14:textId="77777777" w:rsidR="008072DB" w:rsidRDefault="008072DB">
            <w:pPr>
              <w:spacing w:after="120" w:line="240" w:lineRule="auto"/>
              <w:rPr>
                <w:color w:val="000000"/>
                <w:sz w:val="20"/>
                <w:szCs w:val="20"/>
              </w:rPr>
            </w:pPr>
            <w:r>
              <w:rPr>
                <w:color w:val="000000"/>
                <w:sz w:val="20"/>
                <w:szCs w:val="20"/>
              </w:rPr>
              <w:t xml:space="preserve">Cost to industry </w:t>
            </w:r>
          </w:p>
        </w:tc>
        <w:tc>
          <w:tcPr>
            <w:tcW w:w="4876" w:type="dxa"/>
            <w:tcMar>
              <w:top w:w="0" w:type="dxa"/>
              <w:left w:w="123" w:type="dxa"/>
              <w:bottom w:w="0" w:type="dxa"/>
              <w:right w:w="123" w:type="dxa"/>
            </w:tcMar>
            <w:hideMark/>
          </w:tcPr>
          <w:p w14:paraId="34E046EA" w14:textId="174AF4F9" w:rsidR="00471115" w:rsidRDefault="00C71280">
            <w:pPr>
              <w:spacing w:after="120" w:line="240" w:lineRule="auto"/>
              <w:rPr>
                <w:color w:val="000000"/>
                <w:sz w:val="20"/>
                <w:szCs w:val="20"/>
              </w:rPr>
            </w:pPr>
            <w:r>
              <w:rPr>
                <w:color w:val="000000"/>
                <w:sz w:val="20"/>
                <w:szCs w:val="20"/>
              </w:rPr>
              <w:t>Many energy retailer</w:t>
            </w:r>
            <w:r w:rsidR="001D0E88">
              <w:rPr>
                <w:color w:val="000000"/>
                <w:sz w:val="20"/>
                <w:szCs w:val="20"/>
              </w:rPr>
              <w:t xml:space="preserve">s </w:t>
            </w:r>
            <w:r w:rsidR="00B46998">
              <w:rPr>
                <w:color w:val="000000"/>
                <w:sz w:val="20"/>
                <w:szCs w:val="20"/>
              </w:rPr>
              <w:t xml:space="preserve">(representing most of the energy retail market share) </w:t>
            </w:r>
            <w:r w:rsidR="001D0E88">
              <w:rPr>
                <w:color w:val="000000"/>
                <w:sz w:val="20"/>
                <w:szCs w:val="20"/>
              </w:rPr>
              <w:t xml:space="preserve">already allow for </w:t>
            </w:r>
            <w:r w:rsidR="00471115">
              <w:rPr>
                <w:color w:val="000000"/>
                <w:sz w:val="20"/>
                <w:szCs w:val="20"/>
              </w:rPr>
              <w:t>a range of payment and billing methods and would not be required to make changes in relation to these reforms.</w:t>
            </w:r>
          </w:p>
          <w:p w14:paraId="48C0F1F5" w14:textId="0DDDFA6A" w:rsidR="008072DB" w:rsidRDefault="008072DB">
            <w:pPr>
              <w:spacing w:after="120" w:line="240" w:lineRule="auto"/>
              <w:rPr>
                <w:color w:val="000000"/>
                <w:sz w:val="20"/>
                <w:szCs w:val="20"/>
              </w:rPr>
            </w:pPr>
            <w:r>
              <w:rPr>
                <w:color w:val="000000"/>
                <w:sz w:val="20"/>
                <w:szCs w:val="20"/>
              </w:rPr>
              <w:t>Some energy retailers (</w:t>
            </w:r>
            <w:r w:rsidR="000B54EB">
              <w:rPr>
                <w:color w:val="000000"/>
                <w:sz w:val="20"/>
                <w:szCs w:val="20"/>
              </w:rPr>
              <w:t xml:space="preserve">five </w:t>
            </w:r>
            <w:r>
              <w:rPr>
                <w:color w:val="000000"/>
                <w:sz w:val="20"/>
                <w:szCs w:val="20"/>
              </w:rPr>
              <w:t xml:space="preserve">electricity and </w:t>
            </w:r>
            <w:r w:rsidR="00B766BF">
              <w:rPr>
                <w:color w:val="000000"/>
                <w:sz w:val="20"/>
                <w:szCs w:val="20"/>
              </w:rPr>
              <w:t xml:space="preserve">two </w:t>
            </w:r>
            <w:r>
              <w:rPr>
                <w:color w:val="000000"/>
                <w:sz w:val="20"/>
                <w:szCs w:val="20"/>
              </w:rPr>
              <w:t xml:space="preserve">gas retailers) </w:t>
            </w:r>
            <w:r w:rsidR="00F7585B">
              <w:rPr>
                <w:color w:val="000000"/>
                <w:sz w:val="20"/>
                <w:szCs w:val="20"/>
              </w:rPr>
              <w:t>c</w:t>
            </w:r>
            <w:r>
              <w:rPr>
                <w:color w:val="000000"/>
                <w:sz w:val="20"/>
                <w:szCs w:val="20"/>
              </w:rPr>
              <w:t xml:space="preserve">ould experience a reduction in revenue as </w:t>
            </w:r>
            <w:r w:rsidR="0089568E">
              <w:rPr>
                <w:color w:val="000000"/>
                <w:sz w:val="20"/>
                <w:szCs w:val="20"/>
              </w:rPr>
              <w:t>some</w:t>
            </w:r>
            <w:r>
              <w:rPr>
                <w:color w:val="000000"/>
                <w:sz w:val="20"/>
                <w:szCs w:val="20"/>
              </w:rPr>
              <w:t xml:space="preserve"> customers that are currently restricted </w:t>
            </w:r>
            <w:r w:rsidR="0089568E">
              <w:rPr>
                <w:color w:val="000000"/>
                <w:sz w:val="20"/>
                <w:szCs w:val="20"/>
              </w:rPr>
              <w:t xml:space="preserve">from cheaper offers </w:t>
            </w:r>
            <w:r w:rsidR="00D10C5C">
              <w:rPr>
                <w:color w:val="000000"/>
                <w:sz w:val="20"/>
                <w:szCs w:val="20"/>
              </w:rPr>
              <w:t>w</w:t>
            </w:r>
            <w:r w:rsidR="00F7585B">
              <w:rPr>
                <w:color w:val="000000"/>
                <w:sz w:val="20"/>
                <w:szCs w:val="20"/>
              </w:rPr>
              <w:t>ould</w:t>
            </w:r>
            <w:r w:rsidR="00D10C5C">
              <w:rPr>
                <w:color w:val="000000"/>
                <w:sz w:val="20"/>
                <w:szCs w:val="20"/>
              </w:rPr>
              <w:t xml:space="preserve"> be</w:t>
            </w:r>
            <w:r>
              <w:rPr>
                <w:color w:val="000000"/>
                <w:sz w:val="20"/>
                <w:szCs w:val="20"/>
              </w:rPr>
              <w:t xml:space="preserve"> able to access better deals. </w:t>
            </w:r>
          </w:p>
          <w:p w14:paraId="2D0F32E6" w14:textId="208ACEFC" w:rsidR="008072DB" w:rsidRDefault="008072DB">
            <w:pPr>
              <w:spacing w:after="120" w:line="240" w:lineRule="auto"/>
              <w:rPr>
                <w:color w:val="000000"/>
                <w:sz w:val="20"/>
                <w:szCs w:val="20"/>
              </w:rPr>
            </w:pPr>
            <w:r>
              <w:rPr>
                <w:color w:val="000000"/>
                <w:sz w:val="20"/>
                <w:szCs w:val="20"/>
              </w:rPr>
              <w:t xml:space="preserve">Payment methods such as direct debit also reduce the risk of bills not being paid on time, and this may result in an additional cost. </w:t>
            </w:r>
            <w:r w:rsidR="009F3234">
              <w:rPr>
                <w:color w:val="000000"/>
                <w:sz w:val="20"/>
                <w:szCs w:val="20"/>
              </w:rPr>
              <w:t xml:space="preserve">However, we consider that customers who </w:t>
            </w:r>
            <w:r w:rsidR="00844696">
              <w:rPr>
                <w:color w:val="000000"/>
                <w:sz w:val="20"/>
                <w:szCs w:val="20"/>
              </w:rPr>
              <w:t>currently cannot access</w:t>
            </w:r>
            <w:r w:rsidR="009F3234">
              <w:rPr>
                <w:color w:val="000000"/>
                <w:sz w:val="20"/>
                <w:szCs w:val="20"/>
              </w:rPr>
              <w:t xml:space="preserve"> direct debit </w:t>
            </w:r>
            <w:r w:rsidR="00C0385C">
              <w:rPr>
                <w:color w:val="000000"/>
                <w:sz w:val="20"/>
                <w:szCs w:val="20"/>
              </w:rPr>
              <w:t>are already more likely to be missing bill payments.</w:t>
            </w:r>
            <w:r w:rsidR="009F3234">
              <w:rPr>
                <w:color w:val="000000"/>
                <w:sz w:val="20"/>
                <w:szCs w:val="20"/>
              </w:rPr>
              <w:t xml:space="preserve"> </w:t>
            </w:r>
          </w:p>
          <w:p w14:paraId="672DAEBE" w14:textId="4A0293E2" w:rsidR="008072DB" w:rsidRDefault="008072DB">
            <w:pPr>
              <w:spacing w:after="120" w:line="240" w:lineRule="auto"/>
              <w:rPr>
                <w:color w:val="000000"/>
                <w:sz w:val="20"/>
                <w:szCs w:val="20"/>
              </w:rPr>
            </w:pPr>
            <w:r>
              <w:rPr>
                <w:color w:val="000000"/>
                <w:sz w:val="20"/>
                <w:szCs w:val="20"/>
              </w:rPr>
              <w:t>This option acknowledges that paper</w:t>
            </w:r>
            <w:r w:rsidR="001F5463">
              <w:rPr>
                <w:color w:val="000000"/>
                <w:sz w:val="20"/>
                <w:szCs w:val="20"/>
              </w:rPr>
              <w:t>-</w:t>
            </w:r>
            <w:r>
              <w:rPr>
                <w:color w:val="000000"/>
                <w:sz w:val="20"/>
                <w:szCs w:val="20"/>
              </w:rPr>
              <w:t xml:space="preserve">based or in-person transactions are more costly to process than direct debit or e-billing payment. Therefore, the ability to apply service charges </w:t>
            </w:r>
            <w:r w:rsidR="009360E4">
              <w:rPr>
                <w:color w:val="000000"/>
                <w:sz w:val="20"/>
                <w:szCs w:val="20"/>
              </w:rPr>
              <w:t>or incentiv</w:t>
            </w:r>
            <w:r w:rsidR="00D24B3A">
              <w:rPr>
                <w:color w:val="000000"/>
                <w:sz w:val="20"/>
                <w:szCs w:val="20"/>
              </w:rPr>
              <w:t>i</w:t>
            </w:r>
            <w:r w:rsidR="001C423B">
              <w:rPr>
                <w:color w:val="000000"/>
                <w:sz w:val="20"/>
                <w:szCs w:val="20"/>
              </w:rPr>
              <w:t>se</w:t>
            </w:r>
            <w:r w:rsidR="00D24B3A">
              <w:rPr>
                <w:color w:val="000000"/>
                <w:sz w:val="20"/>
                <w:szCs w:val="20"/>
              </w:rPr>
              <w:t>e</w:t>
            </w:r>
            <w:r w:rsidR="009360E4">
              <w:rPr>
                <w:color w:val="000000"/>
                <w:sz w:val="20"/>
                <w:szCs w:val="20"/>
              </w:rPr>
              <w:t xml:space="preserve"> discounts </w:t>
            </w:r>
            <w:r>
              <w:rPr>
                <w:color w:val="000000"/>
                <w:sz w:val="20"/>
                <w:szCs w:val="20"/>
              </w:rPr>
              <w:t xml:space="preserve">to other payment methods would help energy </w:t>
            </w:r>
            <w:r w:rsidR="00D24B3A">
              <w:rPr>
                <w:color w:val="000000"/>
                <w:sz w:val="20"/>
                <w:szCs w:val="20"/>
              </w:rPr>
              <w:t xml:space="preserve">retailers </w:t>
            </w:r>
            <w:r>
              <w:rPr>
                <w:color w:val="000000"/>
                <w:sz w:val="20"/>
                <w:szCs w:val="20"/>
              </w:rPr>
              <w:t>recoup such costs</w:t>
            </w:r>
            <w:r w:rsidR="00811C8B">
              <w:rPr>
                <w:color w:val="000000"/>
                <w:sz w:val="20"/>
                <w:szCs w:val="20"/>
              </w:rPr>
              <w:t xml:space="preserve"> and potentially foregone revenue</w:t>
            </w:r>
            <w:r>
              <w:rPr>
                <w:color w:val="000000"/>
                <w:sz w:val="20"/>
                <w:szCs w:val="20"/>
              </w:rPr>
              <w:t>.</w:t>
            </w:r>
          </w:p>
        </w:tc>
        <w:tc>
          <w:tcPr>
            <w:tcW w:w="994" w:type="dxa"/>
          </w:tcPr>
          <w:p w14:paraId="667DC060" w14:textId="083366F4" w:rsidR="00700E01" w:rsidRDefault="00700E01">
            <w:pPr>
              <w:spacing w:after="120" w:line="240" w:lineRule="auto"/>
              <w:ind w:right="311"/>
              <w:jc w:val="right"/>
              <w:rPr>
                <w:color w:val="000000"/>
                <w:sz w:val="20"/>
                <w:szCs w:val="20"/>
              </w:rPr>
            </w:pPr>
            <w:r>
              <w:rPr>
                <w:color w:val="000000"/>
                <w:sz w:val="20"/>
                <w:szCs w:val="20"/>
              </w:rPr>
              <w:t>-</w:t>
            </w:r>
            <w:r w:rsidR="00327499">
              <w:rPr>
                <w:color w:val="000000"/>
                <w:sz w:val="20"/>
                <w:szCs w:val="20"/>
              </w:rPr>
              <w:t>1</w:t>
            </w:r>
            <w:r>
              <w:rPr>
                <w:color w:val="000000"/>
                <w:sz w:val="20"/>
                <w:szCs w:val="20"/>
              </w:rPr>
              <w:t>.5</w:t>
            </w:r>
          </w:p>
        </w:tc>
        <w:tc>
          <w:tcPr>
            <w:tcW w:w="1217" w:type="dxa"/>
            <w:tcMar>
              <w:top w:w="0" w:type="dxa"/>
              <w:left w:w="123" w:type="dxa"/>
              <w:bottom w:w="0" w:type="dxa"/>
              <w:right w:w="123" w:type="dxa"/>
            </w:tcMar>
            <w:hideMark/>
          </w:tcPr>
          <w:p w14:paraId="5E9599CB" w14:textId="469E92C1" w:rsidR="008072DB" w:rsidRDefault="008072DB">
            <w:pPr>
              <w:spacing w:after="120" w:line="240" w:lineRule="auto"/>
              <w:ind w:right="311"/>
              <w:jc w:val="right"/>
              <w:rPr>
                <w:color w:val="000000"/>
                <w:sz w:val="20"/>
                <w:szCs w:val="20"/>
              </w:rPr>
            </w:pPr>
            <w:r>
              <w:rPr>
                <w:color w:val="000000"/>
                <w:sz w:val="20"/>
                <w:szCs w:val="20"/>
              </w:rPr>
              <w:t>-</w:t>
            </w:r>
            <w:r w:rsidR="00DF002C">
              <w:rPr>
                <w:color w:val="000000"/>
                <w:sz w:val="20"/>
                <w:szCs w:val="20"/>
              </w:rPr>
              <w:t>0.6</w:t>
            </w:r>
          </w:p>
        </w:tc>
      </w:tr>
      <w:tr w:rsidR="008072DB" w14:paraId="46C398BC" w14:textId="77777777" w:rsidTr="002331C7">
        <w:tc>
          <w:tcPr>
            <w:tcW w:w="709" w:type="dxa"/>
            <w:tcBorders>
              <w:bottom w:val="single" w:sz="4" w:space="0" w:color="000000"/>
            </w:tcBorders>
            <w:shd w:val="clear" w:color="auto" w:fill="F2F2F2"/>
            <w:tcMar>
              <w:top w:w="0" w:type="dxa"/>
              <w:left w:w="0" w:type="dxa"/>
              <w:bottom w:w="0" w:type="dxa"/>
              <w:right w:w="0" w:type="dxa"/>
            </w:tcMar>
            <w:hideMark/>
          </w:tcPr>
          <w:p w14:paraId="4754A6AF" w14:textId="77777777" w:rsidR="008072DB" w:rsidRDefault="008072DB">
            <w:pPr>
              <w:spacing w:after="120" w:line="240" w:lineRule="auto"/>
              <w:rPr>
                <w:color w:val="000000"/>
                <w:sz w:val="20"/>
                <w:szCs w:val="20"/>
              </w:rPr>
            </w:pPr>
            <w:r>
              <w:rPr>
                <w:color w:val="000000"/>
                <w:sz w:val="20"/>
                <w:szCs w:val="20"/>
              </w:rPr>
              <w:t>B.2</w:t>
            </w:r>
          </w:p>
        </w:tc>
        <w:tc>
          <w:tcPr>
            <w:tcW w:w="1842" w:type="dxa"/>
            <w:tcBorders>
              <w:bottom w:val="single" w:sz="4" w:space="0" w:color="000000"/>
            </w:tcBorders>
            <w:shd w:val="clear" w:color="auto" w:fill="F2F2F2"/>
            <w:tcMar>
              <w:top w:w="0" w:type="dxa"/>
              <w:left w:w="123" w:type="dxa"/>
              <w:bottom w:w="0" w:type="dxa"/>
              <w:right w:w="123" w:type="dxa"/>
            </w:tcMar>
            <w:hideMark/>
          </w:tcPr>
          <w:p w14:paraId="158B5DBF" w14:textId="77777777" w:rsidR="008072DB" w:rsidRDefault="008072DB">
            <w:pPr>
              <w:spacing w:after="120" w:line="240" w:lineRule="auto"/>
              <w:rPr>
                <w:color w:val="000000"/>
                <w:sz w:val="20"/>
                <w:szCs w:val="20"/>
              </w:rPr>
            </w:pPr>
            <w:r>
              <w:rPr>
                <w:color w:val="000000"/>
                <w:sz w:val="20"/>
                <w:szCs w:val="20"/>
              </w:rPr>
              <w:t>Cost to industry</w:t>
            </w:r>
          </w:p>
        </w:tc>
        <w:tc>
          <w:tcPr>
            <w:tcW w:w="4876" w:type="dxa"/>
            <w:tcBorders>
              <w:bottom w:val="single" w:sz="4" w:space="0" w:color="000000"/>
            </w:tcBorders>
            <w:shd w:val="clear" w:color="auto" w:fill="F2F2F2"/>
            <w:tcMar>
              <w:top w:w="0" w:type="dxa"/>
              <w:left w:w="123" w:type="dxa"/>
              <w:bottom w:w="0" w:type="dxa"/>
              <w:right w:w="123" w:type="dxa"/>
            </w:tcMar>
            <w:hideMark/>
          </w:tcPr>
          <w:p w14:paraId="7F5BD309" w14:textId="26AFFA79" w:rsidR="00471115" w:rsidRDefault="008072DB">
            <w:pPr>
              <w:spacing w:after="120" w:line="240" w:lineRule="auto"/>
              <w:rPr>
                <w:color w:val="000000"/>
                <w:sz w:val="20"/>
                <w:szCs w:val="20"/>
              </w:rPr>
            </w:pPr>
            <w:r>
              <w:rPr>
                <w:color w:val="000000"/>
                <w:sz w:val="20"/>
                <w:szCs w:val="20"/>
              </w:rPr>
              <w:t>As with Option B</w:t>
            </w:r>
            <w:r w:rsidR="00E6131E">
              <w:rPr>
                <w:color w:val="000000"/>
                <w:sz w:val="20"/>
                <w:szCs w:val="20"/>
              </w:rPr>
              <w:t>.</w:t>
            </w:r>
            <w:r>
              <w:rPr>
                <w:color w:val="000000"/>
                <w:sz w:val="20"/>
                <w:szCs w:val="20"/>
              </w:rPr>
              <w:t xml:space="preserve">1, </w:t>
            </w:r>
            <w:r w:rsidR="00471115">
              <w:rPr>
                <w:color w:val="000000"/>
                <w:sz w:val="20"/>
                <w:szCs w:val="20"/>
              </w:rPr>
              <w:t>m</w:t>
            </w:r>
            <w:r w:rsidR="00471115" w:rsidRPr="00471115">
              <w:rPr>
                <w:color w:val="000000"/>
                <w:sz w:val="20"/>
                <w:szCs w:val="20"/>
              </w:rPr>
              <w:t xml:space="preserve">any energy retailers </w:t>
            </w:r>
            <w:r w:rsidR="00B46998">
              <w:rPr>
                <w:color w:val="000000"/>
                <w:sz w:val="20"/>
                <w:szCs w:val="20"/>
              </w:rPr>
              <w:t>(representing most of the energy retail market share)</w:t>
            </w:r>
            <w:r w:rsidR="00471115" w:rsidRPr="00471115">
              <w:rPr>
                <w:color w:val="000000"/>
                <w:sz w:val="20"/>
                <w:szCs w:val="20"/>
              </w:rPr>
              <w:t xml:space="preserve"> already allow for a range of payment and billing methods and would not be required to make changes in relation to these reforms.</w:t>
            </w:r>
          </w:p>
          <w:p w14:paraId="236DB0AC" w14:textId="1A52D00D" w:rsidR="00C614C8" w:rsidRDefault="008942F1" w:rsidP="00E76648">
            <w:pPr>
              <w:spacing w:after="120" w:line="240" w:lineRule="auto"/>
              <w:rPr>
                <w:color w:val="000000"/>
                <w:sz w:val="20"/>
                <w:szCs w:val="20"/>
              </w:rPr>
            </w:pPr>
            <w:r>
              <w:rPr>
                <w:color w:val="000000"/>
                <w:sz w:val="20"/>
                <w:szCs w:val="20"/>
              </w:rPr>
              <w:t>A</w:t>
            </w:r>
            <w:r w:rsidR="00471115">
              <w:rPr>
                <w:color w:val="000000"/>
                <w:sz w:val="20"/>
                <w:szCs w:val="20"/>
              </w:rPr>
              <w:t xml:space="preserve">s with Option B.1, </w:t>
            </w:r>
            <w:r w:rsidR="008072DB">
              <w:rPr>
                <w:color w:val="000000"/>
                <w:sz w:val="20"/>
                <w:szCs w:val="20"/>
              </w:rPr>
              <w:t xml:space="preserve">some energy retailers </w:t>
            </w:r>
            <w:r w:rsidR="001E3975">
              <w:rPr>
                <w:color w:val="000000"/>
                <w:sz w:val="20"/>
                <w:szCs w:val="20"/>
              </w:rPr>
              <w:t>c</w:t>
            </w:r>
            <w:r w:rsidR="008072DB">
              <w:rPr>
                <w:color w:val="000000"/>
                <w:sz w:val="20"/>
                <w:szCs w:val="20"/>
              </w:rPr>
              <w:t xml:space="preserve">ould experience a reduction in revenue as customers </w:t>
            </w:r>
            <w:r w:rsidR="001E3975">
              <w:rPr>
                <w:color w:val="000000"/>
                <w:sz w:val="20"/>
                <w:szCs w:val="20"/>
              </w:rPr>
              <w:t xml:space="preserve">would be </w:t>
            </w:r>
            <w:r w:rsidR="008072DB">
              <w:rPr>
                <w:color w:val="000000"/>
                <w:sz w:val="20"/>
                <w:szCs w:val="20"/>
              </w:rPr>
              <w:t xml:space="preserve">able to </w:t>
            </w:r>
            <w:r w:rsidR="00E33945">
              <w:rPr>
                <w:color w:val="000000"/>
                <w:sz w:val="20"/>
                <w:szCs w:val="20"/>
              </w:rPr>
              <w:t>move t</w:t>
            </w:r>
            <w:r w:rsidR="006B7DF9">
              <w:rPr>
                <w:color w:val="000000"/>
                <w:sz w:val="20"/>
                <w:szCs w:val="20"/>
              </w:rPr>
              <w:t>o</w:t>
            </w:r>
            <w:r w:rsidR="00E33945">
              <w:rPr>
                <w:color w:val="000000"/>
                <w:sz w:val="20"/>
                <w:szCs w:val="20"/>
              </w:rPr>
              <w:t xml:space="preserve"> </w:t>
            </w:r>
            <w:r w:rsidR="001E3975">
              <w:rPr>
                <w:color w:val="000000"/>
                <w:sz w:val="20"/>
                <w:szCs w:val="20"/>
              </w:rPr>
              <w:t>cheaper offer</w:t>
            </w:r>
            <w:r w:rsidR="00E33945">
              <w:rPr>
                <w:color w:val="000000"/>
                <w:sz w:val="20"/>
                <w:szCs w:val="20"/>
              </w:rPr>
              <w:t>s</w:t>
            </w:r>
            <w:r w:rsidR="00B351B0">
              <w:rPr>
                <w:color w:val="000000"/>
                <w:sz w:val="20"/>
                <w:szCs w:val="20"/>
              </w:rPr>
              <w:t xml:space="preserve"> with their sa</w:t>
            </w:r>
            <w:r w:rsidR="00421E8A">
              <w:rPr>
                <w:color w:val="000000"/>
                <w:sz w:val="20"/>
                <w:szCs w:val="20"/>
              </w:rPr>
              <w:t>me retailer</w:t>
            </w:r>
            <w:r w:rsidR="001E3975">
              <w:rPr>
                <w:color w:val="000000"/>
                <w:sz w:val="20"/>
                <w:szCs w:val="20"/>
              </w:rPr>
              <w:t xml:space="preserve"> </w:t>
            </w:r>
            <w:r w:rsidR="008072DB">
              <w:rPr>
                <w:color w:val="000000"/>
                <w:sz w:val="20"/>
                <w:szCs w:val="20"/>
              </w:rPr>
              <w:t>that are currently restricted.</w:t>
            </w:r>
            <w:r w:rsidR="006C06FF">
              <w:rPr>
                <w:color w:val="000000"/>
                <w:sz w:val="20"/>
                <w:szCs w:val="20"/>
              </w:rPr>
              <w:t xml:space="preserve"> </w:t>
            </w:r>
            <w:r w:rsidR="00776EA1">
              <w:rPr>
                <w:color w:val="000000"/>
                <w:sz w:val="20"/>
                <w:szCs w:val="20"/>
              </w:rPr>
              <w:t>However,</w:t>
            </w:r>
            <w:r w:rsidR="006D0919">
              <w:rPr>
                <w:color w:val="000000"/>
                <w:sz w:val="20"/>
                <w:szCs w:val="20"/>
              </w:rPr>
              <w:t xml:space="preserve"> the number of customers </w:t>
            </w:r>
            <w:r w:rsidR="00776EA1">
              <w:rPr>
                <w:color w:val="000000"/>
                <w:sz w:val="20"/>
                <w:szCs w:val="20"/>
              </w:rPr>
              <w:t>who</w:t>
            </w:r>
            <w:r w:rsidR="006D0919">
              <w:rPr>
                <w:color w:val="000000"/>
                <w:sz w:val="20"/>
                <w:szCs w:val="20"/>
              </w:rPr>
              <w:t xml:space="preserve"> </w:t>
            </w:r>
            <w:r w:rsidR="00A810E7">
              <w:rPr>
                <w:color w:val="000000"/>
                <w:sz w:val="20"/>
                <w:szCs w:val="20"/>
              </w:rPr>
              <w:t>will switch to cheaper offers with the same retailer due to these reforms is not expected to be significant.</w:t>
            </w:r>
            <w:r w:rsidR="008072DB">
              <w:rPr>
                <w:color w:val="000000"/>
                <w:sz w:val="20"/>
                <w:szCs w:val="20"/>
              </w:rPr>
              <w:t xml:space="preserve"> </w:t>
            </w:r>
          </w:p>
          <w:p w14:paraId="699ED604" w14:textId="77777777" w:rsidR="007C1523" w:rsidRDefault="008E52A5">
            <w:pPr>
              <w:spacing w:after="120" w:line="240" w:lineRule="auto"/>
              <w:rPr>
                <w:color w:val="000000"/>
                <w:sz w:val="20"/>
                <w:szCs w:val="20"/>
              </w:rPr>
            </w:pPr>
            <w:r>
              <w:rPr>
                <w:color w:val="000000"/>
                <w:sz w:val="20"/>
                <w:szCs w:val="20"/>
              </w:rPr>
              <w:t>In addition</w:t>
            </w:r>
            <w:r w:rsidR="008072DB">
              <w:rPr>
                <w:color w:val="000000"/>
                <w:sz w:val="20"/>
                <w:szCs w:val="20"/>
              </w:rPr>
              <w:t xml:space="preserve">, with service charges set as ‘reasonable costs’ (and capping of discounts) energy retailers will have a </w:t>
            </w:r>
            <w:r w:rsidR="00E6131E">
              <w:rPr>
                <w:color w:val="000000"/>
                <w:sz w:val="20"/>
                <w:szCs w:val="20"/>
              </w:rPr>
              <w:t>more</w:t>
            </w:r>
            <w:r w:rsidR="008072DB">
              <w:rPr>
                <w:color w:val="000000"/>
                <w:sz w:val="20"/>
                <w:szCs w:val="20"/>
              </w:rPr>
              <w:t xml:space="preserve"> limited ability to recoup revenue forgone</w:t>
            </w:r>
            <w:r w:rsidR="00E6131E">
              <w:rPr>
                <w:color w:val="000000"/>
                <w:sz w:val="20"/>
                <w:szCs w:val="20"/>
              </w:rPr>
              <w:t xml:space="preserve"> compared to Option B.1</w:t>
            </w:r>
            <w:r w:rsidR="00CE3790">
              <w:rPr>
                <w:color w:val="000000"/>
                <w:sz w:val="20"/>
                <w:szCs w:val="20"/>
              </w:rPr>
              <w:t>.</w:t>
            </w:r>
            <w:r w:rsidR="008072DB">
              <w:rPr>
                <w:color w:val="000000"/>
                <w:sz w:val="20"/>
                <w:szCs w:val="20"/>
              </w:rPr>
              <w:t xml:space="preserve"> </w:t>
            </w:r>
          </w:p>
          <w:p w14:paraId="1E981785" w14:textId="699CA6ED" w:rsidR="008072DB" w:rsidRDefault="007C1523">
            <w:pPr>
              <w:spacing w:after="120" w:line="240" w:lineRule="auto"/>
              <w:rPr>
                <w:color w:val="000000"/>
                <w:sz w:val="20"/>
                <w:szCs w:val="20"/>
              </w:rPr>
            </w:pPr>
            <w:r w:rsidRPr="007C1523">
              <w:rPr>
                <w:color w:val="000000"/>
                <w:sz w:val="20"/>
                <w:szCs w:val="20"/>
              </w:rPr>
              <w:t xml:space="preserve">We note that some of the few retailers who currently have restricted plans may lose new customers if discounts are capped, as they might not be able to </w:t>
            </w:r>
            <w:r w:rsidRPr="007C1523">
              <w:rPr>
                <w:color w:val="000000"/>
                <w:sz w:val="20"/>
                <w:szCs w:val="20"/>
              </w:rPr>
              <w:lastRenderedPageBreak/>
              <w:t xml:space="preserve">offer plans as cheap as other retailers, which may impact their market share and result in a potential loss of future revenue. </w:t>
            </w:r>
            <w:r w:rsidR="008072DB">
              <w:rPr>
                <w:color w:val="000000"/>
                <w:sz w:val="20"/>
                <w:szCs w:val="20"/>
              </w:rPr>
              <w:t xml:space="preserve">Therefore, </w:t>
            </w:r>
            <w:r w:rsidR="00E6131E">
              <w:rPr>
                <w:color w:val="000000"/>
                <w:sz w:val="20"/>
                <w:szCs w:val="20"/>
              </w:rPr>
              <w:t>this option</w:t>
            </w:r>
            <w:r w:rsidR="008072DB">
              <w:rPr>
                <w:color w:val="000000"/>
                <w:sz w:val="20"/>
                <w:szCs w:val="20"/>
              </w:rPr>
              <w:t xml:space="preserve"> will impose higher costs on industry compared with Option B</w:t>
            </w:r>
            <w:r w:rsidR="00E6131E">
              <w:rPr>
                <w:color w:val="000000"/>
                <w:sz w:val="20"/>
                <w:szCs w:val="20"/>
              </w:rPr>
              <w:t>.</w:t>
            </w:r>
            <w:r w:rsidR="008072DB">
              <w:rPr>
                <w:color w:val="000000"/>
                <w:sz w:val="20"/>
                <w:szCs w:val="20"/>
              </w:rPr>
              <w:t>1</w:t>
            </w:r>
            <w:r w:rsidR="008F0F49">
              <w:rPr>
                <w:color w:val="000000"/>
                <w:sz w:val="20"/>
                <w:szCs w:val="20"/>
              </w:rPr>
              <w:t>.</w:t>
            </w:r>
          </w:p>
        </w:tc>
        <w:tc>
          <w:tcPr>
            <w:tcW w:w="994" w:type="dxa"/>
            <w:tcBorders>
              <w:bottom w:val="single" w:sz="4" w:space="0" w:color="000000"/>
            </w:tcBorders>
            <w:shd w:val="clear" w:color="auto" w:fill="F2F2F2"/>
          </w:tcPr>
          <w:p w14:paraId="37F99001" w14:textId="617783F1" w:rsidR="00700E01" w:rsidRDefault="00700E01">
            <w:pPr>
              <w:spacing w:after="120" w:line="240" w:lineRule="auto"/>
              <w:ind w:right="311"/>
              <w:jc w:val="right"/>
              <w:rPr>
                <w:color w:val="000000"/>
                <w:sz w:val="20"/>
                <w:szCs w:val="20"/>
              </w:rPr>
            </w:pPr>
            <w:r>
              <w:rPr>
                <w:color w:val="000000"/>
                <w:sz w:val="20"/>
                <w:szCs w:val="20"/>
              </w:rPr>
              <w:lastRenderedPageBreak/>
              <w:t>-</w:t>
            </w:r>
            <w:r w:rsidR="00DF002C">
              <w:rPr>
                <w:color w:val="000000"/>
                <w:sz w:val="20"/>
                <w:szCs w:val="20"/>
              </w:rPr>
              <w:t>2</w:t>
            </w:r>
          </w:p>
        </w:tc>
        <w:tc>
          <w:tcPr>
            <w:tcW w:w="1217" w:type="dxa"/>
            <w:tcBorders>
              <w:bottom w:val="single" w:sz="4" w:space="0" w:color="000000"/>
            </w:tcBorders>
            <w:shd w:val="clear" w:color="auto" w:fill="F2F2F2"/>
            <w:tcMar>
              <w:top w:w="0" w:type="dxa"/>
              <w:left w:w="123" w:type="dxa"/>
              <w:bottom w:w="0" w:type="dxa"/>
              <w:right w:w="123" w:type="dxa"/>
            </w:tcMar>
            <w:hideMark/>
          </w:tcPr>
          <w:p w14:paraId="4BCB0675" w14:textId="3FEB8633" w:rsidR="008072DB" w:rsidRDefault="008072DB">
            <w:pPr>
              <w:spacing w:after="120" w:line="240" w:lineRule="auto"/>
              <w:ind w:right="311"/>
              <w:jc w:val="right"/>
              <w:rPr>
                <w:color w:val="000000"/>
                <w:sz w:val="20"/>
                <w:szCs w:val="20"/>
              </w:rPr>
            </w:pPr>
            <w:r>
              <w:rPr>
                <w:color w:val="000000"/>
                <w:sz w:val="20"/>
                <w:szCs w:val="20"/>
              </w:rPr>
              <w:t>-</w:t>
            </w:r>
            <w:r w:rsidR="00DF002C">
              <w:rPr>
                <w:color w:val="000000"/>
                <w:sz w:val="20"/>
                <w:szCs w:val="20"/>
              </w:rPr>
              <w:t>0.8</w:t>
            </w:r>
          </w:p>
        </w:tc>
      </w:tr>
    </w:tbl>
    <w:p w14:paraId="733814E3" w14:textId="76F6299F" w:rsidR="009B58A0" w:rsidRPr="009B58A0" w:rsidRDefault="009B58A0" w:rsidP="003A49F5"/>
    <w:p w14:paraId="64B8D654" w14:textId="062F575F" w:rsidR="008C5690" w:rsidRPr="000F6481" w:rsidRDefault="008C5690" w:rsidP="000F6481">
      <w:pPr>
        <w:pStyle w:val="Figure-Table-BoxSubtitle"/>
        <w:ind w:left="0"/>
      </w:pPr>
      <w:r w:rsidRPr="000F6481">
        <w:rPr>
          <w:rStyle w:val="Figure-Table-BoxHeadingChar"/>
        </w:rPr>
        <w:t xml:space="preserve">Table </w:t>
      </w:r>
      <w:r w:rsidRPr="000F6481">
        <w:rPr>
          <w:rStyle w:val="Figure-Table-BoxHeadingChar"/>
        </w:rPr>
        <w:fldChar w:fldCharType="begin"/>
      </w:r>
      <w:r w:rsidRPr="000F6481">
        <w:rPr>
          <w:rStyle w:val="Figure-Table-BoxHeadingChar"/>
        </w:rPr>
        <w:instrText xml:space="preserve"> SEQ Table \* ARABIC </w:instrText>
      </w:r>
      <w:r w:rsidRPr="000F6481">
        <w:rPr>
          <w:rStyle w:val="Figure-Table-BoxHeadingChar"/>
        </w:rPr>
        <w:fldChar w:fldCharType="separate"/>
      </w:r>
      <w:r w:rsidR="009A244B">
        <w:rPr>
          <w:rStyle w:val="Figure-Table-BoxHeadingChar"/>
          <w:noProof/>
        </w:rPr>
        <w:t>2</w:t>
      </w:r>
      <w:r w:rsidRPr="000F6481">
        <w:rPr>
          <w:rStyle w:val="Figure-Table-BoxHeadingChar"/>
        </w:rPr>
        <w:fldChar w:fldCharType="end"/>
      </w:r>
      <w:r w:rsidR="002E5943" w:rsidRPr="000F6481">
        <w:rPr>
          <w:rStyle w:val="Figure-Table-BoxHeadingChar"/>
        </w:rPr>
        <w:t>7</w:t>
      </w:r>
      <w:r w:rsidRPr="000F6481">
        <w:rPr>
          <w:rStyle w:val="Figure-Table-BoxHeadingChar"/>
        </w:rPr>
        <w:t>:</w:t>
      </w:r>
      <w:r w:rsidRPr="000F6481">
        <w:t xml:space="preserve"> MCA Assessment of Option</w:t>
      </w:r>
      <w:r w:rsidR="00057A0D" w:rsidRPr="000F6481">
        <w:t>s</w:t>
      </w:r>
      <w:r w:rsidRPr="000F6481">
        <w:t xml:space="preserve"> B.1 and B.2: Cost to government</w:t>
      </w:r>
    </w:p>
    <w:tbl>
      <w:tblPr>
        <w:tblW w:w="0" w:type="auto"/>
        <w:tblCellMar>
          <w:left w:w="0" w:type="dxa"/>
          <w:right w:w="0" w:type="dxa"/>
        </w:tblCellMar>
        <w:tblLook w:val="04A0" w:firstRow="1" w:lastRow="0" w:firstColumn="1" w:lastColumn="0" w:noHBand="0" w:noVBand="1"/>
      </w:tblPr>
      <w:tblGrid>
        <w:gridCol w:w="709"/>
        <w:gridCol w:w="2058"/>
        <w:gridCol w:w="4693"/>
        <w:gridCol w:w="964"/>
        <w:gridCol w:w="1214"/>
      </w:tblGrid>
      <w:tr w:rsidR="00766C77" w14:paraId="4AC089C3" w14:textId="77777777" w:rsidTr="009F4FAD">
        <w:tc>
          <w:tcPr>
            <w:tcW w:w="709" w:type="dxa"/>
            <w:tcBorders>
              <w:top w:val="single" w:sz="4" w:space="0" w:color="4986A0"/>
              <w:bottom w:val="single" w:sz="4" w:space="0" w:color="4986A0"/>
            </w:tcBorders>
            <w:shd w:val="clear" w:color="auto" w:fill="4986A0"/>
            <w:tcMar>
              <w:top w:w="0" w:type="dxa"/>
              <w:left w:w="0" w:type="dxa"/>
              <w:bottom w:w="0" w:type="dxa"/>
              <w:right w:w="0" w:type="dxa"/>
            </w:tcMar>
            <w:hideMark/>
          </w:tcPr>
          <w:p w14:paraId="60761437" w14:textId="77777777" w:rsidR="00766C77" w:rsidRDefault="00766C77" w:rsidP="00203603">
            <w:pPr>
              <w:spacing w:before="60" w:after="60" w:line="240" w:lineRule="auto"/>
              <w:jc w:val="center"/>
              <w:rPr>
                <w:color w:val="000000"/>
                <w:sz w:val="20"/>
                <w:szCs w:val="20"/>
              </w:rPr>
            </w:pPr>
            <w:r>
              <w:rPr>
                <w:b/>
                <w:bCs/>
                <w:color w:val="FFFFFF"/>
                <w:sz w:val="20"/>
                <w:szCs w:val="20"/>
              </w:rPr>
              <w:t>Option</w:t>
            </w:r>
          </w:p>
        </w:tc>
        <w:tc>
          <w:tcPr>
            <w:tcW w:w="2058"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2CF262DD" w14:textId="77777777" w:rsidR="00766C77" w:rsidRDefault="00766C77" w:rsidP="00203603">
            <w:pPr>
              <w:spacing w:before="60" w:after="60" w:line="240" w:lineRule="auto"/>
              <w:jc w:val="center"/>
              <w:rPr>
                <w:color w:val="000000"/>
                <w:sz w:val="20"/>
                <w:szCs w:val="20"/>
              </w:rPr>
            </w:pPr>
            <w:r>
              <w:rPr>
                <w:b/>
                <w:bCs/>
                <w:color w:val="FFFFFF"/>
                <w:sz w:val="20"/>
                <w:szCs w:val="20"/>
              </w:rPr>
              <w:t>Criteria</w:t>
            </w:r>
            <w:r>
              <w:rPr>
                <w:color w:val="000000"/>
                <w:sz w:val="20"/>
                <w:szCs w:val="20"/>
              </w:rPr>
              <w:br/>
            </w:r>
            <w:r>
              <w:rPr>
                <w:b/>
                <w:bCs/>
                <w:color w:val="FFFFFF"/>
                <w:sz w:val="20"/>
                <w:szCs w:val="20"/>
              </w:rPr>
              <w:t>(weighting 10%)</w:t>
            </w:r>
          </w:p>
        </w:tc>
        <w:tc>
          <w:tcPr>
            <w:tcW w:w="4693"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69C78CCD" w14:textId="77777777" w:rsidR="00766C77" w:rsidRDefault="00766C77" w:rsidP="00203603">
            <w:pPr>
              <w:spacing w:before="60" w:after="60" w:line="240" w:lineRule="auto"/>
              <w:jc w:val="center"/>
              <w:rPr>
                <w:color w:val="000000"/>
                <w:sz w:val="20"/>
                <w:szCs w:val="20"/>
              </w:rPr>
            </w:pPr>
            <w:r>
              <w:rPr>
                <w:b/>
                <w:bCs/>
                <w:color w:val="FFFFFF"/>
                <w:sz w:val="20"/>
                <w:szCs w:val="20"/>
              </w:rPr>
              <w:t>Assessment</w:t>
            </w:r>
          </w:p>
        </w:tc>
        <w:tc>
          <w:tcPr>
            <w:tcW w:w="964" w:type="dxa"/>
            <w:tcBorders>
              <w:top w:val="single" w:sz="4" w:space="0" w:color="4986A0"/>
              <w:bottom w:val="single" w:sz="4" w:space="0" w:color="4986A0"/>
            </w:tcBorders>
            <w:shd w:val="clear" w:color="auto" w:fill="4986A0"/>
          </w:tcPr>
          <w:p w14:paraId="7B89D8A0" w14:textId="77777777" w:rsidR="008F0F49" w:rsidRDefault="008F0F49" w:rsidP="00203603">
            <w:pPr>
              <w:spacing w:before="60" w:after="60" w:line="240" w:lineRule="auto"/>
              <w:jc w:val="center"/>
              <w:rPr>
                <w:b/>
                <w:bCs/>
                <w:color w:val="FFFFFF"/>
                <w:sz w:val="20"/>
                <w:szCs w:val="20"/>
              </w:rPr>
            </w:pPr>
            <w:r>
              <w:rPr>
                <w:b/>
                <w:bCs/>
                <w:color w:val="FFFFFF"/>
                <w:sz w:val="20"/>
                <w:szCs w:val="20"/>
              </w:rPr>
              <w:t>Score</w:t>
            </w:r>
          </w:p>
          <w:p w14:paraId="062824B7" w14:textId="2E2712E4" w:rsidR="008F0F49" w:rsidRDefault="009F4FAD" w:rsidP="00203603">
            <w:pPr>
              <w:spacing w:before="60" w:after="60" w:line="240" w:lineRule="auto"/>
              <w:jc w:val="center"/>
              <w:rPr>
                <w:b/>
                <w:bCs/>
                <w:color w:val="FFFFFF"/>
                <w:sz w:val="20"/>
                <w:szCs w:val="20"/>
              </w:rPr>
            </w:pPr>
            <w:r>
              <w:rPr>
                <w:b/>
                <w:bCs/>
                <w:color w:val="FFFFFF"/>
                <w:sz w:val="20"/>
                <w:szCs w:val="20"/>
              </w:rPr>
              <w:t>(-10 to 10)</w:t>
            </w:r>
          </w:p>
        </w:tc>
        <w:tc>
          <w:tcPr>
            <w:tcW w:w="1214"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2771907B" w14:textId="77777777" w:rsidR="00766C77" w:rsidRDefault="00766C77" w:rsidP="00203603">
            <w:pPr>
              <w:spacing w:before="60" w:after="60" w:line="240" w:lineRule="auto"/>
              <w:jc w:val="center"/>
              <w:rPr>
                <w:color w:val="000000"/>
                <w:sz w:val="20"/>
                <w:szCs w:val="20"/>
              </w:rPr>
            </w:pPr>
            <w:r>
              <w:rPr>
                <w:b/>
                <w:bCs/>
                <w:color w:val="FFFFFF"/>
                <w:sz w:val="20"/>
                <w:szCs w:val="20"/>
              </w:rPr>
              <w:t>Weighted score</w:t>
            </w:r>
          </w:p>
        </w:tc>
      </w:tr>
      <w:tr w:rsidR="00766C77" w14:paraId="7C0E147D" w14:textId="77777777" w:rsidTr="009F4FAD">
        <w:trPr>
          <w:trHeight w:val="333"/>
        </w:trPr>
        <w:tc>
          <w:tcPr>
            <w:tcW w:w="709" w:type="dxa"/>
            <w:tcMar>
              <w:top w:w="0" w:type="dxa"/>
              <w:left w:w="0" w:type="dxa"/>
              <w:bottom w:w="0" w:type="dxa"/>
              <w:right w:w="0" w:type="dxa"/>
            </w:tcMar>
            <w:hideMark/>
          </w:tcPr>
          <w:p w14:paraId="5771D7D4" w14:textId="77777777" w:rsidR="00766C77" w:rsidRDefault="00766C77">
            <w:pPr>
              <w:spacing w:after="120" w:line="240" w:lineRule="auto"/>
              <w:rPr>
                <w:color w:val="000000"/>
                <w:sz w:val="20"/>
                <w:szCs w:val="20"/>
              </w:rPr>
            </w:pPr>
            <w:r>
              <w:rPr>
                <w:color w:val="000000"/>
                <w:sz w:val="20"/>
                <w:szCs w:val="20"/>
              </w:rPr>
              <w:t>B.1</w:t>
            </w:r>
          </w:p>
        </w:tc>
        <w:tc>
          <w:tcPr>
            <w:tcW w:w="2058" w:type="dxa"/>
            <w:tcMar>
              <w:top w:w="0" w:type="dxa"/>
              <w:left w:w="123" w:type="dxa"/>
              <w:bottom w:w="0" w:type="dxa"/>
              <w:right w:w="123" w:type="dxa"/>
            </w:tcMar>
            <w:hideMark/>
          </w:tcPr>
          <w:p w14:paraId="4571BFA0" w14:textId="77777777" w:rsidR="00766C77" w:rsidRDefault="00766C77">
            <w:pPr>
              <w:spacing w:after="120" w:line="240" w:lineRule="auto"/>
              <w:rPr>
                <w:color w:val="000000"/>
                <w:sz w:val="20"/>
                <w:szCs w:val="20"/>
              </w:rPr>
            </w:pPr>
            <w:r>
              <w:rPr>
                <w:color w:val="000000"/>
                <w:sz w:val="20"/>
                <w:szCs w:val="20"/>
              </w:rPr>
              <w:t xml:space="preserve">Cost to government </w:t>
            </w:r>
          </w:p>
        </w:tc>
        <w:tc>
          <w:tcPr>
            <w:tcW w:w="4693" w:type="dxa"/>
            <w:tcMar>
              <w:top w:w="0" w:type="dxa"/>
              <w:left w:w="123" w:type="dxa"/>
              <w:bottom w:w="0" w:type="dxa"/>
              <w:right w:w="123" w:type="dxa"/>
            </w:tcMar>
            <w:hideMark/>
          </w:tcPr>
          <w:p w14:paraId="37D12E46" w14:textId="39BCD3E0" w:rsidR="00766C77" w:rsidRDefault="00766C77">
            <w:pPr>
              <w:spacing w:after="120" w:line="240" w:lineRule="auto"/>
              <w:rPr>
                <w:color w:val="000000"/>
                <w:sz w:val="20"/>
                <w:szCs w:val="20"/>
              </w:rPr>
            </w:pPr>
            <w:r>
              <w:rPr>
                <w:color w:val="000000"/>
                <w:sz w:val="20"/>
                <w:szCs w:val="20"/>
              </w:rPr>
              <w:t xml:space="preserve">Cost to government associated with this option </w:t>
            </w:r>
            <w:r w:rsidR="00B808D2">
              <w:rPr>
                <w:color w:val="000000"/>
                <w:sz w:val="20"/>
                <w:szCs w:val="20"/>
              </w:rPr>
              <w:t xml:space="preserve">is </w:t>
            </w:r>
            <w:r>
              <w:rPr>
                <w:color w:val="000000"/>
                <w:sz w:val="20"/>
                <w:szCs w:val="20"/>
              </w:rPr>
              <w:t>likely to be small. The</w:t>
            </w:r>
            <w:r w:rsidR="00E6131E">
              <w:rPr>
                <w:color w:val="000000"/>
                <w:sz w:val="20"/>
                <w:szCs w:val="20"/>
              </w:rPr>
              <w:t>se costs</w:t>
            </w:r>
            <w:r>
              <w:rPr>
                <w:color w:val="000000"/>
                <w:sz w:val="20"/>
                <w:szCs w:val="20"/>
              </w:rPr>
              <w:t xml:space="preserve"> will consist of working with industry to </w:t>
            </w:r>
            <w:r w:rsidR="00E6131E">
              <w:rPr>
                <w:color w:val="000000"/>
                <w:sz w:val="20"/>
                <w:szCs w:val="20"/>
              </w:rPr>
              <w:t xml:space="preserve">support </w:t>
            </w:r>
            <w:r>
              <w:rPr>
                <w:color w:val="000000"/>
                <w:sz w:val="20"/>
                <w:szCs w:val="20"/>
              </w:rPr>
              <w:t>implement</w:t>
            </w:r>
            <w:r w:rsidR="00E6131E">
              <w:rPr>
                <w:color w:val="000000"/>
                <w:sz w:val="20"/>
                <w:szCs w:val="20"/>
              </w:rPr>
              <w:t>ation of</w:t>
            </w:r>
            <w:r>
              <w:rPr>
                <w:color w:val="000000"/>
                <w:sz w:val="20"/>
                <w:szCs w:val="20"/>
              </w:rPr>
              <w:t xml:space="preserve"> changes and informing consumers of the proposal. </w:t>
            </w:r>
          </w:p>
        </w:tc>
        <w:tc>
          <w:tcPr>
            <w:tcW w:w="964" w:type="dxa"/>
          </w:tcPr>
          <w:p w14:paraId="58B90152" w14:textId="3FF1B622" w:rsidR="008F0F49" w:rsidRDefault="008F0F49">
            <w:pPr>
              <w:spacing w:after="120" w:line="240" w:lineRule="auto"/>
              <w:ind w:right="311"/>
              <w:jc w:val="right"/>
              <w:rPr>
                <w:color w:val="000000"/>
                <w:sz w:val="20"/>
                <w:szCs w:val="20"/>
              </w:rPr>
            </w:pPr>
            <w:r>
              <w:rPr>
                <w:color w:val="000000"/>
                <w:sz w:val="20"/>
                <w:szCs w:val="20"/>
              </w:rPr>
              <w:t>-0.25</w:t>
            </w:r>
          </w:p>
        </w:tc>
        <w:tc>
          <w:tcPr>
            <w:tcW w:w="1214" w:type="dxa"/>
            <w:tcMar>
              <w:top w:w="0" w:type="dxa"/>
              <w:left w:w="123" w:type="dxa"/>
              <w:bottom w:w="0" w:type="dxa"/>
              <w:right w:w="123" w:type="dxa"/>
            </w:tcMar>
            <w:hideMark/>
          </w:tcPr>
          <w:p w14:paraId="6EE90267" w14:textId="77777777" w:rsidR="00766C77" w:rsidRDefault="00766C77">
            <w:pPr>
              <w:spacing w:after="120" w:line="240" w:lineRule="auto"/>
              <w:ind w:right="311"/>
              <w:jc w:val="right"/>
              <w:rPr>
                <w:color w:val="000000"/>
                <w:sz w:val="20"/>
                <w:szCs w:val="20"/>
              </w:rPr>
            </w:pPr>
            <w:r>
              <w:rPr>
                <w:color w:val="000000"/>
                <w:sz w:val="20"/>
                <w:szCs w:val="20"/>
              </w:rPr>
              <w:t>-0.025</w:t>
            </w:r>
          </w:p>
        </w:tc>
      </w:tr>
      <w:tr w:rsidR="00766C77" w14:paraId="0F62B52A" w14:textId="77777777" w:rsidTr="009F4FAD">
        <w:tc>
          <w:tcPr>
            <w:tcW w:w="709" w:type="dxa"/>
            <w:tcBorders>
              <w:bottom w:val="single" w:sz="4" w:space="0" w:color="000000"/>
            </w:tcBorders>
            <w:shd w:val="clear" w:color="auto" w:fill="F2F2F2"/>
            <w:tcMar>
              <w:top w:w="0" w:type="dxa"/>
              <w:left w:w="0" w:type="dxa"/>
              <w:bottom w:w="0" w:type="dxa"/>
              <w:right w:w="0" w:type="dxa"/>
            </w:tcMar>
            <w:hideMark/>
          </w:tcPr>
          <w:p w14:paraId="4334EEFB" w14:textId="77777777" w:rsidR="00766C77" w:rsidRDefault="00766C77">
            <w:pPr>
              <w:spacing w:after="120" w:line="240" w:lineRule="auto"/>
              <w:rPr>
                <w:color w:val="000000"/>
                <w:sz w:val="20"/>
                <w:szCs w:val="20"/>
              </w:rPr>
            </w:pPr>
            <w:r>
              <w:rPr>
                <w:color w:val="000000"/>
                <w:sz w:val="20"/>
                <w:szCs w:val="20"/>
              </w:rPr>
              <w:t>B.2</w:t>
            </w:r>
          </w:p>
        </w:tc>
        <w:tc>
          <w:tcPr>
            <w:tcW w:w="2058" w:type="dxa"/>
            <w:tcBorders>
              <w:bottom w:val="single" w:sz="4" w:space="0" w:color="000000"/>
            </w:tcBorders>
            <w:shd w:val="clear" w:color="auto" w:fill="F2F2F2"/>
            <w:tcMar>
              <w:top w:w="0" w:type="dxa"/>
              <w:left w:w="123" w:type="dxa"/>
              <w:bottom w:w="0" w:type="dxa"/>
              <w:right w:w="123" w:type="dxa"/>
            </w:tcMar>
            <w:hideMark/>
          </w:tcPr>
          <w:p w14:paraId="60C0D87E" w14:textId="77777777" w:rsidR="00766C77" w:rsidRDefault="00766C77">
            <w:pPr>
              <w:spacing w:after="120" w:line="240" w:lineRule="auto"/>
              <w:rPr>
                <w:color w:val="000000"/>
                <w:sz w:val="20"/>
                <w:szCs w:val="20"/>
              </w:rPr>
            </w:pPr>
            <w:r>
              <w:rPr>
                <w:color w:val="000000"/>
                <w:sz w:val="20"/>
                <w:szCs w:val="20"/>
              </w:rPr>
              <w:t>Cost to government</w:t>
            </w:r>
          </w:p>
        </w:tc>
        <w:tc>
          <w:tcPr>
            <w:tcW w:w="4693" w:type="dxa"/>
            <w:tcBorders>
              <w:bottom w:val="single" w:sz="4" w:space="0" w:color="000000"/>
            </w:tcBorders>
            <w:shd w:val="clear" w:color="auto" w:fill="F2F2F2"/>
            <w:tcMar>
              <w:top w:w="0" w:type="dxa"/>
              <w:left w:w="123" w:type="dxa"/>
              <w:bottom w:w="0" w:type="dxa"/>
              <w:right w:w="123" w:type="dxa"/>
            </w:tcMar>
            <w:hideMark/>
          </w:tcPr>
          <w:p w14:paraId="613E3449" w14:textId="62DF1FC7" w:rsidR="00766C77" w:rsidRDefault="00766C77">
            <w:pPr>
              <w:spacing w:after="120" w:line="240" w:lineRule="auto"/>
              <w:rPr>
                <w:color w:val="000000"/>
                <w:sz w:val="20"/>
                <w:szCs w:val="20"/>
              </w:rPr>
            </w:pPr>
            <w:r>
              <w:rPr>
                <w:color w:val="000000"/>
                <w:sz w:val="20"/>
                <w:szCs w:val="20"/>
              </w:rPr>
              <w:t xml:space="preserve">Cost </w:t>
            </w:r>
            <w:r w:rsidR="00E6131E">
              <w:rPr>
                <w:color w:val="000000"/>
                <w:sz w:val="20"/>
                <w:szCs w:val="20"/>
              </w:rPr>
              <w:t>to government for this option</w:t>
            </w:r>
            <w:r>
              <w:rPr>
                <w:color w:val="000000"/>
                <w:sz w:val="20"/>
                <w:szCs w:val="20"/>
              </w:rPr>
              <w:t xml:space="preserve"> are likely to be similar as for Option B.1. However, under this option, the government will be required to </w:t>
            </w:r>
            <w:r w:rsidR="006C5183">
              <w:rPr>
                <w:color w:val="000000"/>
                <w:sz w:val="20"/>
                <w:szCs w:val="20"/>
              </w:rPr>
              <w:t xml:space="preserve">consider and </w:t>
            </w:r>
            <w:r w:rsidR="002547FC">
              <w:rPr>
                <w:color w:val="000000"/>
                <w:sz w:val="20"/>
                <w:szCs w:val="20"/>
              </w:rPr>
              <w:t xml:space="preserve">monitor </w:t>
            </w:r>
            <w:r w:rsidR="00A30B9A">
              <w:rPr>
                <w:color w:val="000000"/>
                <w:sz w:val="20"/>
                <w:szCs w:val="20"/>
              </w:rPr>
              <w:t xml:space="preserve">conditional fees and discounts set by retailers </w:t>
            </w:r>
            <w:r w:rsidR="006C5183">
              <w:rPr>
                <w:color w:val="000000"/>
                <w:sz w:val="20"/>
                <w:szCs w:val="20"/>
              </w:rPr>
              <w:t>against</w:t>
            </w:r>
            <w:r w:rsidR="002547FC">
              <w:rPr>
                <w:color w:val="000000"/>
                <w:sz w:val="20"/>
                <w:szCs w:val="20"/>
              </w:rPr>
              <w:t xml:space="preserve"> </w:t>
            </w:r>
            <w:r w:rsidR="00A30B9A">
              <w:rPr>
                <w:color w:val="000000"/>
                <w:sz w:val="20"/>
                <w:szCs w:val="20"/>
              </w:rPr>
              <w:t>the concept of</w:t>
            </w:r>
            <w:r>
              <w:rPr>
                <w:color w:val="000000"/>
                <w:sz w:val="20"/>
                <w:szCs w:val="20"/>
              </w:rPr>
              <w:t xml:space="preserve"> ‘reasonable costs’ </w:t>
            </w:r>
            <w:r w:rsidR="007A3BAA">
              <w:rPr>
                <w:color w:val="000000"/>
                <w:sz w:val="20"/>
                <w:szCs w:val="20"/>
              </w:rPr>
              <w:t xml:space="preserve">in order </w:t>
            </w:r>
            <w:r w:rsidR="00A30B9A">
              <w:rPr>
                <w:color w:val="000000"/>
                <w:sz w:val="20"/>
                <w:szCs w:val="20"/>
              </w:rPr>
              <w:t xml:space="preserve">to </w:t>
            </w:r>
            <w:r w:rsidR="007A3BAA">
              <w:rPr>
                <w:color w:val="000000"/>
                <w:sz w:val="20"/>
                <w:szCs w:val="20"/>
              </w:rPr>
              <w:t>assess compliance</w:t>
            </w:r>
            <w:r>
              <w:rPr>
                <w:color w:val="000000"/>
                <w:sz w:val="20"/>
                <w:szCs w:val="20"/>
              </w:rPr>
              <w:t xml:space="preserve">. While there are currently mechanisms in place for this, this option will be slightly more costly for government than Option B.1. </w:t>
            </w:r>
          </w:p>
        </w:tc>
        <w:tc>
          <w:tcPr>
            <w:tcW w:w="964" w:type="dxa"/>
            <w:tcBorders>
              <w:bottom w:val="single" w:sz="4" w:space="0" w:color="000000"/>
            </w:tcBorders>
            <w:shd w:val="clear" w:color="auto" w:fill="F2F2F2"/>
          </w:tcPr>
          <w:p w14:paraId="4D3624BC" w14:textId="3FEAA73A" w:rsidR="008F0F49" w:rsidRDefault="008F0F49">
            <w:pPr>
              <w:spacing w:after="120" w:line="240" w:lineRule="auto"/>
              <w:ind w:right="311"/>
              <w:jc w:val="right"/>
              <w:rPr>
                <w:color w:val="000000"/>
                <w:sz w:val="20"/>
                <w:szCs w:val="20"/>
              </w:rPr>
            </w:pPr>
            <w:r>
              <w:rPr>
                <w:color w:val="000000"/>
                <w:sz w:val="20"/>
                <w:szCs w:val="20"/>
              </w:rPr>
              <w:t>-0.35</w:t>
            </w:r>
          </w:p>
        </w:tc>
        <w:tc>
          <w:tcPr>
            <w:tcW w:w="1214" w:type="dxa"/>
            <w:tcBorders>
              <w:bottom w:val="single" w:sz="4" w:space="0" w:color="000000"/>
            </w:tcBorders>
            <w:shd w:val="clear" w:color="auto" w:fill="F2F2F2"/>
            <w:tcMar>
              <w:top w:w="0" w:type="dxa"/>
              <w:left w:w="123" w:type="dxa"/>
              <w:bottom w:w="0" w:type="dxa"/>
              <w:right w:w="123" w:type="dxa"/>
            </w:tcMar>
            <w:hideMark/>
          </w:tcPr>
          <w:p w14:paraId="2A68BE8B" w14:textId="77777777" w:rsidR="00766C77" w:rsidRDefault="00766C77">
            <w:pPr>
              <w:spacing w:after="120" w:line="240" w:lineRule="auto"/>
              <w:ind w:right="311"/>
              <w:jc w:val="right"/>
              <w:rPr>
                <w:color w:val="000000"/>
                <w:sz w:val="20"/>
                <w:szCs w:val="20"/>
              </w:rPr>
            </w:pPr>
            <w:r>
              <w:rPr>
                <w:color w:val="000000"/>
                <w:sz w:val="20"/>
                <w:szCs w:val="20"/>
              </w:rPr>
              <w:t>-0.035</w:t>
            </w:r>
          </w:p>
        </w:tc>
      </w:tr>
    </w:tbl>
    <w:p w14:paraId="79D91274" w14:textId="77777777" w:rsidR="00DC2994" w:rsidRPr="00DC2994" w:rsidRDefault="00DC2994" w:rsidP="00DC2994">
      <w:bookmarkStart w:id="204" w:name="_Toc197355613"/>
      <w:bookmarkEnd w:id="204"/>
    </w:p>
    <w:p w14:paraId="0A62C235" w14:textId="1DCBDD36" w:rsidR="002A5978" w:rsidRDefault="002A5978" w:rsidP="002A5978">
      <w:pPr>
        <w:pStyle w:val="Heading2numbered"/>
      </w:pPr>
      <w:bookmarkStart w:id="205" w:name="_Toc197959443"/>
      <w:r>
        <w:t>Summary and preferred option</w:t>
      </w:r>
      <w:bookmarkEnd w:id="205"/>
    </w:p>
    <w:p w14:paraId="7ADFEDB4" w14:textId="0692340A" w:rsidR="00BC066D" w:rsidRDefault="00BC066D" w:rsidP="00BC066D">
      <w:r>
        <w:t>The MCA assessment of these options results in Option B.2 being preferred. The primary reason is that Option B.2 is likely to be more effective than Option B.1 because it will provide customers who may be experiencing vulnerability with access to more affordable plans</w:t>
      </w:r>
      <w:r w:rsidR="00CB700C">
        <w:t xml:space="preserve"> while providing</w:t>
      </w:r>
      <w:r w:rsidR="00F51D0C">
        <w:t xml:space="preserve"> </w:t>
      </w:r>
      <w:r>
        <w:t>safeguards for these customers by setting reasonable limits on conditional fees and discounts. In the absence of this safeguard, customers who require paper billing or alternative payment methods could be potentially worse off as retailers seek to clawback foregone revenue by increasing revenue</w:t>
      </w:r>
      <w:r w:rsidR="00504210">
        <w:t xml:space="preserve"> from conditional fees or discounts</w:t>
      </w:r>
      <w:r>
        <w:t>.</w:t>
      </w:r>
    </w:p>
    <w:p w14:paraId="7BAF010E" w14:textId="3EC9D7EC" w:rsidR="00BC066D" w:rsidRDefault="00BC066D" w:rsidP="00BC066D">
      <w:r>
        <w:t>The implementation costs to industry of these options would be similar</w:t>
      </w:r>
      <w:r w:rsidR="00262D95">
        <w:t>. H</w:t>
      </w:r>
      <w:r>
        <w:t>owever, Option B.2 would impose limitations o</w:t>
      </w:r>
      <w:r w:rsidR="00102812">
        <w:t xml:space="preserve">n </w:t>
      </w:r>
      <w:r>
        <w:t xml:space="preserve">revenue </w:t>
      </w:r>
      <w:r w:rsidR="00102812">
        <w:t xml:space="preserve">from conditional fees or discounts </w:t>
      </w:r>
      <w:r>
        <w:t xml:space="preserve">and thus would be more costly for industry. </w:t>
      </w:r>
      <w:r w:rsidR="00102812">
        <w:t>The costs for the commission</w:t>
      </w:r>
      <w:r>
        <w:t xml:space="preserve"> would also be similar for both options, but enforcement costs would be slightly higher for Option B.2 since </w:t>
      </w:r>
      <w:r w:rsidR="00E96F66">
        <w:t>the commission</w:t>
      </w:r>
      <w:r>
        <w:t xml:space="preserve"> would </w:t>
      </w:r>
      <w:r w:rsidR="00E96F66">
        <w:t xml:space="preserve">need </w:t>
      </w:r>
      <w:r>
        <w:t xml:space="preserve">to monitor ‘reasonable costs’ and </w:t>
      </w:r>
      <w:r w:rsidR="00E96F66">
        <w:t xml:space="preserve">the application of </w:t>
      </w:r>
      <w:r>
        <w:t>condition</w:t>
      </w:r>
      <w:r w:rsidR="00E96F66">
        <w:t>al fees or discounts</w:t>
      </w:r>
      <w:r>
        <w:t>.</w:t>
      </w:r>
    </w:p>
    <w:p w14:paraId="5BE3A332" w14:textId="53230E6E" w:rsidR="00EA469E" w:rsidRDefault="00EA469E" w:rsidP="00E82B0B">
      <w:pPr>
        <w:pStyle w:val="Figure-Table-BoxSubtitle"/>
        <w:keepNext/>
        <w:keepLines/>
        <w:ind w:left="0"/>
      </w:pPr>
      <w:r w:rsidRPr="000F6481">
        <w:rPr>
          <w:rStyle w:val="Figure-Table-BoxHeadingChar"/>
        </w:rPr>
        <w:lastRenderedPageBreak/>
        <w:t xml:space="preserve">Table </w:t>
      </w:r>
      <w:r w:rsidRPr="000F6481">
        <w:rPr>
          <w:rStyle w:val="Figure-Table-BoxHeadingChar"/>
        </w:rPr>
        <w:fldChar w:fldCharType="begin"/>
      </w:r>
      <w:r w:rsidRPr="000F6481">
        <w:rPr>
          <w:rStyle w:val="Figure-Table-BoxHeadingChar"/>
        </w:rPr>
        <w:instrText xml:space="preserve"> SEQ Table \* ARABIC </w:instrText>
      </w:r>
      <w:r w:rsidRPr="000F6481">
        <w:rPr>
          <w:rStyle w:val="Figure-Table-BoxHeadingChar"/>
        </w:rPr>
        <w:fldChar w:fldCharType="separate"/>
      </w:r>
      <w:r w:rsidR="009A244B">
        <w:rPr>
          <w:rStyle w:val="Figure-Table-BoxHeadingChar"/>
          <w:noProof/>
        </w:rPr>
        <w:t>3</w:t>
      </w:r>
      <w:r w:rsidRPr="000F6481">
        <w:rPr>
          <w:rStyle w:val="Figure-Table-BoxHeadingChar"/>
        </w:rPr>
        <w:fldChar w:fldCharType="end"/>
      </w:r>
      <w:r w:rsidR="002E5943" w:rsidRPr="000F6481">
        <w:rPr>
          <w:rStyle w:val="Figure-Table-BoxHeadingChar"/>
        </w:rPr>
        <w:t>8</w:t>
      </w:r>
      <w:r w:rsidRPr="000F6481">
        <w:rPr>
          <w:rStyle w:val="Figure-Table-BoxHeadingChar"/>
        </w:rPr>
        <w:t>:</w:t>
      </w:r>
      <w:r w:rsidRPr="000F6481">
        <w:t xml:space="preserve"> Summary</w:t>
      </w:r>
      <w:r w:rsidRPr="003A49F5">
        <w:t xml:space="preserve"> of MCA assessments ‒ Improving access to cheaper offers</w:t>
      </w:r>
    </w:p>
    <w:tbl>
      <w:tblPr>
        <w:tblW w:w="0" w:type="auto"/>
        <w:tblBorders>
          <w:insideH w:val="single" w:sz="8" w:space="0" w:color="FFFFFF"/>
        </w:tblBorders>
        <w:tblCellMar>
          <w:left w:w="0" w:type="dxa"/>
          <w:right w:w="0" w:type="dxa"/>
        </w:tblCellMar>
        <w:tblLook w:val="04A0" w:firstRow="1" w:lastRow="0" w:firstColumn="1" w:lastColumn="0" w:noHBand="0" w:noVBand="1"/>
      </w:tblPr>
      <w:tblGrid>
        <w:gridCol w:w="1432"/>
        <w:gridCol w:w="6071"/>
        <w:gridCol w:w="2135"/>
      </w:tblGrid>
      <w:tr w:rsidR="00D628F0" w14:paraId="0BFBD8EC" w14:textId="77777777">
        <w:trPr>
          <w:trHeight w:val="584"/>
        </w:trPr>
        <w:tc>
          <w:tcPr>
            <w:tcW w:w="1432" w:type="dxa"/>
            <w:tcBorders>
              <w:bottom w:val="single" w:sz="8" w:space="0" w:color="FFFFFF"/>
            </w:tcBorders>
            <w:shd w:val="clear" w:color="auto" w:fill="4986A0"/>
            <w:tcMar>
              <w:top w:w="85" w:type="dxa"/>
              <w:left w:w="95" w:type="dxa"/>
              <w:bottom w:w="85" w:type="dxa"/>
              <w:right w:w="67" w:type="dxa"/>
            </w:tcMar>
            <w:hideMark/>
          </w:tcPr>
          <w:p w14:paraId="6F49B016" w14:textId="77777777" w:rsidR="00D628F0" w:rsidRDefault="00D628F0">
            <w:pPr>
              <w:keepNext/>
              <w:keepLines/>
              <w:spacing w:after="120" w:line="240" w:lineRule="auto"/>
              <w:rPr>
                <w:color w:val="000000"/>
                <w:sz w:val="20"/>
                <w:szCs w:val="20"/>
              </w:rPr>
            </w:pPr>
            <w:r>
              <w:rPr>
                <w:b/>
                <w:bCs/>
                <w:color w:val="FFFFFF"/>
                <w:sz w:val="20"/>
                <w:szCs w:val="20"/>
              </w:rPr>
              <w:t>Option</w:t>
            </w:r>
          </w:p>
        </w:tc>
        <w:tc>
          <w:tcPr>
            <w:tcW w:w="6071" w:type="dxa"/>
            <w:tcBorders>
              <w:bottom w:val="single" w:sz="8" w:space="0" w:color="FFFFFF"/>
            </w:tcBorders>
            <w:shd w:val="clear" w:color="auto" w:fill="4986A0"/>
            <w:tcMar>
              <w:top w:w="85" w:type="dxa"/>
              <w:left w:w="95" w:type="dxa"/>
              <w:bottom w:w="85" w:type="dxa"/>
              <w:right w:w="67" w:type="dxa"/>
            </w:tcMar>
            <w:hideMark/>
          </w:tcPr>
          <w:p w14:paraId="78F53A3E" w14:textId="77777777" w:rsidR="00D628F0" w:rsidRDefault="00D628F0">
            <w:pPr>
              <w:keepNext/>
              <w:keepLines/>
              <w:spacing w:after="120" w:line="240" w:lineRule="auto"/>
              <w:rPr>
                <w:color w:val="000000"/>
                <w:sz w:val="20"/>
                <w:szCs w:val="20"/>
              </w:rPr>
            </w:pPr>
            <w:r>
              <w:rPr>
                <w:b/>
                <w:bCs/>
                <w:color w:val="FFFFFF"/>
                <w:sz w:val="20"/>
                <w:szCs w:val="20"/>
              </w:rPr>
              <w:t>Description</w:t>
            </w:r>
          </w:p>
        </w:tc>
        <w:tc>
          <w:tcPr>
            <w:tcW w:w="2135" w:type="dxa"/>
            <w:tcBorders>
              <w:bottom w:val="single" w:sz="8" w:space="0" w:color="FFFFFF"/>
            </w:tcBorders>
            <w:shd w:val="clear" w:color="auto" w:fill="4986A0"/>
            <w:tcMar>
              <w:top w:w="85" w:type="dxa"/>
              <w:left w:w="95" w:type="dxa"/>
              <w:bottom w:w="85" w:type="dxa"/>
              <w:right w:w="67" w:type="dxa"/>
            </w:tcMar>
            <w:hideMark/>
          </w:tcPr>
          <w:p w14:paraId="72C85F45" w14:textId="77777777" w:rsidR="00D628F0" w:rsidRDefault="00D628F0">
            <w:pPr>
              <w:keepNext/>
              <w:keepLines/>
              <w:spacing w:after="120" w:line="240" w:lineRule="auto"/>
              <w:rPr>
                <w:color w:val="000000"/>
                <w:sz w:val="20"/>
                <w:szCs w:val="20"/>
              </w:rPr>
            </w:pPr>
            <w:r>
              <w:rPr>
                <w:b/>
                <w:bCs/>
                <w:color w:val="FFFFFF"/>
                <w:sz w:val="20"/>
                <w:szCs w:val="20"/>
              </w:rPr>
              <w:t>Weighted score</w:t>
            </w:r>
          </w:p>
        </w:tc>
      </w:tr>
      <w:tr w:rsidR="00D628F0" w14:paraId="2CE06F98" w14:textId="77777777">
        <w:tc>
          <w:tcPr>
            <w:tcW w:w="1432"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57BD9D24" w14:textId="77777777" w:rsidR="00D628F0" w:rsidRDefault="00D628F0">
            <w:pPr>
              <w:keepNext/>
              <w:keepLines/>
              <w:spacing w:after="120" w:line="240" w:lineRule="auto"/>
              <w:rPr>
                <w:color w:val="000000"/>
                <w:sz w:val="20"/>
                <w:szCs w:val="20"/>
              </w:rPr>
            </w:pPr>
            <w:r>
              <w:rPr>
                <w:color w:val="000000"/>
                <w:sz w:val="20"/>
                <w:szCs w:val="20"/>
              </w:rPr>
              <w:t>B.1</w:t>
            </w:r>
          </w:p>
        </w:tc>
        <w:tc>
          <w:tcPr>
            <w:tcW w:w="6071"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20424BE4" w14:textId="77777777" w:rsidR="00D628F0" w:rsidRDefault="00D628F0">
            <w:pPr>
              <w:keepNext/>
              <w:keepLines/>
              <w:spacing w:after="120" w:line="240" w:lineRule="auto"/>
              <w:rPr>
                <w:color w:val="000000"/>
                <w:sz w:val="20"/>
                <w:szCs w:val="20"/>
              </w:rPr>
            </w:pPr>
            <w:r>
              <w:rPr>
                <w:color w:val="000000"/>
                <w:sz w:val="20"/>
                <w:szCs w:val="20"/>
              </w:rPr>
              <w:t>Requiring retailers to ensure plans are not restricted based on payment method (e.g. direct debit) or communication method (e-billing)</w:t>
            </w:r>
          </w:p>
        </w:tc>
        <w:tc>
          <w:tcPr>
            <w:tcW w:w="2135"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2A662D31" w14:textId="77777777" w:rsidR="00D628F0" w:rsidRDefault="00D628F0">
            <w:pPr>
              <w:keepNext/>
              <w:keepLines/>
              <w:spacing w:after="120" w:line="240" w:lineRule="auto"/>
              <w:jc w:val="center"/>
              <w:rPr>
                <w:color w:val="000000"/>
                <w:sz w:val="20"/>
                <w:szCs w:val="20"/>
              </w:rPr>
            </w:pPr>
            <w:r>
              <w:rPr>
                <w:color w:val="000000"/>
                <w:sz w:val="20"/>
                <w:szCs w:val="20"/>
              </w:rPr>
              <w:t>-0.375</w:t>
            </w:r>
          </w:p>
        </w:tc>
      </w:tr>
      <w:tr w:rsidR="00D628F0" w14:paraId="1653458E" w14:textId="77777777">
        <w:tc>
          <w:tcPr>
            <w:tcW w:w="1432"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3925D5F0" w14:textId="77777777" w:rsidR="00D628F0" w:rsidRDefault="00D628F0">
            <w:pPr>
              <w:spacing w:after="120" w:line="240" w:lineRule="auto"/>
              <w:rPr>
                <w:color w:val="000000"/>
                <w:sz w:val="20"/>
                <w:szCs w:val="20"/>
              </w:rPr>
            </w:pPr>
            <w:r>
              <w:rPr>
                <w:color w:val="000000"/>
                <w:sz w:val="20"/>
                <w:szCs w:val="20"/>
              </w:rPr>
              <w:t>B.2</w:t>
            </w:r>
          </w:p>
        </w:tc>
        <w:tc>
          <w:tcPr>
            <w:tcW w:w="6071"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7B8D291B" w14:textId="77777777" w:rsidR="00D628F0" w:rsidRDefault="00D628F0">
            <w:pPr>
              <w:spacing w:after="120" w:line="240" w:lineRule="auto"/>
              <w:rPr>
                <w:color w:val="000000"/>
                <w:sz w:val="20"/>
                <w:szCs w:val="20"/>
              </w:rPr>
            </w:pPr>
            <w:r>
              <w:rPr>
                <w:color w:val="000000"/>
                <w:sz w:val="20"/>
                <w:szCs w:val="20"/>
              </w:rPr>
              <w:t>Requiring retailers to ensure plans are not restricted based on payment method (e.g. direct debit) or communication method (e.g. e-billing), and limiting all plan fees and discounts to reasonable costs</w:t>
            </w:r>
          </w:p>
        </w:tc>
        <w:tc>
          <w:tcPr>
            <w:tcW w:w="2135"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716EF79A" w14:textId="77777777" w:rsidR="00D628F0" w:rsidRDefault="00D628F0">
            <w:pPr>
              <w:spacing w:after="120" w:line="240" w:lineRule="auto"/>
              <w:jc w:val="center"/>
              <w:rPr>
                <w:b/>
                <w:bCs/>
                <w:color w:val="000000"/>
                <w:sz w:val="20"/>
                <w:szCs w:val="20"/>
              </w:rPr>
            </w:pPr>
            <w:r>
              <w:rPr>
                <w:b/>
                <w:bCs/>
                <w:color w:val="000000"/>
                <w:sz w:val="20"/>
                <w:szCs w:val="20"/>
              </w:rPr>
              <w:t xml:space="preserve">0.665 </w:t>
            </w:r>
          </w:p>
          <w:p w14:paraId="491DC675" w14:textId="77777777" w:rsidR="00D628F0" w:rsidRDefault="00D628F0">
            <w:pPr>
              <w:spacing w:after="120" w:line="240" w:lineRule="auto"/>
              <w:jc w:val="center"/>
              <w:rPr>
                <w:color w:val="000000"/>
                <w:sz w:val="20"/>
                <w:szCs w:val="20"/>
              </w:rPr>
            </w:pPr>
            <w:r>
              <w:rPr>
                <w:b/>
                <w:bCs/>
                <w:color w:val="000000"/>
                <w:sz w:val="20"/>
                <w:szCs w:val="20"/>
              </w:rPr>
              <w:t>(preferred)</w:t>
            </w:r>
          </w:p>
        </w:tc>
      </w:tr>
    </w:tbl>
    <w:p w14:paraId="0502425C" w14:textId="77777777" w:rsidR="00D628F0" w:rsidRDefault="00D628F0" w:rsidP="00E82B0B">
      <w:pPr>
        <w:pStyle w:val="Figure-Table-BoxSubtitle"/>
        <w:keepNext/>
        <w:keepLines/>
        <w:ind w:left="0"/>
      </w:pPr>
    </w:p>
    <w:p w14:paraId="36F3785B" w14:textId="77777777" w:rsidR="00D628F0" w:rsidRDefault="00D628F0" w:rsidP="00D628F0">
      <w:pPr>
        <w:sectPr w:rsidR="00D628F0" w:rsidSect="005E5FCE">
          <w:footerReference w:type="default" r:id="rId52"/>
          <w:type w:val="continuous"/>
          <w:pgSz w:w="11906" w:h="16838" w:code="9"/>
          <w:pgMar w:top="1134" w:right="1134" w:bottom="1134" w:left="1134" w:header="709" w:footer="692" w:gutter="0"/>
          <w:cols w:space="708"/>
          <w:docGrid w:linePitch="360"/>
        </w:sectPr>
      </w:pPr>
    </w:p>
    <w:p w14:paraId="10B3CBB9" w14:textId="73BFC1C7" w:rsidR="00D628F0" w:rsidRDefault="00D628F0" w:rsidP="00D628F0"/>
    <w:p w14:paraId="49B4D40E" w14:textId="2C3B7BA2" w:rsidR="00865ECE" w:rsidRDefault="00C7630D" w:rsidP="00C7630D">
      <w:pPr>
        <w:pStyle w:val="Heading1numbered"/>
      </w:pPr>
      <w:bookmarkStart w:id="206" w:name="_Toc196294847"/>
      <w:bookmarkStart w:id="207" w:name="_Toc196989426"/>
      <w:bookmarkStart w:id="208" w:name="_Toc196998650"/>
      <w:bookmarkStart w:id="209" w:name="_Toc197355694"/>
      <w:bookmarkStart w:id="210" w:name="_Toc197959444"/>
      <w:bookmarkEnd w:id="206"/>
      <w:bookmarkEnd w:id="207"/>
      <w:bookmarkEnd w:id="208"/>
      <w:bookmarkEnd w:id="209"/>
      <w:r>
        <w:lastRenderedPageBreak/>
        <w:t>Improving the ability to switch to the best offer</w:t>
      </w:r>
      <w:bookmarkEnd w:id="210"/>
    </w:p>
    <w:p w14:paraId="7458EE91" w14:textId="77777777" w:rsidR="002D153D" w:rsidRDefault="002D153D" w:rsidP="00DB5128">
      <w:pPr>
        <w:pStyle w:val="Pull-outHeading"/>
        <w:ind w:left="0"/>
      </w:pPr>
      <w:r>
        <w:t>Preferred option</w:t>
      </w:r>
    </w:p>
    <w:p w14:paraId="6DB861CF" w14:textId="753EC071" w:rsidR="00C822B4" w:rsidRDefault="002D153D" w:rsidP="00DB5128">
      <w:pPr>
        <w:pStyle w:val="Pull-outHeading"/>
        <w:ind w:left="0"/>
        <w:rPr>
          <w:b w:val="0"/>
          <w:bCs w:val="0"/>
        </w:rPr>
      </w:pPr>
      <w:r>
        <w:rPr>
          <w:b w:val="0"/>
          <w:bCs w:val="0"/>
        </w:rPr>
        <w:t>A retailer would be required to</w:t>
      </w:r>
      <w:r w:rsidR="000463D0">
        <w:rPr>
          <w:b w:val="0"/>
          <w:bCs w:val="0"/>
        </w:rPr>
        <w:t xml:space="preserve"> have </w:t>
      </w:r>
      <w:r w:rsidR="00471F75">
        <w:rPr>
          <w:b w:val="0"/>
          <w:bCs w:val="0"/>
        </w:rPr>
        <w:t>effective processes for a small customer to switch to the best offer.</w:t>
      </w:r>
      <w:r w:rsidR="00925779">
        <w:rPr>
          <w:b w:val="0"/>
          <w:bCs w:val="0"/>
        </w:rPr>
        <w:t xml:space="preserve"> </w:t>
      </w:r>
      <w:r w:rsidR="00B04F6F">
        <w:rPr>
          <w:b w:val="0"/>
          <w:bCs w:val="0"/>
        </w:rPr>
        <w:t>An effective process must be simple and accessible</w:t>
      </w:r>
      <w:r w:rsidR="00C822B4">
        <w:rPr>
          <w:b w:val="0"/>
          <w:bCs w:val="0"/>
        </w:rPr>
        <w:t>.</w:t>
      </w:r>
      <w:r w:rsidR="00F07543">
        <w:rPr>
          <w:b w:val="0"/>
          <w:bCs w:val="0"/>
        </w:rPr>
        <w:t xml:space="preserve"> </w:t>
      </w:r>
      <w:r w:rsidR="00C822B4">
        <w:rPr>
          <w:b w:val="0"/>
          <w:bCs w:val="0"/>
        </w:rPr>
        <w:t xml:space="preserve">A retailer would </w:t>
      </w:r>
      <w:r w:rsidR="00F07543">
        <w:rPr>
          <w:b w:val="0"/>
          <w:bCs w:val="0"/>
        </w:rPr>
        <w:t xml:space="preserve">also </w:t>
      </w:r>
      <w:r w:rsidR="00C822B4">
        <w:rPr>
          <w:b w:val="0"/>
          <w:bCs w:val="0"/>
        </w:rPr>
        <w:t>be required to</w:t>
      </w:r>
      <w:r w:rsidR="00F07543">
        <w:rPr>
          <w:b w:val="0"/>
          <w:bCs w:val="0"/>
        </w:rPr>
        <w:t>:</w:t>
      </w:r>
    </w:p>
    <w:p w14:paraId="3207F874" w14:textId="4B672A3F" w:rsidR="002D153D" w:rsidRDefault="00C822B4" w:rsidP="002D153D">
      <w:pPr>
        <w:pStyle w:val="Pull-outBullet1"/>
      </w:pPr>
      <w:r>
        <w:t>provide clear and simple instructions on its website on how customers can switch to the best offer</w:t>
      </w:r>
    </w:p>
    <w:p w14:paraId="13EAD507" w14:textId="0EF65802" w:rsidR="00C822B4" w:rsidRDefault="002272B8" w:rsidP="002D153D">
      <w:pPr>
        <w:pStyle w:val="Pull-outBullet1"/>
      </w:pPr>
      <w:r>
        <w:t>have a process through its website and a process by telephone for a customer to switch to the best offer</w:t>
      </w:r>
    </w:p>
    <w:p w14:paraId="505638D6" w14:textId="11FF4849" w:rsidR="002272B8" w:rsidRDefault="002272B8" w:rsidP="002D153D">
      <w:pPr>
        <w:pStyle w:val="Pull-outBullet1"/>
      </w:pPr>
      <w:r>
        <w:t xml:space="preserve">provide </w:t>
      </w:r>
      <w:r w:rsidR="00F07543">
        <w:t>a simple and accessible process for a customer to compare their current plan to other plans available to them, including the best offer.</w:t>
      </w:r>
    </w:p>
    <w:p w14:paraId="4A662A55" w14:textId="17C25408" w:rsidR="009C3565" w:rsidRDefault="00C7630D" w:rsidP="00E8074A">
      <w:pPr>
        <w:pStyle w:val="Heading2numbered"/>
      </w:pPr>
      <w:bookmarkStart w:id="211" w:name="_Toc195617187"/>
      <w:bookmarkStart w:id="212" w:name="_Toc195642872"/>
      <w:bookmarkStart w:id="213" w:name="_Toc195692584"/>
      <w:bookmarkStart w:id="214" w:name="_Toc195701879"/>
      <w:bookmarkStart w:id="215" w:name="_Toc197959445"/>
      <w:bookmarkEnd w:id="211"/>
      <w:bookmarkEnd w:id="212"/>
      <w:bookmarkEnd w:id="213"/>
      <w:bookmarkEnd w:id="214"/>
      <w:r>
        <w:t>Scope of reform</w:t>
      </w:r>
      <w:bookmarkEnd w:id="215"/>
    </w:p>
    <w:p w14:paraId="3C96D6AB" w14:textId="0735AD28" w:rsidR="00400008" w:rsidRDefault="00400008" w:rsidP="00400008">
      <w:pPr>
        <w:pStyle w:val="Heading3numbered"/>
      </w:pPr>
      <w:r>
        <w:t>Purpose of reform</w:t>
      </w:r>
    </w:p>
    <w:p w14:paraId="729A3566" w14:textId="39153427" w:rsidR="00D946D5" w:rsidRDefault="00406FF8" w:rsidP="00406FF8">
      <w:pPr>
        <w:rPr>
          <w:color w:val="FF0000"/>
        </w:rPr>
      </w:pPr>
      <w:r>
        <w:t xml:space="preserve">As </w:t>
      </w:r>
      <w:r w:rsidR="00A9733E">
        <w:t>outlined</w:t>
      </w:r>
      <w:r>
        <w:t xml:space="preserve"> in </w:t>
      </w:r>
      <w:r w:rsidR="007607D2">
        <w:t>S</w:t>
      </w:r>
      <w:r>
        <w:t>ection 2.1.1, many Victorians are still paying more than they need to for energy</w:t>
      </w:r>
      <w:r w:rsidR="00B2691F">
        <w:t xml:space="preserve">. </w:t>
      </w:r>
      <w:r w:rsidR="00474FFB">
        <w:t>T</w:t>
      </w:r>
      <w:r w:rsidR="00B2691F">
        <w:t xml:space="preserve">here are </w:t>
      </w:r>
      <w:r w:rsidR="00F21878">
        <w:t>some occasions where</w:t>
      </w:r>
      <w:r w:rsidR="00B2691F">
        <w:t xml:space="preserve"> a customer may not wish to be on their retailer’s best offer (</w:t>
      </w:r>
      <w:r w:rsidR="001E03AA">
        <w:t xml:space="preserve">for example, </w:t>
      </w:r>
      <w:r w:rsidR="00F21878">
        <w:t xml:space="preserve">having contracts with </w:t>
      </w:r>
      <w:r w:rsidR="00B2691F">
        <w:t>bundled services)</w:t>
      </w:r>
      <w:r w:rsidR="00474FFB">
        <w:t>. However,</w:t>
      </w:r>
      <w:r>
        <w:t xml:space="preserve"> </w:t>
      </w:r>
      <w:r w:rsidR="00061CC0">
        <w:t>in</w:t>
      </w:r>
      <w:r w:rsidR="00C10152">
        <w:t xml:space="preserve"> the last financial year, </w:t>
      </w:r>
      <w:r w:rsidR="00061CC0">
        <w:t>on average</w:t>
      </w:r>
      <w:r>
        <w:t xml:space="preserve"> over 60 </w:t>
      </w:r>
      <w:r w:rsidR="00052894">
        <w:t>per cent</w:t>
      </w:r>
      <w:r>
        <w:t xml:space="preserve"> of electricity and gas customers </w:t>
      </w:r>
      <w:r w:rsidR="00C10152">
        <w:t xml:space="preserve">were </w:t>
      </w:r>
      <w:r>
        <w:t xml:space="preserve">not on their retailer’s </w:t>
      </w:r>
      <w:r w:rsidR="004F2C5D">
        <w:t xml:space="preserve">best </w:t>
      </w:r>
      <w:r w:rsidR="00B12A58">
        <w:t>offer</w:t>
      </w:r>
      <w:r>
        <w:t>.</w:t>
      </w:r>
      <w:r w:rsidR="00C119FD">
        <w:rPr>
          <w:rStyle w:val="FootnoteReference"/>
        </w:rPr>
        <w:footnoteReference w:id="187"/>
      </w:r>
      <w:r w:rsidR="004221F4" w:rsidDel="004221F4">
        <w:rPr>
          <w:rStyle w:val="CommentReference"/>
          <w:rFonts w:ascii="Arial" w:eastAsia="Arial" w:hAnsi="Arial" w:cs="Arial"/>
          <w:lang w:val="en-US"/>
        </w:rPr>
        <w:t xml:space="preserve"> </w:t>
      </w:r>
      <w:r w:rsidR="00AE689A">
        <w:t>This indicates</w:t>
      </w:r>
      <w:r w:rsidR="0090377D">
        <w:t xml:space="preserve"> that </w:t>
      </w:r>
      <w:r w:rsidR="00AE689A">
        <w:t>a majority of consumers</w:t>
      </w:r>
      <w:r w:rsidR="00804B6A">
        <w:t xml:space="preserve"> could </w:t>
      </w:r>
      <w:r w:rsidR="00AE689A">
        <w:t>benefit from</w:t>
      </w:r>
      <w:r w:rsidR="00604D7B">
        <w:t xml:space="preserve"> switching</w:t>
      </w:r>
      <w:r w:rsidR="00AE689A">
        <w:t xml:space="preserve"> to their best offer.</w:t>
      </w:r>
    </w:p>
    <w:p w14:paraId="06B6AEC7" w14:textId="7D7E9D92" w:rsidR="00242568" w:rsidRDefault="003963C9" w:rsidP="00406FF8">
      <w:r>
        <w:t xml:space="preserve">This is despite existing </w:t>
      </w:r>
      <w:r w:rsidR="004219A0">
        <w:t>obligations that require</w:t>
      </w:r>
      <w:r w:rsidR="00954612">
        <w:t xml:space="preserve"> r</w:t>
      </w:r>
      <w:r w:rsidR="008171AE">
        <w:t xml:space="preserve">etailers </w:t>
      </w:r>
      <w:r w:rsidR="004219A0">
        <w:t>to</w:t>
      </w:r>
      <w:r w:rsidR="008171AE">
        <w:t xml:space="preserve"> </w:t>
      </w:r>
      <w:r w:rsidR="00F37F74">
        <w:t xml:space="preserve">regularly </w:t>
      </w:r>
      <w:r w:rsidR="00E22B76">
        <w:t xml:space="preserve">place a </w:t>
      </w:r>
      <w:r w:rsidR="008171AE">
        <w:t xml:space="preserve">best offer message on </w:t>
      </w:r>
      <w:r w:rsidR="00F37F74">
        <w:t>customers</w:t>
      </w:r>
      <w:r w:rsidR="00E22B76">
        <w:t>’ bills (every three months for electricity and every four months for gas)</w:t>
      </w:r>
      <w:r w:rsidR="008C0817">
        <w:t>. The</w:t>
      </w:r>
      <w:r w:rsidR="00AE689A">
        <w:t>se</w:t>
      </w:r>
      <w:r w:rsidR="008C0817">
        <w:t xml:space="preserve"> messages </w:t>
      </w:r>
      <w:r w:rsidR="002A47DB">
        <w:t xml:space="preserve">inform </w:t>
      </w:r>
      <w:r w:rsidR="007A09F0">
        <w:t xml:space="preserve">customers whether they are </w:t>
      </w:r>
      <w:r w:rsidR="00A20AAD">
        <w:t xml:space="preserve">on their retailer’s best offer and how to switch </w:t>
      </w:r>
      <w:r w:rsidR="00765E28">
        <w:t xml:space="preserve">to the best offer </w:t>
      </w:r>
      <w:r w:rsidR="00FA303A">
        <w:t>if they are not.</w:t>
      </w:r>
    </w:p>
    <w:p w14:paraId="76A99556" w14:textId="6E867327" w:rsidR="00406FF8" w:rsidRDefault="00852778" w:rsidP="00406FF8">
      <w:r>
        <w:t>G</w:t>
      </w:r>
      <w:r w:rsidR="00406FF8">
        <w:t xml:space="preserve">iven </w:t>
      </w:r>
      <w:r w:rsidR="004221F4">
        <w:t>most</w:t>
      </w:r>
      <w:r w:rsidR="00406FF8">
        <w:t xml:space="preserve"> </w:t>
      </w:r>
      <w:r w:rsidR="00430903">
        <w:t>customers</w:t>
      </w:r>
      <w:r w:rsidR="00406FF8">
        <w:t xml:space="preserve"> are not on their retailer’s cheapest plan, </w:t>
      </w:r>
      <w:r w:rsidR="00A96EC3">
        <w:t xml:space="preserve">in addition to proposing to automatically switch customers experiencing financial hardship to the best offer as explained </w:t>
      </w:r>
      <w:r w:rsidR="00D334DE">
        <w:t>i</w:t>
      </w:r>
      <w:r w:rsidR="00A96EC3">
        <w:t xml:space="preserve">n Chapter 5, we consider </w:t>
      </w:r>
      <w:r w:rsidR="00406FF8">
        <w:t xml:space="preserve">there is scope for improvements to help </w:t>
      </w:r>
      <w:r w:rsidR="00A96EC3">
        <w:t xml:space="preserve">all small </w:t>
      </w:r>
      <w:r w:rsidR="00406FF8">
        <w:t xml:space="preserve">customers obtain better prices. </w:t>
      </w:r>
      <w:r w:rsidR="0068051C">
        <w:t>Furthermore, e</w:t>
      </w:r>
      <w:r w:rsidR="00406FF8">
        <w:t xml:space="preserve">ven when </w:t>
      </w:r>
      <w:r w:rsidR="00430903">
        <w:t>customer</w:t>
      </w:r>
      <w:r w:rsidR="00406FF8">
        <w:t xml:space="preserve">s </w:t>
      </w:r>
      <w:r w:rsidR="00E52CD3">
        <w:t>have found</w:t>
      </w:r>
      <w:r w:rsidR="00406FF8">
        <w:t xml:space="preserve"> better priced plans, they often find transaction costs (real and perceived) too high to </w:t>
      </w:r>
      <w:r w:rsidR="00B05918">
        <w:t>switch to cheaper plans</w:t>
      </w:r>
      <w:r w:rsidR="00406FF8">
        <w:t>.</w:t>
      </w:r>
    </w:p>
    <w:p w14:paraId="60A967DC" w14:textId="379C3E11" w:rsidR="000C466B" w:rsidRDefault="000C466B" w:rsidP="000C466B">
      <w:r>
        <w:lastRenderedPageBreak/>
        <w:t>For example, internal analysis by the commission revealed that many retailers do not have clear information on their websites instructing a customer how to switch their plan. Retailers are required to put this information on bills that contain a best offer message. However, if a customer does not have a bill at hand, it can be difficult to know how to switch.</w:t>
      </w:r>
    </w:p>
    <w:p w14:paraId="0FDE530A" w14:textId="0E99CC6A" w:rsidR="0068051C" w:rsidRDefault="00406FF8" w:rsidP="00406FF8">
      <w:r>
        <w:t xml:space="preserve">The proposed reform aims to reduce transaction costs of switching </w:t>
      </w:r>
      <w:r w:rsidR="00F971A2">
        <w:t>to the best offer</w:t>
      </w:r>
      <w:r w:rsidR="0068051C">
        <w:t xml:space="preserve">. To achieve this, it </w:t>
      </w:r>
      <w:r w:rsidR="004D76D0">
        <w:t>aims to improve</w:t>
      </w:r>
      <w:r>
        <w:t xml:space="preserve"> retailers</w:t>
      </w:r>
      <w:r w:rsidR="004D76D0">
        <w:t xml:space="preserve">’ processes </w:t>
      </w:r>
      <w:r w:rsidR="00AF55B3">
        <w:t>for</w:t>
      </w:r>
      <w:r w:rsidR="004D76D0">
        <w:t xml:space="preserve"> customers to switch to </w:t>
      </w:r>
      <w:r w:rsidR="00AF55B3">
        <w:t>the best offer</w:t>
      </w:r>
      <w:r w:rsidR="006D0DCC">
        <w:t>.</w:t>
      </w:r>
    </w:p>
    <w:p w14:paraId="36C3A413" w14:textId="2AE9A43A" w:rsidR="00406FF8" w:rsidRDefault="00406FF8" w:rsidP="00406FF8">
      <w:r>
        <w:t xml:space="preserve">By making switching quicker and easier, more customers </w:t>
      </w:r>
      <w:r w:rsidR="00F84365">
        <w:t>wo</w:t>
      </w:r>
      <w:r>
        <w:t>uld be able and willing to sw</w:t>
      </w:r>
      <w:r w:rsidR="00F84365">
        <w:t>itch</w:t>
      </w:r>
      <w:r>
        <w:t xml:space="preserve"> to cheaper plans</w:t>
      </w:r>
      <w:r w:rsidR="00F04C7E">
        <w:t>. This w</w:t>
      </w:r>
      <w:r w:rsidR="00F84365">
        <w:t>ould</w:t>
      </w:r>
      <w:r>
        <w:t xml:space="preserve"> sav</w:t>
      </w:r>
      <w:r w:rsidR="00F04C7E">
        <w:t>e</w:t>
      </w:r>
      <w:r>
        <w:t xml:space="preserve"> them money and </w:t>
      </w:r>
      <w:r w:rsidR="005C37A4">
        <w:t xml:space="preserve">support </w:t>
      </w:r>
      <w:r w:rsidR="00901AA3">
        <w:t>competition</w:t>
      </w:r>
      <w:r>
        <w:t xml:space="preserve"> </w:t>
      </w:r>
      <w:r w:rsidR="00A449D8">
        <w:t xml:space="preserve">on prices </w:t>
      </w:r>
      <w:r w:rsidR="000A4487">
        <w:t>between</w:t>
      </w:r>
      <w:r>
        <w:t xml:space="preserve"> energy retailers.</w:t>
      </w:r>
    </w:p>
    <w:p w14:paraId="7B82D64E" w14:textId="660B57B5" w:rsidR="00400008" w:rsidRDefault="00400008" w:rsidP="00400008">
      <w:pPr>
        <w:pStyle w:val="Heading3numbered"/>
      </w:pPr>
      <w:r>
        <w:t>What we heard from stakeholders</w:t>
      </w:r>
    </w:p>
    <w:p w14:paraId="4EAD9968" w14:textId="77777777" w:rsidR="004F5E27" w:rsidRDefault="000B44C6" w:rsidP="009F63AC">
      <w:r>
        <w:t>We</w:t>
      </w:r>
      <w:r w:rsidR="003707D7">
        <w:t xml:space="preserve"> heard from consumer groups and public entities that many customers find </w:t>
      </w:r>
      <w:r w:rsidR="00E848A0">
        <w:t>switching</w:t>
      </w:r>
      <w:r w:rsidR="003707D7">
        <w:t xml:space="preserve"> </w:t>
      </w:r>
      <w:r w:rsidR="00F02C30">
        <w:t xml:space="preserve">confusing, </w:t>
      </w:r>
      <w:r w:rsidR="003707D7">
        <w:t>difficult</w:t>
      </w:r>
      <w:r w:rsidR="00F02C30">
        <w:t xml:space="preserve"> and time</w:t>
      </w:r>
      <w:r w:rsidR="00CD4CBB">
        <w:t xml:space="preserve">-consuming. This </w:t>
      </w:r>
      <w:r w:rsidR="00E4523B">
        <w:t xml:space="preserve">prevents some customers </w:t>
      </w:r>
      <w:r w:rsidR="00AF381E">
        <w:t>from</w:t>
      </w:r>
      <w:r w:rsidR="00E4523B">
        <w:t xml:space="preserve"> switching as they do not feel </w:t>
      </w:r>
      <w:r w:rsidR="003707D7">
        <w:t xml:space="preserve">it </w:t>
      </w:r>
      <w:r w:rsidR="00E4523B">
        <w:t>is</w:t>
      </w:r>
      <w:r w:rsidR="003707D7">
        <w:t xml:space="preserve"> worth their time and effort.</w:t>
      </w:r>
      <w:r w:rsidR="003707D7">
        <w:rPr>
          <w:rStyle w:val="FootnoteReference"/>
        </w:rPr>
        <w:footnoteReference w:id="188"/>
      </w:r>
    </w:p>
    <w:p w14:paraId="17D98A27" w14:textId="3D43ADCA" w:rsidR="006603EC" w:rsidRDefault="00115FD0" w:rsidP="009F63AC">
      <w:r>
        <w:t>Th</w:t>
      </w:r>
      <w:r w:rsidR="00E4523B">
        <w:t>e</w:t>
      </w:r>
      <w:r w:rsidR="00ED6065">
        <w:t>se</w:t>
      </w:r>
      <w:r w:rsidR="00E4523B">
        <w:t xml:space="preserve"> stakeholder</w:t>
      </w:r>
      <w:r w:rsidR="00ED6065">
        <w:t>s</w:t>
      </w:r>
      <w:r>
        <w:t xml:space="preserve"> also emphasised the importance of having multiple channels for</w:t>
      </w:r>
      <w:r w:rsidR="003707D7">
        <w:t xml:space="preserve"> </w:t>
      </w:r>
      <w:r w:rsidR="0058046D">
        <w:t>customers to contact retailers</w:t>
      </w:r>
      <w:r w:rsidR="00ED6065">
        <w:t xml:space="preserve"> and switch plans</w:t>
      </w:r>
      <w:r w:rsidR="00A47DDB">
        <w:t>, including online and over the phone</w:t>
      </w:r>
      <w:r w:rsidR="00D60215">
        <w:t xml:space="preserve">. This </w:t>
      </w:r>
      <w:r w:rsidR="0058046D">
        <w:t>cater</w:t>
      </w:r>
      <w:r w:rsidR="004B7AC0">
        <w:t>s</w:t>
      </w:r>
      <w:r w:rsidR="0058046D">
        <w:t xml:space="preserve"> to differing needs, </w:t>
      </w:r>
      <w:r w:rsidR="00FA110C">
        <w:t xml:space="preserve">accounting for </w:t>
      </w:r>
      <w:r w:rsidR="00B01CF2">
        <w:t>disabilit</w:t>
      </w:r>
      <w:r w:rsidR="00FA110C">
        <w:t>ies</w:t>
      </w:r>
      <w:r w:rsidR="00B01CF2">
        <w:t xml:space="preserve">, </w:t>
      </w:r>
      <w:r w:rsidR="00C512FB">
        <w:t>language skills</w:t>
      </w:r>
      <w:r w:rsidR="00D33EEC">
        <w:t xml:space="preserve">, </w:t>
      </w:r>
      <w:r w:rsidR="00C512FB">
        <w:t>digital literacy</w:t>
      </w:r>
      <w:r w:rsidR="00D33EEC">
        <w:t>, and work schedules (for example, a call centre only being open during business hours)</w:t>
      </w:r>
      <w:r w:rsidR="00C512FB">
        <w:t>.</w:t>
      </w:r>
      <w:r w:rsidR="0007449D">
        <w:rPr>
          <w:rStyle w:val="FootnoteReference"/>
        </w:rPr>
        <w:footnoteReference w:id="189"/>
      </w:r>
    </w:p>
    <w:p w14:paraId="02DC1AFE" w14:textId="358F0A2B" w:rsidR="00922F77" w:rsidRDefault="003707D7" w:rsidP="009F63AC">
      <w:r>
        <w:t xml:space="preserve">EWOV also identified </w:t>
      </w:r>
      <w:r w:rsidR="00EF6857">
        <w:t>similar i</w:t>
      </w:r>
      <w:r>
        <w:t>ssue</w:t>
      </w:r>
      <w:r w:rsidR="00EF6857">
        <w:t>s</w:t>
      </w:r>
      <w:r>
        <w:t xml:space="preserve"> in their submission to the </w:t>
      </w:r>
      <w:r w:rsidR="00EF6857">
        <w:t>discussion</w:t>
      </w:r>
      <w:r>
        <w:t xml:space="preserve"> paper on these reforms</w:t>
      </w:r>
      <w:r w:rsidR="00365240">
        <w:t>. They noted</w:t>
      </w:r>
      <w:r w:rsidR="006D4442">
        <w:t xml:space="preserve"> that </w:t>
      </w:r>
      <w:r w:rsidR="004B7AC0">
        <w:t xml:space="preserve">even </w:t>
      </w:r>
      <w:r w:rsidR="002650EA">
        <w:t xml:space="preserve">when </w:t>
      </w:r>
      <w:r w:rsidR="00FC5C0D">
        <w:t xml:space="preserve">some </w:t>
      </w:r>
      <w:r w:rsidR="002650EA">
        <w:t xml:space="preserve">customers </w:t>
      </w:r>
      <w:r w:rsidR="003138A4">
        <w:t xml:space="preserve">contacted </w:t>
      </w:r>
      <w:r w:rsidR="004B7AC0">
        <w:t xml:space="preserve">retailers’ </w:t>
      </w:r>
      <w:r w:rsidR="003138A4">
        <w:t>call centres</w:t>
      </w:r>
      <w:r w:rsidR="00ED3FB7">
        <w:t>,</w:t>
      </w:r>
      <w:r w:rsidR="003138A4">
        <w:t xml:space="preserve"> they still experienced difficulties in switching to their best offer</w:t>
      </w:r>
      <w:r>
        <w:t>.</w:t>
      </w:r>
      <w:r>
        <w:rPr>
          <w:rStyle w:val="FootnoteReference"/>
        </w:rPr>
        <w:footnoteReference w:id="190"/>
      </w:r>
    </w:p>
    <w:p w14:paraId="0D43729C" w14:textId="4442F4DC" w:rsidR="009F63AC" w:rsidRDefault="00FC5C0D" w:rsidP="009F63AC">
      <w:r>
        <w:t xml:space="preserve">We heard similar concerns from consumer focus groups. For example, </w:t>
      </w:r>
      <w:r w:rsidR="00C26989">
        <w:t xml:space="preserve">consumers </w:t>
      </w:r>
      <w:r w:rsidR="00022795">
        <w:t xml:space="preserve">mentioned not being able to access online accounts with their retailer or effectively communicate via </w:t>
      </w:r>
      <w:r w:rsidR="00F442C4">
        <w:t>telephone.</w:t>
      </w:r>
      <w:r w:rsidR="006C5DFB">
        <w:t xml:space="preserve"> They emphasised logistical barriers to switching </w:t>
      </w:r>
      <w:r w:rsidR="001A6083">
        <w:t>and lack of confidence in switching processes.</w:t>
      </w:r>
      <w:r w:rsidR="00A332B0">
        <w:rPr>
          <w:rStyle w:val="FootnoteReference"/>
        </w:rPr>
        <w:footnoteReference w:id="191"/>
      </w:r>
      <w:r w:rsidR="00F442C4">
        <w:t xml:space="preserve"> </w:t>
      </w:r>
    </w:p>
    <w:p w14:paraId="16945EA6" w14:textId="31E3135D" w:rsidR="009F63AC" w:rsidRPr="009F63AC" w:rsidRDefault="00751F03" w:rsidP="00FC2E32">
      <w:r>
        <w:t>C</w:t>
      </w:r>
      <w:r w:rsidR="009F63AC">
        <w:t>onsumer groups highlight</w:t>
      </w:r>
      <w:r w:rsidR="00EB7B82">
        <w:t>ed</w:t>
      </w:r>
      <w:r w:rsidR="009F63AC">
        <w:t xml:space="preserve"> that many consumers from culturally and linguistically diverse backgrounds struggle to understand and engage with their retailer.</w:t>
      </w:r>
      <w:r w:rsidR="00690A46">
        <w:t xml:space="preserve"> </w:t>
      </w:r>
      <w:r w:rsidR="00A07E32">
        <w:t>They</w:t>
      </w:r>
      <w:r w:rsidR="006D3BAC">
        <w:t xml:space="preserve"> also noted</w:t>
      </w:r>
      <w:r w:rsidR="00AC766F">
        <w:t xml:space="preserve"> </w:t>
      </w:r>
      <w:r w:rsidR="00316593">
        <w:t>customers</w:t>
      </w:r>
      <w:r w:rsidR="00063DC8">
        <w:t xml:space="preserve"> </w:t>
      </w:r>
      <w:r w:rsidR="00C82EE0">
        <w:lastRenderedPageBreak/>
        <w:t>may</w:t>
      </w:r>
      <w:r w:rsidR="00063DC8">
        <w:t xml:space="preserve"> face</w:t>
      </w:r>
      <w:r w:rsidR="009F63AC">
        <w:t xml:space="preserve"> other forms of disadvantage </w:t>
      </w:r>
      <w:r w:rsidR="0072727D">
        <w:t>(</w:t>
      </w:r>
      <w:r w:rsidR="008A22AD">
        <w:t>based</w:t>
      </w:r>
      <w:r w:rsidR="00543966">
        <w:t xml:space="preserve"> on</w:t>
      </w:r>
      <w:r w:rsidR="0072727D">
        <w:t xml:space="preserve"> age or education</w:t>
      </w:r>
      <w:r w:rsidR="00FB559C">
        <w:t>al factors</w:t>
      </w:r>
      <w:r w:rsidR="0072727D">
        <w:t xml:space="preserve">) </w:t>
      </w:r>
      <w:r w:rsidR="00063DC8">
        <w:t>when</w:t>
      </w:r>
      <w:r w:rsidR="009F63AC">
        <w:t xml:space="preserve"> engaging </w:t>
      </w:r>
      <w:r w:rsidR="00063DC8">
        <w:t>the complex energy market</w:t>
      </w:r>
      <w:r w:rsidR="009F63AC">
        <w:t>.</w:t>
      </w:r>
      <w:r w:rsidR="00690A46">
        <w:rPr>
          <w:rStyle w:val="FootnoteReference"/>
        </w:rPr>
        <w:footnoteReference w:id="192"/>
      </w:r>
      <w:r w:rsidR="00690A46">
        <w:t xml:space="preserve"> </w:t>
      </w:r>
    </w:p>
    <w:p w14:paraId="4E718E57" w14:textId="4B85E4C5" w:rsidR="00A95251" w:rsidRPr="009F63AC" w:rsidRDefault="00A95251" w:rsidP="00FC2E32">
      <w:r>
        <w:t>During consumer focus group</w:t>
      </w:r>
      <w:r w:rsidR="009C2FFD">
        <w:t xml:space="preserve">s research, we heard from consumers that they would </w:t>
      </w:r>
      <w:r w:rsidR="00D42CD2">
        <w:t xml:space="preserve">like </w:t>
      </w:r>
      <w:r w:rsidR="00F5307A">
        <w:t>standardised systems</w:t>
      </w:r>
      <w:r w:rsidR="00D42CD2">
        <w:t xml:space="preserve"> </w:t>
      </w:r>
      <w:r w:rsidR="0003236D">
        <w:t>to</w:t>
      </w:r>
      <w:r w:rsidR="00F5307A">
        <w:t xml:space="preserve"> enable them to make like-for-like comparisons between plans. </w:t>
      </w:r>
      <w:r w:rsidR="007949A0">
        <w:t>Consumers</w:t>
      </w:r>
      <w:r w:rsidR="004461E9">
        <w:t xml:space="preserve"> reported that this would better help them understand </w:t>
      </w:r>
      <w:r w:rsidR="00147419">
        <w:t>the difference between plans and improve confidence in the switching process.</w:t>
      </w:r>
      <w:r w:rsidR="00147419">
        <w:rPr>
          <w:rStyle w:val="FootnoteReference"/>
        </w:rPr>
        <w:footnoteReference w:id="193"/>
      </w:r>
    </w:p>
    <w:p w14:paraId="6E8470B1" w14:textId="77777777" w:rsidR="007B13D2" w:rsidRDefault="00F613C9" w:rsidP="00FC2E32">
      <w:r>
        <w:t xml:space="preserve">Retailers </w:t>
      </w:r>
      <w:r w:rsidR="00CB084D">
        <w:t xml:space="preserve">considered that reforms </w:t>
      </w:r>
      <w:r w:rsidR="00096E1C">
        <w:t>should allow flexibility in implementation</w:t>
      </w:r>
      <w:r w:rsidR="00A220D1">
        <w:t>. Th</w:t>
      </w:r>
      <w:r w:rsidR="00F62562">
        <w:t xml:space="preserve">ey mentioned this could involve </w:t>
      </w:r>
      <w:r w:rsidR="002B5F49">
        <w:t>multiple available options for switching, w</w:t>
      </w:r>
      <w:r w:rsidR="00291036">
        <w:t xml:space="preserve">ithout prescription of which options would be mandatory. </w:t>
      </w:r>
      <w:r w:rsidR="00680CC2">
        <w:t xml:space="preserve">Retailers also </w:t>
      </w:r>
      <w:r w:rsidR="00A42512">
        <w:t>noted that</w:t>
      </w:r>
      <w:r w:rsidR="007B13D2">
        <w:t>:</w:t>
      </w:r>
    </w:p>
    <w:p w14:paraId="09FC1B57" w14:textId="51516DED" w:rsidR="00F613C9" w:rsidRDefault="00A42512" w:rsidP="00A92E17">
      <w:pPr>
        <w:pStyle w:val="ListBullet"/>
      </w:pPr>
      <w:r>
        <w:t xml:space="preserve">current explicit informed consent requirements </w:t>
      </w:r>
      <w:r w:rsidR="004D3A0D">
        <w:t>delay</w:t>
      </w:r>
      <w:r w:rsidR="00DE07E0">
        <w:t xml:space="preserve"> switching process</w:t>
      </w:r>
      <w:r w:rsidR="005465BF">
        <w:t>es</w:t>
      </w:r>
    </w:p>
    <w:p w14:paraId="4A009B80" w14:textId="4C369284" w:rsidR="005465BF" w:rsidRDefault="00C77FA1" w:rsidP="00A92E17">
      <w:pPr>
        <w:pStyle w:val="ListBullet"/>
      </w:pPr>
      <w:r>
        <w:t>larger retailers are better placed to absorb the costs of system changes to allow multiple methods of switching</w:t>
      </w:r>
    </w:p>
    <w:p w14:paraId="5A5934D1" w14:textId="716DB3D1" w:rsidR="00C77FA1" w:rsidRPr="009F63AC" w:rsidRDefault="000043A6" w:rsidP="00A92E17">
      <w:pPr>
        <w:pStyle w:val="ListBullet"/>
      </w:pPr>
      <w:r>
        <w:t xml:space="preserve">industry would need clarity on how to benchmark against </w:t>
      </w:r>
      <w:r w:rsidR="00E717CA">
        <w:t>any principles-based or outcomes-based approach.</w:t>
      </w:r>
      <w:r w:rsidR="00E717CA">
        <w:rPr>
          <w:rStyle w:val="FootnoteReference"/>
        </w:rPr>
        <w:footnoteReference w:id="194"/>
      </w:r>
    </w:p>
    <w:p w14:paraId="6006A5ED" w14:textId="6C7BFF72" w:rsidR="00400008" w:rsidRPr="00400008" w:rsidRDefault="00400008" w:rsidP="00FC2E32">
      <w:pPr>
        <w:pStyle w:val="Heading3numbered"/>
      </w:pPr>
      <w:r>
        <w:t>Approach to options development</w:t>
      </w:r>
    </w:p>
    <w:p w14:paraId="6F6279EB" w14:textId="513B3837" w:rsidR="00573C54" w:rsidRDefault="001C6E78" w:rsidP="00673FF3">
      <w:r>
        <w:t xml:space="preserve">Our </w:t>
      </w:r>
      <w:r w:rsidR="00787A85">
        <w:t xml:space="preserve">approach </w:t>
      </w:r>
      <w:r>
        <w:t xml:space="preserve">to </w:t>
      </w:r>
      <w:r w:rsidR="00787A85">
        <w:t>develop</w:t>
      </w:r>
      <w:r>
        <w:t>ing</w:t>
      </w:r>
      <w:r w:rsidR="00787A85">
        <w:t xml:space="preserve"> options for this reform </w:t>
      </w:r>
      <w:r w:rsidR="00E544F1">
        <w:t>consider</w:t>
      </w:r>
      <w:r w:rsidR="0087209D">
        <w:t>ed</w:t>
      </w:r>
      <w:r w:rsidR="00E544F1">
        <w:t xml:space="preserve"> the large diversity of customers </w:t>
      </w:r>
      <w:r w:rsidR="00673FF3">
        <w:t>and customer</w:t>
      </w:r>
      <w:r w:rsidR="00E544F1">
        <w:t xml:space="preserve"> needs.</w:t>
      </w:r>
      <w:r w:rsidR="00673FF3">
        <w:t xml:space="preserve"> This includes </w:t>
      </w:r>
      <w:r w:rsidR="00D21784">
        <w:t xml:space="preserve">various </w:t>
      </w:r>
      <w:r w:rsidR="00673FF3">
        <w:t>preferences for how to engage</w:t>
      </w:r>
      <w:r w:rsidR="00E544F1">
        <w:t xml:space="preserve"> with retailer</w:t>
      </w:r>
      <w:r w:rsidR="00D21784">
        <w:t>s.</w:t>
      </w:r>
    </w:p>
    <w:p w14:paraId="1308DC45" w14:textId="5F3CDCD3" w:rsidR="00E544F1" w:rsidRDefault="00D21784" w:rsidP="00673FF3">
      <w:r>
        <w:t>We also considered th</w:t>
      </w:r>
      <w:r w:rsidR="007E7FE1">
        <w:t xml:space="preserve">at different </w:t>
      </w:r>
      <w:r>
        <w:t>e</w:t>
      </w:r>
      <w:r w:rsidR="00E544F1">
        <w:t>nergy retailers</w:t>
      </w:r>
      <w:r w:rsidR="007E7FE1">
        <w:t xml:space="preserve"> may</w:t>
      </w:r>
      <w:r>
        <w:t xml:space="preserve"> </w:t>
      </w:r>
      <w:r w:rsidR="007E7FE1">
        <w:t>have</w:t>
      </w:r>
      <w:r>
        <w:t xml:space="preserve"> </w:t>
      </w:r>
      <w:r w:rsidR="009D7C51">
        <w:t>diffe</w:t>
      </w:r>
      <w:r w:rsidR="00E544F1">
        <w:t xml:space="preserve">rent </w:t>
      </w:r>
      <w:r w:rsidR="00B3619C">
        <w:t xml:space="preserve">processes, </w:t>
      </w:r>
      <w:r w:rsidR="00E544F1">
        <w:t xml:space="preserve">systems, </w:t>
      </w:r>
      <w:r w:rsidR="00E544F1" w:rsidDel="00AC217C">
        <w:t>offers</w:t>
      </w:r>
      <w:r w:rsidR="00E544F1">
        <w:t xml:space="preserve"> and target markets.</w:t>
      </w:r>
    </w:p>
    <w:p w14:paraId="428E952A" w14:textId="77777777" w:rsidR="00734E69" w:rsidRDefault="009D7C51" w:rsidP="00E544F1">
      <w:r>
        <w:t>We noted</w:t>
      </w:r>
      <w:r w:rsidR="00E544F1">
        <w:t xml:space="preserve"> there is currently no established best practice for switching</w:t>
      </w:r>
      <w:r w:rsidR="00907496">
        <w:t xml:space="preserve"> to the best offer</w:t>
      </w:r>
      <w:r w:rsidR="00E544F1">
        <w:t xml:space="preserve"> within the sector.</w:t>
      </w:r>
      <w:r w:rsidR="005F22E4">
        <w:t xml:space="preserve"> While </w:t>
      </w:r>
      <w:r w:rsidR="00907496">
        <w:t xml:space="preserve">switching to another </w:t>
      </w:r>
      <w:r w:rsidR="005F22E4">
        <w:t>retailer is facilitated by comparison websites such as Victoria</w:t>
      </w:r>
      <w:r w:rsidR="00216E32">
        <w:t>n Energy Compare, switching to a best offer with the same retailer</w:t>
      </w:r>
      <w:r w:rsidR="00907496">
        <w:t xml:space="preserve"> has no equivalent standardised process.</w:t>
      </w:r>
    </w:p>
    <w:p w14:paraId="49827C28" w14:textId="5665AB69" w:rsidR="00C0529A" w:rsidRDefault="00734E69" w:rsidP="00BE451D">
      <w:r>
        <w:t xml:space="preserve">We </w:t>
      </w:r>
      <w:r w:rsidR="00E544F1">
        <w:t xml:space="preserve">therefore </w:t>
      </w:r>
      <w:r>
        <w:t xml:space="preserve">considered it would be </w:t>
      </w:r>
      <w:r w:rsidR="00E544F1">
        <w:t>important to allow retailers flexibility to develop their systems and processes in ways that most efficiently align with existing processes and best cater to their customers</w:t>
      </w:r>
      <w:r>
        <w:t>’ needs</w:t>
      </w:r>
      <w:r w:rsidR="00E544F1">
        <w:t>.</w:t>
      </w:r>
    </w:p>
    <w:p w14:paraId="74C261E0" w14:textId="521ABBCF" w:rsidR="00B63077" w:rsidRDefault="00B63077" w:rsidP="00B63077">
      <w:pPr>
        <w:pStyle w:val="Heading2numbered"/>
      </w:pPr>
      <w:bookmarkStart w:id="216" w:name="_Toc197959446"/>
      <w:r>
        <w:lastRenderedPageBreak/>
        <w:t>Options considered but not progressed to assessment</w:t>
      </w:r>
      <w:bookmarkEnd w:id="216"/>
    </w:p>
    <w:p w14:paraId="13675AE9" w14:textId="1ED1145E" w:rsidR="00C14C22" w:rsidRDefault="006967E1" w:rsidP="00C06A32">
      <w:r>
        <w:t>We</w:t>
      </w:r>
      <w:r w:rsidR="008A1326">
        <w:t xml:space="preserve"> considered </w:t>
      </w:r>
      <w:r w:rsidR="000B1356">
        <w:t xml:space="preserve">whether the development of guidance alone could </w:t>
      </w:r>
      <w:r w:rsidR="00B96C66">
        <w:t xml:space="preserve">achieve the objectives of this reform. However, on assessment, we decided to </w:t>
      </w:r>
      <w:r w:rsidR="008A1326">
        <w:t xml:space="preserve">not progress </w:t>
      </w:r>
      <w:r w:rsidR="00B96C66">
        <w:t xml:space="preserve">this further to assessment through MCA. </w:t>
      </w:r>
      <w:r w:rsidR="008A1326">
        <w:t xml:space="preserve">Under this </w:t>
      </w:r>
      <w:r w:rsidR="00C7243B">
        <w:t>approach</w:t>
      </w:r>
      <w:r w:rsidR="00C06A32">
        <w:t xml:space="preserve">, the </w:t>
      </w:r>
      <w:r w:rsidR="00C522F0">
        <w:t xml:space="preserve">commission </w:t>
      </w:r>
      <w:r w:rsidR="00B96C66">
        <w:t>w</w:t>
      </w:r>
      <w:r w:rsidR="00C06A32">
        <w:t>ould develop guidance on how retailers c</w:t>
      </w:r>
      <w:r w:rsidR="00794516">
        <w:t>ould</w:t>
      </w:r>
      <w:r w:rsidR="00C06A32">
        <w:t xml:space="preserve"> implement a switching process that is </w:t>
      </w:r>
      <w:r w:rsidR="00C7243B">
        <w:t xml:space="preserve">effective, </w:t>
      </w:r>
      <w:r w:rsidR="00C06A32">
        <w:t xml:space="preserve">simple and accessible. </w:t>
      </w:r>
      <w:r w:rsidR="00786926">
        <w:t>A</w:t>
      </w:r>
      <w:r w:rsidR="002052CF">
        <w:t xml:space="preserve"> guidance-only approach is not preferred as it would</w:t>
      </w:r>
      <w:r w:rsidR="000D62D1">
        <w:t xml:space="preserve"> not</w:t>
      </w:r>
      <w:r w:rsidR="002052CF">
        <w:t xml:space="preserve"> provide the same degree of assurance or enforceability as</w:t>
      </w:r>
      <w:r w:rsidR="007F6C15">
        <w:t xml:space="preserve"> </w:t>
      </w:r>
      <w:r w:rsidR="00786926">
        <w:t xml:space="preserve">a new </w:t>
      </w:r>
      <w:r w:rsidR="00E31B8F">
        <w:t xml:space="preserve">rule. </w:t>
      </w:r>
    </w:p>
    <w:p w14:paraId="796C1F76" w14:textId="6443522F" w:rsidR="00C7630D" w:rsidRDefault="00C7630D" w:rsidP="00E8074A">
      <w:pPr>
        <w:pStyle w:val="Heading2numbered"/>
      </w:pPr>
      <w:bookmarkStart w:id="217" w:name="_Toc197959447"/>
      <w:r>
        <w:t>Options</w:t>
      </w:r>
      <w:bookmarkEnd w:id="217"/>
    </w:p>
    <w:p w14:paraId="0EB62EA8" w14:textId="279373A2" w:rsidR="00536D45" w:rsidRDefault="00584ED4" w:rsidP="00584ED4">
      <w:pPr>
        <w:pStyle w:val="Heading3numbered"/>
      </w:pPr>
      <w:bookmarkStart w:id="218" w:name="_Toc190957880"/>
      <w:bookmarkStart w:id="219" w:name="_Hlk191476899"/>
      <w:r>
        <w:t>Base case</w:t>
      </w:r>
      <w:bookmarkEnd w:id="218"/>
    </w:p>
    <w:bookmarkEnd w:id="219"/>
    <w:p w14:paraId="0679B077" w14:textId="77777777" w:rsidR="004B0442" w:rsidRDefault="00E67D02" w:rsidP="0033078C">
      <w:r>
        <w:t xml:space="preserve">The base case for this reform would be the status quo. </w:t>
      </w:r>
    </w:p>
    <w:p w14:paraId="2DF85877" w14:textId="75E0F9B2" w:rsidR="0033078C" w:rsidRDefault="004B0442" w:rsidP="00FC2E32">
      <w:r>
        <w:t>R</w:t>
      </w:r>
      <w:r w:rsidR="00CE6AFD">
        <w:t xml:space="preserve">etailers would continue to be obliged to conduct best offer checks and </w:t>
      </w:r>
      <w:r w:rsidR="00923834">
        <w:t>to display</w:t>
      </w:r>
      <w:r w:rsidR="00CE6AFD">
        <w:t xml:space="preserve"> best offer messag</w:t>
      </w:r>
      <w:r w:rsidR="00923834">
        <w:t>es</w:t>
      </w:r>
      <w:r w:rsidR="00CE6AFD">
        <w:t xml:space="preserve"> on customers’ bills. </w:t>
      </w:r>
      <w:r w:rsidR="00AF36ED">
        <w:t>Th</w:t>
      </w:r>
      <w:r w:rsidR="00923834">
        <w:t>ese messages</w:t>
      </w:r>
      <w:r w:rsidR="00CE6AFD">
        <w:t xml:space="preserve"> include instructions on how </w:t>
      </w:r>
      <w:r w:rsidR="00923834">
        <w:t>a customer can</w:t>
      </w:r>
      <w:r w:rsidR="00CE6AFD">
        <w:t xml:space="preserve"> switch to </w:t>
      </w:r>
      <w:r w:rsidR="00CF08CD">
        <w:t>the best offer.</w:t>
      </w:r>
      <w:r w:rsidR="00ED55D9">
        <w:t xml:space="preserve"> </w:t>
      </w:r>
      <w:r w:rsidR="00923834">
        <w:t>However, there are no re</w:t>
      </w:r>
      <w:r w:rsidR="0042549B">
        <w:t>gulated requirements for switching processes. R</w:t>
      </w:r>
      <w:r w:rsidR="00ED55D9">
        <w:t xml:space="preserve">etailers would not be under any further obligations to </w:t>
      </w:r>
      <w:r w:rsidR="00D7449E">
        <w:t>ensure that</w:t>
      </w:r>
      <w:r w:rsidR="00C064C8">
        <w:t xml:space="preserve"> processes </w:t>
      </w:r>
      <w:r w:rsidR="009D1166">
        <w:t xml:space="preserve">for switching </w:t>
      </w:r>
      <w:r w:rsidR="004152BF">
        <w:t>met minimum requirements</w:t>
      </w:r>
      <w:r w:rsidR="001A6078">
        <w:t>.</w:t>
      </w:r>
    </w:p>
    <w:p w14:paraId="41A4BECF" w14:textId="3E79D86B" w:rsidR="00E67D02" w:rsidRDefault="00E67D02" w:rsidP="00E67D02">
      <w:pPr>
        <w:pStyle w:val="Heading3numbered"/>
      </w:pPr>
      <w:bookmarkStart w:id="220" w:name="_Toc190957881"/>
      <w:r>
        <w:t xml:space="preserve">Option </w:t>
      </w:r>
      <w:r w:rsidR="00FE0ABD">
        <w:t>C.</w:t>
      </w:r>
      <w:r>
        <w:t xml:space="preserve">1 – </w:t>
      </w:r>
      <w:r w:rsidR="006D79AA">
        <w:t>Outcomes</w:t>
      </w:r>
      <w:r>
        <w:t>-based without minimum standards</w:t>
      </w:r>
      <w:bookmarkEnd w:id="220"/>
    </w:p>
    <w:p w14:paraId="17CE69AD" w14:textId="0E6C656D" w:rsidR="00A60FA7" w:rsidRDefault="0077399C" w:rsidP="00A4386D">
      <w:r>
        <w:t xml:space="preserve">Option </w:t>
      </w:r>
      <w:r w:rsidR="00CB7BD4">
        <w:t>C.1</w:t>
      </w:r>
      <w:r>
        <w:t xml:space="preserve"> establishes a</w:t>
      </w:r>
      <w:r w:rsidR="006D79AA">
        <w:t>n</w:t>
      </w:r>
      <w:r>
        <w:t xml:space="preserve"> </w:t>
      </w:r>
      <w:r w:rsidR="006D79AA">
        <w:t>outcomes</w:t>
      </w:r>
      <w:r>
        <w:t xml:space="preserve">-based approach </w:t>
      </w:r>
      <w:r w:rsidR="00124318">
        <w:t xml:space="preserve">without </w:t>
      </w:r>
      <w:r w:rsidR="001B2A76">
        <w:t>establishing any minimum standards that a retailer must implement.</w:t>
      </w:r>
    </w:p>
    <w:p w14:paraId="29118489" w14:textId="46FD05D0" w:rsidR="00912F92" w:rsidRDefault="00A4386D" w:rsidP="00A4386D">
      <w:r>
        <w:t>A</w:t>
      </w:r>
      <w:r w:rsidR="006D79AA">
        <w:t>n</w:t>
      </w:r>
      <w:r>
        <w:t xml:space="preserve"> </w:t>
      </w:r>
      <w:r w:rsidR="006D79AA">
        <w:t>outcomes</w:t>
      </w:r>
      <w:r>
        <w:t xml:space="preserve">-based approach specifies the high-level desired </w:t>
      </w:r>
      <w:r w:rsidR="00D030AA">
        <w:t xml:space="preserve">objective </w:t>
      </w:r>
      <w:r>
        <w:t>to be achieved</w:t>
      </w:r>
      <w:r w:rsidR="003450C0">
        <w:t>.</w:t>
      </w:r>
      <w:r w:rsidR="001B2A76">
        <w:t xml:space="preserve"> </w:t>
      </w:r>
      <w:r w:rsidR="003450C0">
        <w:t>I</w:t>
      </w:r>
      <w:r w:rsidR="001B2A76">
        <w:t>n this case</w:t>
      </w:r>
      <w:r w:rsidR="004152BF">
        <w:t>,</w:t>
      </w:r>
      <w:r>
        <w:t xml:space="preserve"> retailers </w:t>
      </w:r>
      <w:r w:rsidR="004152BF">
        <w:t>would be required to</w:t>
      </w:r>
      <w:r>
        <w:t xml:space="preserve"> </w:t>
      </w:r>
      <w:r w:rsidR="00E62F99">
        <w:t xml:space="preserve">ensure that processes for switching small customers to the best offer are </w:t>
      </w:r>
      <w:r w:rsidR="00CF4AFF">
        <w:t>effective.</w:t>
      </w:r>
      <w:r w:rsidR="00E62F99">
        <w:t xml:space="preserve"> </w:t>
      </w:r>
      <w:r w:rsidR="00BE49F6">
        <w:t>That is</w:t>
      </w:r>
      <w:r w:rsidR="00D915D0">
        <w:t xml:space="preserve">, </w:t>
      </w:r>
      <w:r w:rsidR="00867F71">
        <w:t xml:space="preserve">those customers who want to </w:t>
      </w:r>
      <w:r w:rsidR="00CC7175">
        <w:t>switch to the best offer</w:t>
      </w:r>
      <w:r w:rsidR="00BE49F6">
        <w:t xml:space="preserve"> </w:t>
      </w:r>
      <w:r w:rsidR="00CD1A4B">
        <w:t xml:space="preserve">are able to </w:t>
      </w:r>
      <w:r w:rsidR="00A22DA5">
        <w:t xml:space="preserve">actually complete the process and end up on that offer. To be effective, we consider that switching processes need to be </w:t>
      </w:r>
      <w:r w:rsidR="00E62F99">
        <w:t>simple and accessible</w:t>
      </w:r>
      <w:r w:rsidR="00CB06B3">
        <w:t xml:space="preserve">, including that any process takes a reasonable </w:t>
      </w:r>
      <w:r w:rsidR="00DF6B14">
        <w:t>time to complete</w:t>
      </w:r>
      <w:r w:rsidR="001B2A76">
        <w:t xml:space="preserve">. However, this approach </w:t>
      </w:r>
      <w:r>
        <w:t xml:space="preserve">leaves </w:t>
      </w:r>
      <w:r w:rsidR="00C24640">
        <w:t xml:space="preserve">it up to </w:t>
      </w:r>
      <w:r w:rsidR="00634787">
        <w:t xml:space="preserve">each </w:t>
      </w:r>
      <w:r w:rsidR="00C24640">
        <w:t xml:space="preserve">retailer to </w:t>
      </w:r>
      <w:r w:rsidR="00634787">
        <w:t>decide</w:t>
      </w:r>
      <w:r w:rsidR="00C24640">
        <w:t xml:space="preserve"> how they </w:t>
      </w:r>
      <w:r w:rsidR="00634787">
        <w:t xml:space="preserve">can </w:t>
      </w:r>
      <w:r w:rsidR="00C24640">
        <w:t>achi</w:t>
      </w:r>
      <w:r w:rsidR="00D030AA">
        <w:t>eve this o</w:t>
      </w:r>
      <w:r w:rsidR="00634787">
        <w:t>utcome</w:t>
      </w:r>
      <w:r>
        <w:t xml:space="preserve">. </w:t>
      </w:r>
    </w:p>
    <w:p w14:paraId="779D308D" w14:textId="09344A50" w:rsidR="00697FE3" w:rsidRDefault="00C513F1" w:rsidP="00697FE3">
      <w:r>
        <w:t>This</w:t>
      </w:r>
      <w:r w:rsidR="00912F92">
        <w:t xml:space="preserve"> approach</w:t>
      </w:r>
      <w:r>
        <w:t xml:space="preserve"> provides flexibility </w:t>
      </w:r>
      <w:r w:rsidR="00A4386D">
        <w:t xml:space="preserve">for </w:t>
      </w:r>
      <w:r>
        <w:t>retailers to design</w:t>
      </w:r>
      <w:r w:rsidR="00A4386D">
        <w:t xml:space="preserve"> processes </w:t>
      </w:r>
      <w:r w:rsidR="008951A6">
        <w:t xml:space="preserve">that </w:t>
      </w:r>
      <w:r w:rsidR="00A4386D">
        <w:t>cater to diverse c</w:t>
      </w:r>
      <w:r>
        <w:t xml:space="preserve">ustomer </w:t>
      </w:r>
      <w:r w:rsidR="00A4386D">
        <w:t>cohorts</w:t>
      </w:r>
      <w:r w:rsidR="00D221D2">
        <w:t xml:space="preserve"> or future technologies</w:t>
      </w:r>
      <w:r w:rsidR="00912F92">
        <w:t>.</w:t>
      </w:r>
    </w:p>
    <w:p w14:paraId="35737C68" w14:textId="2C73ADE9" w:rsidR="009C3DD8" w:rsidRDefault="00D54BFB" w:rsidP="0041584B">
      <w:r>
        <w:t xml:space="preserve">Under this option, </w:t>
      </w:r>
      <w:r w:rsidR="00567AC6">
        <w:t xml:space="preserve">metrics </w:t>
      </w:r>
      <w:r w:rsidR="00343F87">
        <w:t xml:space="preserve">might </w:t>
      </w:r>
      <w:r w:rsidR="002A4FDA">
        <w:t xml:space="preserve">need to be developed </w:t>
      </w:r>
      <w:r w:rsidR="003D7A2B">
        <w:t xml:space="preserve">and incorporated into our Compliance and Performance Reporting Guideline </w:t>
      </w:r>
      <w:r w:rsidR="002A4FDA">
        <w:t xml:space="preserve">to </w:t>
      </w:r>
      <w:r w:rsidR="00597C8F">
        <w:t>assess</w:t>
      </w:r>
      <w:r w:rsidR="002A4FDA">
        <w:t xml:space="preserve"> retailer </w:t>
      </w:r>
      <w:r w:rsidR="00597C8F">
        <w:t>performance</w:t>
      </w:r>
      <w:r w:rsidR="002A4FDA">
        <w:t xml:space="preserve"> and </w:t>
      </w:r>
      <w:r w:rsidR="00567AC6">
        <w:t xml:space="preserve">to </w:t>
      </w:r>
      <w:r w:rsidR="00017059">
        <w:t>demonstrate that</w:t>
      </w:r>
      <w:r w:rsidR="00567AC6">
        <w:t xml:space="preserve"> processes </w:t>
      </w:r>
      <w:r w:rsidR="007D07B8">
        <w:t xml:space="preserve">meet </w:t>
      </w:r>
      <w:r w:rsidR="00DC72BD">
        <w:t>desired outcome</w:t>
      </w:r>
      <w:r w:rsidR="00262FBF">
        <w:t>s</w:t>
      </w:r>
      <w:r w:rsidR="00FD491D">
        <w:t>.</w:t>
      </w:r>
      <w:r w:rsidR="004A2E01">
        <w:t xml:space="preserve"> </w:t>
      </w:r>
      <w:r w:rsidR="007E5274">
        <w:t xml:space="preserve">These </w:t>
      </w:r>
      <w:r w:rsidR="002134D3">
        <w:t>c</w:t>
      </w:r>
      <w:r w:rsidR="00236F6F">
        <w:t>oul</w:t>
      </w:r>
      <w:r w:rsidR="007E5274">
        <w:t>d be developed by the commission</w:t>
      </w:r>
      <w:r w:rsidR="004E2929">
        <w:t xml:space="preserve">, </w:t>
      </w:r>
      <w:r w:rsidR="007E5274">
        <w:t>industry</w:t>
      </w:r>
      <w:r w:rsidR="004E2929">
        <w:t xml:space="preserve"> or co-designed by a combination of stakeholders</w:t>
      </w:r>
      <w:r w:rsidR="00141B04">
        <w:t>.</w:t>
      </w:r>
      <w:r w:rsidR="00236F6F">
        <w:t xml:space="preserve"> </w:t>
      </w:r>
      <w:r w:rsidR="003825BC">
        <w:t xml:space="preserve">Input from retailers and consumer groups would </w:t>
      </w:r>
      <w:r w:rsidR="002134D3">
        <w:t xml:space="preserve">be </w:t>
      </w:r>
      <w:r w:rsidR="005D4396">
        <w:t>essential to inform the development of these metrics, regardless of the</w:t>
      </w:r>
      <w:r w:rsidR="002134D3">
        <w:t xml:space="preserve"> process.</w:t>
      </w:r>
    </w:p>
    <w:p w14:paraId="5B579D11" w14:textId="493487F1" w:rsidR="00B84306" w:rsidRDefault="00B90545" w:rsidP="0041584B">
      <w:r>
        <w:lastRenderedPageBreak/>
        <w:t xml:space="preserve">While the final metrics </w:t>
      </w:r>
      <w:r w:rsidR="001A68B7">
        <w:t>c</w:t>
      </w:r>
      <w:r>
        <w:t xml:space="preserve">ould be </w:t>
      </w:r>
      <w:r w:rsidR="009D3B94">
        <w:t xml:space="preserve">designed with input from relevant stakeholders, </w:t>
      </w:r>
      <w:r w:rsidR="00884868">
        <w:t xml:space="preserve">there are diverse </w:t>
      </w:r>
      <w:r w:rsidR="00E462C9">
        <w:t>forms of data that could be incorporated. For example</w:t>
      </w:r>
      <w:r w:rsidR="00B84306">
        <w:t>:</w:t>
      </w:r>
    </w:p>
    <w:p w14:paraId="4CD7F6F2" w14:textId="5143C1E5" w:rsidR="00B84306" w:rsidRDefault="00E462C9" w:rsidP="00A92E17">
      <w:pPr>
        <w:pStyle w:val="ListBullet"/>
      </w:pPr>
      <w:r>
        <w:t>the percentage of customers who start a switching process but do not complete it</w:t>
      </w:r>
    </w:p>
    <w:p w14:paraId="31A16D98" w14:textId="47F4B9A7" w:rsidR="009C3DD8" w:rsidRDefault="00B84306" w:rsidP="00A92E17">
      <w:pPr>
        <w:pStyle w:val="ListBullet"/>
      </w:pPr>
      <w:r>
        <w:t>c</w:t>
      </w:r>
      <w:r w:rsidR="00E462C9">
        <w:t>all times and call w</w:t>
      </w:r>
      <w:r w:rsidR="000E00F5">
        <w:t>aiting times for customers seeking to switch</w:t>
      </w:r>
    </w:p>
    <w:p w14:paraId="3FBEE4D7" w14:textId="62A4F12A" w:rsidR="009C3DD8" w:rsidRDefault="00CE2AF2" w:rsidP="00A92E17">
      <w:pPr>
        <w:pStyle w:val="ListBullet"/>
      </w:pPr>
      <w:r>
        <w:t xml:space="preserve">the percentage of customers switching </w:t>
      </w:r>
      <w:r w:rsidR="007D1FDB">
        <w:t xml:space="preserve">to a cheaper </w:t>
      </w:r>
      <w:r>
        <w:t xml:space="preserve">plan </w:t>
      </w:r>
      <w:r w:rsidR="00A52587">
        <w:t>with the same</w:t>
      </w:r>
      <w:r>
        <w:t xml:space="preserve"> retailer (</w:t>
      </w:r>
      <w:r w:rsidR="00DA10A2">
        <w:t>considering</w:t>
      </w:r>
      <w:r w:rsidR="001D4C0F">
        <w:t xml:space="preserve"> the percentage of customers already on their retailer’s best offer</w:t>
      </w:r>
      <w:r w:rsidR="00334913">
        <w:t>)</w:t>
      </w:r>
      <w:r w:rsidR="00B909FD">
        <w:t>.</w:t>
      </w:r>
    </w:p>
    <w:p w14:paraId="33D3C091" w14:textId="635CE36D" w:rsidR="00EB50EF" w:rsidRDefault="008653FC" w:rsidP="00E864B3">
      <w:r>
        <w:t xml:space="preserve">Using </w:t>
      </w:r>
      <w:r w:rsidR="00E864B3">
        <w:t>such</w:t>
      </w:r>
      <w:r>
        <w:t xml:space="preserve"> reporting metrics</w:t>
      </w:r>
      <w:r w:rsidR="00367BDE">
        <w:t>, the commission</w:t>
      </w:r>
      <w:r w:rsidR="009804F3">
        <w:t xml:space="preserve"> would be able to produce analysis of </w:t>
      </w:r>
      <w:r w:rsidR="00E864B3">
        <w:t xml:space="preserve">a </w:t>
      </w:r>
      <w:r w:rsidR="009804F3">
        <w:t>retailer’s performance</w:t>
      </w:r>
      <w:r w:rsidR="004A56D0">
        <w:t xml:space="preserve"> and compar</w:t>
      </w:r>
      <w:r w:rsidR="00E864B3">
        <w:t>e that with other retailers.</w:t>
      </w:r>
      <w:r w:rsidR="00C3412B">
        <w:t xml:space="preserve"> </w:t>
      </w:r>
      <w:r w:rsidR="00672FD0">
        <w:t>The commission could then focus compliance and enforcement efforts on the worst performers.</w:t>
      </w:r>
    </w:p>
    <w:p w14:paraId="34146FC9" w14:textId="67938E12" w:rsidR="00A4386D" w:rsidRDefault="00A4386D" w:rsidP="00A4386D">
      <w:pPr>
        <w:pStyle w:val="Heading3numbered"/>
      </w:pPr>
      <w:bookmarkStart w:id="221" w:name="_Toc190957882"/>
      <w:r>
        <w:t xml:space="preserve">Option </w:t>
      </w:r>
      <w:r w:rsidR="00FE0ABD">
        <w:t>C.</w:t>
      </w:r>
      <w:r>
        <w:t xml:space="preserve">2 – </w:t>
      </w:r>
      <w:r w:rsidR="00AA0CF5">
        <w:t>Outcomes</w:t>
      </w:r>
      <w:r>
        <w:t>-based with minimum standards</w:t>
      </w:r>
      <w:bookmarkEnd w:id="221"/>
    </w:p>
    <w:p w14:paraId="437C82F9" w14:textId="447367F6" w:rsidR="00ED7E2D" w:rsidRDefault="00957EF5" w:rsidP="00B23694">
      <w:r>
        <w:t xml:space="preserve">Option </w:t>
      </w:r>
      <w:r w:rsidR="00CB7BD4">
        <w:t>C.</w:t>
      </w:r>
      <w:r w:rsidR="00C64096">
        <w:t xml:space="preserve">2 </w:t>
      </w:r>
      <w:r w:rsidR="00380F44">
        <w:t>supplements the outcome</w:t>
      </w:r>
      <w:r w:rsidR="00085569">
        <w:t>s</w:t>
      </w:r>
      <w:r w:rsidR="00380F44">
        <w:t>-based approach b</w:t>
      </w:r>
      <w:r w:rsidR="00937C5B">
        <w:t>y</w:t>
      </w:r>
      <w:r w:rsidR="00B23694">
        <w:t xml:space="preserve"> </w:t>
      </w:r>
      <w:r w:rsidR="00AC2B6A">
        <w:t xml:space="preserve">introducing </w:t>
      </w:r>
      <w:r w:rsidR="003742CD">
        <w:t xml:space="preserve">a set </w:t>
      </w:r>
      <w:r w:rsidR="00DE69F8">
        <w:t xml:space="preserve">of </w:t>
      </w:r>
      <w:r w:rsidR="00153567">
        <w:t>specific</w:t>
      </w:r>
      <w:r w:rsidR="00B23694">
        <w:t xml:space="preserve"> </w:t>
      </w:r>
      <w:r w:rsidR="00DE69F8">
        <w:t>m</w:t>
      </w:r>
      <w:r w:rsidR="00B23694">
        <w:t xml:space="preserve">inimum </w:t>
      </w:r>
      <w:r w:rsidR="00EC7693">
        <w:t>requirements</w:t>
      </w:r>
      <w:r w:rsidR="00153567">
        <w:t xml:space="preserve">. Retailers must comply with these </w:t>
      </w:r>
      <w:r w:rsidR="00B23694">
        <w:t xml:space="preserve">minimum </w:t>
      </w:r>
      <w:r w:rsidR="00EC7693">
        <w:t>requirements</w:t>
      </w:r>
      <w:r w:rsidR="00153567">
        <w:t xml:space="preserve"> in addition to and in support of achieving the stated outcome</w:t>
      </w:r>
      <w:r w:rsidR="00B23694">
        <w:t>.</w:t>
      </w:r>
    </w:p>
    <w:p w14:paraId="0CAAF944" w14:textId="36FC945B" w:rsidR="00537A98" w:rsidRDefault="006414B8" w:rsidP="00B23694">
      <w:r>
        <w:t xml:space="preserve">Under this option, retailers would </w:t>
      </w:r>
      <w:r w:rsidR="00311A0A">
        <w:t xml:space="preserve">have the same overarching </w:t>
      </w:r>
      <w:r w:rsidR="00CA18CC">
        <w:t>outcomes</w:t>
      </w:r>
      <w:r w:rsidR="00311A0A">
        <w:t xml:space="preserve">-based obligation </w:t>
      </w:r>
      <w:r w:rsidR="0016299C">
        <w:t xml:space="preserve">as under </w:t>
      </w:r>
      <w:r w:rsidR="00D37071">
        <w:t>o</w:t>
      </w:r>
      <w:r w:rsidR="0016299C">
        <w:t xml:space="preserve">ption </w:t>
      </w:r>
      <w:r w:rsidR="00CB7BD4">
        <w:t>C.</w:t>
      </w:r>
      <w:r w:rsidR="0016299C">
        <w:t xml:space="preserve">1. Namely, </w:t>
      </w:r>
      <w:r w:rsidR="00E52391">
        <w:t>retailers would be required to have a</w:t>
      </w:r>
      <w:r w:rsidR="00CA18CC">
        <w:t>n</w:t>
      </w:r>
      <w:r w:rsidR="00DE32CB">
        <w:t xml:space="preserve"> </w:t>
      </w:r>
      <w:r w:rsidR="00CA18CC">
        <w:t xml:space="preserve">effective </w:t>
      </w:r>
      <w:r w:rsidR="009F714A">
        <w:t xml:space="preserve">process to support customers switching to their best offer. </w:t>
      </w:r>
      <w:r w:rsidR="00E52391">
        <w:t>Additionally</w:t>
      </w:r>
      <w:r w:rsidR="009F714A">
        <w:t>, retailers would be required to com</w:t>
      </w:r>
      <w:r w:rsidR="003D39BC">
        <w:t xml:space="preserve">ply with a targeted set of minimum standards relating to the </w:t>
      </w:r>
      <w:r w:rsidR="00CC175A">
        <w:t xml:space="preserve">design </w:t>
      </w:r>
      <w:r w:rsidR="004751F0">
        <w:t xml:space="preserve">and components of </w:t>
      </w:r>
      <w:r w:rsidR="00E27581">
        <w:t>processes for switching plans</w:t>
      </w:r>
      <w:r w:rsidR="004751F0">
        <w:t>.</w:t>
      </w:r>
      <w:r w:rsidR="00B23694">
        <w:t xml:space="preserve"> </w:t>
      </w:r>
    </w:p>
    <w:p w14:paraId="1CA189B3" w14:textId="20100C10" w:rsidR="002945B1" w:rsidRDefault="00196B45" w:rsidP="00B23694">
      <w:r>
        <w:t>T</w:t>
      </w:r>
      <w:r w:rsidR="008042A4">
        <w:t xml:space="preserve">he key difference between this option and </w:t>
      </w:r>
      <w:r w:rsidR="00D37071">
        <w:t>o</w:t>
      </w:r>
      <w:r w:rsidR="00196864">
        <w:t xml:space="preserve">ption </w:t>
      </w:r>
      <w:r w:rsidR="00D37071">
        <w:t>C.</w:t>
      </w:r>
      <w:r w:rsidR="00196864">
        <w:t>1</w:t>
      </w:r>
      <w:r w:rsidR="008042A4">
        <w:t xml:space="preserve"> is that the minimum requirements would not be negotiable</w:t>
      </w:r>
      <w:r w:rsidR="00C47205">
        <w:t xml:space="preserve"> or flexible</w:t>
      </w:r>
      <w:r w:rsidR="008042A4">
        <w:t>.</w:t>
      </w:r>
      <w:r w:rsidR="00C47205">
        <w:t xml:space="preserve"> </w:t>
      </w:r>
      <w:r w:rsidR="00937E08">
        <w:t>Retailers would be required to meet these minimum standards.</w:t>
      </w:r>
    </w:p>
    <w:p w14:paraId="1670BBA3" w14:textId="32E27A7B" w:rsidR="00D469BE" w:rsidRDefault="00495E73" w:rsidP="00B23694">
      <w:r>
        <w:t>Retailers</w:t>
      </w:r>
      <w:r w:rsidR="006F3470">
        <w:t xml:space="preserve"> would</w:t>
      </w:r>
      <w:r>
        <w:t xml:space="preserve"> still</w:t>
      </w:r>
      <w:r w:rsidR="006F3470">
        <w:t xml:space="preserve"> have </w:t>
      </w:r>
      <w:r w:rsidR="00981491">
        <w:t xml:space="preserve">flexibility </w:t>
      </w:r>
      <w:r w:rsidR="001576F6">
        <w:t>o</w:t>
      </w:r>
      <w:r w:rsidR="00981491">
        <w:t xml:space="preserve">n </w:t>
      </w:r>
      <w:r w:rsidR="00015FF6">
        <w:t xml:space="preserve">how to achieve the broad </w:t>
      </w:r>
      <w:r w:rsidR="00C326FB">
        <w:t xml:space="preserve">objective of a streamlined </w:t>
      </w:r>
      <w:r w:rsidR="001576F6">
        <w:t xml:space="preserve">switching </w:t>
      </w:r>
      <w:r w:rsidR="00C326FB">
        <w:t>process</w:t>
      </w:r>
      <w:r>
        <w:t>. However,</w:t>
      </w:r>
      <w:r w:rsidR="00C326FB">
        <w:t xml:space="preserve"> </w:t>
      </w:r>
      <w:r w:rsidR="00FE4C07">
        <w:t xml:space="preserve">their process would, at </w:t>
      </w:r>
      <w:r w:rsidR="00316892">
        <w:t xml:space="preserve">a </w:t>
      </w:r>
      <w:r w:rsidR="00FE4C07">
        <w:t xml:space="preserve">minimum, need to include the </w:t>
      </w:r>
      <w:r w:rsidR="00B512EF">
        <w:t>relevant standards set out in the code.</w:t>
      </w:r>
      <w:r w:rsidR="000D21CA">
        <w:t xml:space="preserve"> </w:t>
      </w:r>
      <w:r w:rsidR="00C913A4">
        <w:t xml:space="preserve">This option </w:t>
      </w:r>
      <w:r w:rsidR="00A73987">
        <w:t>may</w:t>
      </w:r>
      <w:r w:rsidR="00C913A4">
        <w:t xml:space="preserve"> also necessitate the development of suitable metrics</w:t>
      </w:r>
      <w:r w:rsidR="00A73987">
        <w:t xml:space="preserve"> as described in option C.1</w:t>
      </w:r>
      <w:r w:rsidR="00061EE0">
        <w:t xml:space="preserve"> above</w:t>
      </w:r>
      <w:r w:rsidR="00CF7534">
        <w:t xml:space="preserve"> – </w:t>
      </w:r>
      <w:r w:rsidR="006E4A5B">
        <w:t xml:space="preserve">via </w:t>
      </w:r>
      <w:r w:rsidR="00E24BE4">
        <w:t xml:space="preserve">consultation on </w:t>
      </w:r>
      <w:r w:rsidR="00397361">
        <w:t>changes to our Compliance and Performance Reporting Guideline</w:t>
      </w:r>
      <w:r w:rsidR="00A73987">
        <w:t>.</w:t>
      </w:r>
    </w:p>
    <w:p w14:paraId="1297B552" w14:textId="2B4B27B4" w:rsidR="00587662" w:rsidRDefault="00B512EF" w:rsidP="00B23694">
      <w:r>
        <w:t>To avoid</w:t>
      </w:r>
      <w:r w:rsidR="005E6D19">
        <w:t xml:space="preserve"> these minimum standards </w:t>
      </w:r>
      <w:r w:rsidR="004E73C5">
        <w:t xml:space="preserve">negating the </w:t>
      </w:r>
      <w:r w:rsidR="00A96611">
        <w:t xml:space="preserve">flexibility </w:t>
      </w:r>
      <w:r w:rsidR="00583093">
        <w:t xml:space="preserve">of </w:t>
      </w:r>
      <w:r w:rsidR="00316892">
        <w:t>an</w:t>
      </w:r>
      <w:r w:rsidR="00583093">
        <w:t xml:space="preserve"> </w:t>
      </w:r>
      <w:r w:rsidR="00F84DDD">
        <w:t>outcomes</w:t>
      </w:r>
      <w:r w:rsidR="00583093">
        <w:t xml:space="preserve">-based approach, </w:t>
      </w:r>
      <w:r w:rsidR="00BD71C6">
        <w:t>they</w:t>
      </w:r>
      <w:r w:rsidR="00583093">
        <w:t xml:space="preserve"> </w:t>
      </w:r>
      <w:r w:rsidR="007074C2">
        <w:t xml:space="preserve">are intended to be </w:t>
      </w:r>
      <w:r w:rsidR="00795CE9">
        <w:t>limited in number</w:t>
      </w:r>
      <w:r w:rsidR="00316892">
        <w:t xml:space="preserve"> and scope</w:t>
      </w:r>
      <w:r w:rsidR="00BD71C6">
        <w:t xml:space="preserve">. </w:t>
      </w:r>
      <w:r w:rsidR="00316892">
        <w:t>T</w:t>
      </w:r>
      <w:r w:rsidR="00BD71C6">
        <w:t>he</w:t>
      </w:r>
      <w:r w:rsidR="00926811">
        <w:t xml:space="preserve"> proposed minimum standards</w:t>
      </w:r>
      <w:r w:rsidR="00795CE9">
        <w:t xml:space="preserve"> target </w:t>
      </w:r>
      <w:r w:rsidR="00123782">
        <w:t xml:space="preserve">measures we </w:t>
      </w:r>
      <w:r w:rsidR="00BD414C">
        <w:t>consider</w:t>
      </w:r>
      <w:r w:rsidR="00123782">
        <w:t xml:space="preserve"> are required as part of a streamlined and effective </w:t>
      </w:r>
      <w:r w:rsidR="0068578D">
        <w:t>process</w:t>
      </w:r>
      <w:r w:rsidR="00123782">
        <w:t>.</w:t>
      </w:r>
      <w:r w:rsidR="0050787E">
        <w:t xml:space="preserve"> </w:t>
      </w:r>
      <w:r w:rsidR="00091BBC">
        <w:t>Thes</w:t>
      </w:r>
      <w:r w:rsidR="00E9570A">
        <w:t>e</w:t>
      </w:r>
      <w:r w:rsidR="00091BBC">
        <w:t xml:space="preserve"> requirements will</w:t>
      </w:r>
      <w:r w:rsidR="00926811">
        <w:t xml:space="preserve"> </w:t>
      </w:r>
      <w:r w:rsidR="00091BBC">
        <w:t xml:space="preserve">provide greater clarity for consumers and reduce the transaction costs associated with switching to the best offer. </w:t>
      </w:r>
    </w:p>
    <w:p w14:paraId="391A9F58" w14:textId="2A2B492B" w:rsidR="00BD414C" w:rsidRDefault="00091BBC" w:rsidP="00BD414C">
      <w:r>
        <w:t>Under the proposed minimum requirements a retailer would need to</w:t>
      </w:r>
      <w:r w:rsidR="00E70C23">
        <w:t>:</w:t>
      </w:r>
      <w:r w:rsidR="00BD414C">
        <w:t xml:space="preserve"> </w:t>
      </w:r>
    </w:p>
    <w:p w14:paraId="4D5FC7B6" w14:textId="59A2D27C" w:rsidR="00BD414C" w:rsidRDefault="00E70C23" w:rsidP="00A92E17">
      <w:pPr>
        <w:pStyle w:val="ListBullet"/>
      </w:pPr>
      <w:r>
        <w:t xml:space="preserve">provide </w:t>
      </w:r>
      <w:r w:rsidR="00BD414C">
        <w:t xml:space="preserve">clear information on </w:t>
      </w:r>
      <w:r>
        <w:t>its</w:t>
      </w:r>
      <w:r w:rsidR="00BD414C">
        <w:t xml:space="preserve"> website about how a customer can </w:t>
      </w:r>
      <w:r w:rsidR="00E03F70">
        <w:t>switch to their best offer</w:t>
      </w:r>
    </w:p>
    <w:p w14:paraId="6E7D7BAA" w14:textId="5671B88C" w:rsidR="00BD414C" w:rsidRDefault="00E70C23" w:rsidP="00A92E17">
      <w:pPr>
        <w:pStyle w:val="ListBullet"/>
      </w:pPr>
      <w:r>
        <w:t xml:space="preserve">have, at a minimum, </w:t>
      </w:r>
      <w:r w:rsidR="00125117">
        <w:t xml:space="preserve">a process through its website and a process by telephone for a customer to switch to their </w:t>
      </w:r>
      <w:r w:rsidR="00BD414C">
        <w:t>best offer</w:t>
      </w:r>
    </w:p>
    <w:p w14:paraId="5EFE0DD6" w14:textId="63C1BEC1" w:rsidR="00BD414C" w:rsidRDefault="00125117" w:rsidP="00A92E17">
      <w:pPr>
        <w:pStyle w:val="ListBullet"/>
      </w:pPr>
      <w:r>
        <w:lastRenderedPageBreak/>
        <w:t>provide a</w:t>
      </w:r>
      <w:r w:rsidR="00BD414C">
        <w:t xml:space="preserve"> </w:t>
      </w:r>
      <w:r>
        <w:t xml:space="preserve">simple and accessible process for </w:t>
      </w:r>
      <w:r w:rsidR="002D02BD">
        <w:t>a customer to compare their current plan to other plans available, including the best offer</w:t>
      </w:r>
      <w:r w:rsidR="00BD414C">
        <w:t xml:space="preserve">. </w:t>
      </w:r>
    </w:p>
    <w:p w14:paraId="31206D49" w14:textId="77777777" w:rsidR="009D260B" w:rsidRDefault="00861148" w:rsidP="0068578D">
      <w:r>
        <w:t>We consider that some of these r</w:t>
      </w:r>
      <w:r w:rsidR="0068578D">
        <w:t>equirements</w:t>
      </w:r>
      <w:r w:rsidR="008A5F2B">
        <w:t xml:space="preserve"> may require relativ</w:t>
      </w:r>
      <w:r w:rsidR="005E1913">
        <w:t xml:space="preserve">ely </w:t>
      </w:r>
      <w:r w:rsidR="008A5F2B">
        <w:t xml:space="preserve">more costly system upgrades for small retailers. This may be particularly the case for </w:t>
      </w:r>
      <w:r w:rsidR="009D260B">
        <w:t xml:space="preserve">upgrading </w:t>
      </w:r>
      <w:r w:rsidR="008A5F2B">
        <w:t xml:space="preserve">website </w:t>
      </w:r>
      <w:r w:rsidR="009D260B">
        <w:t xml:space="preserve">functionalities </w:t>
      </w:r>
      <w:r w:rsidR="008A5F2B">
        <w:t xml:space="preserve">and for </w:t>
      </w:r>
      <w:r w:rsidR="00695511">
        <w:t>providing a process for a customer to compare their current plan to other plans available.</w:t>
      </w:r>
    </w:p>
    <w:p w14:paraId="1C4A6E36" w14:textId="417CA50A" w:rsidR="00A4386D" w:rsidRDefault="00B23694" w:rsidP="00B23694">
      <w:pPr>
        <w:pStyle w:val="Heading3numbered"/>
      </w:pPr>
      <w:bookmarkStart w:id="222" w:name="_Toc190957883"/>
      <w:r>
        <w:t xml:space="preserve">Option </w:t>
      </w:r>
      <w:r w:rsidR="007A08BF">
        <w:t>C.</w:t>
      </w:r>
      <w:r>
        <w:t>3 – Prescriptive approach</w:t>
      </w:r>
      <w:bookmarkEnd w:id="222"/>
    </w:p>
    <w:p w14:paraId="454D4C53" w14:textId="67DCCE4D" w:rsidR="00670529" w:rsidRDefault="001B72C1" w:rsidP="00155B40">
      <w:r>
        <w:t xml:space="preserve">Option </w:t>
      </w:r>
      <w:r w:rsidR="00483FEF">
        <w:t>C.</w:t>
      </w:r>
      <w:r>
        <w:t>3 involves</w:t>
      </w:r>
      <w:r w:rsidR="00155B40">
        <w:t xml:space="preserve"> a prescriptive approach to </w:t>
      </w:r>
      <w:r w:rsidR="00AE5B95">
        <w:t>improve processes for switching to a customer’s best offer</w:t>
      </w:r>
      <w:r w:rsidR="00155B40">
        <w:t>.</w:t>
      </w:r>
    </w:p>
    <w:p w14:paraId="68E85C86" w14:textId="2138864C" w:rsidR="001E2727" w:rsidRDefault="00155B40" w:rsidP="00155B40">
      <w:r>
        <w:t xml:space="preserve">Requirements </w:t>
      </w:r>
      <w:r w:rsidR="00A718E9">
        <w:t xml:space="preserve">would </w:t>
      </w:r>
      <w:r>
        <w:t>be developed in conjunction with retailers and consumer groups</w:t>
      </w:r>
      <w:r w:rsidR="004C3633">
        <w:t xml:space="preserve"> and set </w:t>
      </w:r>
      <w:r w:rsidR="00AE5B95">
        <w:t>out in</w:t>
      </w:r>
      <w:r w:rsidR="004C3633">
        <w:t xml:space="preserve"> the code</w:t>
      </w:r>
      <w:r>
        <w:t xml:space="preserve">. </w:t>
      </w:r>
      <w:r w:rsidR="004E2292">
        <w:t>The</w:t>
      </w:r>
      <w:r w:rsidR="003A42AB">
        <w:t>se</w:t>
      </w:r>
      <w:r w:rsidR="004E2292">
        <w:t xml:space="preserve"> </w:t>
      </w:r>
      <w:r w:rsidR="0047059A">
        <w:t>requirement</w:t>
      </w:r>
      <w:r w:rsidR="00DD11C1">
        <w:t>s</w:t>
      </w:r>
      <w:r w:rsidR="004E2292">
        <w:t xml:space="preserve"> would include similar requirements as the minimum requirements from </w:t>
      </w:r>
      <w:r w:rsidR="00122690">
        <w:t>option C.</w:t>
      </w:r>
      <w:r w:rsidR="000F1B7F">
        <w:t xml:space="preserve">2 but </w:t>
      </w:r>
      <w:r w:rsidR="00871F5B">
        <w:t xml:space="preserve">would </w:t>
      </w:r>
      <w:r w:rsidR="00596239">
        <w:t xml:space="preserve">be more extensive and </w:t>
      </w:r>
      <w:r w:rsidR="00701047">
        <w:t>specific</w:t>
      </w:r>
      <w:r w:rsidR="00E1481F">
        <w:t xml:space="preserve"> as to what actions retailers would need to take</w:t>
      </w:r>
      <w:r w:rsidR="002D3CA5">
        <w:t>,</w:t>
      </w:r>
      <w:r w:rsidR="00E1481F">
        <w:t xml:space="preserve"> in order to comply</w:t>
      </w:r>
      <w:r w:rsidR="00701047">
        <w:t>.</w:t>
      </w:r>
      <w:r w:rsidR="00F56538">
        <w:t xml:space="preserve"> </w:t>
      </w:r>
      <w:r w:rsidR="00541F6A">
        <w:t>This option would require further detailed consultation with industry.</w:t>
      </w:r>
    </w:p>
    <w:p w14:paraId="1C563039" w14:textId="46E24DDD" w:rsidR="00E22826" w:rsidRDefault="004C4867" w:rsidP="00155B40">
      <w:r>
        <w:t xml:space="preserve">For example, </w:t>
      </w:r>
      <w:r w:rsidR="00E34059">
        <w:t>instead of broadly requiring</w:t>
      </w:r>
      <w:r>
        <w:t xml:space="preserve"> </w:t>
      </w:r>
      <w:r w:rsidR="006A74EB">
        <w:t xml:space="preserve">retailers to have clear information on their website </w:t>
      </w:r>
      <w:r w:rsidR="002D68A1">
        <w:t>instructing customers how to switch to the best offer</w:t>
      </w:r>
      <w:r w:rsidR="00E1481F">
        <w:t xml:space="preserve">, </w:t>
      </w:r>
      <w:r w:rsidR="003822A1">
        <w:t>under this option</w:t>
      </w:r>
      <w:r w:rsidR="00294488">
        <w:t>,</w:t>
      </w:r>
      <w:r w:rsidR="003822A1">
        <w:t xml:space="preserve"> retailers </w:t>
      </w:r>
      <w:r w:rsidR="00574FC3">
        <w:t>w</w:t>
      </w:r>
      <w:r w:rsidR="00AB6010">
        <w:t xml:space="preserve">ould </w:t>
      </w:r>
      <w:r w:rsidR="00027782">
        <w:t xml:space="preserve">be required to have a clear </w:t>
      </w:r>
      <w:r w:rsidR="008B6568">
        <w:t>hyperlink in bold size 16 font</w:t>
      </w:r>
      <w:r w:rsidR="00261932">
        <w:t xml:space="preserve"> near the top of their webpage that reads </w:t>
      </w:r>
      <w:r w:rsidR="00934067">
        <w:t>‘H</w:t>
      </w:r>
      <w:r w:rsidR="00261932">
        <w:t>ow to switch to your best offer</w:t>
      </w:r>
      <w:r w:rsidR="00934067">
        <w:t>’</w:t>
      </w:r>
      <w:r w:rsidR="00261932">
        <w:t xml:space="preserve">. </w:t>
      </w:r>
      <w:r w:rsidR="00575FF1">
        <w:t xml:space="preserve">This hyperlink would take the user to a page </w:t>
      </w:r>
      <w:r w:rsidR="00790B21">
        <w:t xml:space="preserve">that had clear </w:t>
      </w:r>
      <w:r w:rsidR="00A7286F">
        <w:t>mandatory information o</w:t>
      </w:r>
      <w:r w:rsidR="00790B21">
        <w:t>n how to switch to a best offer.</w:t>
      </w:r>
    </w:p>
    <w:p w14:paraId="55AC639F" w14:textId="4D360297" w:rsidR="00DF27EB" w:rsidRDefault="008643B6" w:rsidP="00155B40">
      <w:r>
        <w:t>This would also relate to the second requirement</w:t>
      </w:r>
      <w:r w:rsidR="003D594A">
        <w:t xml:space="preserve"> </w:t>
      </w:r>
      <w:r w:rsidR="009E601A">
        <w:t xml:space="preserve">presented under option </w:t>
      </w:r>
      <w:r w:rsidR="003D594A">
        <w:t>C.2</w:t>
      </w:r>
      <w:r w:rsidR="00466001">
        <w:t>.</w:t>
      </w:r>
      <w:r w:rsidR="009E601A">
        <w:t xml:space="preserve"> </w:t>
      </w:r>
      <w:r w:rsidR="00466001">
        <w:t>R</w:t>
      </w:r>
      <w:r w:rsidR="00E93A5B">
        <w:t xml:space="preserve">etailers </w:t>
      </w:r>
      <w:r w:rsidR="00466001">
        <w:t>would be required to</w:t>
      </w:r>
      <w:r w:rsidR="00E93A5B">
        <w:t xml:space="preserve"> have an online method of switching</w:t>
      </w:r>
      <w:r w:rsidR="008661CE">
        <w:t xml:space="preserve"> and provide </w:t>
      </w:r>
      <w:r w:rsidR="00FA13A7">
        <w:t>a standard online form t</w:t>
      </w:r>
      <w:r w:rsidR="008661CE">
        <w:t xml:space="preserve">o initiate </w:t>
      </w:r>
      <w:r w:rsidR="00FA13A7">
        <w:t>the switching process for all existing customers</w:t>
      </w:r>
      <w:r w:rsidR="0015336E">
        <w:t xml:space="preserve">. </w:t>
      </w:r>
      <w:r w:rsidR="00CA7994">
        <w:t>All retailers would be required to use the s</w:t>
      </w:r>
      <w:r w:rsidR="00DF27EB">
        <w:t>ame form.</w:t>
      </w:r>
    </w:p>
    <w:p w14:paraId="64E9D021" w14:textId="72D1F11F" w:rsidR="00DF27EB" w:rsidRDefault="00D81531" w:rsidP="00155B40">
      <w:r>
        <w:t xml:space="preserve">This option </w:t>
      </w:r>
      <w:r w:rsidR="00574FC3">
        <w:t>w</w:t>
      </w:r>
      <w:r>
        <w:t xml:space="preserve">ould also require retailers to </w:t>
      </w:r>
      <w:r w:rsidR="0023311F">
        <w:t>create</w:t>
      </w:r>
      <w:r w:rsidR="00DF27EB">
        <w:t xml:space="preserve"> a</w:t>
      </w:r>
      <w:r w:rsidR="0023311F">
        <w:t>n online</w:t>
      </w:r>
      <w:r w:rsidR="00DF27EB">
        <w:t xml:space="preserve"> platform</w:t>
      </w:r>
      <w:r w:rsidR="005B224B">
        <w:t xml:space="preserve"> for comparing electricit</w:t>
      </w:r>
      <w:r w:rsidR="00A258ED">
        <w:t>y plans side-by-side</w:t>
      </w:r>
      <w:r w:rsidR="0023311F">
        <w:t>. All retailers would be required to develop this platform, which could be</w:t>
      </w:r>
      <w:r w:rsidR="00A258ED">
        <w:t xml:space="preserve"> similar to </w:t>
      </w:r>
      <w:r w:rsidR="00684B15">
        <w:t>the comparison tables used for</w:t>
      </w:r>
      <w:r w:rsidR="00A258ED">
        <w:t xml:space="preserve"> health insurance </w:t>
      </w:r>
      <w:r w:rsidR="00684B15">
        <w:t xml:space="preserve">(where </w:t>
      </w:r>
      <w:r w:rsidR="00A258ED">
        <w:t>plans are</w:t>
      </w:r>
      <w:r w:rsidR="009D1829">
        <w:t xml:space="preserve"> </w:t>
      </w:r>
      <w:r w:rsidR="00684B15">
        <w:t xml:space="preserve">classified as basic, bronze, silver or gold). </w:t>
      </w:r>
      <w:r w:rsidR="0023311F">
        <w:t>The platform</w:t>
      </w:r>
      <w:r w:rsidR="00684B15">
        <w:t xml:space="preserve"> </w:t>
      </w:r>
      <w:r w:rsidR="00B9768E">
        <w:t xml:space="preserve">would </w:t>
      </w:r>
      <w:r w:rsidR="00684B15">
        <w:t xml:space="preserve">require ‘like for like’ plan comparisons, considering things such as green energy, additional benefits and conditions of each plan. </w:t>
      </w:r>
    </w:p>
    <w:p w14:paraId="17F80FAF" w14:textId="5BE6CD59" w:rsidR="007F434B" w:rsidRDefault="00901FCC" w:rsidP="00155B40">
      <w:r>
        <w:t>T</w:t>
      </w:r>
      <w:r w:rsidR="00AA2BA8">
        <w:t xml:space="preserve">o ensure </w:t>
      </w:r>
      <w:r w:rsidR="00797456">
        <w:t xml:space="preserve">positive customer experiences, </w:t>
      </w:r>
      <w:r w:rsidR="006C6FA2">
        <w:t xml:space="preserve">we would mandate retailers to have a dedicated phone line for switching, with maximum wait times </w:t>
      </w:r>
      <w:r w:rsidR="00E94FFB">
        <w:t xml:space="preserve">(for example, </w:t>
      </w:r>
      <w:r w:rsidR="006C6FA2">
        <w:t>no more than ten minutes</w:t>
      </w:r>
      <w:r w:rsidR="00E94FFB">
        <w:t>)</w:t>
      </w:r>
      <w:r w:rsidR="006C6FA2">
        <w:t>.</w:t>
      </w:r>
    </w:p>
    <w:p w14:paraId="5FA913F4" w14:textId="042D5461" w:rsidR="000D35CA" w:rsidRDefault="00F61327" w:rsidP="00155B40">
      <w:r>
        <w:t xml:space="preserve">Retailers would be required to comply with </w:t>
      </w:r>
      <w:r w:rsidR="0047507F">
        <w:t xml:space="preserve">the requirements as prescribed in the code. If retailers </w:t>
      </w:r>
      <w:r w:rsidR="00AD460A">
        <w:t xml:space="preserve">are identified as not </w:t>
      </w:r>
      <w:r w:rsidR="00992B1C">
        <w:t>having met the requirements in relation to their customer switching process</w:t>
      </w:r>
      <w:r w:rsidR="00082026">
        <w:t>,</w:t>
      </w:r>
      <w:r w:rsidR="00992B1C">
        <w:t xml:space="preserve"> </w:t>
      </w:r>
      <w:r w:rsidR="004456BF">
        <w:t>it would represent a contravention of the code</w:t>
      </w:r>
      <w:r w:rsidR="00D208BC">
        <w:t>.</w:t>
      </w:r>
      <w:r w:rsidR="004456BF">
        <w:t xml:space="preserve"> </w:t>
      </w:r>
      <w:r w:rsidR="00981284">
        <w:t xml:space="preserve">Metrics may need to be developed to support compliance and performance monitoring under this option, but </w:t>
      </w:r>
      <w:r w:rsidR="004F4FDA">
        <w:t>these</w:t>
      </w:r>
      <w:r w:rsidR="00981284">
        <w:t xml:space="preserve"> would </w:t>
      </w:r>
      <w:r w:rsidR="004F4FDA">
        <w:t>likely</w:t>
      </w:r>
      <w:r w:rsidR="00981284">
        <w:t xml:space="preserve"> be </w:t>
      </w:r>
      <w:r w:rsidR="004F4FDA">
        <w:t>more limited than under the outcomes-based approaches outlined in options C.2 and C.3.</w:t>
      </w:r>
      <w:r w:rsidR="00981284">
        <w:t xml:space="preserve"> </w:t>
      </w:r>
    </w:p>
    <w:p w14:paraId="037B4C95" w14:textId="581CDDF5" w:rsidR="00C7630D" w:rsidRDefault="00C7630D" w:rsidP="00E8074A">
      <w:pPr>
        <w:pStyle w:val="Heading2numbered"/>
      </w:pPr>
      <w:bookmarkStart w:id="223" w:name="_Toc197959448"/>
      <w:r>
        <w:lastRenderedPageBreak/>
        <w:t>Analysis</w:t>
      </w:r>
      <w:bookmarkEnd w:id="223"/>
      <w:r w:rsidR="00737013">
        <w:t xml:space="preserve"> </w:t>
      </w:r>
    </w:p>
    <w:p w14:paraId="4A690EEB" w14:textId="3F15A7A7" w:rsidR="00E14361" w:rsidRPr="00E14361" w:rsidRDefault="00E14361" w:rsidP="00800122">
      <w:pPr>
        <w:pStyle w:val="Heading3numbered"/>
      </w:pPr>
      <w:r>
        <w:t>MCA assessment</w:t>
      </w:r>
      <w:r w:rsidR="00D77198">
        <w:t xml:space="preserve"> – Options C.1, C.2 and C.3</w:t>
      </w:r>
    </w:p>
    <w:p w14:paraId="7403F289" w14:textId="1A1FD5D4" w:rsidR="006D464C" w:rsidRDefault="006D464C" w:rsidP="006D464C">
      <w:r>
        <w:t xml:space="preserve">As noted </w:t>
      </w:r>
      <w:r w:rsidR="008E7E76">
        <w:t>in Section 4.5.3</w:t>
      </w:r>
      <w:r>
        <w:t xml:space="preserve">, </w:t>
      </w:r>
      <w:r w:rsidR="008E7E76">
        <w:t xml:space="preserve">regulatory options available to </w:t>
      </w:r>
      <w:r w:rsidR="00F06C7C">
        <w:t xml:space="preserve">the commission </w:t>
      </w:r>
      <w:r w:rsidR="00FF4F34">
        <w:t>involve</w:t>
      </w:r>
      <w:r>
        <w:t xml:space="preserve"> less interventionist and cheaper options (</w:t>
      </w:r>
      <w:r w:rsidR="002222E1">
        <w:t>for example</w:t>
      </w:r>
      <w:r>
        <w:t>, outcomes</w:t>
      </w:r>
      <w:r w:rsidR="00D4609B">
        <w:t>-</w:t>
      </w:r>
      <w:r>
        <w:t>based approaches, voluntary codes) moving towards more coercive and costly measures (</w:t>
      </w:r>
      <w:r w:rsidR="002222E1">
        <w:t>for example</w:t>
      </w:r>
      <w:r>
        <w:t>, legislative instruments with penalties attached for non-compliance). Lighter touch regulatory measures are generally less cost</w:t>
      </w:r>
      <w:r w:rsidR="009167A8">
        <w:t>ly</w:t>
      </w:r>
      <w:r>
        <w:t xml:space="preserve"> to implement and enforce but can also be less effective in achieving government objectives.</w:t>
      </w:r>
    </w:p>
    <w:p w14:paraId="72AD5879" w14:textId="525AF477" w:rsidR="00386A21" w:rsidRDefault="006D464C" w:rsidP="00800122">
      <w:r>
        <w:t xml:space="preserve">Given the difficulty in quantifying consumer benefits (including switching rates) and industry costs (owing to a lack of data), an MCA assessment was undertaken to compare the costs and benefits of these options. </w:t>
      </w:r>
      <w:r w:rsidR="001F086A">
        <w:t xml:space="preserve">However, we </w:t>
      </w:r>
      <w:r w:rsidR="006D3A56">
        <w:t xml:space="preserve">have previously found that </w:t>
      </w:r>
      <w:r w:rsidR="001F2D5E">
        <w:t>t</w:t>
      </w:r>
      <w:r w:rsidR="006C0027">
        <w:t>wenty-eight per cent of Victorian residential electricity consumers could have saved over $100 per year from being on their retailer’s current best offer. While 17 per cent of Victorian gas consumers could have saved $100 or more.</w:t>
      </w:r>
      <w:r w:rsidR="001A0DF4">
        <w:rPr>
          <w:rStyle w:val="FootnoteReference"/>
        </w:rPr>
        <w:footnoteReference w:id="195"/>
      </w:r>
    </w:p>
    <w:p w14:paraId="680B7A2F" w14:textId="2995CB84" w:rsidR="00CC5853" w:rsidRPr="00CC5853" w:rsidRDefault="006D464C" w:rsidP="00800122">
      <w:r>
        <w:t xml:space="preserve">The tables below show these results, broken down by assessment criteria. </w:t>
      </w:r>
    </w:p>
    <w:p w14:paraId="02CFF98F" w14:textId="60B94DA0" w:rsidR="00075F9E" w:rsidRDefault="00075F9E" w:rsidP="000F6481">
      <w:pPr>
        <w:pStyle w:val="Figure-Table-BoxSubtitle"/>
        <w:ind w:left="0"/>
      </w:pPr>
      <w:r w:rsidRPr="000F6481">
        <w:rPr>
          <w:rStyle w:val="Figure-Table-BoxHeadingChar"/>
        </w:rPr>
        <w:t xml:space="preserve">Table </w:t>
      </w:r>
      <w:r w:rsidRPr="000F6481">
        <w:rPr>
          <w:rStyle w:val="Figure-Table-BoxHeadingChar"/>
        </w:rPr>
        <w:fldChar w:fldCharType="begin"/>
      </w:r>
      <w:r w:rsidRPr="000F6481">
        <w:rPr>
          <w:rStyle w:val="Figure-Table-BoxHeadingChar"/>
        </w:rPr>
        <w:instrText xml:space="preserve"> SEQ Table \* ARABIC </w:instrText>
      </w:r>
      <w:r w:rsidRPr="000F6481">
        <w:rPr>
          <w:rStyle w:val="Figure-Table-BoxHeadingChar"/>
        </w:rPr>
        <w:fldChar w:fldCharType="separate"/>
      </w:r>
      <w:r w:rsidR="009A244B">
        <w:rPr>
          <w:rStyle w:val="Figure-Table-BoxHeadingChar"/>
          <w:noProof/>
        </w:rPr>
        <w:t>4</w:t>
      </w:r>
      <w:r w:rsidRPr="000F6481">
        <w:rPr>
          <w:rStyle w:val="Figure-Table-BoxHeadingChar"/>
        </w:rPr>
        <w:fldChar w:fldCharType="end"/>
      </w:r>
      <w:r w:rsidR="002E5943" w:rsidRPr="000F6481">
        <w:rPr>
          <w:rStyle w:val="Figure-Table-BoxHeadingChar"/>
        </w:rPr>
        <w:t>9</w:t>
      </w:r>
      <w:r w:rsidRPr="000F6481">
        <w:rPr>
          <w:rStyle w:val="Figure-Table-BoxHeadingChar"/>
        </w:rPr>
        <w:t>:</w:t>
      </w:r>
      <w:r w:rsidRPr="000F6481">
        <w:t xml:space="preserve"> </w:t>
      </w:r>
      <w:r w:rsidRPr="003A49F5">
        <w:t>MCA Assessment of Option</w:t>
      </w:r>
      <w:r w:rsidR="00E83612">
        <w:t>s</w:t>
      </w:r>
      <w:r w:rsidRPr="003A49F5">
        <w:t xml:space="preserve"> C.1</w:t>
      </w:r>
      <w:r w:rsidR="003640AE">
        <w:t>, C.2 and C.3: Effectiveness</w:t>
      </w:r>
    </w:p>
    <w:tbl>
      <w:tblPr>
        <w:tblW w:w="0" w:type="auto"/>
        <w:tblCellMar>
          <w:left w:w="0" w:type="dxa"/>
          <w:right w:w="0" w:type="dxa"/>
        </w:tblCellMar>
        <w:tblLook w:val="04A0" w:firstRow="1" w:lastRow="0" w:firstColumn="1" w:lastColumn="0" w:noHBand="0" w:noVBand="1"/>
      </w:tblPr>
      <w:tblGrid>
        <w:gridCol w:w="817"/>
        <w:gridCol w:w="2018"/>
        <w:gridCol w:w="4623"/>
        <w:gridCol w:w="966"/>
        <w:gridCol w:w="1214"/>
      </w:tblGrid>
      <w:tr w:rsidR="002302B7" w14:paraId="0E8526BB" w14:textId="77777777" w:rsidTr="00BE749F">
        <w:tc>
          <w:tcPr>
            <w:tcW w:w="817" w:type="dxa"/>
            <w:tcBorders>
              <w:top w:val="single" w:sz="4" w:space="0" w:color="4986A0"/>
              <w:bottom w:val="single" w:sz="4" w:space="0" w:color="4986A0"/>
            </w:tcBorders>
            <w:shd w:val="clear" w:color="auto" w:fill="4986A0"/>
            <w:tcMar>
              <w:top w:w="0" w:type="dxa"/>
              <w:left w:w="0" w:type="dxa"/>
              <w:bottom w:w="0" w:type="dxa"/>
              <w:right w:w="0" w:type="dxa"/>
            </w:tcMar>
            <w:hideMark/>
          </w:tcPr>
          <w:p w14:paraId="65574070" w14:textId="77777777" w:rsidR="002302B7" w:rsidRDefault="002302B7" w:rsidP="00763DAE">
            <w:pPr>
              <w:spacing w:before="60" w:after="60" w:line="240" w:lineRule="auto"/>
              <w:jc w:val="center"/>
              <w:rPr>
                <w:color w:val="000000"/>
                <w:sz w:val="20"/>
                <w:szCs w:val="20"/>
              </w:rPr>
            </w:pPr>
            <w:r>
              <w:rPr>
                <w:b/>
                <w:bCs/>
                <w:color w:val="FFFFFF"/>
                <w:sz w:val="20"/>
                <w:szCs w:val="20"/>
              </w:rPr>
              <w:t>Option</w:t>
            </w:r>
          </w:p>
        </w:tc>
        <w:tc>
          <w:tcPr>
            <w:tcW w:w="2018"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0B553AEE" w14:textId="066159E4" w:rsidR="00CB4127" w:rsidRDefault="002302B7" w:rsidP="00763DAE">
            <w:pPr>
              <w:spacing w:before="60" w:after="60" w:line="240" w:lineRule="auto"/>
              <w:jc w:val="center"/>
              <w:rPr>
                <w:b/>
                <w:bCs/>
                <w:color w:val="FFFFFF"/>
                <w:sz w:val="20"/>
                <w:szCs w:val="20"/>
              </w:rPr>
            </w:pPr>
            <w:r>
              <w:rPr>
                <w:b/>
                <w:bCs/>
                <w:color w:val="FFFFFF"/>
                <w:sz w:val="20"/>
                <w:szCs w:val="20"/>
              </w:rPr>
              <w:t>Criteri</w:t>
            </w:r>
            <w:r w:rsidR="00CB4127">
              <w:rPr>
                <w:b/>
                <w:bCs/>
                <w:color w:val="FFFFFF"/>
                <w:sz w:val="20"/>
                <w:szCs w:val="20"/>
              </w:rPr>
              <w:t>a</w:t>
            </w:r>
          </w:p>
          <w:p w14:paraId="5F4FE4EC" w14:textId="5FC23F71" w:rsidR="002302B7" w:rsidRDefault="002302B7" w:rsidP="00763DAE">
            <w:pPr>
              <w:spacing w:before="60" w:after="60" w:line="240" w:lineRule="auto"/>
              <w:jc w:val="center"/>
              <w:rPr>
                <w:color w:val="000000"/>
                <w:sz w:val="20"/>
                <w:szCs w:val="20"/>
              </w:rPr>
            </w:pPr>
            <w:r>
              <w:rPr>
                <w:b/>
                <w:bCs/>
                <w:color w:val="FFFFFF"/>
                <w:sz w:val="20"/>
                <w:szCs w:val="20"/>
              </w:rPr>
              <w:t>(weighting 50%)</w:t>
            </w:r>
          </w:p>
        </w:tc>
        <w:tc>
          <w:tcPr>
            <w:tcW w:w="4623"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170E2294" w14:textId="77777777" w:rsidR="002302B7" w:rsidRDefault="002302B7" w:rsidP="00763DAE">
            <w:pPr>
              <w:spacing w:before="60" w:after="60" w:line="240" w:lineRule="auto"/>
              <w:jc w:val="center"/>
              <w:rPr>
                <w:color w:val="000000"/>
                <w:sz w:val="20"/>
                <w:szCs w:val="20"/>
              </w:rPr>
            </w:pPr>
            <w:r>
              <w:rPr>
                <w:b/>
                <w:bCs/>
                <w:color w:val="FFFFFF"/>
                <w:sz w:val="20"/>
                <w:szCs w:val="20"/>
              </w:rPr>
              <w:t>Assessment</w:t>
            </w:r>
          </w:p>
        </w:tc>
        <w:tc>
          <w:tcPr>
            <w:tcW w:w="966" w:type="dxa"/>
            <w:tcBorders>
              <w:top w:val="single" w:sz="4" w:space="0" w:color="4986A0"/>
              <w:bottom w:val="single" w:sz="4" w:space="0" w:color="4986A0"/>
            </w:tcBorders>
            <w:shd w:val="clear" w:color="auto" w:fill="4986A0"/>
          </w:tcPr>
          <w:p w14:paraId="383EAB39" w14:textId="77777777" w:rsidR="0036716C" w:rsidRDefault="0036716C" w:rsidP="00763DAE">
            <w:pPr>
              <w:spacing w:before="60" w:after="60" w:line="240" w:lineRule="auto"/>
              <w:jc w:val="center"/>
              <w:rPr>
                <w:b/>
                <w:bCs/>
                <w:color w:val="FFFFFF"/>
                <w:sz w:val="20"/>
                <w:szCs w:val="20"/>
              </w:rPr>
            </w:pPr>
            <w:r>
              <w:rPr>
                <w:b/>
                <w:bCs/>
                <w:color w:val="FFFFFF"/>
                <w:sz w:val="20"/>
                <w:szCs w:val="20"/>
              </w:rPr>
              <w:t>Score</w:t>
            </w:r>
          </w:p>
          <w:p w14:paraId="6016580B" w14:textId="5B38DD25" w:rsidR="0036716C" w:rsidRDefault="00AB1648" w:rsidP="00763DAE">
            <w:pPr>
              <w:spacing w:before="60" w:after="60" w:line="240" w:lineRule="auto"/>
              <w:jc w:val="center"/>
              <w:rPr>
                <w:b/>
                <w:bCs/>
                <w:color w:val="FFFFFF"/>
                <w:sz w:val="20"/>
                <w:szCs w:val="20"/>
              </w:rPr>
            </w:pPr>
            <w:r>
              <w:rPr>
                <w:b/>
                <w:bCs/>
                <w:color w:val="FFFFFF"/>
                <w:sz w:val="20"/>
                <w:szCs w:val="20"/>
              </w:rPr>
              <w:t>(-10 to 10)</w:t>
            </w:r>
          </w:p>
        </w:tc>
        <w:tc>
          <w:tcPr>
            <w:tcW w:w="1214"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14515060" w14:textId="77777777" w:rsidR="002302B7" w:rsidRDefault="002302B7" w:rsidP="00763DAE">
            <w:pPr>
              <w:spacing w:before="60" w:after="60" w:line="240" w:lineRule="auto"/>
              <w:jc w:val="center"/>
              <w:rPr>
                <w:color w:val="000000"/>
                <w:sz w:val="20"/>
                <w:szCs w:val="20"/>
              </w:rPr>
            </w:pPr>
            <w:r>
              <w:rPr>
                <w:b/>
                <w:bCs/>
                <w:color w:val="FFFFFF"/>
                <w:sz w:val="20"/>
                <w:szCs w:val="20"/>
              </w:rPr>
              <w:t>Weighted score</w:t>
            </w:r>
          </w:p>
        </w:tc>
      </w:tr>
      <w:tr w:rsidR="002302B7" w14:paraId="3000798E" w14:textId="77777777" w:rsidTr="00BE749F">
        <w:trPr>
          <w:trHeight w:val="333"/>
        </w:trPr>
        <w:tc>
          <w:tcPr>
            <w:tcW w:w="817" w:type="dxa"/>
            <w:tcMar>
              <w:top w:w="0" w:type="dxa"/>
              <w:left w:w="0" w:type="dxa"/>
              <w:bottom w:w="0" w:type="dxa"/>
              <w:right w:w="0" w:type="dxa"/>
            </w:tcMar>
            <w:hideMark/>
          </w:tcPr>
          <w:p w14:paraId="252B7BB9" w14:textId="77777777" w:rsidR="002302B7" w:rsidRDefault="002302B7">
            <w:pPr>
              <w:spacing w:after="120" w:line="240" w:lineRule="auto"/>
              <w:rPr>
                <w:color w:val="000000"/>
                <w:sz w:val="20"/>
                <w:szCs w:val="20"/>
              </w:rPr>
            </w:pPr>
            <w:r>
              <w:rPr>
                <w:color w:val="000000"/>
                <w:sz w:val="20"/>
                <w:szCs w:val="20"/>
              </w:rPr>
              <w:t>C.1</w:t>
            </w:r>
          </w:p>
        </w:tc>
        <w:tc>
          <w:tcPr>
            <w:tcW w:w="2018" w:type="dxa"/>
            <w:tcMar>
              <w:top w:w="0" w:type="dxa"/>
              <w:left w:w="123" w:type="dxa"/>
              <w:bottom w:w="0" w:type="dxa"/>
              <w:right w:w="123" w:type="dxa"/>
            </w:tcMar>
            <w:hideMark/>
          </w:tcPr>
          <w:p w14:paraId="272C97CF" w14:textId="77777777" w:rsidR="002302B7" w:rsidRDefault="002302B7">
            <w:pPr>
              <w:spacing w:after="120" w:line="240" w:lineRule="auto"/>
              <w:rPr>
                <w:color w:val="000000"/>
                <w:sz w:val="20"/>
                <w:szCs w:val="20"/>
              </w:rPr>
            </w:pPr>
            <w:r>
              <w:rPr>
                <w:color w:val="000000"/>
                <w:sz w:val="20"/>
                <w:szCs w:val="20"/>
              </w:rPr>
              <w:t xml:space="preserve">Effectiveness </w:t>
            </w:r>
          </w:p>
          <w:p w14:paraId="2988C1C0" w14:textId="77777777" w:rsidR="00777E01" w:rsidRDefault="00777E01" w:rsidP="00777E01">
            <w:pPr>
              <w:spacing w:after="120" w:line="240" w:lineRule="auto"/>
              <w:rPr>
                <w:color w:val="000000"/>
                <w:sz w:val="20"/>
                <w:szCs w:val="20"/>
              </w:rPr>
            </w:pPr>
            <w:r>
              <w:rPr>
                <w:color w:val="000000"/>
                <w:sz w:val="20"/>
                <w:szCs w:val="20"/>
              </w:rPr>
              <w:t>Reform objectives:</w:t>
            </w:r>
          </w:p>
          <w:p w14:paraId="10362CFF" w14:textId="25B46528" w:rsidR="00777E01" w:rsidRPr="00777E01" w:rsidRDefault="00777E01" w:rsidP="00B43F3C">
            <w:pPr>
              <w:pStyle w:val="ListParagraph"/>
              <w:numPr>
                <w:ilvl w:val="0"/>
                <w:numId w:val="27"/>
              </w:numPr>
              <w:spacing w:after="120" w:line="240" w:lineRule="auto"/>
              <w:ind w:left="201" w:hanging="201"/>
              <w:rPr>
                <w:color w:val="000000"/>
                <w:sz w:val="20"/>
                <w:szCs w:val="20"/>
              </w:rPr>
            </w:pPr>
            <w:r w:rsidRPr="00777E01">
              <w:rPr>
                <w:color w:val="000000"/>
                <w:sz w:val="20"/>
                <w:szCs w:val="20"/>
              </w:rPr>
              <w:t>help households pay less for energy</w:t>
            </w:r>
            <w:r w:rsidR="00BE749F">
              <w:rPr>
                <w:color w:val="000000"/>
                <w:sz w:val="20"/>
                <w:szCs w:val="20"/>
              </w:rPr>
              <w:t>.</w:t>
            </w:r>
          </w:p>
        </w:tc>
        <w:tc>
          <w:tcPr>
            <w:tcW w:w="4623" w:type="dxa"/>
            <w:tcMar>
              <w:top w:w="0" w:type="dxa"/>
              <w:left w:w="123" w:type="dxa"/>
              <w:bottom w:w="0" w:type="dxa"/>
              <w:right w:w="123" w:type="dxa"/>
            </w:tcMar>
            <w:hideMark/>
          </w:tcPr>
          <w:p w14:paraId="23F8DC5B" w14:textId="495EBAF7" w:rsidR="004C2C32" w:rsidRDefault="00A20758">
            <w:pPr>
              <w:spacing w:after="120" w:line="240" w:lineRule="auto"/>
              <w:rPr>
                <w:color w:val="000000"/>
                <w:sz w:val="20"/>
                <w:szCs w:val="20"/>
              </w:rPr>
            </w:pPr>
            <w:r>
              <w:rPr>
                <w:color w:val="000000"/>
                <w:sz w:val="20"/>
                <w:szCs w:val="20"/>
              </w:rPr>
              <w:t xml:space="preserve">Retailers already have systems in place to support customers switching to the best offer. </w:t>
            </w:r>
            <w:r w:rsidR="002302B7">
              <w:rPr>
                <w:color w:val="000000"/>
                <w:sz w:val="20"/>
                <w:szCs w:val="20"/>
              </w:rPr>
              <w:t xml:space="preserve">This approach would build upon the existing systems and processes </w:t>
            </w:r>
            <w:r w:rsidR="0090564D">
              <w:rPr>
                <w:color w:val="000000"/>
                <w:sz w:val="20"/>
                <w:szCs w:val="20"/>
              </w:rPr>
              <w:t>retailers</w:t>
            </w:r>
            <w:r w:rsidR="002302B7">
              <w:rPr>
                <w:color w:val="000000"/>
                <w:sz w:val="20"/>
                <w:szCs w:val="20"/>
              </w:rPr>
              <w:t xml:space="preserve"> already</w:t>
            </w:r>
            <w:r w:rsidR="0090564D">
              <w:rPr>
                <w:color w:val="000000"/>
                <w:sz w:val="20"/>
                <w:szCs w:val="20"/>
              </w:rPr>
              <w:t xml:space="preserve"> have</w:t>
            </w:r>
            <w:r w:rsidR="002302B7">
              <w:rPr>
                <w:color w:val="000000"/>
                <w:sz w:val="20"/>
                <w:szCs w:val="20"/>
              </w:rPr>
              <w:t xml:space="preserve"> in place but would seek to </w:t>
            </w:r>
            <w:r w:rsidR="000E1252">
              <w:rPr>
                <w:color w:val="000000"/>
                <w:sz w:val="20"/>
                <w:szCs w:val="20"/>
              </w:rPr>
              <w:t>further</w:t>
            </w:r>
            <w:r w:rsidR="002302B7">
              <w:rPr>
                <w:color w:val="000000"/>
                <w:sz w:val="20"/>
                <w:szCs w:val="20"/>
              </w:rPr>
              <w:t xml:space="preserve"> lower barriers </w:t>
            </w:r>
            <w:r w:rsidR="000E1252">
              <w:rPr>
                <w:color w:val="000000"/>
                <w:sz w:val="20"/>
                <w:szCs w:val="20"/>
              </w:rPr>
              <w:t>for customers to s</w:t>
            </w:r>
            <w:r w:rsidR="002302B7">
              <w:rPr>
                <w:color w:val="000000"/>
                <w:sz w:val="20"/>
                <w:szCs w:val="20"/>
              </w:rPr>
              <w:t>witch to the best offer.</w:t>
            </w:r>
            <w:r w:rsidR="00B24BB2">
              <w:rPr>
                <w:color w:val="000000"/>
                <w:sz w:val="20"/>
                <w:szCs w:val="20"/>
              </w:rPr>
              <w:t xml:space="preserve"> </w:t>
            </w:r>
          </w:p>
          <w:p w14:paraId="26CE4834" w14:textId="5A058655" w:rsidR="008A3557" w:rsidRDefault="00B24BB2">
            <w:pPr>
              <w:spacing w:after="120" w:line="240" w:lineRule="auto"/>
              <w:rPr>
                <w:color w:val="000000"/>
                <w:sz w:val="20"/>
                <w:szCs w:val="20"/>
              </w:rPr>
            </w:pPr>
            <w:r>
              <w:rPr>
                <w:color w:val="000000"/>
                <w:sz w:val="20"/>
                <w:szCs w:val="20"/>
              </w:rPr>
              <w:t xml:space="preserve">Practically, this option would require retailers to reassess their existing switching mechanisms and consider </w:t>
            </w:r>
            <w:r w:rsidR="0012671E">
              <w:rPr>
                <w:color w:val="000000"/>
                <w:sz w:val="20"/>
                <w:szCs w:val="20"/>
              </w:rPr>
              <w:t>whether they are effective</w:t>
            </w:r>
            <w:r w:rsidR="00C701E6">
              <w:rPr>
                <w:color w:val="000000"/>
                <w:sz w:val="20"/>
                <w:szCs w:val="20"/>
              </w:rPr>
              <w:t xml:space="preserve"> in supporting customers to the best offe</w:t>
            </w:r>
            <w:r w:rsidR="001C4B27">
              <w:rPr>
                <w:color w:val="000000"/>
                <w:sz w:val="20"/>
                <w:szCs w:val="20"/>
              </w:rPr>
              <w:t xml:space="preserve">r. This </w:t>
            </w:r>
            <w:r w:rsidR="001B4242">
              <w:rPr>
                <w:color w:val="000000"/>
                <w:sz w:val="20"/>
                <w:szCs w:val="20"/>
              </w:rPr>
              <w:t>would likely</w:t>
            </w:r>
            <w:r w:rsidR="001C4B27">
              <w:rPr>
                <w:color w:val="000000"/>
                <w:sz w:val="20"/>
                <w:szCs w:val="20"/>
              </w:rPr>
              <w:t xml:space="preserve"> </w:t>
            </w:r>
            <w:r w:rsidR="00687CBB">
              <w:rPr>
                <w:color w:val="000000"/>
                <w:sz w:val="20"/>
                <w:szCs w:val="20"/>
              </w:rPr>
              <w:t xml:space="preserve">require a retailer to </w:t>
            </w:r>
            <w:r w:rsidR="001C4B27">
              <w:rPr>
                <w:color w:val="000000"/>
                <w:sz w:val="20"/>
                <w:szCs w:val="20"/>
              </w:rPr>
              <w:t>develop</w:t>
            </w:r>
            <w:r w:rsidR="001B4242">
              <w:rPr>
                <w:color w:val="000000"/>
                <w:sz w:val="20"/>
                <w:szCs w:val="20"/>
              </w:rPr>
              <w:t xml:space="preserve"> metrics </w:t>
            </w:r>
            <w:r w:rsidR="00B64DFF">
              <w:rPr>
                <w:color w:val="000000"/>
                <w:sz w:val="20"/>
                <w:szCs w:val="20"/>
              </w:rPr>
              <w:t>and</w:t>
            </w:r>
            <w:r w:rsidR="001B4242">
              <w:rPr>
                <w:color w:val="000000"/>
                <w:sz w:val="20"/>
                <w:szCs w:val="20"/>
              </w:rPr>
              <w:t xml:space="preserve"> systems for determining whether processes are effective</w:t>
            </w:r>
            <w:r w:rsidR="00624776">
              <w:rPr>
                <w:color w:val="000000"/>
                <w:sz w:val="20"/>
                <w:szCs w:val="20"/>
              </w:rPr>
              <w:t xml:space="preserve"> and </w:t>
            </w:r>
            <w:r w:rsidR="00B64DFF">
              <w:rPr>
                <w:color w:val="000000"/>
                <w:sz w:val="20"/>
                <w:szCs w:val="20"/>
              </w:rPr>
              <w:t>tracking progress</w:t>
            </w:r>
            <w:r w:rsidR="004D082C">
              <w:rPr>
                <w:color w:val="000000"/>
                <w:sz w:val="20"/>
                <w:szCs w:val="20"/>
              </w:rPr>
              <w:t>.</w:t>
            </w:r>
            <w:r w:rsidR="004C2C32">
              <w:rPr>
                <w:color w:val="000000"/>
                <w:sz w:val="20"/>
                <w:szCs w:val="20"/>
              </w:rPr>
              <w:t xml:space="preserve"> </w:t>
            </w:r>
            <w:r w:rsidR="008A3557">
              <w:rPr>
                <w:color w:val="000000"/>
                <w:sz w:val="20"/>
                <w:szCs w:val="20"/>
              </w:rPr>
              <w:t xml:space="preserve">Where </w:t>
            </w:r>
            <w:r w:rsidR="00E12D6A">
              <w:rPr>
                <w:color w:val="000000"/>
                <w:sz w:val="20"/>
                <w:szCs w:val="20"/>
              </w:rPr>
              <w:t xml:space="preserve">systems are determined not to be effective in supporting customers </w:t>
            </w:r>
            <w:r w:rsidR="0026720E">
              <w:rPr>
                <w:color w:val="000000"/>
                <w:sz w:val="20"/>
                <w:szCs w:val="20"/>
              </w:rPr>
              <w:t xml:space="preserve">to switch to the best offer, a retailer would be required to make </w:t>
            </w:r>
            <w:r w:rsidR="00C837DC">
              <w:rPr>
                <w:color w:val="000000"/>
                <w:sz w:val="20"/>
                <w:szCs w:val="20"/>
              </w:rPr>
              <w:t>improvements</w:t>
            </w:r>
            <w:r w:rsidR="004D0652">
              <w:rPr>
                <w:color w:val="000000"/>
                <w:sz w:val="20"/>
                <w:szCs w:val="20"/>
              </w:rPr>
              <w:t>.</w:t>
            </w:r>
          </w:p>
          <w:p w14:paraId="0968DC60" w14:textId="323B44E1" w:rsidR="002302B7" w:rsidRDefault="004C2C32">
            <w:pPr>
              <w:spacing w:after="120" w:line="240" w:lineRule="auto"/>
              <w:rPr>
                <w:color w:val="000000"/>
                <w:sz w:val="20"/>
                <w:szCs w:val="20"/>
              </w:rPr>
            </w:pPr>
            <w:r>
              <w:rPr>
                <w:color w:val="000000"/>
                <w:sz w:val="20"/>
                <w:szCs w:val="20"/>
              </w:rPr>
              <w:t xml:space="preserve">Retailers would be required to </w:t>
            </w:r>
            <w:r w:rsidR="008A3557">
              <w:rPr>
                <w:color w:val="000000"/>
                <w:sz w:val="20"/>
                <w:szCs w:val="20"/>
              </w:rPr>
              <w:t>perform this assessment</w:t>
            </w:r>
            <w:r w:rsidR="00281A31">
              <w:rPr>
                <w:color w:val="000000"/>
                <w:sz w:val="20"/>
                <w:szCs w:val="20"/>
              </w:rPr>
              <w:t xml:space="preserve"> on an ongoing basis to determine </w:t>
            </w:r>
            <w:r w:rsidR="0081167D">
              <w:rPr>
                <w:color w:val="000000"/>
                <w:sz w:val="20"/>
                <w:szCs w:val="20"/>
              </w:rPr>
              <w:t xml:space="preserve">whether </w:t>
            </w:r>
            <w:r w:rsidR="000039F5">
              <w:rPr>
                <w:color w:val="000000"/>
                <w:sz w:val="20"/>
                <w:szCs w:val="20"/>
              </w:rPr>
              <w:t xml:space="preserve">systems continue to meet the changing needs and expectations of their customers </w:t>
            </w:r>
            <w:r w:rsidR="008A3557">
              <w:rPr>
                <w:color w:val="000000"/>
                <w:sz w:val="20"/>
                <w:szCs w:val="20"/>
              </w:rPr>
              <w:t xml:space="preserve">into the future. </w:t>
            </w:r>
            <w:r w:rsidR="004D082C">
              <w:rPr>
                <w:color w:val="000000"/>
                <w:sz w:val="20"/>
                <w:szCs w:val="20"/>
              </w:rPr>
              <w:t xml:space="preserve"> </w:t>
            </w:r>
            <w:r w:rsidR="0012671E">
              <w:rPr>
                <w:color w:val="000000"/>
                <w:sz w:val="20"/>
                <w:szCs w:val="20"/>
              </w:rPr>
              <w:t xml:space="preserve"> </w:t>
            </w:r>
          </w:p>
          <w:p w14:paraId="07C7BF81" w14:textId="25AE7D4E" w:rsidR="00712BAE" w:rsidRDefault="003227A2">
            <w:pPr>
              <w:spacing w:after="120" w:line="240" w:lineRule="auto"/>
              <w:rPr>
                <w:color w:val="000000"/>
                <w:sz w:val="20"/>
                <w:szCs w:val="20"/>
              </w:rPr>
            </w:pPr>
            <w:r>
              <w:rPr>
                <w:color w:val="000000"/>
                <w:sz w:val="20"/>
                <w:szCs w:val="20"/>
              </w:rPr>
              <w:lastRenderedPageBreak/>
              <w:t xml:space="preserve">Although retailers would be responsible for </w:t>
            </w:r>
            <w:r w:rsidR="00925476">
              <w:rPr>
                <w:color w:val="000000"/>
                <w:sz w:val="20"/>
                <w:szCs w:val="20"/>
              </w:rPr>
              <w:t>delivering</w:t>
            </w:r>
            <w:r w:rsidR="005F123D">
              <w:rPr>
                <w:color w:val="000000"/>
                <w:sz w:val="20"/>
                <w:szCs w:val="20"/>
              </w:rPr>
              <w:t xml:space="preserve"> the general outcome </w:t>
            </w:r>
            <w:r w:rsidR="007E2CB3">
              <w:rPr>
                <w:color w:val="000000"/>
                <w:sz w:val="20"/>
                <w:szCs w:val="20"/>
              </w:rPr>
              <w:t>of</w:t>
            </w:r>
            <w:r w:rsidR="00712BAE">
              <w:rPr>
                <w:color w:val="000000"/>
                <w:sz w:val="20"/>
                <w:szCs w:val="20"/>
              </w:rPr>
              <w:t xml:space="preserve"> ensuring systems for switching customers to the best offer are effective, </w:t>
            </w:r>
            <w:r w:rsidR="00D4609B">
              <w:rPr>
                <w:color w:val="000000"/>
                <w:sz w:val="20"/>
                <w:szCs w:val="20"/>
              </w:rPr>
              <w:t xml:space="preserve">retailers would have complete flexibility in how to deliver this outcome. This could result in certain key elements of </w:t>
            </w:r>
            <w:r w:rsidR="00BF7F59">
              <w:rPr>
                <w:color w:val="000000"/>
                <w:sz w:val="20"/>
                <w:szCs w:val="20"/>
              </w:rPr>
              <w:t xml:space="preserve">an effective system not being </w:t>
            </w:r>
            <w:r w:rsidR="00112BF1">
              <w:rPr>
                <w:color w:val="000000"/>
                <w:sz w:val="20"/>
                <w:szCs w:val="20"/>
              </w:rPr>
              <w:t>developed</w:t>
            </w:r>
            <w:r w:rsidR="00A96182">
              <w:rPr>
                <w:color w:val="000000"/>
                <w:sz w:val="20"/>
                <w:szCs w:val="20"/>
              </w:rPr>
              <w:t>, based on retailer discretion</w:t>
            </w:r>
            <w:r w:rsidR="00925476">
              <w:rPr>
                <w:color w:val="000000"/>
                <w:sz w:val="20"/>
                <w:szCs w:val="20"/>
              </w:rPr>
              <w:t xml:space="preserve"> and </w:t>
            </w:r>
            <w:r w:rsidR="009C2CFC">
              <w:rPr>
                <w:color w:val="000000"/>
                <w:sz w:val="20"/>
                <w:szCs w:val="20"/>
              </w:rPr>
              <w:t>differing incentives</w:t>
            </w:r>
            <w:r w:rsidR="00A96182">
              <w:rPr>
                <w:color w:val="000000"/>
                <w:sz w:val="20"/>
                <w:szCs w:val="20"/>
              </w:rPr>
              <w:t>.</w:t>
            </w:r>
            <w:r w:rsidR="002300AE">
              <w:rPr>
                <w:color w:val="000000"/>
                <w:sz w:val="20"/>
                <w:szCs w:val="20"/>
              </w:rPr>
              <w:t xml:space="preserve"> </w:t>
            </w:r>
            <w:r w:rsidR="0087576D">
              <w:rPr>
                <w:color w:val="000000"/>
                <w:sz w:val="20"/>
                <w:szCs w:val="20"/>
              </w:rPr>
              <w:t>For example, a retailer may choose not to provide a switching method via their website or by phone.</w:t>
            </w:r>
          </w:p>
          <w:p w14:paraId="6BF5DCDB" w14:textId="67E87690" w:rsidR="002302B7" w:rsidRDefault="00542280">
            <w:pPr>
              <w:spacing w:after="120" w:line="240" w:lineRule="auto"/>
              <w:rPr>
                <w:color w:val="000000"/>
                <w:sz w:val="20"/>
                <w:szCs w:val="20"/>
              </w:rPr>
            </w:pPr>
            <w:r>
              <w:rPr>
                <w:color w:val="000000"/>
                <w:sz w:val="20"/>
                <w:szCs w:val="20"/>
              </w:rPr>
              <w:t xml:space="preserve">Without </w:t>
            </w:r>
            <w:r w:rsidR="00997A99">
              <w:rPr>
                <w:color w:val="000000"/>
                <w:sz w:val="20"/>
                <w:szCs w:val="20"/>
              </w:rPr>
              <w:t xml:space="preserve">a set of </w:t>
            </w:r>
            <w:r w:rsidR="00DB133E">
              <w:rPr>
                <w:color w:val="000000"/>
                <w:sz w:val="20"/>
                <w:szCs w:val="20"/>
              </w:rPr>
              <w:t>minimum standards</w:t>
            </w:r>
            <w:r w:rsidR="000300BF">
              <w:rPr>
                <w:color w:val="000000"/>
                <w:sz w:val="20"/>
                <w:szCs w:val="20"/>
              </w:rPr>
              <w:t xml:space="preserve">, compliance against this option would be solely based on </w:t>
            </w:r>
            <w:r w:rsidR="004D28CF">
              <w:rPr>
                <w:color w:val="000000"/>
                <w:sz w:val="20"/>
                <w:szCs w:val="20"/>
              </w:rPr>
              <w:t xml:space="preserve">whether a </w:t>
            </w:r>
            <w:r w:rsidR="004B68F0">
              <w:rPr>
                <w:color w:val="000000"/>
                <w:sz w:val="20"/>
                <w:szCs w:val="20"/>
              </w:rPr>
              <w:t>retailer’s</w:t>
            </w:r>
            <w:r w:rsidR="004D28CF">
              <w:rPr>
                <w:color w:val="000000"/>
                <w:sz w:val="20"/>
                <w:szCs w:val="20"/>
              </w:rPr>
              <w:t xml:space="preserve"> system meets the standard of being ‘effective’. </w:t>
            </w:r>
            <w:r w:rsidR="00706306">
              <w:rPr>
                <w:color w:val="000000"/>
                <w:sz w:val="20"/>
                <w:szCs w:val="20"/>
              </w:rPr>
              <w:t>This would require a case-by-case interpretation of effectiveness and</w:t>
            </w:r>
            <w:r w:rsidR="00391656">
              <w:rPr>
                <w:color w:val="000000"/>
                <w:sz w:val="20"/>
                <w:szCs w:val="20"/>
              </w:rPr>
              <w:t xml:space="preserve"> </w:t>
            </w:r>
            <w:r w:rsidR="003F690B">
              <w:rPr>
                <w:color w:val="000000"/>
                <w:sz w:val="20"/>
                <w:szCs w:val="20"/>
              </w:rPr>
              <w:t>whether or not the standard has been met</w:t>
            </w:r>
            <w:r w:rsidR="00A169F7">
              <w:rPr>
                <w:color w:val="000000"/>
                <w:sz w:val="20"/>
                <w:szCs w:val="20"/>
              </w:rPr>
              <w:t xml:space="preserve">, including in </w:t>
            </w:r>
            <w:r w:rsidR="00E96773">
              <w:rPr>
                <w:color w:val="000000"/>
                <w:sz w:val="20"/>
                <w:szCs w:val="20"/>
              </w:rPr>
              <w:t xml:space="preserve">cases where </w:t>
            </w:r>
            <w:r w:rsidR="00BD30B5">
              <w:rPr>
                <w:color w:val="000000"/>
                <w:sz w:val="20"/>
                <w:szCs w:val="20"/>
              </w:rPr>
              <w:t>generally agreed</w:t>
            </w:r>
            <w:r w:rsidR="00E96773">
              <w:rPr>
                <w:color w:val="000000"/>
                <w:sz w:val="20"/>
                <w:szCs w:val="20"/>
              </w:rPr>
              <w:t xml:space="preserve"> minimum expectations </w:t>
            </w:r>
            <w:r w:rsidR="00A45319">
              <w:rPr>
                <w:color w:val="000000"/>
                <w:sz w:val="20"/>
                <w:szCs w:val="20"/>
              </w:rPr>
              <w:t>have not been met</w:t>
            </w:r>
            <w:r w:rsidR="00854F97">
              <w:rPr>
                <w:color w:val="000000"/>
                <w:sz w:val="20"/>
                <w:szCs w:val="20"/>
              </w:rPr>
              <w:t xml:space="preserve"> (such as not having clear information for customers on how to switch)</w:t>
            </w:r>
            <w:r w:rsidR="005A10AC">
              <w:rPr>
                <w:color w:val="000000"/>
                <w:sz w:val="20"/>
                <w:szCs w:val="20"/>
              </w:rPr>
              <w:t>.</w:t>
            </w:r>
            <w:r w:rsidR="004D28CF">
              <w:rPr>
                <w:color w:val="000000"/>
                <w:sz w:val="20"/>
                <w:szCs w:val="20"/>
              </w:rPr>
              <w:t xml:space="preserve"> While</w:t>
            </w:r>
            <w:r w:rsidR="00A662B5">
              <w:rPr>
                <w:color w:val="000000"/>
                <w:sz w:val="20"/>
                <w:szCs w:val="20"/>
              </w:rPr>
              <w:t xml:space="preserve"> this </w:t>
            </w:r>
            <w:r w:rsidR="003A64B2">
              <w:rPr>
                <w:color w:val="000000"/>
                <w:sz w:val="20"/>
                <w:szCs w:val="20"/>
              </w:rPr>
              <w:t xml:space="preserve">is </w:t>
            </w:r>
            <w:r w:rsidR="004B68F0">
              <w:rPr>
                <w:color w:val="000000"/>
                <w:sz w:val="20"/>
                <w:szCs w:val="20"/>
              </w:rPr>
              <w:t>possible</w:t>
            </w:r>
            <w:r w:rsidR="006930CE">
              <w:rPr>
                <w:color w:val="000000"/>
                <w:sz w:val="20"/>
                <w:szCs w:val="20"/>
              </w:rPr>
              <w:t>, enforcement</w:t>
            </w:r>
            <w:r w:rsidR="004B68F0">
              <w:rPr>
                <w:color w:val="000000"/>
                <w:sz w:val="20"/>
                <w:szCs w:val="20"/>
              </w:rPr>
              <w:t xml:space="preserve"> of this option </w:t>
            </w:r>
            <w:r w:rsidR="00854F97">
              <w:rPr>
                <w:color w:val="000000"/>
                <w:sz w:val="20"/>
                <w:szCs w:val="20"/>
              </w:rPr>
              <w:t>is expected to be slightly</w:t>
            </w:r>
            <w:r w:rsidR="002668F6">
              <w:rPr>
                <w:color w:val="000000"/>
                <w:sz w:val="20"/>
                <w:szCs w:val="20"/>
              </w:rPr>
              <w:t xml:space="preserve"> more difficult compared to an option </w:t>
            </w:r>
            <w:r w:rsidR="008D7F96">
              <w:rPr>
                <w:color w:val="000000"/>
                <w:sz w:val="20"/>
                <w:szCs w:val="20"/>
              </w:rPr>
              <w:t>which includes</w:t>
            </w:r>
            <w:r w:rsidR="007226D3">
              <w:rPr>
                <w:color w:val="000000"/>
                <w:sz w:val="20"/>
                <w:szCs w:val="20"/>
              </w:rPr>
              <w:t xml:space="preserve"> a </w:t>
            </w:r>
            <w:r w:rsidR="00982789">
              <w:rPr>
                <w:color w:val="000000"/>
                <w:sz w:val="20"/>
                <w:szCs w:val="20"/>
              </w:rPr>
              <w:t>set</w:t>
            </w:r>
            <w:r w:rsidR="002302B7">
              <w:rPr>
                <w:color w:val="000000"/>
                <w:sz w:val="20"/>
                <w:szCs w:val="20"/>
              </w:rPr>
              <w:t xml:space="preserve"> of </w:t>
            </w:r>
            <w:r w:rsidR="00BF12AF">
              <w:rPr>
                <w:color w:val="000000"/>
                <w:sz w:val="20"/>
                <w:szCs w:val="20"/>
              </w:rPr>
              <w:t>more specific minimum requirements</w:t>
            </w:r>
            <w:r w:rsidR="008E7005">
              <w:rPr>
                <w:color w:val="000000"/>
                <w:sz w:val="20"/>
                <w:szCs w:val="20"/>
              </w:rPr>
              <w:t xml:space="preserve"> </w:t>
            </w:r>
            <w:r w:rsidR="009B50AD">
              <w:rPr>
                <w:color w:val="000000"/>
                <w:sz w:val="20"/>
                <w:szCs w:val="20"/>
              </w:rPr>
              <w:t xml:space="preserve">that </w:t>
            </w:r>
            <w:r w:rsidR="00BB1E58">
              <w:rPr>
                <w:color w:val="000000"/>
                <w:sz w:val="20"/>
                <w:szCs w:val="20"/>
              </w:rPr>
              <w:t xml:space="preserve">clearly </w:t>
            </w:r>
            <w:r w:rsidR="008E09BF">
              <w:rPr>
                <w:color w:val="000000"/>
                <w:sz w:val="20"/>
                <w:szCs w:val="20"/>
              </w:rPr>
              <w:t xml:space="preserve">describe compliance expectations for </w:t>
            </w:r>
            <w:r w:rsidR="006B6B2F">
              <w:rPr>
                <w:color w:val="000000"/>
                <w:sz w:val="20"/>
                <w:szCs w:val="20"/>
              </w:rPr>
              <w:t>key elements of an effective switching process</w:t>
            </w:r>
            <w:r w:rsidR="00BF12AF">
              <w:rPr>
                <w:color w:val="000000"/>
                <w:sz w:val="20"/>
                <w:szCs w:val="20"/>
              </w:rPr>
              <w:t>.</w:t>
            </w:r>
            <w:r w:rsidR="00D113F7">
              <w:rPr>
                <w:color w:val="000000"/>
                <w:sz w:val="20"/>
                <w:szCs w:val="20"/>
              </w:rPr>
              <w:t xml:space="preserve"> </w:t>
            </w:r>
          </w:p>
        </w:tc>
        <w:tc>
          <w:tcPr>
            <w:tcW w:w="966" w:type="dxa"/>
          </w:tcPr>
          <w:p w14:paraId="3B6B8C9B" w14:textId="0D407E6B" w:rsidR="0036716C" w:rsidRDefault="0036716C" w:rsidP="0036716C">
            <w:pPr>
              <w:spacing w:after="120" w:line="240" w:lineRule="auto"/>
              <w:ind w:right="12"/>
              <w:jc w:val="center"/>
              <w:rPr>
                <w:color w:val="000000"/>
                <w:sz w:val="20"/>
                <w:szCs w:val="20"/>
              </w:rPr>
            </w:pPr>
            <w:r>
              <w:rPr>
                <w:color w:val="000000"/>
                <w:sz w:val="20"/>
                <w:szCs w:val="20"/>
              </w:rPr>
              <w:lastRenderedPageBreak/>
              <w:t>1.5</w:t>
            </w:r>
          </w:p>
        </w:tc>
        <w:tc>
          <w:tcPr>
            <w:tcW w:w="1214" w:type="dxa"/>
            <w:tcMar>
              <w:top w:w="0" w:type="dxa"/>
              <w:left w:w="123" w:type="dxa"/>
              <w:bottom w:w="0" w:type="dxa"/>
              <w:right w:w="123" w:type="dxa"/>
            </w:tcMar>
            <w:hideMark/>
          </w:tcPr>
          <w:p w14:paraId="5226A7CE" w14:textId="77777777" w:rsidR="002302B7" w:rsidRDefault="002302B7" w:rsidP="0036716C">
            <w:pPr>
              <w:spacing w:after="120" w:line="240" w:lineRule="auto"/>
              <w:ind w:right="12"/>
              <w:jc w:val="center"/>
              <w:rPr>
                <w:color w:val="000000"/>
                <w:sz w:val="20"/>
                <w:szCs w:val="20"/>
              </w:rPr>
            </w:pPr>
            <w:r>
              <w:rPr>
                <w:color w:val="000000"/>
                <w:sz w:val="20"/>
                <w:szCs w:val="20"/>
              </w:rPr>
              <w:t>0.75</w:t>
            </w:r>
          </w:p>
        </w:tc>
      </w:tr>
      <w:tr w:rsidR="002302B7" w14:paraId="121BFB26" w14:textId="77777777" w:rsidTr="00BE749F">
        <w:tc>
          <w:tcPr>
            <w:tcW w:w="817" w:type="dxa"/>
            <w:shd w:val="clear" w:color="auto" w:fill="F2F2F2"/>
            <w:tcMar>
              <w:top w:w="0" w:type="dxa"/>
              <w:left w:w="0" w:type="dxa"/>
              <w:bottom w:w="0" w:type="dxa"/>
              <w:right w:w="0" w:type="dxa"/>
            </w:tcMar>
            <w:hideMark/>
          </w:tcPr>
          <w:p w14:paraId="1D440FC2" w14:textId="77777777" w:rsidR="002302B7" w:rsidRDefault="002302B7">
            <w:pPr>
              <w:spacing w:after="120" w:line="240" w:lineRule="auto"/>
              <w:rPr>
                <w:color w:val="000000"/>
                <w:sz w:val="20"/>
                <w:szCs w:val="20"/>
              </w:rPr>
            </w:pPr>
            <w:r>
              <w:rPr>
                <w:color w:val="000000"/>
                <w:sz w:val="20"/>
                <w:szCs w:val="20"/>
              </w:rPr>
              <w:t>C.2</w:t>
            </w:r>
          </w:p>
        </w:tc>
        <w:tc>
          <w:tcPr>
            <w:tcW w:w="2018" w:type="dxa"/>
            <w:shd w:val="clear" w:color="auto" w:fill="F2F2F2"/>
            <w:tcMar>
              <w:top w:w="0" w:type="dxa"/>
              <w:left w:w="123" w:type="dxa"/>
              <w:bottom w:w="0" w:type="dxa"/>
              <w:right w:w="123" w:type="dxa"/>
            </w:tcMar>
            <w:hideMark/>
          </w:tcPr>
          <w:p w14:paraId="6CE56CDC" w14:textId="77777777" w:rsidR="002302B7" w:rsidRDefault="002302B7">
            <w:pPr>
              <w:spacing w:after="120" w:line="240" w:lineRule="auto"/>
              <w:rPr>
                <w:color w:val="000000"/>
                <w:sz w:val="20"/>
                <w:szCs w:val="20"/>
              </w:rPr>
            </w:pPr>
            <w:r>
              <w:rPr>
                <w:color w:val="000000"/>
                <w:sz w:val="20"/>
                <w:szCs w:val="20"/>
              </w:rPr>
              <w:t>Effectiveness</w:t>
            </w:r>
          </w:p>
          <w:p w14:paraId="7C8823AC" w14:textId="77777777" w:rsidR="00BE749F" w:rsidRPr="00BE749F" w:rsidRDefault="00BE749F" w:rsidP="00BE749F">
            <w:pPr>
              <w:spacing w:after="120" w:line="240" w:lineRule="auto"/>
              <w:rPr>
                <w:color w:val="000000"/>
                <w:sz w:val="20"/>
                <w:szCs w:val="20"/>
              </w:rPr>
            </w:pPr>
            <w:r w:rsidRPr="00BE749F">
              <w:rPr>
                <w:color w:val="000000"/>
                <w:sz w:val="20"/>
                <w:szCs w:val="20"/>
              </w:rPr>
              <w:t>Reform objectives:</w:t>
            </w:r>
          </w:p>
          <w:p w14:paraId="2C8AD6B0" w14:textId="77777777" w:rsidR="00BE749F" w:rsidRDefault="00BE749F" w:rsidP="00B43F3C">
            <w:pPr>
              <w:pStyle w:val="ListParagraph"/>
              <w:numPr>
                <w:ilvl w:val="0"/>
                <w:numId w:val="27"/>
              </w:numPr>
              <w:spacing w:after="120" w:line="240" w:lineRule="auto"/>
              <w:ind w:left="201" w:hanging="201"/>
              <w:rPr>
                <w:color w:val="000000"/>
                <w:sz w:val="20"/>
                <w:szCs w:val="20"/>
              </w:rPr>
            </w:pPr>
            <w:r w:rsidRPr="00BE749F">
              <w:rPr>
                <w:color w:val="000000"/>
                <w:sz w:val="20"/>
                <w:szCs w:val="20"/>
              </w:rPr>
              <w:t>help households pay less for energy.</w:t>
            </w:r>
          </w:p>
          <w:p w14:paraId="571D50C7" w14:textId="0DCD6D35" w:rsidR="00BE749F" w:rsidRPr="00BE749F" w:rsidRDefault="00BE749F" w:rsidP="00BE749F">
            <w:pPr>
              <w:pStyle w:val="ListParagraph"/>
              <w:spacing w:after="120" w:line="240" w:lineRule="auto"/>
              <w:ind w:left="201"/>
              <w:rPr>
                <w:color w:val="000000"/>
                <w:sz w:val="20"/>
                <w:szCs w:val="20"/>
              </w:rPr>
            </w:pPr>
          </w:p>
        </w:tc>
        <w:tc>
          <w:tcPr>
            <w:tcW w:w="4623" w:type="dxa"/>
            <w:shd w:val="clear" w:color="auto" w:fill="F2F2F2"/>
            <w:tcMar>
              <w:top w:w="0" w:type="dxa"/>
              <w:left w:w="123" w:type="dxa"/>
              <w:bottom w:w="0" w:type="dxa"/>
              <w:right w:w="123" w:type="dxa"/>
            </w:tcMar>
            <w:hideMark/>
          </w:tcPr>
          <w:p w14:paraId="4A21B77A" w14:textId="52519CEA" w:rsidR="002C2C7D" w:rsidRDefault="002E05D9">
            <w:pPr>
              <w:spacing w:after="120" w:line="240" w:lineRule="auto"/>
              <w:rPr>
                <w:color w:val="000000"/>
                <w:sz w:val="20"/>
                <w:szCs w:val="20"/>
              </w:rPr>
            </w:pPr>
            <w:r>
              <w:rPr>
                <w:color w:val="000000"/>
                <w:sz w:val="20"/>
                <w:szCs w:val="20"/>
              </w:rPr>
              <w:t xml:space="preserve">As </w:t>
            </w:r>
            <w:r w:rsidR="006A6D26">
              <w:rPr>
                <w:color w:val="000000"/>
                <w:sz w:val="20"/>
                <w:szCs w:val="20"/>
              </w:rPr>
              <w:t>per</w:t>
            </w:r>
            <w:r>
              <w:rPr>
                <w:color w:val="000000"/>
                <w:sz w:val="20"/>
                <w:szCs w:val="20"/>
              </w:rPr>
              <w:t xml:space="preserve"> Option C.1, </w:t>
            </w:r>
            <w:r w:rsidR="009F5704">
              <w:rPr>
                <w:color w:val="000000"/>
                <w:sz w:val="20"/>
                <w:szCs w:val="20"/>
              </w:rPr>
              <w:t>under this option</w:t>
            </w:r>
            <w:r>
              <w:rPr>
                <w:color w:val="000000"/>
                <w:sz w:val="20"/>
                <w:szCs w:val="20"/>
              </w:rPr>
              <w:t xml:space="preserve"> </w:t>
            </w:r>
            <w:r w:rsidR="00D80CD6">
              <w:rPr>
                <w:color w:val="000000"/>
                <w:sz w:val="20"/>
                <w:szCs w:val="20"/>
              </w:rPr>
              <w:t xml:space="preserve">retailers would </w:t>
            </w:r>
            <w:r w:rsidR="004237F2">
              <w:rPr>
                <w:color w:val="000000"/>
                <w:sz w:val="20"/>
                <w:szCs w:val="20"/>
              </w:rPr>
              <w:t>also</w:t>
            </w:r>
            <w:r w:rsidR="00D80CD6">
              <w:rPr>
                <w:color w:val="000000"/>
                <w:sz w:val="20"/>
                <w:szCs w:val="20"/>
              </w:rPr>
              <w:t xml:space="preserve"> be required to </w:t>
            </w:r>
            <w:r w:rsidR="00792942">
              <w:rPr>
                <w:color w:val="000000"/>
                <w:sz w:val="20"/>
                <w:szCs w:val="20"/>
              </w:rPr>
              <w:t xml:space="preserve">deliver the outcome of ensuring that systems for </w:t>
            </w:r>
            <w:r w:rsidR="001073BB">
              <w:rPr>
                <w:color w:val="000000"/>
                <w:sz w:val="20"/>
                <w:szCs w:val="20"/>
              </w:rPr>
              <w:t>switching customers to the best offer are effective. However, retailers would also be required to</w:t>
            </w:r>
            <w:r w:rsidR="00314A0E">
              <w:rPr>
                <w:color w:val="000000"/>
                <w:sz w:val="20"/>
                <w:szCs w:val="20"/>
              </w:rPr>
              <w:t xml:space="preserve"> ensure their system meets specified minimum requirements. These minimum requirements have been designed to address </w:t>
            </w:r>
            <w:r w:rsidR="006B703A">
              <w:rPr>
                <w:color w:val="000000"/>
                <w:sz w:val="20"/>
                <w:szCs w:val="20"/>
              </w:rPr>
              <w:t xml:space="preserve">key issues we have heard about in relation to best offer switching processes. </w:t>
            </w:r>
            <w:r w:rsidR="00F62F99">
              <w:rPr>
                <w:color w:val="000000"/>
                <w:sz w:val="20"/>
                <w:szCs w:val="20"/>
              </w:rPr>
              <w:t>They are designed to</w:t>
            </w:r>
            <w:r w:rsidR="002B4B6D" w:rsidRPr="002B4B6D">
              <w:rPr>
                <w:color w:val="000000"/>
                <w:sz w:val="20"/>
                <w:szCs w:val="20"/>
              </w:rPr>
              <w:t xml:space="preserve"> provide greater clarity for consumers and reduce the transaction costs associated with switching to the best offer.</w:t>
            </w:r>
            <w:r w:rsidR="00777434">
              <w:rPr>
                <w:color w:val="000000"/>
                <w:sz w:val="20"/>
                <w:szCs w:val="20"/>
              </w:rPr>
              <w:t xml:space="preserve"> </w:t>
            </w:r>
            <w:r w:rsidR="00B24503">
              <w:rPr>
                <w:color w:val="000000"/>
                <w:sz w:val="20"/>
                <w:szCs w:val="20"/>
              </w:rPr>
              <w:t xml:space="preserve">  </w:t>
            </w:r>
            <w:r w:rsidR="003E3A0C">
              <w:rPr>
                <w:color w:val="000000"/>
                <w:sz w:val="20"/>
                <w:szCs w:val="20"/>
              </w:rPr>
              <w:t xml:space="preserve"> </w:t>
            </w:r>
          </w:p>
          <w:p w14:paraId="3CAFE983" w14:textId="2B0ABC75" w:rsidR="002C2C7D" w:rsidRDefault="009C03E8">
            <w:pPr>
              <w:spacing w:after="120" w:line="240" w:lineRule="auto"/>
              <w:rPr>
                <w:color w:val="000000"/>
                <w:sz w:val="20"/>
                <w:szCs w:val="20"/>
              </w:rPr>
            </w:pPr>
            <w:r w:rsidRPr="00B27D16">
              <w:rPr>
                <w:color w:val="000000"/>
                <w:sz w:val="20"/>
                <w:szCs w:val="20"/>
              </w:rPr>
              <w:t>R</w:t>
            </w:r>
            <w:r w:rsidR="00E238A1" w:rsidRPr="00B27D16">
              <w:rPr>
                <w:color w:val="000000"/>
                <w:sz w:val="20"/>
                <w:szCs w:val="20"/>
              </w:rPr>
              <w:t xml:space="preserve">etailers may deliver </w:t>
            </w:r>
            <w:r w:rsidR="00666393" w:rsidRPr="00B27D16">
              <w:rPr>
                <w:color w:val="000000"/>
                <w:sz w:val="20"/>
                <w:szCs w:val="20"/>
              </w:rPr>
              <w:t xml:space="preserve">systems which </w:t>
            </w:r>
            <w:r w:rsidR="00DD571C" w:rsidRPr="00B27D16">
              <w:rPr>
                <w:color w:val="000000"/>
                <w:sz w:val="20"/>
                <w:szCs w:val="20"/>
              </w:rPr>
              <w:t xml:space="preserve">meet the minimum requirements simply by </w:t>
            </w:r>
            <w:r w:rsidRPr="00B27D16">
              <w:rPr>
                <w:color w:val="000000"/>
                <w:sz w:val="20"/>
                <w:szCs w:val="20"/>
              </w:rPr>
              <w:t>complying with the general requirement to ensure systems are ‘effective’, as under Option C.1. However, setting these as specified minimum requirements</w:t>
            </w:r>
            <w:r w:rsidR="00ED48C1" w:rsidRPr="00B27D16">
              <w:rPr>
                <w:color w:val="000000"/>
                <w:sz w:val="20"/>
                <w:szCs w:val="20"/>
              </w:rPr>
              <w:t xml:space="preserve"> </w:t>
            </w:r>
            <w:r w:rsidRPr="00B27D16">
              <w:rPr>
                <w:color w:val="000000"/>
                <w:sz w:val="20"/>
                <w:szCs w:val="20"/>
              </w:rPr>
              <w:t>provides greater assurance that these specific outcomes will be delivered</w:t>
            </w:r>
            <w:r w:rsidR="00E37FD1" w:rsidRPr="00B27D16">
              <w:rPr>
                <w:color w:val="000000"/>
                <w:sz w:val="20"/>
                <w:szCs w:val="20"/>
              </w:rPr>
              <w:t>. In doing so, it</w:t>
            </w:r>
            <w:r w:rsidR="0029727A" w:rsidRPr="00B27D16">
              <w:rPr>
                <w:color w:val="000000"/>
                <w:sz w:val="20"/>
                <w:szCs w:val="20"/>
              </w:rPr>
              <w:t xml:space="preserve"> </w:t>
            </w:r>
            <w:r w:rsidR="00FA69B1" w:rsidRPr="00B27D16">
              <w:rPr>
                <w:color w:val="000000"/>
                <w:sz w:val="20"/>
                <w:szCs w:val="20"/>
              </w:rPr>
              <w:t xml:space="preserve">makes it more likely that key barriers to switching are eliminated or reduced and that </w:t>
            </w:r>
            <w:r w:rsidR="00D128B4" w:rsidRPr="00B27D16">
              <w:rPr>
                <w:color w:val="000000"/>
                <w:sz w:val="20"/>
                <w:szCs w:val="20"/>
              </w:rPr>
              <w:t xml:space="preserve">consumers will have access to similarly effective </w:t>
            </w:r>
            <w:r w:rsidR="00FC30EC" w:rsidRPr="00B27D16">
              <w:rPr>
                <w:color w:val="000000"/>
                <w:sz w:val="20"/>
                <w:szCs w:val="20"/>
              </w:rPr>
              <w:t xml:space="preserve">systems for switching, </w:t>
            </w:r>
            <w:r w:rsidR="00DC4046" w:rsidRPr="00B27D16">
              <w:rPr>
                <w:color w:val="000000"/>
                <w:sz w:val="20"/>
                <w:szCs w:val="20"/>
              </w:rPr>
              <w:t>irrespective o</w:t>
            </w:r>
            <w:r w:rsidR="00FC30EC" w:rsidRPr="00B27D16">
              <w:rPr>
                <w:color w:val="000000"/>
                <w:sz w:val="20"/>
                <w:szCs w:val="20"/>
              </w:rPr>
              <w:t xml:space="preserve">f </w:t>
            </w:r>
            <w:r w:rsidR="00DC4046" w:rsidRPr="00B27D16">
              <w:rPr>
                <w:color w:val="000000"/>
                <w:sz w:val="20"/>
                <w:szCs w:val="20"/>
              </w:rPr>
              <w:t>their retailer.</w:t>
            </w:r>
          </w:p>
          <w:p w14:paraId="53799146" w14:textId="5CB51EF6" w:rsidR="00015367" w:rsidRDefault="00015367">
            <w:pPr>
              <w:spacing w:after="120" w:line="240" w:lineRule="auto"/>
              <w:rPr>
                <w:color w:val="000000"/>
                <w:sz w:val="20"/>
                <w:szCs w:val="20"/>
              </w:rPr>
            </w:pPr>
            <w:r>
              <w:rPr>
                <w:color w:val="000000"/>
                <w:sz w:val="20"/>
                <w:szCs w:val="20"/>
              </w:rPr>
              <w:t xml:space="preserve">For example, </w:t>
            </w:r>
            <w:r w:rsidR="000774E4">
              <w:rPr>
                <w:color w:val="000000"/>
                <w:sz w:val="20"/>
                <w:szCs w:val="20"/>
              </w:rPr>
              <w:t>consumer groups highlighted the i</w:t>
            </w:r>
            <w:r w:rsidR="000774E4" w:rsidRPr="000774E4">
              <w:rPr>
                <w:color w:val="000000"/>
                <w:sz w:val="20"/>
                <w:szCs w:val="20"/>
              </w:rPr>
              <w:t xml:space="preserve">mportance of having multiple channels </w:t>
            </w:r>
            <w:r w:rsidR="000774E4">
              <w:rPr>
                <w:color w:val="000000"/>
                <w:sz w:val="20"/>
                <w:szCs w:val="20"/>
              </w:rPr>
              <w:t xml:space="preserve">(phone, website) </w:t>
            </w:r>
            <w:r w:rsidR="000774E4" w:rsidRPr="000774E4">
              <w:rPr>
                <w:color w:val="000000"/>
                <w:sz w:val="20"/>
                <w:szCs w:val="20"/>
              </w:rPr>
              <w:t>for customers to contact retailers and switch plans</w:t>
            </w:r>
            <w:r w:rsidR="000774E4">
              <w:rPr>
                <w:color w:val="000000"/>
                <w:sz w:val="20"/>
                <w:szCs w:val="20"/>
              </w:rPr>
              <w:t>.</w:t>
            </w:r>
            <w:r w:rsidR="000774E4" w:rsidRPr="000774E4">
              <w:rPr>
                <w:color w:val="000000"/>
                <w:sz w:val="20"/>
                <w:szCs w:val="20"/>
              </w:rPr>
              <w:t xml:space="preserve"> This</w:t>
            </w:r>
            <w:r w:rsidR="000774E4">
              <w:rPr>
                <w:color w:val="000000"/>
                <w:sz w:val="20"/>
                <w:szCs w:val="20"/>
              </w:rPr>
              <w:t xml:space="preserve"> was </w:t>
            </w:r>
            <w:r w:rsidR="000903D9">
              <w:rPr>
                <w:color w:val="000000"/>
                <w:sz w:val="20"/>
                <w:szCs w:val="20"/>
              </w:rPr>
              <w:t>described</w:t>
            </w:r>
            <w:r w:rsidR="000774E4">
              <w:rPr>
                <w:color w:val="000000"/>
                <w:sz w:val="20"/>
                <w:szCs w:val="20"/>
              </w:rPr>
              <w:t xml:space="preserve"> as </w:t>
            </w:r>
            <w:r w:rsidR="000903D9">
              <w:rPr>
                <w:color w:val="000000"/>
                <w:sz w:val="20"/>
                <w:szCs w:val="20"/>
              </w:rPr>
              <w:t>necessary</w:t>
            </w:r>
            <w:r w:rsidR="000774E4" w:rsidRPr="000774E4">
              <w:rPr>
                <w:color w:val="000000"/>
                <w:sz w:val="20"/>
                <w:szCs w:val="20"/>
              </w:rPr>
              <w:t xml:space="preserve"> to </w:t>
            </w:r>
            <w:r w:rsidR="000903D9">
              <w:rPr>
                <w:color w:val="000000"/>
                <w:sz w:val="20"/>
                <w:szCs w:val="20"/>
              </w:rPr>
              <w:t>reduce barriers to switching resulting from</w:t>
            </w:r>
            <w:r w:rsidR="000774E4" w:rsidRPr="000774E4">
              <w:rPr>
                <w:color w:val="000000"/>
                <w:sz w:val="20"/>
                <w:szCs w:val="20"/>
              </w:rPr>
              <w:t xml:space="preserve"> differing </w:t>
            </w:r>
            <w:r w:rsidR="000903D9">
              <w:rPr>
                <w:color w:val="000000"/>
                <w:sz w:val="20"/>
                <w:szCs w:val="20"/>
              </w:rPr>
              <w:t>customer</w:t>
            </w:r>
            <w:r w:rsidR="000774E4" w:rsidRPr="000774E4">
              <w:rPr>
                <w:color w:val="000000"/>
                <w:sz w:val="20"/>
                <w:szCs w:val="20"/>
              </w:rPr>
              <w:t xml:space="preserve"> needs, language skills, digital literacy, and work schedules</w:t>
            </w:r>
            <w:r w:rsidR="0029106E">
              <w:rPr>
                <w:color w:val="000000"/>
                <w:sz w:val="20"/>
                <w:szCs w:val="20"/>
              </w:rPr>
              <w:t xml:space="preserve">, as well to </w:t>
            </w:r>
            <w:r w:rsidR="0029106E" w:rsidRPr="000774E4">
              <w:rPr>
                <w:color w:val="000000"/>
                <w:sz w:val="20"/>
                <w:szCs w:val="20"/>
              </w:rPr>
              <w:t xml:space="preserve">account for </w:t>
            </w:r>
            <w:r w:rsidR="0029106E">
              <w:rPr>
                <w:color w:val="000000"/>
                <w:sz w:val="20"/>
                <w:szCs w:val="20"/>
              </w:rPr>
              <w:t xml:space="preserve">customers who may have </w:t>
            </w:r>
            <w:r w:rsidR="0029106E" w:rsidRPr="000774E4">
              <w:rPr>
                <w:color w:val="000000"/>
                <w:sz w:val="20"/>
                <w:szCs w:val="20"/>
              </w:rPr>
              <w:t>disabilities</w:t>
            </w:r>
            <w:r w:rsidR="0029106E">
              <w:rPr>
                <w:color w:val="000000"/>
                <w:sz w:val="20"/>
                <w:szCs w:val="20"/>
              </w:rPr>
              <w:t xml:space="preserve">. </w:t>
            </w:r>
            <w:r w:rsidR="004C72D5">
              <w:rPr>
                <w:color w:val="000000"/>
                <w:sz w:val="20"/>
                <w:szCs w:val="20"/>
              </w:rPr>
              <w:t xml:space="preserve">While </w:t>
            </w:r>
            <w:r w:rsidR="001C3917">
              <w:rPr>
                <w:color w:val="000000"/>
                <w:sz w:val="20"/>
                <w:szCs w:val="20"/>
              </w:rPr>
              <w:t>a</w:t>
            </w:r>
            <w:r w:rsidR="004C72D5">
              <w:rPr>
                <w:color w:val="000000"/>
                <w:sz w:val="20"/>
                <w:szCs w:val="20"/>
              </w:rPr>
              <w:t xml:space="preserve"> </w:t>
            </w:r>
            <w:r w:rsidR="00340896">
              <w:rPr>
                <w:color w:val="000000"/>
                <w:sz w:val="20"/>
                <w:szCs w:val="20"/>
              </w:rPr>
              <w:lastRenderedPageBreak/>
              <w:t xml:space="preserve">retailer </w:t>
            </w:r>
            <w:r w:rsidR="008A344F">
              <w:rPr>
                <w:color w:val="000000"/>
                <w:sz w:val="20"/>
                <w:szCs w:val="20"/>
              </w:rPr>
              <w:t>may</w:t>
            </w:r>
            <w:r w:rsidR="00340896">
              <w:rPr>
                <w:color w:val="000000"/>
                <w:sz w:val="20"/>
                <w:szCs w:val="20"/>
              </w:rPr>
              <w:t xml:space="preserve"> develop multiple channels for switching customers as part of </w:t>
            </w:r>
            <w:r w:rsidR="008A344F">
              <w:rPr>
                <w:color w:val="000000"/>
                <w:sz w:val="20"/>
                <w:szCs w:val="20"/>
              </w:rPr>
              <w:t xml:space="preserve">the broad requirements under Option C.1 of </w:t>
            </w:r>
            <w:r w:rsidR="003B35EF">
              <w:rPr>
                <w:color w:val="000000"/>
                <w:sz w:val="20"/>
                <w:szCs w:val="20"/>
              </w:rPr>
              <w:t xml:space="preserve">having an effective switching process, </w:t>
            </w:r>
            <w:r w:rsidR="008A344F">
              <w:rPr>
                <w:color w:val="000000"/>
                <w:sz w:val="20"/>
                <w:szCs w:val="20"/>
              </w:rPr>
              <w:t>they</w:t>
            </w:r>
            <w:r w:rsidR="003B35EF">
              <w:rPr>
                <w:color w:val="000000"/>
                <w:sz w:val="20"/>
                <w:szCs w:val="20"/>
              </w:rPr>
              <w:t xml:space="preserve"> would not be </w:t>
            </w:r>
            <w:r w:rsidR="008A344F">
              <w:rPr>
                <w:color w:val="000000"/>
                <w:sz w:val="20"/>
                <w:szCs w:val="20"/>
              </w:rPr>
              <w:t>explicitly required to</w:t>
            </w:r>
            <w:r w:rsidR="003B35EF">
              <w:rPr>
                <w:color w:val="000000"/>
                <w:sz w:val="20"/>
                <w:szCs w:val="20"/>
              </w:rPr>
              <w:t xml:space="preserve"> </w:t>
            </w:r>
            <w:r w:rsidR="00201E2A">
              <w:rPr>
                <w:color w:val="000000"/>
                <w:sz w:val="20"/>
                <w:szCs w:val="20"/>
              </w:rPr>
              <w:t xml:space="preserve">do so. </w:t>
            </w:r>
            <w:r w:rsidR="0055394D">
              <w:rPr>
                <w:color w:val="000000"/>
                <w:sz w:val="20"/>
                <w:szCs w:val="20"/>
              </w:rPr>
              <w:t xml:space="preserve">This option provides greater assurance that </w:t>
            </w:r>
            <w:r w:rsidR="00254430">
              <w:rPr>
                <w:color w:val="000000"/>
                <w:sz w:val="20"/>
                <w:szCs w:val="20"/>
              </w:rPr>
              <w:t xml:space="preserve">this specific barrier </w:t>
            </w:r>
            <w:r w:rsidR="001E0BE7">
              <w:rPr>
                <w:color w:val="000000"/>
                <w:sz w:val="20"/>
                <w:szCs w:val="20"/>
              </w:rPr>
              <w:t>to switching</w:t>
            </w:r>
            <w:r w:rsidR="00254430">
              <w:rPr>
                <w:color w:val="000000"/>
                <w:sz w:val="20"/>
                <w:szCs w:val="20"/>
              </w:rPr>
              <w:t xml:space="preserve"> will </w:t>
            </w:r>
            <w:r w:rsidR="00C55BB8">
              <w:rPr>
                <w:color w:val="000000"/>
                <w:sz w:val="20"/>
                <w:szCs w:val="20"/>
              </w:rPr>
              <w:t xml:space="preserve">be </w:t>
            </w:r>
            <w:r w:rsidR="00254430">
              <w:rPr>
                <w:color w:val="000000"/>
                <w:sz w:val="20"/>
                <w:szCs w:val="20"/>
              </w:rPr>
              <w:t>resolved</w:t>
            </w:r>
            <w:r w:rsidR="001E0BE7">
              <w:rPr>
                <w:color w:val="000000"/>
                <w:sz w:val="20"/>
                <w:szCs w:val="20"/>
              </w:rPr>
              <w:t xml:space="preserve"> </w:t>
            </w:r>
            <w:r w:rsidR="00C55BB8">
              <w:rPr>
                <w:color w:val="000000"/>
                <w:sz w:val="20"/>
                <w:szCs w:val="20"/>
              </w:rPr>
              <w:t>across all retailer</w:t>
            </w:r>
            <w:r w:rsidR="001C3917">
              <w:rPr>
                <w:color w:val="000000"/>
                <w:sz w:val="20"/>
                <w:szCs w:val="20"/>
              </w:rPr>
              <w:t>s</w:t>
            </w:r>
            <w:r w:rsidR="00BC7E58">
              <w:rPr>
                <w:color w:val="000000"/>
                <w:sz w:val="20"/>
                <w:szCs w:val="20"/>
              </w:rPr>
              <w:t xml:space="preserve"> in a consistent manner</w:t>
            </w:r>
            <w:r w:rsidR="00C55BB8">
              <w:rPr>
                <w:color w:val="000000"/>
                <w:sz w:val="20"/>
                <w:szCs w:val="20"/>
              </w:rPr>
              <w:t xml:space="preserve">. </w:t>
            </w:r>
            <w:r w:rsidR="00302DBE">
              <w:rPr>
                <w:color w:val="000000"/>
                <w:sz w:val="20"/>
                <w:szCs w:val="20"/>
              </w:rPr>
              <w:t xml:space="preserve"> </w:t>
            </w:r>
          </w:p>
          <w:p w14:paraId="582598D8" w14:textId="4B765400" w:rsidR="002302B7" w:rsidRDefault="00141348">
            <w:pPr>
              <w:spacing w:after="120" w:line="240" w:lineRule="auto"/>
              <w:rPr>
                <w:color w:val="000000"/>
                <w:sz w:val="20"/>
                <w:szCs w:val="20"/>
              </w:rPr>
            </w:pPr>
            <w:r>
              <w:rPr>
                <w:color w:val="000000"/>
                <w:sz w:val="20"/>
                <w:szCs w:val="20"/>
              </w:rPr>
              <w:t xml:space="preserve">Compared to </w:t>
            </w:r>
            <w:r w:rsidR="00A53749">
              <w:rPr>
                <w:color w:val="000000"/>
                <w:sz w:val="20"/>
                <w:szCs w:val="20"/>
              </w:rPr>
              <w:t xml:space="preserve">Option C.1, the establishment of </w:t>
            </w:r>
            <w:r w:rsidR="00C07F9B">
              <w:rPr>
                <w:color w:val="000000"/>
                <w:sz w:val="20"/>
                <w:szCs w:val="20"/>
              </w:rPr>
              <w:t xml:space="preserve">a set of specified minimum requirements should also </w:t>
            </w:r>
            <w:r w:rsidR="009A0353">
              <w:rPr>
                <w:color w:val="000000"/>
                <w:sz w:val="20"/>
                <w:szCs w:val="20"/>
              </w:rPr>
              <w:t xml:space="preserve">support </w:t>
            </w:r>
            <w:r w:rsidR="00747FBE">
              <w:rPr>
                <w:color w:val="000000"/>
                <w:sz w:val="20"/>
                <w:szCs w:val="20"/>
              </w:rPr>
              <w:t>ease of compliance and enforcement (at least where minimum requirements have not been met).</w:t>
            </w:r>
            <w:r w:rsidR="003609EE">
              <w:rPr>
                <w:color w:val="000000"/>
                <w:sz w:val="20"/>
                <w:szCs w:val="20"/>
              </w:rPr>
              <w:t xml:space="preserve"> </w:t>
            </w:r>
            <w:r w:rsidR="0043259D">
              <w:rPr>
                <w:color w:val="000000"/>
                <w:sz w:val="20"/>
                <w:szCs w:val="20"/>
              </w:rPr>
              <w:t xml:space="preserve">Improved </w:t>
            </w:r>
            <w:r w:rsidR="00461653">
              <w:rPr>
                <w:color w:val="000000"/>
                <w:sz w:val="20"/>
                <w:szCs w:val="20"/>
              </w:rPr>
              <w:t xml:space="preserve">ease of compliance and enforcement helps to improve the effectiveness of this option by </w:t>
            </w:r>
            <w:r w:rsidR="0082334B">
              <w:rPr>
                <w:color w:val="000000"/>
                <w:sz w:val="20"/>
                <w:szCs w:val="20"/>
              </w:rPr>
              <w:t xml:space="preserve">better </w:t>
            </w:r>
            <w:r w:rsidR="00923C43">
              <w:rPr>
                <w:color w:val="000000"/>
                <w:sz w:val="20"/>
                <w:szCs w:val="20"/>
              </w:rPr>
              <w:t xml:space="preserve">allowing poor performers to be held </w:t>
            </w:r>
            <w:r w:rsidR="00AF01B6">
              <w:rPr>
                <w:color w:val="000000"/>
                <w:sz w:val="20"/>
                <w:szCs w:val="20"/>
              </w:rPr>
              <w:t>to account and</w:t>
            </w:r>
            <w:r w:rsidR="00923C43">
              <w:rPr>
                <w:color w:val="000000"/>
                <w:sz w:val="20"/>
                <w:szCs w:val="20"/>
              </w:rPr>
              <w:t xml:space="preserve"> </w:t>
            </w:r>
            <w:r w:rsidR="00AF01B6">
              <w:rPr>
                <w:color w:val="000000"/>
                <w:sz w:val="20"/>
                <w:szCs w:val="20"/>
              </w:rPr>
              <w:t>support</w:t>
            </w:r>
            <w:r w:rsidR="000428B5">
              <w:rPr>
                <w:color w:val="000000"/>
                <w:sz w:val="20"/>
                <w:szCs w:val="20"/>
              </w:rPr>
              <w:t>ing</w:t>
            </w:r>
            <w:r w:rsidR="00AF01B6">
              <w:rPr>
                <w:color w:val="000000"/>
                <w:sz w:val="20"/>
                <w:szCs w:val="20"/>
              </w:rPr>
              <w:t xml:space="preserve"> consistent </w:t>
            </w:r>
            <w:r w:rsidR="000428B5">
              <w:rPr>
                <w:color w:val="000000"/>
                <w:sz w:val="20"/>
                <w:szCs w:val="20"/>
              </w:rPr>
              <w:t xml:space="preserve">customer experience across all retailers.  </w:t>
            </w:r>
          </w:p>
        </w:tc>
        <w:tc>
          <w:tcPr>
            <w:tcW w:w="966" w:type="dxa"/>
            <w:shd w:val="clear" w:color="auto" w:fill="F2F2F2"/>
          </w:tcPr>
          <w:p w14:paraId="010148E6" w14:textId="7DAACEF0" w:rsidR="0036716C" w:rsidRDefault="0036716C" w:rsidP="0036716C">
            <w:pPr>
              <w:spacing w:after="120" w:line="240" w:lineRule="auto"/>
              <w:ind w:right="12"/>
              <w:jc w:val="center"/>
              <w:rPr>
                <w:color w:val="000000"/>
                <w:sz w:val="20"/>
                <w:szCs w:val="20"/>
              </w:rPr>
            </w:pPr>
            <w:r>
              <w:rPr>
                <w:color w:val="000000"/>
                <w:sz w:val="20"/>
                <w:szCs w:val="20"/>
              </w:rPr>
              <w:lastRenderedPageBreak/>
              <w:t>3</w:t>
            </w:r>
          </w:p>
        </w:tc>
        <w:tc>
          <w:tcPr>
            <w:tcW w:w="1214" w:type="dxa"/>
            <w:shd w:val="clear" w:color="auto" w:fill="F2F2F2"/>
            <w:tcMar>
              <w:top w:w="0" w:type="dxa"/>
              <w:left w:w="123" w:type="dxa"/>
              <w:bottom w:w="0" w:type="dxa"/>
              <w:right w:w="123" w:type="dxa"/>
            </w:tcMar>
            <w:hideMark/>
          </w:tcPr>
          <w:p w14:paraId="3565813E" w14:textId="77777777" w:rsidR="002302B7" w:rsidRDefault="002302B7" w:rsidP="0036716C">
            <w:pPr>
              <w:spacing w:after="120" w:line="240" w:lineRule="auto"/>
              <w:ind w:right="12"/>
              <w:jc w:val="center"/>
              <w:rPr>
                <w:color w:val="000000"/>
                <w:sz w:val="20"/>
                <w:szCs w:val="20"/>
              </w:rPr>
            </w:pPr>
            <w:r>
              <w:rPr>
                <w:color w:val="000000"/>
                <w:sz w:val="20"/>
                <w:szCs w:val="20"/>
              </w:rPr>
              <w:t>1.50</w:t>
            </w:r>
          </w:p>
        </w:tc>
      </w:tr>
      <w:tr w:rsidR="002302B7" w14:paraId="1B416D83" w14:textId="77777777" w:rsidTr="00BE749F">
        <w:tc>
          <w:tcPr>
            <w:tcW w:w="817" w:type="dxa"/>
            <w:tcBorders>
              <w:bottom w:val="single" w:sz="4" w:space="0" w:color="4986A0"/>
            </w:tcBorders>
            <w:tcMar>
              <w:top w:w="0" w:type="dxa"/>
              <w:left w:w="0" w:type="dxa"/>
              <w:bottom w:w="0" w:type="dxa"/>
              <w:right w:w="0" w:type="dxa"/>
            </w:tcMar>
            <w:hideMark/>
          </w:tcPr>
          <w:p w14:paraId="567E8931" w14:textId="77777777" w:rsidR="002302B7" w:rsidRDefault="002302B7">
            <w:pPr>
              <w:spacing w:after="120" w:line="240" w:lineRule="auto"/>
              <w:rPr>
                <w:color w:val="000000"/>
                <w:sz w:val="20"/>
                <w:szCs w:val="20"/>
              </w:rPr>
            </w:pPr>
            <w:r>
              <w:rPr>
                <w:color w:val="000000"/>
                <w:sz w:val="20"/>
                <w:szCs w:val="20"/>
              </w:rPr>
              <w:t>C.3</w:t>
            </w:r>
          </w:p>
        </w:tc>
        <w:tc>
          <w:tcPr>
            <w:tcW w:w="2018" w:type="dxa"/>
            <w:tcBorders>
              <w:bottom w:val="single" w:sz="4" w:space="0" w:color="4986A0"/>
            </w:tcBorders>
            <w:tcMar>
              <w:top w:w="0" w:type="dxa"/>
              <w:left w:w="123" w:type="dxa"/>
              <w:bottom w:w="0" w:type="dxa"/>
              <w:right w:w="123" w:type="dxa"/>
            </w:tcMar>
            <w:hideMark/>
          </w:tcPr>
          <w:p w14:paraId="10CDE3E8" w14:textId="77777777" w:rsidR="002302B7" w:rsidRDefault="002302B7">
            <w:pPr>
              <w:spacing w:after="120" w:line="240" w:lineRule="auto"/>
              <w:rPr>
                <w:color w:val="000000"/>
                <w:sz w:val="20"/>
                <w:szCs w:val="20"/>
              </w:rPr>
            </w:pPr>
            <w:r>
              <w:rPr>
                <w:color w:val="000000"/>
                <w:sz w:val="20"/>
                <w:szCs w:val="20"/>
              </w:rPr>
              <w:t>Effectiveness</w:t>
            </w:r>
          </w:p>
          <w:p w14:paraId="5B26DBEC" w14:textId="77777777" w:rsidR="00BE749F" w:rsidRPr="00BE749F" w:rsidRDefault="00BE749F" w:rsidP="00BE749F">
            <w:pPr>
              <w:spacing w:after="120" w:line="240" w:lineRule="auto"/>
              <w:rPr>
                <w:color w:val="000000"/>
                <w:sz w:val="20"/>
                <w:szCs w:val="20"/>
              </w:rPr>
            </w:pPr>
            <w:r w:rsidRPr="00BE749F">
              <w:rPr>
                <w:color w:val="000000"/>
                <w:sz w:val="20"/>
                <w:szCs w:val="20"/>
              </w:rPr>
              <w:t>Reform objectives:</w:t>
            </w:r>
          </w:p>
          <w:p w14:paraId="7CCFD661" w14:textId="77777777" w:rsidR="00BE749F" w:rsidRDefault="00BE749F" w:rsidP="00B43F3C">
            <w:pPr>
              <w:pStyle w:val="ListParagraph"/>
              <w:numPr>
                <w:ilvl w:val="0"/>
                <w:numId w:val="27"/>
              </w:numPr>
              <w:spacing w:after="120" w:line="240" w:lineRule="auto"/>
              <w:ind w:left="201" w:hanging="201"/>
              <w:rPr>
                <w:color w:val="000000"/>
                <w:sz w:val="20"/>
                <w:szCs w:val="20"/>
              </w:rPr>
            </w:pPr>
            <w:r w:rsidRPr="00BE749F">
              <w:rPr>
                <w:color w:val="000000"/>
                <w:sz w:val="20"/>
                <w:szCs w:val="20"/>
              </w:rPr>
              <w:t>help households pay less for energy.</w:t>
            </w:r>
          </w:p>
          <w:p w14:paraId="4F61F2F8" w14:textId="442A0FFF" w:rsidR="00BE749F" w:rsidRDefault="00BE749F">
            <w:pPr>
              <w:spacing w:after="120" w:line="240" w:lineRule="auto"/>
              <w:rPr>
                <w:color w:val="000000"/>
                <w:sz w:val="20"/>
                <w:szCs w:val="20"/>
              </w:rPr>
            </w:pPr>
          </w:p>
        </w:tc>
        <w:tc>
          <w:tcPr>
            <w:tcW w:w="4623" w:type="dxa"/>
            <w:tcBorders>
              <w:bottom w:val="single" w:sz="4" w:space="0" w:color="4986A0"/>
            </w:tcBorders>
            <w:tcMar>
              <w:top w:w="0" w:type="dxa"/>
              <w:left w:w="123" w:type="dxa"/>
              <w:bottom w:w="0" w:type="dxa"/>
              <w:right w:w="123" w:type="dxa"/>
            </w:tcMar>
            <w:hideMark/>
          </w:tcPr>
          <w:p w14:paraId="7BB2E995" w14:textId="3809C866" w:rsidR="002302B7" w:rsidRDefault="002302B7">
            <w:pPr>
              <w:spacing w:after="120" w:line="240" w:lineRule="auto"/>
              <w:rPr>
                <w:color w:val="000000"/>
                <w:sz w:val="20"/>
                <w:szCs w:val="20"/>
              </w:rPr>
            </w:pPr>
            <w:r>
              <w:rPr>
                <w:color w:val="000000"/>
                <w:sz w:val="20"/>
                <w:szCs w:val="20"/>
              </w:rPr>
              <w:t xml:space="preserve">This option would prescribe a </w:t>
            </w:r>
            <w:r w:rsidR="004C3D8A">
              <w:rPr>
                <w:color w:val="000000"/>
                <w:sz w:val="20"/>
                <w:szCs w:val="20"/>
              </w:rPr>
              <w:t xml:space="preserve">more </w:t>
            </w:r>
            <w:r>
              <w:rPr>
                <w:color w:val="000000"/>
                <w:sz w:val="20"/>
                <w:szCs w:val="20"/>
              </w:rPr>
              <w:t xml:space="preserve">specific and broader set of requirements than under Option C.2. It </w:t>
            </w:r>
            <w:r w:rsidR="00574FC3">
              <w:rPr>
                <w:color w:val="000000"/>
                <w:sz w:val="20"/>
                <w:szCs w:val="20"/>
              </w:rPr>
              <w:t>w</w:t>
            </w:r>
            <w:r>
              <w:rPr>
                <w:color w:val="000000"/>
                <w:sz w:val="20"/>
                <w:szCs w:val="20"/>
              </w:rPr>
              <w:t xml:space="preserve">ould also require energy companies to participate in </w:t>
            </w:r>
            <w:r w:rsidR="00E61603">
              <w:rPr>
                <w:color w:val="000000"/>
                <w:sz w:val="20"/>
                <w:szCs w:val="20"/>
              </w:rPr>
              <w:t xml:space="preserve">a </w:t>
            </w:r>
            <w:r>
              <w:rPr>
                <w:color w:val="000000"/>
                <w:sz w:val="20"/>
                <w:szCs w:val="20"/>
              </w:rPr>
              <w:t xml:space="preserve">rating scheme to allow consumers to compare </w:t>
            </w:r>
            <w:r w:rsidR="00747FBE">
              <w:rPr>
                <w:color w:val="000000"/>
                <w:sz w:val="20"/>
                <w:szCs w:val="20"/>
              </w:rPr>
              <w:t>the</w:t>
            </w:r>
            <w:r>
              <w:rPr>
                <w:color w:val="000000"/>
                <w:sz w:val="20"/>
                <w:szCs w:val="20"/>
              </w:rPr>
              <w:t xml:space="preserve"> effectiveness of systems and process to facilitate switching contracts. </w:t>
            </w:r>
          </w:p>
          <w:p w14:paraId="6D4AC15F" w14:textId="2A50BA5B" w:rsidR="002933B5" w:rsidRDefault="00156018">
            <w:pPr>
              <w:spacing w:after="120" w:line="240" w:lineRule="auto"/>
              <w:rPr>
                <w:color w:val="000000"/>
                <w:sz w:val="20"/>
                <w:szCs w:val="20"/>
              </w:rPr>
            </w:pPr>
            <w:r>
              <w:rPr>
                <w:color w:val="000000"/>
                <w:sz w:val="20"/>
                <w:szCs w:val="20"/>
              </w:rPr>
              <w:t>S</w:t>
            </w:r>
            <w:r w:rsidR="00B95B43">
              <w:rPr>
                <w:color w:val="000000"/>
                <w:sz w:val="20"/>
                <w:szCs w:val="20"/>
              </w:rPr>
              <w:t xml:space="preserve">etting clear, uniform requirements </w:t>
            </w:r>
            <w:r w:rsidR="00E41AF1">
              <w:rPr>
                <w:color w:val="000000"/>
                <w:sz w:val="20"/>
                <w:szCs w:val="20"/>
              </w:rPr>
              <w:t>can provide</w:t>
            </w:r>
            <w:r w:rsidR="00B95B43">
              <w:rPr>
                <w:color w:val="000000"/>
                <w:sz w:val="20"/>
                <w:szCs w:val="20"/>
              </w:rPr>
              <w:t xml:space="preserve"> </w:t>
            </w:r>
            <w:r w:rsidR="002933B5">
              <w:rPr>
                <w:color w:val="000000"/>
                <w:sz w:val="20"/>
                <w:szCs w:val="20"/>
              </w:rPr>
              <w:t xml:space="preserve">simplified enforcement against any new rules, which can support high levels of technical compliance across industry. </w:t>
            </w:r>
          </w:p>
          <w:p w14:paraId="2DFAB01B" w14:textId="1628A16A" w:rsidR="00762755" w:rsidRDefault="00762755">
            <w:pPr>
              <w:spacing w:after="120" w:line="240" w:lineRule="auto"/>
              <w:rPr>
                <w:color w:val="000000"/>
                <w:sz w:val="20"/>
                <w:szCs w:val="20"/>
              </w:rPr>
            </w:pPr>
            <w:r>
              <w:rPr>
                <w:color w:val="000000"/>
                <w:sz w:val="20"/>
                <w:szCs w:val="20"/>
              </w:rPr>
              <w:t xml:space="preserve">However, </w:t>
            </w:r>
            <w:r w:rsidR="00D02975">
              <w:rPr>
                <w:color w:val="000000"/>
                <w:sz w:val="20"/>
                <w:szCs w:val="20"/>
              </w:rPr>
              <w:t xml:space="preserve">while </w:t>
            </w:r>
            <w:r w:rsidR="00C51264">
              <w:rPr>
                <w:color w:val="000000"/>
                <w:sz w:val="20"/>
                <w:szCs w:val="20"/>
              </w:rPr>
              <w:t>prescriptive rules can effectiv</w:t>
            </w:r>
            <w:r w:rsidR="00502CBB">
              <w:rPr>
                <w:color w:val="000000"/>
                <w:sz w:val="20"/>
                <w:szCs w:val="20"/>
              </w:rPr>
              <w:t>ely</w:t>
            </w:r>
            <w:r w:rsidR="00C51264">
              <w:rPr>
                <w:color w:val="000000"/>
                <w:sz w:val="20"/>
                <w:szCs w:val="20"/>
              </w:rPr>
              <w:t xml:space="preserve"> set </w:t>
            </w:r>
            <w:r w:rsidR="001439B3">
              <w:rPr>
                <w:color w:val="000000"/>
                <w:sz w:val="20"/>
                <w:szCs w:val="20"/>
              </w:rPr>
              <w:t>baseline standards across</w:t>
            </w:r>
            <w:r w:rsidR="00025850">
              <w:rPr>
                <w:color w:val="000000"/>
                <w:sz w:val="20"/>
                <w:szCs w:val="20"/>
              </w:rPr>
              <w:t xml:space="preserve"> the sector</w:t>
            </w:r>
            <w:r w:rsidR="002760C2">
              <w:rPr>
                <w:color w:val="000000"/>
                <w:sz w:val="20"/>
                <w:szCs w:val="20"/>
              </w:rPr>
              <w:t>, the</w:t>
            </w:r>
            <w:r w:rsidR="00502CBB">
              <w:rPr>
                <w:color w:val="000000"/>
                <w:sz w:val="20"/>
                <w:szCs w:val="20"/>
              </w:rPr>
              <w:t>y</w:t>
            </w:r>
            <w:r w:rsidR="002760C2">
              <w:rPr>
                <w:color w:val="000000"/>
                <w:sz w:val="20"/>
                <w:szCs w:val="20"/>
              </w:rPr>
              <w:t xml:space="preserve"> can </w:t>
            </w:r>
            <w:r w:rsidR="001F0ECB">
              <w:rPr>
                <w:color w:val="000000"/>
                <w:sz w:val="20"/>
                <w:szCs w:val="20"/>
              </w:rPr>
              <w:t>create some</w:t>
            </w:r>
            <w:r w:rsidR="002760C2">
              <w:rPr>
                <w:color w:val="000000"/>
                <w:sz w:val="20"/>
                <w:szCs w:val="20"/>
              </w:rPr>
              <w:t xml:space="preserve"> issues. </w:t>
            </w:r>
            <w:r w:rsidR="00656B0A">
              <w:rPr>
                <w:color w:val="000000"/>
                <w:sz w:val="20"/>
                <w:szCs w:val="20"/>
              </w:rPr>
              <w:t>In setting detailed, prescriptive rules</w:t>
            </w:r>
            <w:r w:rsidR="00B67534">
              <w:rPr>
                <w:color w:val="000000"/>
                <w:sz w:val="20"/>
                <w:szCs w:val="20"/>
              </w:rPr>
              <w:t xml:space="preserve"> that retailers must comply with, </w:t>
            </w:r>
            <w:r w:rsidR="00B83E7E">
              <w:rPr>
                <w:color w:val="000000"/>
                <w:sz w:val="20"/>
                <w:szCs w:val="20"/>
              </w:rPr>
              <w:t xml:space="preserve">little room is provided for </w:t>
            </w:r>
            <w:r w:rsidR="0008746F">
              <w:rPr>
                <w:color w:val="000000"/>
                <w:sz w:val="20"/>
                <w:szCs w:val="20"/>
              </w:rPr>
              <w:t xml:space="preserve">flexibility and innovation. This could prevent retailers designing </w:t>
            </w:r>
            <w:r w:rsidR="00925FCB">
              <w:rPr>
                <w:color w:val="000000"/>
                <w:sz w:val="20"/>
                <w:szCs w:val="20"/>
              </w:rPr>
              <w:t xml:space="preserve">their systems to better meet the needs of their specific context and customer base. </w:t>
            </w:r>
            <w:r w:rsidR="00AE55F2">
              <w:rPr>
                <w:color w:val="000000"/>
                <w:sz w:val="20"/>
                <w:szCs w:val="20"/>
              </w:rPr>
              <w:t xml:space="preserve">In many cases, retailers are better placed to </w:t>
            </w:r>
            <w:r w:rsidR="00B217C3">
              <w:rPr>
                <w:color w:val="000000"/>
                <w:sz w:val="20"/>
                <w:szCs w:val="20"/>
              </w:rPr>
              <w:t xml:space="preserve">make </w:t>
            </w:r>
            <w:r w:rsidR="0069080E">
              <w:rPr>
                <w:color w:val="000000"/>
                <w:sz w:val="20"/>
                <w:szCs w:val="20"/>
              </w:rPr>
              <w:t>design decision</w:t>
            </w:r>
            <w:r w:rsidR="00FE5A88">
              <w:rPr>
                <w:color w:val="000000"/>
                <w:sz w:val="20"/>
                <w:szCs w:val="20"/>
              </w:rPr>
              <w:t>s</w:t>
            </w:r>
            <w:r w:rsidR="0069080E">
              <w:rPr>
                <w:color w:val="000000"/>
                <w:sz w:val="20"/>
                <w:szCs w:val="20"/>
              </w:rPr>
              <w:t xml:space="preserve"> of this nature than the regulator. Wide-ranging, highly prescriptive requirements</w:t>
            </w:r>
            <w:r w:rsidR="00925FCB">
              <w:rPr>
                <w:color w:val="000000"/>
                <w:sz w:val="20"/>
                <w:szCs w:val="20"/>
              </w:rPr>
              <w:t xml:space="preserve"> may also prevent </w:t>
            </w:r>
            <w:r w:rsidR="002E6959">
              <w:rPr>
                <w:color w:val="000000"/>
                <w:sz w:val="20"/>
                <w:szCs w:val="20"/>
              </w:rPr>
              <w:t xml:space="preserve">retailers updating </w:t>
            </w:r>
            <w:r w:rsidR="008E2680">
              <w:rPr>
                <w:color w:val="000000"/>
                <w:sz w:val="20"/>
                <w:szCs w:val="20"/>
              </w:rPr>
              <w:t xml:space="preserve">customer switching </w:t>
            </w:r>
            <w:r w:rsidR="002E6959">
              <w:rPr>
                <w:color w:val="000000"/>
                <w:sz w:val="20"/>
                <w:szCs w:val="20"/>
              </w:rPr>
              <w:t xml:space="preserve">systems and processes to better respond to changing technologies and customer </w:t>
            </w:r>
            <w:r w:rsidR="001C0EA8">
              <w:rPr>
                <w:color w:val="000000"/>
                <w:sz w:val="20"/>
                <w:szCs w:val="20"/>
              </w:rPr>
              <w:t>expectations.</w:t>
            </w:r>
          </w:p>
          <w:p w14:paraId="3491A7FC" w14:textId="5C12E071" w:rsidR="00FC6F24" w:rsidRDefault="005B1E6C">
            <w:pPr>
              <w:spacing w:after="120" w:line="240" w:lineRule="auto"/>
              <w:rPr>
                <w:color w:val="000000"/>
                <w:sz w:val="20"/>
                <w:szCs w:val="20"/>
              </w:rPr>
            </w:pPr>
            <w:r>
              <w:rPr>
                <w:color w:val="000000"/>
                <w:sz w:val="20"/>
                <w:szCs w:val="20"/>
              </w:rPr>
              <w:t xml:space="preserve">Furthermore, </w:t>
            </w:r>
            <w:r w:rsidR="00FC6F24">
              <w:rPr>
                <w:color w:val="000000"/>
                <w:sz w:val="20"/>
                <w:szCs w:val="20"/>
              </w:rPr>
              <w:t>there is a risk that compliance with prescriptive requirements could become a ‘tick-box’ exercise. Retailers may comply with precise specifications while failing to ensure</w:t>
            </w:r>
            <w:r w:rsidR="00C268C4">
              <w:rPr>
                <w:color w:val="000000"/>
                <w:sz w:val="20"/>
                <w:szCs w:val="20"/>
              </w:rPr>
              <w:t xml:space="preserve"> </w:t>
            </w:r>
            <w:r w:rsidR="003A0541">
              <w:rPr>
                <w:color w:val="000000"/>
                <w:sz w:val="20"/>
                <w:szCs w:val="20"/>
              </w:rPr>
              <w:t>that customer</w:t>
            </w:r>
            <w:r w:rsidR="005525C4">
              <w:rPr>
                <w:color w:val="000000"/>
                <w:sz w:val="20"/>
                <w:szCs w:val="20"/>
              </w:rPr>
              <w:t>s actually find it easier to switch</w:t>
            </w:r>
            <w:r w:rsidR="00403E34">
              <w:rPr>
                <w:color w:val="000000"/>
                <w:sz w:val="20"/>
                <w:szCs w:val="20"/>
              </w:rPr>
              <w:t>.</w:t>
            </w:r>
          </w:p>
          <w:p w14:paraId="2EC4F4E4" w14:textId="443D114D" w:rsidR="002042EC" w:rsidRDefault="00CA1EB6">
            <w:pPr>
              <w:spacing w:after="120" w:line="240" w:lineRule="auto"/>
              <w:rPr>
                <w:color w:val="000000"/>
                <w:sz w:val="20"/>
                <w:szCs w:val="20"/>
              </w:rPr>
            </w:pPr>
            <w:r>
              <w:rPr>
                <w:color w:val="000000"/>
                <w:sz w:val="20"/>
                <w:szCs w:val="20"/>
              </w:rPr>
              <w:t>W</w:t>
            </w:r>
            <w:r w:rsidR="009944F3">
              <w:rPr>
                <w:color w:val="000000"/>
                <w:sz w:val="20"/>
                <w:szCs w:val="20"/>
              </w:rPr>
              <w:t xml:space="preserve">e consider that prescriptive rules </w:t>
            </w:r>
            <w:r w:rsidR="004931BA">
              <w:rPr>
                <w:color w:val="000000"/>
                <w:sz w:val="20"/>
                <w:szCs w:val="20"/>
              </w:rPr>
              <w:t>covering broad</w:t>
            </w:r>
            <w:r w:rsidR="002302B7">
              <w:rPr>
                <w:color w:val="000000"/>
                <w:sz w:val="20"/>
                <w:szCs w:val="20"/>
              </w:rPr>
              <w:t xml:space="preserve"> requirements </w:t>
            </w:r>
            <w:r w:rsidR="004931BA">
              <w:rPr>
                <w:color w:val="000000"/>
                <w:sz w:val="20"/>
                <w:szCs w:val="20"/>
              </w:rPr>
              <w:t xml:space="preserve">for switching processes </w:t>
            </w:r>
            <w:r w:rsidR="002302B7">
              <w:rPr>
                <w:color w:val="000000"/>
                <w:sz w:val="20"/>
                <w:szCs w:val="20"/>
              </w:rPr>
              <w:t xml:space="preserve">are likely to result </w:t>
            </w:r>
            <w:r w:rsidR="00B02017">
              <w:rPr>
                <w:color w:val="000000"/>
                <w:sz w:val="20"/>
                <w:szCs w:val="20"/>
              </w:rPr>
              <w:t>in improved customer switching experiences</w:t>
            </w:r>
            <w:r w:rsidR="00FF14D1">
              <w:rPr>
                <w:color w:val="000000"/>
                <w:sz w:val="20"/>
                <w:szCs w:val="20"/>
              </w:rPr>
              <w:t>.</w:t>
            </w:r>
            <w:r w:rsidR="00151FBB">
              <w:rPr>
                <w:color w:val="000000"/>
                <w:sz w:val="20"/>
                <w:szCs w:val="20"/>
              </w:rPr>
              <w:t xml:space="preserve"> </w:t>
            </w:r>
            <w:r w:rsidR="008B5E84">
              <w:rPr>
                <w:color w:val="000000"/>
                <w:sz w:val="20"/>
                <w:szCs w:val="20"/>
              </w:rPr>
              <w:t>However,</w:t>
            </w:r>
            <w:r w:rsidR="00151FBB">
              <w:rPr>
                <w:color w:val="000000"/>
                <w:sz w:val="20"/>
                <w:szCs w:val="20"/>
              </w:rPr>
              <w:t xml:space="preserve"> </w:t>
            </w:r>
            <w:r w:rsidR="00AE73A6">
              <w:rPr>
                <w:color w:val="000000"/>
                <w:sz w:val="20"/>
                <w:szCs w:val="20"/>
              </w:rPr>
              <w:t xml:space="preserve">there are substantive </w:t>
            </w:r>
            <w:r w:rsidR="00AE73A6">
              <w:rPr>
                <w:color w:val="000000"/>
                <w:sz w:val="20"/>
                <w:szCs w:val="20"/>
              </w:rPr>
              <w:lastRenderedPageBreak/>
              <w:t>risks around</w:t>
            </w:r>
            <w:r w:rsidR="00736685">
              <w:rPr>
                <w:color w:val="000000"/>
                <w:sz w:val="20"/>
                <w:szCs w:val="20"/>
              </w:rPr>
              <w:t xml:space="preserve"> technical compliance at the</w:t>
            </w:r>
            <w:r w:rsidR="008E67A3">
              <w:rPr>
                <w:color w:val="000000"/>
                <w:sz w:val="20"/>
                <w:szCs w:val="20"/>
              </w:rPr>
              <w:t xml:space="preserve"> expense of ensuring positive outcomes</w:t>
            </w:r>
            <w:r w:rsidR="00B02017">
              <w:rPr>
                <w:color w:val="000000"/>
                <w:sz w:val="20"/>
                <w:szCs w:val="20"/>
              </w:rPr>
              <w:t xml:space="preserve"> for customers</w:t>
            </w:r>
            <w:r w:rsidR="002302B7">
              <w:rPr>
                <w:color w:val="000000"/>
                <w:sz w:val="20"/>
                <w:szCs w:val="20"/>
              </w:rPr>
              <w:t xml:space="preserve">. </w:t>
            </w:r>
          </w:p>
          <w:p w14:paraId="19B80300" w14:textId="0B50A741" w:rsidR="002302B7" w:rsidRDefault="00076C2C">
            <w:pPr>
              <w:spacing w:after="120" w:line="240" w:lineRule="auto"/>
              <w:rPr>
                <w:color w:val="000000"/>
                <w:sz w:val="20"/>
                <w:szCs w:val="20"/>
              </w:rPr>
            </w:pPr>
            <w:r>
              <w:rPr>
                <w:color w:val="000000"/>
                <w:sz w:val="20"/>
                <w:szCs w:val="20"/>
              </w:rPr>
              <w:t xml:space="preserve">Although </w:t>
            </w:r>
            <w:r w:rsidR="00CF1834">
              <w:rPr>
                <w:color w:val="000000"/>
                <w:sz w:val="20"/>
                <w:szCs w:val="20"/>
              </w:rPr>
              <w:t>compliance</w:t>
            </w:r>
            <w:r w:rsidR="005252C8">
              <w:rPr>
                <w:color w:val="000000"/>
                <w:sz w:val="20"/>
                <w:szCs w:val="20"/>
              </w:rPr>
              <w:t xml:space="preserve"> with </w:t>
            </w:r>
            <w:r w:rsidR="005D23F3">
              <w:rPr>
                <w:color w:val="000000"/>
                <w:sz w:val="20"/>
                <w:szCs w:val="20"/>
              </w:rPr>
              <w:t>th</w:t>
            </w:r>
            <w:r w:rsidR="004703CF">
              <w:rPr>
                <w:color w:val="000000"/>
                <w:sz w:val="20"/>
                <w:szCs w:val="20"/>
              </w:rPr>
              <w:t>ese prescriptive rules</w:t>
            </w:r>
            <w:r w:rsidR="002B4953">
              <w:rPr>
                <w:color w:val="000000"/>
                <w:sz w:val="20"/>
                <w:szCs w:val="20"/>
              </w:rPr>
              <w:t xml:space="preserve"> would conceptually be simpler</w:t>
            </w:r>
            <w:r w:rsidR="002042EC">
              <w:rPr>
                <w:color w:val="000000"/>
                <w:sz w:val="20"/>
                <w:szCs w:val="20"/>
              </w:rPr>
              <w:t xml:space="preserve"> for retailers and </w:t>
            </w:r>
            <w:r w:rsidR="00125290">
              <w:rPr>
                <w:color w:val="000000"/>
                <w:sz w:val="20"/>
                <w:szCs w:val="20"/>
              </w:rPr>
              <w:t>the regulator</w:t>
            </w:r>
            <w:r w:rsidR="004703CF">
              <w:rPr>
                <w:color w:val="000000"/>
                <w:sz w:val="20"/>
                <w:szCs w:val="20"/>
              </w:rPr>
              <w:t>,</w:t>
            </w:r>
            <w:r w:rsidR="00F66430">
              <w:rPr>
                <w:color w:val="000000"/>
                <w:sz w:val="20"/>
                <w:szCs w:val="20"/>
              </w:rPr>
              <w:t xml:space="preserve"> th</w:t>
            </w:r>
            <w:r w:rsidR="00496BEA">
              <w:rPr>
                <w:color w:val="000000"/>
                <w:sz w:val="20"/>
                <w:szCs w:val="20"/>
              </w:rPr>
              <w:t>ese</w:t>
            </w:r>
            <w:r w:rsidR="00F66430">
              <w:rPr>
                <w:color w:val="000000"/>
                <w:sz w:val="20"/>
                <w:szCs w:val="20"/>
              </w:rPr>
              <w:t xml:space="preserve"> benefit</w:t>
            </w:r>
            <w:r w:rsidR="00496BEA">
              <w:rPr>
                <w:color w:val="000000"/>
                <w:sz w:val="20"/>
                <w:szCs w:val="20"/>
              </w:rPr>
              <w:t>s</w:t>
            </w:r>
            <w:r w:rsidR="00F66430">
              <w:rPr>
                <w:color w:val="000000"/>
                <w:sz w:val="20"/>
                <w:szCs w:val="20"/>
              </w:rPr>
              <w:t xml:space="preserve"> </w:t>
            </w:r>
            <w:r w:rsidR="00496BEA">
              <w:rPr>
                <w:color w:val="000000"/>
                <w:sz w:val="20"/>
                <w:szCs w:val="20"/>
              </w:rPr>
              <w:t>are</w:t>
            </w:r>
            <w:r w:rsidR="00F66430">
              <w:rPr>
                <w:color w:val="000000"/>
                <w:sz w:val="20"/>
                <w:szCs w:val="20"/>
              </w:rPr>
              <w:t xml:space="preserve"> </w:t>
            </w:r>
            <w:r w:rsidR="008152F1">
              <w:rPr>
                <w:color w:val="000000"/>
                <w:sz w:val="20"/>
                <w:szCs w:val="20"/>
              </w:rPr>
              <w:t xml:space="preserve">diminished by other </w:t>
            </w:r>
            <w:r w:rsidR="001E4464">
              <w:rPr>
                <w:color w:val="000000"/>
                <w:sz w:val="20"/>
                <w:szCs w:val="20"/>
              </w:rPr>
              <w:t>elements of this option.</w:t>
            </w:r>
            <w:r w:rsidR="00F326D8">
              <w:rPr>
                <w:color w:val="000000"/>
                <w:sz w:val="20"/>
                <w:szCs w:val="20"/>
              </w:rPr>
              <w:t xml:space="preserve"> </w:t>
            </w:r>
            <w:r w:rsidR="001E4464">
              <w:rPr>
                <w:color w:val="000000"/>
                <w:sz w:val="20"/>
                <w:szCs w:val="20"/>
              </w:rPr>
              <w:t>T</w:t>
            </w:r>
            <w:r w:rsidR="00D07FD3">
              <w:rPr>
                <w:color w:val="000000"/>
                <w:sz w:val="20"/>
                <w:szCs w:val="20"/>
              </w:rPr>
              <w:t>he inflexibility</w:t>
            </w:r>
            <w:r w:rsidR="004002A2">
              <w:rPr>
                <w:color w:val="000000"/>
                <w:sz w:val="20"/>
                <w:szCs w:val="20"/>
              </w:rPr>
              <w:t xml:space="preserve"> of prescriptive rules</w:t>
            </w:r>
            <w:r w:rsidR="00D07FD3">
              <w:rPr>
                <w:color w:val="000000"/>
                <w:sz w:val="20"/>
                <w:szCs w:val="20"/>
              </w:rPr>
              <w:t xml:space="preserve">, risk that requirements do </w:t>
            </w:r>
            <w:r w:rsidR="00324D7D">
              <w:rPr>
                <w:color w:val="000000"/>
                <w:sz w:val="20"/>
                <w:szCs w:val="20"/>
              </w:rPr>
              <w:t xml:space="preserve">not keep pace with technological </w:t>
            </w:r>
            <w:r w:rsidR="004E1608">
              <w:rPr>
                <w:color w:val="000000"/>
                <w:sz w:val="20"/>
                <w:szCs w:val="20"/>
              </w:rPr>
              <w:t xml:space="preserve">advances or changing </w:t>
            </w:r>
            <w:r w:rsidR="00D23FE8">
              <w:rPr>
                <w:color w:val="000000"/>
                <w:sz w:val="20"/>
                <w:szCs w:val="20"/>
              </w:rPr>
              <w:t xml:space="preserve">customer expectations and </w:t>
            </w:r>
            <w:r w:rsidR="00F1347F">
              <w:rPr>
                <w:color w:val="000000"/>
                <w:sz w:val="20"/>
                <w:szCs w:val="20"/>
              </w:rPr>
              <w:t xml:space="preserve">focus </w:t>
            </w:r>
            <w:r w:rsidR="001E4464">
              <w:rPr>
                <w:color w:val="000000"/>
                <w:sz w:val="20"/>
                <w:szCs w:val="20"/>
              </w:rPr>
              <w:t>under this option</w:t>
            </w:r>
            <w:r w:rsidR="00F1347F">
              <w:rPr>
                <w:color w:val="000000"/>
                <w:sz w:val="20"/>
                <w:szCs w:val="20"/>
              </w:rPr>
              <w:t xml:space="preserve"> on</w:t>
            </w:r>
            <w:r w:rsidR="000E505F">
              <w:rPr>
                <w:color w:val="000000"/>
                <w:sz w:val="20"/>
                <w:szCs w:val="20"/>
              </w:rPr>
              <w:t xml:space="preserve"> meeting specific requirements rather than </w:t>
            </w:r>
            <w:r w:rsidR="00E5188E">
              <w:rPr>
                <w:color w:val="000000"/>
                <w:sz w:val="20"/>
                <w:szCs w:val="20"/>
              </w:rPr>
              <w:t>actual customer outcomes results in a lower effectiveness score compared to Option C.3</w:t>
            </w:r>
            <w:r w:rsidR="009623A6">
              <w:rPr>
                <w:color w:val="000000"/>
                <w:sz w:val="20"/>
                <w:szCs w:val="20"/>
              </w:rPr>
              <w:t xml:space="preserve"> and a</w:t>
            </w:r>
            <w:r w:rsidR="00D17423">
              <w:rPr>
                <w:color w:val="000000"/>
                <w:sz w:val="20"/>
                <w:szCs w:val="20"/>
              </w:rPr>
              <w:t xml:space="preserve"> </w:t>
            </w:r>
            <w:r w:rsidR="009623A6">
              <w:rPr>
                <w:color w:val="000000"/>
                <w:sz w:val="20"/>
                <w:szCs w:val="20"/>
              </w:rPr>
              <w:t>score that is</w:t>
            </w:r>
            <w:r w:rsidR="009C6D82">
              <w:rPr>
                <w:color w:val="000000"/>
                <w:sz w:val="20"/>
                <w:szCs w:val="20"/>
              </w:rPr>
              <w:t xml:space="preserve"> assessed as</w:t>
            </w:r>
            <w:r w:rsidR="009623A6">
              <w:rPr>
                <w:color w:val="000000"/>
                <w:sz w:val="20"/>
                <w:szCs w:val="20"/>
              </w:rPr>
              <w:t xml:space="preserve"> equivalent to Option C.1. </w:t>
            </w:r>
            <w:r w:rsidR="00CF1834">
              <w:rPr>
                <w:color w:val="000000"/>
                <w:sz w:val="20"/>
                <w:szCs w:val="20"/>
              </w:rPr>
              <w:t xml:space="preserve"> </w:t>
            </w:r>
          </w:p>
        </w:tc>
        <w:tc>
          <w:tcPr>
            <w:tcW w:w="966" w:type="dxa"/>
            <w:tcBorders>
              <w:bottom w:val="single" w:sz="4" w:space="0" w:color="4986A0"/>
            </w:tcBorders>
          </w:tcPr>
          <w:p w14:paraId="2D8F5B05" w14:textId="794D1DE5" w:rsidR="0036716C" w:rsidRDefault="008E67A3" w:rsidP="0036716C">
            <w:pPr>
              <w:spacing w:after="120" w:line="240" w:lineRule="auto"/>
              <w:ind w:right="12"/>
              <w:jc w:val="center"/>
              <w:rPr>
                <w:color w:val="000000"/>
                <w:sz w:val="20"/>
                <w:szCs w:val="20"/>
              </w:rPr>
            </w:pPr>
            <w:r>
              <w:rPr>
                <w:color w:val="000000"/>
                <w:sz w:val="20"/>
                <w:szCs w:val="20"/>
              </w:rPr>
              <w:lastRenderedPageBreak/>
              <w:t>1.5</w:t>
            </w:r>
          </w:p>
        </w:tc>
        <w:tc>
          <w:tcPr>
            <w:tcW w:w="1214" w:type="dxa"/>
            <w:tcBorders>
              <w:bottom w:val="single" w:sz="4" w:space="0" w:color="4986A0"/>
            </w:tcBorders>
            <w:tcMar>
              <w:top w:w="0" w:type="dxa"/>
              <w:left w:w="123" w:type="dxa"/>
              <w:bottom w:w="0" w:type="dxa"/>
              <w:right w:w="123" w:type="dxa"/>
            </w:tcMar>
            <w:hideMark/>
          </w:tcPr>
          <w:p w14:paraId="4357D2DE" w14:textId="4D5BC810" w:rsidR="002302B7" w:rsidRDefault="008E67A3" w:rsidP="0036716C">
            <w:pPr>
              <w:spacing w:after="120" w:line="240" w:lineRule="auto"/>
              <w:ind w:right="12"/>
              <w:jc w:val="center"/>
              <w:rPr>
                <w:color w:val="000000"/>
                <w:sz w:val="20"/>
                <w:szCs w:val="20"/>
              </w:rPr>
            </w:pPr>
            <w:r>
              <w:rPr>
                <w:color w:val="000000"/>
                <w:sz w:val="20"/>
                <w:szCs w:val="20"/>
              </w:rPr>
              <w:t>0.75</w:t>
            </w:r>
          </w:p>
        </w:tc>
      </w:tr>
    </w:tbl>
    <w:p w14:paraId="6D4DBA80" w14:textId="488084E5" w:rsidR="00CD53B9" w:rsidRDefault="00CD53B9" w:rsidP="00CD53B9"/>
    <w:p w14:paraId="1955640F" w14:textId="48CF1FED" w:rsidR="001F5998" w:rsidRDefault="001F5998" w:rsidP="000F6481">
      <w:pPr>
        <w:pStyle w:val="Figure-Table-BoxSubtitle"/>
        <w:ind w:left="0"/>
      </w:pPr>
      <w:r w:rsidRPr="000F6481">
        <w:rPr>
          <w:rStyle w:val="Figure-Table-BoxHeadingChar"/>
        </w:rPr>
        <w:t xml:space="preserve">Table </w:t>
      </w:r>
      <w:r w:rsidR="002E5943" w:rsidRPr="000F6481">
        <w:rPr>
          <w:rStyle w:val="Figure-Table-BoxHeadingChar"/>
        </w:rPr>
        <w:t>20</w:t>
      </w:r>
      <w:r w:rsidRPr="000F6481">
        <w:rPr>
          <w:rStyle w:val="Figure-Table-BoxHeadingChar"/>
        </w:rPr>
        <w:t>:</w:t>
      </w:r>
      <w:r w:rsidRPr="000F6481">
        <w:t xml:space="preserve"> </w:t>
      </w:r>
      <w:r w:rsidRPr="003A49F5">
        <w:t>MCA Assessment of Option</w:t>
      </w:r>
      <w:r w:rsidR="00E83612">
        <w:t>s</w:t>
      </w:r>
      <w:r w:rsidRPr="003A49F5">
        <w:t xml:space="preserve"> C.</w:t>
      </w:r>
      <w:r w:rsidR="001E1890">
        <w:t>1, C.2 and C.3: Cost to industry</w:t>
      </w:r>
    </w:p>
    <w:tbl>
      <w:tblPr>
        <w:tblW w:w="0" w:type="auto"/>
        <w:tblCellMar>
          <w:left w:w="0" w:type="dxa"/>
          <w:right w:w="0" w:type="dxa"/>
        </w:tblCellMar>
        <w:tblLook w:val="04A0" w:firstRow="1" w:lastRow="0" w:firstColumn="1" w:lastColumn="0" w:noHBand="0" w:noVBand="1"/>
      </w:tblPr>
      <w:tblGrid>
        <w:gridCol w:w="709"/>
        <w:gridCol w:w="1841"/>
        <w:gridCol w:w="4877"/>
        <w:gridCol w:w="994"/>
        <w:gridCol w:w="1217"/>
      </w:tblGrid>
      <w:tr w:rsidR="00DA43BD" w14:paraId="64AD67DB" w14:textId="77777777" w:rsidTr="00AF0360">
        <w:tc>
          <w:tcPr>
            <w:tcW w:w="709" w:type="dxa"/>
            <w:tcBorders>
              <w:top w:val="single" w:sz="4" w:space="0" w:color="4986A0"/>
              <w:bottom w:val="single" w:sz="4" w:space="0" w:color="4986A0"/>
            </w:tcBorders>
            <w:shd w:val="clear" w:color="auto" w:fill="4986A0"/>
            <w:tcMar>
              <w:top w:w="0" w:type="dxa"/>
              <w:left w:w="0" w:type="dxa"/>
              <w:bottom w:w="0" w:type="dxa"/>
              <w:right w:w="0" w:type="dxa"/>
            </w:tcMar>
            <w:hideMark/>
          </w:tcPr>
          <w:p w14:paraId="180B4FB2" w14:textId="77777777" w:rsidR="00DA43BD" w:rsidRDefault="00DA43BD" w:rsidP="00763DAE">
            <w:pPr>
              <w:spacing w:before="60" w:after="60" w:line="240" w:lineRule="auto"/>
              <w:jc w:val="center"/>
              <w:rPr>
                <w:color w:val="000000"/>
                <w:sz w:val="20"/>
                <w:szCs w:val="20"/>
              </w:rPr>
            </w:pPr>
            <w:r>
              <w:rPr>
                <w:b/>
                <w:bCs/>
                <w:color w:val="FFFFFF"/>
                <w:sz w:val="20"/>
                <w:szCs w:val="20"/>
              </w:rPr>
              <w:t>Option</w:t>
            </w:r>
          </w:p>
        </w:tc>
        <w:tc>
          <w:tcPr>
            <w:tcW w:w="1841"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41335A7A" w14:textId="77777777" w:rsidR="00AF0360" w:rsidRDefault="00DA43BD" w:rsidP="00763DAE">
            <w:pPr>
              <w:spacing w:before="60" w:after="60" w:line="240" w:lineRule="auto"/>
              <w:jc w:val="center"/>
              <w:rPr>
                <w:b/>
                <w:bCs/>
                <w:color w:val="FFFFFF"/>
                <w:sz w:val="20"/>
                <w:szCs w:val="20"/>
              </w:rPr>
            </w:pPr>
            <w:r>
              <w:rPr>
                <w:b/>
                <w:bCs/>
                <w:color w:val="FFFFFF"/>
                <w:sz w:val="20"/>
                <w:szCs w:val="20"/>
              </w:rPr>
              <w:t>Criteria</w:t>
            </w:r>
          </w:p>
          <w:p w14:paraId="04FD11DF" w14:textId="5516EB79" w:rsidR="00DA43BD" w:rsidRDefault="00DA43BD" w:rsidP="00763DAE">
            <w:pPr>
              <w:spacing w:before="60" w:after="60" w:line="240" w:lineRule="auto"/>
              <w:jc w:val="center"/>
              <w:rPr>
                <w:color w:val="000000"/>
                <w:sz w:val="20"/>
                <w:szCs w:val="20"/>
              </w:rPr>
            </w:pPr>
            <w:r>
              <w:rPr>
                <w:b/>
                <w:bCs/>
                <w:color w:val="FFFFFF"/>
                <w:sz w:val="20"/>
                <w:szCs w:val="20"/>
              </w:rPr>
              <w:t>(weighting 40%)</w:t>
            </w:r>
          </w:p>
        </w:tc>
        <w:tc>
          <w:tcPr>
            <w:tcW w:w="4877"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7BA33FF2" w14:textId="77777777" w:rsidR="00DA43BD" w:rsidRDefault="00DA43BD" w:rsidP="00763DAE">
            <w:pPr>
              <w:spacing w:before="60" w:after="60" w:line="240" w:lineRule="auto"/>
              <w:jc w:val="center"/>
              <w:rPr>
                <w:color w:val="000000"/>
                <w:sz w:val="20"/>
                <w:szCs w:val="20"/>
              </w:rPr>
            </w:pPr>
            <w:r>
              <w:rPr>
                <w:b/>
                <w:bCs/>
                <w:color w:val="FFFFFF"/>
                <w:sz w:val="20"/>
                <w:szCs w:val="20"/>
              </w:rPr>
              <w:t>Assessment</w:t>
            </w:r>
          </w:p>
        </w:tc>
        <w:tc>
          <w:tcPr>
            <w:tcW w:w="994" w:type="dxa"/>
            <w:tcBorders>
              <w:top w:val="single" w:sz="4" w:space="0" w:color="4986A0"/>
              <w:bottom w:val="single" w:sz="4" w:space="0" w:color="4986A0"/>
            </w:tcBorders>
            <w:shd w:val="clear" w:color="auto" w:fill="4986A0"/>
          </w:tcPr>
          <w:p w14:paraId="7C8F15D5" w14:textId="77777777" w:rsidR="0036716C" w:rsidRDefault="0036716C" w:rsidP="00763DAE">
            <w:pPr>
              <w:spacing w:before="60" w:after="60" w:line="240" w:lineRule="auto"/>
              <w:jc w:val="center"/>
              <w:rPr>
                <w:b/>
                <w:bCs/>
                <w:color w:val="FFFFFF"/>
                <w:sz w:val="20"/>
                <w:szCs w:val="20"/>
              </w:rPr>
            </w:pPr>
            <w:r>
              <w:rPr>
                <w:b/>
                <w:bCs/>
                <w:color w:val="FFFFFF"/>
                <w:sz w:val="20"/>
                <w:szCs w:val="20"/>
              </w:rPr>
              <w:t>Score</w:t>
            </w:r>
          </w:p>
          <w:p w14:paraId="63253B16" w14:textId="4F7B73A6" w:rsidR="0036716C" w:rsidRDefault="00AF0360" w:rsidP="00763DAE">
            <w:pPr>
              <w:spacing w:before="60" w:after="60" w:line="240" w:lineRule="auto"/>
              <w:jc w:val="center"/>
              <w:rPr>
                <w:b/>
                <w:bCs/>
                <w:color w:val="FFFFFF"/>
                <w:sz w:val="20"/>
                <w:szCs w:val="20"/>
              </w:rPr>
            </w:pPr>
            <w:r>
              <w:rPr>
                <w:b/>
                <w:bCs/>
                <w:color w:val="FFFFFF"/>
                <w:sz w:val="20"/>
                <w:szCs w:val="20"/>
              </w:rPr>
              <w:t>(-10 to 10)</w:t>
            </w:r>
          </w:p>
        </w:tc>
        <w:tc>
          <w:tcPr>
            <w:tcW w:w="1217"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40D92000" w14:textId="77777777" w:rsidR="00DA43BD" w:rsidRDefault="00DA43BD" w:rsidP="00763DAE">
            <w:pPr>
              <w:spacing w:before="60" w:after="60" w:line="240" w:lineRule="auto"/>
              <w:jc w:val="center"/>
              <w:rPr>
                <w:color w:val="000000"/>
                <w:sz w:val="20"/>
                <w:szCs w:val="20"/>
              </w:rPr>
            </w:pPr>
            <w:r>
              <w:rPr>
                <w:b/>
                <w:bCs/>
                <w:color w:val="FFFFFF"/>
                <w:sz w:val="20"/>
                <w:szCs w:val="20"/>
              </w:rPr>
              <w:t>Weighted score</w:t>
            </w:r>
          </w:p>
        </w:tc>
      </w:tr>
      <w:tr w:rsidR="00DA43BD" w14:paraId="27333F05" w14:textId="77777777" w:rsidTr="00AF0360">
        <w:trPr>
          <w:trHeight w:val="333"/>
        </w:trPr>
        <w:tc>
          <w:tcPr>
            <w:tcW w:w="709" w:type="dxa"/>
            <w:tcMar>
              <w:top w:w="0" w:type="dxa"/>
              <w:left w:w="0" w:type="dxa"/>
              <w:bottom w:w="0" w:type="dxa"/>
              <w:right w:w="0" w:type="dxa"/>
            </w:tcMar>
            <w:hideMark/>
          </w:tcPr>
          <w:p w14:paraId="6B761DD0" w14:textId="77777777" w:rsidR="00DA43BD" w:rsidRPr="00800122" w:rsidRDefault="00DA43BD">
            <w:pPr>
              <w:spacing w:after="120" w:line="240" w:lineRule="auto"/>
              <w:rPr>
                <w:color w:val="000000"/>
                <w:sz w:val="20"/>
                <w:szCs w:val="20"/>
              </w:rPr>
            </w:pPr>
            <w:r w:rsidRPr="00800122">
              <w:rPr>
                <w:color w:val="000000"/>
                <w:sz w:val="20"/>
                <w:szCs w:val="20"/>
              </w:rPr>
              <w:t>C.1</w:t>
            </w:r>
          </w:p>
        </w:tc>
        <w:tc>
          <w:tcPr>
            <w:tcW w:w="1841" w:type="dxa"/>
            <w:tcMar>
              <w:top w:w="0" w:type="dxa"/>
              <w:left w:w="123" w:type="dxa"/>
              <w:bottom w:w="0" w:type="dxa"/>
              <w:right w:w="123" w:type="dxa"/>
            </w:tcMar>
            <w:hideMark/>
          </w:tcPr>
          <w:p w14:paraId="2D62ABED" w14:textId="77777777" w:rsidR="00DA43BD" w:rsidRPr="00800122" w:rsidRDefault="00DA43BD">
            <w:pPr>
              <w:spacing w:after="120" w:line="240" w:lineRule="auto"/>
              <w:rPr>
                <w:color w:val="000000"/>
                <w:sz w:val="20"/>
                <w:szCs w:val="20"/>
              </w:rPr>
            </w:pPr>
            <w:r w:rsidRPr="00800122">
              <w:rPr>
                <w:color w:val="000000"/>
                <w:sz w:val="20"/>
                <w:szCs w:val="20"/>
              </w:rPr>
              <w:t>Cost to industry</w:t>
            </w:r>
          </w:p>
        </w:tc>
        <w:tc>
          <w:tcPr>
            <w:tcW w:w="4877" w:type="dxa"/>
            <w:tcMar>
              <w:top w:w="0" w:type="dxa"/>
              <w:left w:w="123" w:type="dxa"/>
              <w:bottom w:w="0" w:type="dxa"/>
              <w:right w:w="123" w:type="dxa"/>
            </w:tcMar>
            <w:hideMark/>
          </w:tcPr>
          <w:p w14:paraId="45CBB78C" w14:textId="66A391DA" w:rsidR="00BC265F" w:rsidRPr="00BC265F" w:rsidRDefault="00BC265F">
            <w:pPr>
              <w:spacing w:after="120" w:line="240" w:lineRule="auto"/>
              <w:rPr>
                <w:color w:val="000000"/>
                <w:sz w:val="20"/>
                <w:szCs w:val="20"/>
                <w:u w:val="single"/>
              </w:rPr>
            </w:pPr>
            <w:r w:rsidRPr="00BC265F">
              <w:rPr>
                <w:color w:val="000000"/>
                <w:sz w:val="20"/>
                <w:szCs w:val="20"/>
                <w:u w:val="single"/>
              </w:rPr>
              <w:t>Compliance costs</w:t>
            </w:r>
          </w:p>
          <w:p w14:paraId="4E16694C" w14:textId="6B545CBE" w:rsidR="00FA74BC" w:rsidRDefault="00DA43BD">
            <w:pPr>
              <w:spacing w:after="120" w:line="240" w:lineRule="auto"/>
              <w:rPr>
                <w:color w:val="000000"/>
                <w:sz w:val="20"/>
                <w:szCs w:val="20"/>
              </w:rPr>
            </w:pPr>
            <w:r w:rsidRPr="00800122">
              <w:rPr>
                <w:color w:val="000000"/>
                <w:sz w:val="20"/>
                <w:szCs w:val="20"/>
              </w:rPr>
              <w:t xml:space="preserve">This option is relatively ‘light touch’ leaving most of the responsibility </w:t>
            </w:r>
            <w:r w:rsidR="004620F1">
              <w:rPr>
                <w:color w:val="000000"/>
                <w:sz w:val="20"/>
                <w:szCs w:val="20"/>
              </w:rPr>
              <w:t>and flexibility on</w:t>
            </w:r>
            <w:r w:rsidRPr="00800122">
              <w:rPr>
                <w:color w:val="000000"/>
                <w:sz w:val="20"/>
                <w:szCs w:val="20"/>
              </w:rPr>
              <w:t xml:space="preserve"> energy retailers to design the outcomes</w:t>
            </w:r>
            <w:r w:rsidR="00933E7E">
              <w:rPr>
                <w:color w:val="000000"/>
                <w:sz w:val="20"/>
                <w:szCs w:val="20"/>
              </w:rPr>
              <w:t>-</w:t>
            </w:r>
            <w:r w:rsidRPr="00800122">
              <w:rPr>
                <w:color w:val="000000"/>
                <w:sz w:val="20"/>
                <w:szCs w:val="20"/>
              </w:rPr>
              <w:t xml:space="preserve">based system </w:t>
            </w:r>
            <w:r w:rsidR="000B7338">
              <w:rPr>
                <w:color w:val="000000"/>
                <w:sz w:val="20"/>
                <w:szCs w:val="20"/>
              </w:rPr>
              <w:t xml:space="preserve">that </w:t>
            </w:r>
            <w:r w:rsidR="004620F1">
              <w:rPr>
                <w:color w:val="000000"/>
                <w:sz w:val="20"/>
                <w:szCs w:val="20"/>
              </w:rPr>
              <w:t>meets their needs and the needs of their customers</w:t>
            </w:r>
            <w:r w:rsidR="00ED4656">
              <w:rPr>
                <w:color w:val="000000"/>
                <w:sz w:val="20"/>
                <w:szCs w:val="20"/>
              </w:rPr>
              <w:t xml:space="preserve"> </w:t>
            </w:r>
            <w:r w:rsidRPr="00800122">
              <w:rPr>
                <w:color w:val="000000"/>
                <w:sz w:val="20"/>
                <w:szCs w:val="20"/>
              </w:rPr>
              <w:t>(i.e., more efficient and effective processes to support customers switching to their best offer</w:t>
            </w:r>
            <w:r w:rsidR="009663E1">
              <w:rPr>
                <w:color w:val="000000"/>
                <w:sz w:val="20"/>
                <w:szCs w:val="20"/>
              </w:rPr>
              <w:t>).</w:t>
            </w:r>
            <w:r w:rsidR="00B7274A">
              <w:rPr>
                <w:color w:val="000000"/>
                <w:sz w:val="20"/>
                <w:szCs w:val="20"/>
              </w:rPr>
              <w:t xml:space="preserve"> </w:t>
            </w:r>
          </w:p>
          <w:p w14:paraId="05D1045E" w14:textId="75CD8100" w:rsidR="00FA74BC" w:rsidRDefault="00DE17C3">
            <w:pPr>
              <w:spacing w:after="120" w:line="240" w:lineRule="auto"/>
              <w:rPr>
                <w:color w:val="000000"/>
                <w:sz w:val="20"/>
                <w:szCs w:val="20"/>
              </w:rPr>
            </w:pPr>
            <w:r w:rsidRPr="00DE17C3">
              <w:rPr>
                <w:color w:val="000000"/>
                <w:sz w:val="20"/>
                <w:szCs w:val="20"/>
              </w:rPr>
              <w:t>We released a ‘Best Offer Guideline’ in November 2023, which sets out our expectations that retailers must include information about how customers can switch</w:t>
            </w:r>
            <w:r w:rsidR="00EB6668">
              <w:rPr>
                <w:color w:val="000000"/>
                <w:sz w:val="20"/>
                <w:szCs w:val="20"/>
              </w:rPr>
              <w:t xml:space="preserve"> </w:t>
            </w:r>
            <w:r w:rsidRPr="00DE17C3">
              <w:rPr>
                <w:color w:val="000000"/>
                <w:sz w:val="20"/>
                <w:szCs w:val="20"/>
              </w:rPr>
              <w:t xml:space="preserve">and </w:t>
            </w:r>
            <w:r w:rsidR="00A53245">
              <w:rPr>
                <w:color w:val="000000"/>
                <w:sz w:val="20"/>
                <w:szCs w:val="20"/>
              </w:rPr>
              <w:t xml:space="preserve">indicating </w:t>
            </w:r>
            <w:r w:rsidRPr="00DE17C3">
              <w:rPr>
                <w:color w:val="000000"/>
                <w:sz w:val="20"/>
                <w:szCs w:val="20"/>
              </w:rPr>
              <w:t>offering multiple methods</w:t>
            </w:r>
            <w:r w:rsidR="00A53245">
              <w:rPr>
                <w:color w:val="000000"/>
                <w:sz w:val="20"/>
                <w:szCs w:val="20"/>
              </w:rPr>
              <w:t xml:space="preserve"> for switching is better practice</w:t>
            </w:r>
            <w:r w:rsidRPr="00DE17C3">
              <w:rPr>
                <w:color w:val="000000"/>
                <w:sz w:val="20"/>
                <w:szCs w:val="20"/>
              </w:rPr>
              <w:t>.</w:t>
            </w:r>
            <w:r w:rsidR="00DC2138">
              <w:rPr>
                <w:rStyle w:val="FootnoteReference"/>
                <w:color w:val="000000"/>
                <w:sz w:val="20"/>
                <w:szCs w:val="20"/>
              </w:rPr>
              <w:footnoteReference w:id="196"/>
            </w:r>
            <w:r w:rsidRPr="00DE17C3">
              <w:rPr>
                <w:color w:val="000000"/>
                <w:sz w:val="20"/>
                <w:szCs w:val="20"/>
              </w:rPr>
              <w:t xml:space="preserve"> Retailers have had some time to reflect </w:t>
            </w:r>
            <w:r w:rsidR="00A53245">
              <w:rPr>
                <w:color w:val="000000"/>
                <w:sz w:val="20"/>
                <w:szCs w:val="20"/>
              </w:rPr>
              <w:t>on this guideline and consider whether changes to their own systems are necessary</w:t>
            </w:r>
            <w:r w:rsidR="000B7338">
              <w:rPr>
                <w:color w:val="000000"/>
                <w:sz w:val="20"/>
                <w:szCs w:val="20"/>
              </w:rPr>
              <w:t>, which should reduce implementation costs</w:t>
            </w:r>
            <w:r w:rsidRPr="00DE17C3">
              <w:rPr>
                <w:color w:val="000000"/>
                <w:sz w:val="20"/>
                <w:szCs w:val="20"/>
              </w:rPr>
              <w:t>.</w:t>
            </w:r>
            <w:r w:rsidR="00A419EC">
              <w:rPr>
                <w:color w:val="000000"/>
                <w:sz w:val="20"/>
                <w:szCs w:val="20"/>
              </w:rPr>
              <w:t xml:space="preserve"> </w:t>
            </w:r>
          </w:p>
          <w:p w14:paraId="3D6A6436" w14:textId="5EF64D19" w:rsidR="00DA43BD" w:rsidRPr="00800122" w:rsidRDefault="00B7274A">
            <w:pPr>
              <w:spacing w:after="120" w:line="240" w:lineRule="auto"/>
              <w:rPr>
                <w:color w:val="000000"/>
                <w:sz w:val="20"/>
                <w:szCs w:val="20"/>
              </w:rPr>
            </w:pPr>
            <w:r>
              <w:rPr>
                <w:color w:val="000000"/>
                <w:sz w:val="20"/>
                <w:szCs w:val="20"/>
              </w:rPr>
              <w:t xml:space="preserve">Nevertheless, industry would incur </w:t>
            </w:r>
            <w:r w:rsidR="00932C49">
              <w:rPr>
                <w:color w:val="000000"/>
                <w:sz w:val="20"/>
                <w:szCs w:val="20"/>
              </w:rPr>
              <w:t xml:space="preserve">relatively minor </w:t>
            </w:r>
            <w:r>
              <w:rPr>
                <w:color w:val="000000"/>
                <w:sz w:val="20"/>
                <w:szCs w:val="20"/>
              </w:rPr>
              <w:t>compliance costs associated with designing systems, staff training and implementing this option.</w:t>
            </w:r>
          </w:p>
          <w:p w14:paraId="22D9D169" w14:textId="5429C020" w:rsidR="00BC265F" w:rsidRPr="00BC265F" w:rsidRDefault="00BC265F">
            <w:pPr>
              <w:spacing w:after="120" w:line="240" w:lineRule="auto"/>
              <w:rPr>
                <w:color w:val="000000"/>
                <w:sz w:val="20"/>
                <w:szCs w:val="20"/>
                <w:u w:val="single"/>
              </w:rPr>
            </w:pPr>
            <w:r w:rsidRPr="00BC265F">
              <w:rPr>
                <w:color w:val="000000"/>
                <w:sz w:val="20"/>
                <w:szCs w:val="20"/>
                <w:u w:val="single"/>
              </w:rPr>
              <w:t>Cost transfers</w:t>
            </w:r>
          </w:p>
          <w:p w14:paraId="434EBDD6" w14:textId="4F4B8955" w:rsidR="00BC265F" w:rsidRDefault="00F94D79">
            <w:pPr>
              <w:spacing w:after="120" w:line="240" w:lineRule="auto"/>
              <w:rPr>
                <w:color w:val="000000"/>
                <w:sz w:val="20"/>
                <w:szCs w:val="20"/>
              </w:rPr>
            </w:pPr>
            <w:r w:rsidRPr="00F94D79">
              <w:rPr>
                <w:color w:val="000000"/>
                <w:sz w:val="20"/>
                <w:szCs w:val="20"/>
              </w:rPr>
              <w:t xml:space="preserve">If effective, this option would result in more customers moving from higher-priced plans to the best available offer. </w:t>
            </w:r>
            <w:r w:rsidR="0014378D" w:rsidRPr="0014378D">
              <w:rPr>
                <w:color w:val="000000"/>
                <w:sz w:val="20"/>
                <w:szCs w:val="20"/>
              </w:rPr>
              <w:t>We note that some retailers may already have effective processes in place and wouldn’t bear any additional costs.</w:t>
            </w:r>
            <w:r w:rsidR="006B76E1">
              <w:rPr>
                <w:color w:val="000000"/>
                <w:sz w:val="20"/>
                <w:szCs w:val="20"/>
              </w:rPr>
              <w:t xml:space="preserve"> However, th</w:t>
            </w:r>
            <w:r w:rsidRPr="00F94D79">
              <w:rPr>
                <w:color w:val="000000"/>
                <w:sz w:val="20"/>
                <w:szCs w:val="20"/>
              </w:rPr>
              <w:t xml:space="preserve">is would reduce revenue for some retailers, particularly where previous pricing strategies relied </w:t>
            </w:r>
            <w:r w:rsidRPr="00F94D79">
              <w:rPr>
                <w:color w:val="000000"/>
                <w:sz w:val="20"/>
                <w:szCs w:val="20"/>
              </w:rPr>
              <w:lastRenderedPageBreak/>
              <w:t xml:space="preserve">on </w:t>
            </w:r>
            <w:r w:rsidR="00147962" w:rsidRPr="00147962">
              <w:rPr>
                <w:color w:val="000000"/>
                <w:sz w:val="20"/>
                <w:szCs w:val="20"/>
              </w:rPr>
              <w:t>customers not switching to cheaper plans due to complex switching processes</w:t>
            </w:r>
            <w:r w:rsidR="00147962">
              <w:rPr>
                <w:color w:val="000000"/>
                <w:sz w:val="20"/>
                <w:szCs w:val="20"/>
              </w:rPr>
              <w:t xml:space="preserve"> and disengagement</w:t>
            </w:r>
            <w:r w:rsidR="00147962" w:rsidRPr="00147962">
              <w:rPr>
                <w:color w:val="000000"/>
                <w:sz w:val="20"/>
                <w:szCs w:val="20"/>
              </w:rPr>
              <w:t>.</w:t>
            </w:r>
            <w:r w:rsidRPr="00F94D79">
              <w:rPr>
                <w:color w:val="000000"/>
                <w:sz w:val="20"/>
                <w:szCs w:val="20"/>
              </w:rPr>
              <w:t xml:space="preserve">. </w:t>
            </w:r>
            <w:r w:rsidR="0014378D">
              <w:rPr>
                <w:color w:val="000000"/>
                <w:sz w:val="20"/>
                <w:szCs w:val="20"/>
              </w:rPr>
              <w:t xml:space="preserve"> </w:t>
            </w:r>
          </w:p>
          <w:p w14:paraId="6CF95564" w14:textId="3169CF9E" w:rsidR="00DA43BD" w:rsidRPr="00800122" w:rsidRDefault="00F94D79">
            <w:pPr>
              <w:spacing w:after="120" w:line="240" w:lineRule="auto"/>
              <w:rPr>
                <w:color w:val="000000"/>
                <w:sz w:val="20"/>
                <w:szCs w:val="20"/>
              </w:rPr>
            </w:pPr>
            <w:r w:rsidRPr="00F94D79">
              <w:rPr>
                <w:color w:val="000000"/>
                <w:sz w:val="20"/>
                <w:szCs w:val="20"/>
              </w:rPr>
              <w:t xml:space="preserve">For the purposes of this assessment, we recognise this foregone revenue as a cost. However, it is not necessarily an economic cost, as it reflects a shift away from excess margins rather than an increase in the underlying cost of service delivery. To the extent that retailers are unable to recover this revenue due to competitive pressures, it reflects a normal feature of efficient market functioning. </w:t>
            </w:r>
          </w:p>
        </w:tc>
        <w:tc>
          <w:tcPr>
            <w:tcW w:w="994" w:type="dxa"/>
          </w:tcPr>
          <w:p w14:paraId="17E5A5B8" w14:textId="1257F951" w:rsidR="0036716C" w:rsidRDefault="0036716C">
            <w:pPr>
              <w:spacing w:after="120" w:line="240" w:lineRule="auto"/>
              <w:ind w:right="314"/>
              <w:jc w:val="right"/>
              <w:rPr>
                <w:color w:val="000000"/>
                <w:sz w:val="20"/>
                <w:szCs w:val="20"/>
              </w:rPr>
            </w:pPr>
            <w:r>
              <w:rPr>
                <w:color w:val="000000"/>
                <w:sz w:val="20"/>
                <w:szCs w:val="20"/>
              </w:rPr>
              <w:lastRenderedPageBreak/>
              <w:t>-1</w:t>
            </w:r>
          </w:p>
        </w:tc>
        <w:tc>
          <w:tcPr>
            <w:tcW w:w="1217" w:type="dxa"/>
            <w:tcMar>
              <w:top w:w="0" w:type="dxa"/>
              <w:left w:w="123" w:type="dxa"/>
              <w:bottom w:w="0" w:type="dxa"/>
              <w:right w:w="123" w:type="dxa"/>
            </w:tcMar>
            <w:hideMark/>
          </w:tcPr>
          <w:p w14:paraId="344DC960" w14:textId="77777777" w:rsidR="00DA43BD" w:rsidRPr="00800122" w:rsidRDefault="00DA43BD">
            <w:pPr>
              <w:spacing w:after="120" w:line="240" w:lineRule="auto"/>
              <w:ind w:right="314"/>
              <w:jc w:val="right"/>
              <w:rPr>
                <w:color w:val="000000"/>
                <w:sz w:val="20"/>
                <w:szCs w:val="20"/>
              </w:rPr>
            </w:pPr>
            <w:r w:rsidRPr="00800122">
              <w:rPr>
                <w:color w:val="000000"/>
                <w:sz w:val="20"/>
                <w:szCs w:val="20"/>
              </w:rPr>
              <w:t>-0.4</w:t>
            </w:r>
          </w:p>
        </w:tc>
      </w:tr>
      <w:tr w:rsidR="00DA43BD" w14:paraId="31AE72B3" w14:textId="77777777" w:rsidTr="00AF0360">
        <w:trPr>
          <w:cantSplit/>
        </w:trPr>
        <w:tc>
          <w:tcPr>
            <w:tcW w:w="709" w:type="dxa"/>
            <w:shd w:val="clear" w:color="auto" w:fill="F2F2F2"/>
            <w:tcMar>
              <w:top w:w="0" w:type="dxa"/>
              <w:left w:w="0" w:type="dxa"/>
              <w:bottom w:w="0" w:type="dxa"/>
              <w:right w:w="0" w:type="dxa"/>
            </w:tcMar>
            <w:hideMark/>
          </w:tcPr>
          <w:p w14:paraId="74055FCE" w14:textId="77777777" w:rsidR="00DA43BD" w:rsidRPr="00800122" w:rsidRDefault="00DA43BD">
            <w:pPr>
              <w:spacing w:after="120" w:line="240" w:lineRule="auto"/>
              <w:rPr>
                <w:color w:val="000000"/>
                <w:sz w:val="20"/>
                <w:szCs w:val="20"/>
              </w:rPr>
            </w:pPr>
            <w:r w:rsidRPr="00800122">
              <w:rPr>
                <w:color w:val="000000"/>
                <w:sz w:val="20"/>
                <w:szCs w:val="20"/>
              </w:rPr>
              <w:t>C.2</w:t>
            </w:r>
          </w:p>
        </w:tc>
        <w:tc>
          <w:tcPr>
            <w:tcW w:w="1841" w:type="dxa"/>
            <w:shd w:val="clear" w:color="auto" w:fill="F2F2F2"/>
            <w:tcMar>
              <w:top w:w="0" w:type="dxa"/>
              <w:left w:w="123" w:type="dxa"/>
              <w:bottom w:w="0" w:type="dxa"/>
              <w:right w:w="123" w:type="dxa"/>
            </w:tcMar>
            <w:hideMark/>
          </w:tcPr>
          <w:p w14:paraId="0D395C7F" w14:textId="77777777" w:rsidR="00DA43BD" w:rsidRPr="00800122" w:rsidRDefault="00DA43BD">
            <w:pPr>
              <w:spacing w:after="120" w:line="240" w:lineRule="auto"/>
              <w:rPr>
                <w:color w:val="000000"/>
                <w:sz w:val="20"/>
                <w:szCs w:val="20"/>
              </w:rPr>
            </w:pPr>
            <w:r w:rsidRPr="00800122">
              <w:rPr>
                <w:color w:val="000000"/>
                <w:sz w:val="20"/>
                <w:szCs w:val="20"/>
              </w:rPr>
              <w:t>Cost to industry</w:t>
            </w:r>
          </w:p>
        </w:tc>
        <w:tc>
          <w:tcPr>
            <w:tcW w:w="4877" w:type="dxa"/>
            <w:shd w:val="clear" w:color="auto" w:fill="F2F2F2"/>
            <w:tcMar>
              <w:top w:w="0" w:type="dxa"/>
              <w:left w:w="123" w:type="dxa"/>
              <w:bottom w:w="0" w:type="dxa"/>
              <w:right w:w="123" w:type="dxa"/>
            </w:tcMar>
            <w:hideMark/>
          </w:tcPr>
          <w:p w14:paraId="769002A2" w14:textId="6A6C01E1" w:rsidR="00FA74BC" w:rsidRPr="00FA74BC" w:rsidRDefault="00FA74BC">
            <w:pPr>
              <w:spacing w:after="120" w:line="240" w:lineRule="auto"/>
              <w:rPr>
                <w:color w:val="000000"/>
                <w:sz w:val="20"/>
                <w:szCs w:val="20"/>
                <w:u w:val="single"/>
              </w:rPr>
            </w:pPr>
            <w:r w:rsidRPr="00FA74BC">
              <w:rPr>
                <w:color w:val="000000"/>
                <w:sz w:val="20"/>
                <w:szCs w:val="20"/>
                <w:u w:val="single"/>
              </w:rPr>
              <w:t>Compliance costs</w:t>
            </w:r>
          </w:p>
          <w:p w14:paraId="5C42CBF4" w14:textId="78B316C1" w:rsidR="00216486" w:rsidRDefault="00B979DD">
            <w:pPr>
              <w:spacing w:after="120" w:line="240" w:lineRule="auto"/>
              <w:rPr>
                <w:color w:val="000000"/>
                <w:sz w:val="20"/>
                <w:szCs w:val="20"/>
              </w:rPr>
            </w:pPr>
            <w:r>
              <w:rPr>
                <w:color w:val="000000"/>
                <w:sz w:val="20"/>
                <w:szCs w:val="20"/>
              </w:rPr>
              <w:t xml:space="preserve">As for Option C.1, industry would incur compliance costs </w:t>
            </w:r>
            <w:r w:rsidR="0037661A">
              <w:rPr>
                <w:color w:val="000000"/>
                <w:sz w:val="20"/>
                <w:szCs w:val="20"/>
              </w:rPr>
              <w:t>associated with designing systems, staff training and implementing this option. This includes developing processes for determining whether their systems continue to meet the effectiveness standard on an ongoing basis. Compared to Option C.1., m</w:t>
            </w:r>
            <w:r w:rsidR="00763898">
              <w:rPr>
                <w:color w:val="000000"/>
                <w:sz w:val="20"/>
                <w:szCs w:val="20"/>
              </w:rPr>
              <w:t xml:space="preserve">andating a minimum set of minimum requirements </w:t>
            </w:r>
            <w:r w:rsidR="0037661A">
              <w:rPr>
                <w:color w:val="000000"/>
                <w:sz w:val="20"/>
                <w:szCs w:val="20"/>
              </w:rPr>
              <w:t>would be expected to</w:t>
            </w:r>
            <w:r w:rsidR="00763898">
              <w:rPr>
                <w:color w:val="000000"/>
                <w:sz w:val="20"/>
                <w:szCs w:val="20"/>
              </w:rPr>
              <w:t xml:space="preserve"> increase compliance costs for industry</w:t>
            </w:r>
            <w:r w:rsidR="0037661A">
              <w:rPr>
                <w:color w:val="000000"/>
                <w:sz w:val="20"/>
                <w:szCs w:val="20"/>
              </w:rPr>
              <w:t xml:space="preserve">. </w:t>
            </w:r>
            <w:r w:rsidR="00372E21">
              <w:rPr>
                <w:color w:val="000000"/>
                <w:sz w:val="20"/>
                <w:szCs w:val="20"/>
              </w:rPr>
              <w:t xml:space="preserve">Retailers would be required to </w:t>
            </w:r>
            <w:r w:rsidR="002F1BCB">
              <w:rPr>
                <w:color w:val="000000"/>
                <w:sz w:val="20"/>
                <w:szCs w:val="20"/>
              </w:rPr>
              <w:t>meet the minimum requirements when designing their systems</w:t>
            </w:r>
            <w:r w:rsidR="00C9195A">
              <w:rPr>
                <w:color w:val="000000"/>
                <w:sz w:val="20"/>
                <w:szCs w:val="20"/>
              </w:rPr>
              <w:t xml:space="preserve">. For some retailers, this is likely to include </w:t>
            </w:r>
            <w:r w:rsidR="006442CE">
              <w:rPr>
                <w:color w:val="000000"/>
                <w:sz w:val="20"/>
                <w:szCs w:val="20"/>
              </w:rPr>
              <w:t>elements of a</w:t>
            </w:r>
            <w:r w:rsidR="00EE1A2F">
              <w:rPr>
                <w:color w:val="000000"/>
                <w:sz w:val="20"/>
                <w:szCs w:val="20"/>
              </w:rPr>
              <w:t xml:space="preserve"> </w:t>
            </w:r>
            <w:r w:rsidR="006442CE">
              <w:rPr>
                <w:color w:val="000000"/>
                <w:sz w:val="20"/>
                <w:szCs w:val="20"/>
              </w:rPr>
              <w:t>system</w:t>
            </w:r>
            <w:r w:rsidR="00C9195A">
              <w:rPr>
                <w:color w:val="000000"/>
                <w:sz w:val="20"/>
                <w:szCs w:val="20"/>
              </w:rPr>
              <w:t xml:space="preserve"> that </w:t>
            </w:r>
            <w:r w:rsidR="00122681">
              <w:rPr>
                <w:color w:val="000000"/>
                <w:sz w:val="20"/>
                <w:szCs w:val="20"/>
              </w:rPr>
              <w:t xml:space="preserve">they </w:t>
            </w:r>
            <w:r w:rsidR="00086461">
              <w:rPr>
                <w:color w:val="000000"/>
                <w:sz w:val="20"/>
                <w:szCs w:val="20"/>
              </w:rPr>
              <w:t>might not</w:t>
            </w:r>
            <w:r w:rsidR="00CF2A0E">
              <w:rPr>
                <w:color w:val="000000"/>
                <w:sz w:val="20"/>
                <w:szCs w:val="20"/>
              </w:rPr>
              <w:t xml:space="preserve"> include </w:t>
            </w:r>
            <w:r w:rsidR="00086461">
              <w:rPr>
                <w:color w:val="000000"/>
                <w:sz w:val="20"/>
                <w:szCs w:val="20"/>
              </w:rPr>
              <w:t xml:space="preserve">if </w:t>
            </w:r>
            <w:r w:rsidR="006442CE">
              <w:rPr>
                <w:color w:val="000000"/>
                <w:sz w:val="20"/>
                <w:szCs w:val="20"/>
              </w:rPr>
              <w:t>not required</w:t>
            </w:r>
            <w:r w:rsidR="002F75AE">
              <w:rPr>
                <w:color w:val="000000"/>
                <w:sz w:val="20"/>
                <w:szCs w:val="20"/>
              </w:rPr>
              <w:t xml:space="preserve"> to do so</w:t>
            </w:r>
            <w:r w:rsidR="00EE1A2F">
              <w:rPr>
                <w:color w:val="000000"/>
                <w:sz w:val="20"/>
                <w:szCs w:val="20"/>
              </w:rPr>
              <w:t xml:space="preserve">, for example, designing </w:t>
            </w:r>
            <w:r w:rsidR="00A656CF">
              <w:rPr>
                <w:color w:val="000000"/>
                <w:sz w:val="20"/>
                <w:szCs w:val="20"/>
              </w:rPr>
              <w:t>both phone and website processes for switching.</w:t>
            </w:r>
            <w:r w:rsidR="00EE1A2F">
              <w:rPr>
                <w:color w:val="000000"/>
                <w:sz w:val="20"/>
                <w:szCs w:val="20"/>
              </w:rPr>
              <w:t xml:space="preserve"> </w:t>
            </w:r>
          </w:p>
          <w:p w14:paraId="017DDE9E" w14:textId="77777777" w:rsidR="00FA74BC" w:rsidRDefault="001B4794">
            <w:pPr>
              <w:spacing w:after="120" w:line="240" w:lineRule="auto"/>
              <w:rPr>
                <w:color w:val="000000"/>
                <w:sz w:val="20"/>
                <w:szCs w:val="20"/>
              </w:rPr>
            </w:pPr>
            <w:r>
              <w:rPr>
                <w:color w:val="000000"/>
                <w:sz w:val="20"/>
                <w:szCs w:val="20"/>
              </w:rPr>
              <w:t xml:space="preserve">The additional cost to retailers from this option will </w:t>
            </w:r>
            <w:r w:rsidR="00136FBF">
              <w:rPr>
                <w:color w:val="000000"/>
                <w:sz w:val="20"/>
                <w:szCs w:val="20"/>
              </w:rPr>
              <w:t xml:space="preserve">be highly dependent on </w:t>
            </w:r>
            <w:r w:rsidR="00073E91">
              <w:rPr>
                <w:color w:val="000000"/>
                <w:sz w:val="20"/>
                <w:szCs w:val="20"/>
              </w:rPr>
              <w:t xml:space="preserve">the nature of </w:t>
            </w:r>
            <w:r w:rsidR="00306C33">
              <w:rPr>
                <w:color w:val="000000"/>
                <w:sz w:val="20"/>
                <w:szCs w:val="20"/>
              </w:rPr>
              <w:t>each</w:t>
            </w:r>
            <w:r w:rsidR="00073E91">
              <w:rPr>
                <w:color w:val="000000"/>
                <w:sz w:val="20"/>
                <w:szCs w:val="20"/>
              </w:rPr>
              <w:t xml:space="preserve"> retailers’ existing process for switching customers. </w:t>
            </w:r>
            <w:r w:rsidR="004D37CF">
              <w:rPr>
                <w:color w:val="000000"/>
                <w:sz w:val="20"/>
                <w:szCs w:val="20"/>
              </w:rPr>
              <w:t xml:space="preserve">Retailers who have systems that </w:t>
            </w:r>
            <w:r w:rsidR="00AF182E">
              <w:rPr>
                <w:color w:val="000000"/>
                <w:sz w:val="20"/>
                <w:szCs w:val="20"/>
              </w:rPr>
              <w:t>include less elements that address the minimum requirements will incur higher implementation costs.</w:t>
            </w:r>
            <w:r w:rsidR="00073E91">
              <w:rPr>
                <w:color w:val="000000"/>
                <w:sz w:val="20"/>
                <w:szCs w:val="20"/>
              </w:rPr>
              <w:t xml:space="preserve"> </w:t>
            </w:r>
            <w:r w:rsidR="00695373">
              <w:rPr>
                <w:color w:val="000000"/>
                <w:sz w:val="20"/>
                <w:szCs w:val="20"/>
              </w:rPr>
              <w:t>For the purpose of</w:t>
            </w:r>
            <w:r w:rsidR="00075A88">
              <w:rPr>
                <w:color w:val="000000"/>
                <w:sz w:val="20"/>
                <w:szCs w:val="20"/>
              </w:rPr>
              <w:t xml:space="preserve"> </w:t>
            </w:r>
            <w:r w:rsidR="00073E91">
              <w:rPr>
                <w:color w:val="000000"/>
                <w:sz w:val="20"/>
                <w:szCs w:val="20"/>
              </w:rPr>
              <w:t xml:space="preserve">this </w:t>
            </w:r>
            <w:r w:rsidR="00695373">
              <w:rPr>
                <w:color w:val="000000"/>
                <w:sz w:val="20"/>
                <w:szCs w:val="20"/>
              </w:rPr>
              <w:t>analysis</w:t>
            </w:r>
            <w:r w:rsidR="00AF182E">
              <w:rPr>
                <w:color w:val="000000"/>
                <w:sz w:val="20"/>
                <w:szCs w:val="20"/>
              </w:rPr>
              <w:t>,</w:t>
            </w:r>
            <w:r w:rsidR="00075A88">
              <w:rPr>
                <w:color w:val="000000"/>
                <w:sz w:val="20"/>
                <w:szCs w:val="20"/>
              </w:rPr>
              <w:t xml:space="preserve"> it is assumed </w:t>
            </w:r>
            <w:r w:rsidR="00695373">
              <w:rPr>
                <w:color w:val="000000"/>
                <w:sz w:val="20"/>
                <w:szCs w:val="20"/>
              </w:rPr>
              <w:t xml:space="preserve">the additional </w:t>
            </w:r>
            <w:r w:rsidR="0061190F">
              <w:rPr>
                <w:color w:val="000000"/>
                <w:sz w:val="20"/>
                <w:szCs w:val="20"/>
              </w:rPr>
              <w:t xml:space="preserve">minimum </w:t>
            </w:r>
            <w:r w:rsidR="00695373">
              <w:rPr>
                <w:color w:val="000000"/>
                <w:sz w:val="20"/>
                <w:szCs w:val="20"/>
              </w:rPr>
              <w:t xml:space="preserve">requirements of </w:t>
            </w:r>
            <w:r w:rsidR="0061190F">
              <w:rPr>
                <w:color w:val="000000"/>
                <w:sz w:val="20"/>
                <w:szCs w:val="20"/>
              </w:rPr>
              <w:t xml:space="preserve">Option C.2 will impose </w:t>
            </w:r>
            <w:r w:rsidR="00AF182E">
              <w:rPr>
                <w:color w:val="000000"/>
                <w:sz w:val="20"/>
                <w:szCs w:val="20"/>
              </w:rPr>
              <w:t xml:space="preserve">additional </w:t>
            </w:r>
            <w:r w:rsidR="0061190F">
              <w:rPr>
                <w:color w:val="000000"/>
                <w:sz w:val="20"/>
                <w:szCs w:val="20"/>
              </w:rPr>
              <w:t>low to moderate costs for retailers</w:t>
            </w:r>
            <w:r w:rsidR="00AF182E">
              <w:rPr>
                <w:color w:val="000000"/>
                <w:sz w:val="20"/>
                <w:szCs w:val="20"/>
              </w:rPr>
              <w:t xml:space="preserve"> compared to Option C.1</w:t>
            </w:r>
            <w:r w:rsidR="0061190F">
              <w:rPr>
                <w:color w:val="000000"/>
                <w:sz w:val="20"/>
                <w:szCs w:val="20"/>
              </w:rPr>
              <w:t>.</w:t>
            </w:r>
            <w:r w:rsidR="00075A88">
              <w:rPr>
                <w:color w:val="000000"/>
                <w:sz w:val="20"/>
                <w:szCs w:val="20"/>
              </w:rPr>
              <w:t xml:space="preserve"> </w:t>
            </w:r>
            <w:r w:rsidR="00100AA8">
              <w:rPr>
                <w:color w:val="000000"/>
                <w:sz w:val="20"/>
                <w:szCs w:val="20"/>
              </w:rPr>
              <w:t xml:space="preserve"> </w:t>
            </w:r>
          </w:p>
          <w:p w14:paraId="7A25E183" w14:textId="097CD0EB" w:rsidR="00763898" w:rsidRPr="00FA74BC" w:rsidRDefault="00FA74BC">
            <w:pPr>
              <w:spacing w:after="120" w:line="240" w:lineRule="auto"/>
              <w:rPr>
                <w:color w:val="000000"/>
                <w:sz w:val="20"/>
                <w:szCs w:val="20"/>
                <w:u w:val="single"/>
              </w:rPr>
            </w:pPr>
            <w:r w:rsidRPr="00FA74BC">
              <w:rPr>
                <w:color w:val="000000"/>
                <w:sz w:val="20"/>
                <w:szCs w:val="20"/>
                <w:u w:val="single"/>
              </w:rPr>
              <w:t>Cost transfers</w:t>
            </w:r>
          </w:p>
          <w:p w14:paraId="0C622CB1" w14:textId="463FF9DB" w:rsidR="00DA43BD" w:rsidRPr="00800122" w:rsidRDefault="00DA43BD">
            <w:pPr>
              <w:spacing w:after="120" w:line="240" w:lineRule="auto"/>
              <w:rPr>
                <w:color w:val="000000"/>
                <w:sz w:val="20"/>
                <w:szCs w:val="20"/>
              </w:rPr>
            </w:pPr>
            <w:r w:rsidRPr="00800122">
              <w:rPr>
                <w:color w:val="000000"/>
                <w:sz w:val="20"/>
                <w:szCs w:val="20"/>
              </w:rPr>
              <w:t xml:space="preserve">Increased effectiveness would also result </w:t>
            </w:r>
            <w:r w:rsidR="00543D67">
              <w:rPr>
                <w:color w:val="000000"/>
                <w:sz w:val="20"/>
                <w:szCs w:val="20"/>
              </w:rPr>
              <w:t xml:space="preserve">in </w:t>
            </w:r>
            <w:r w:rsidRPr="00800122">
              <w:rPr>
                <w:color w:val="000000"/>
                <w:sz w:val="20"/>
                <w:szCs w:val="20"/>
              </w:rPr>
              <w:t xml:space="preserve">a greater amount </w:t>
            </w:r>
            <w:r w:rsidR="002468DE">
              <w:rPr>
                <w:color w:val="000000"/>
                <w:sz w:val="20"/>
                <w:szCs w:val="20"/>
              </w:rPr>
              <w:t>of</w:t>
            </w:r>
            <w:r w:rsidR="002468DE" w:rsidRPr="00800122">
              <w:rPr>
                <w:color w:val="000000"/>
                <w:sz w:val="20"/>
                <w:szCs w:val="20"/>
              </w:rPr>
              <w:t xml:space="preserve"> </w:t>
            </w:r>
            <w:r w:rsidRPr="00800122">
              <w:rPr>
                <w:color w:val="000000"/>
                <w:sz w:val="20"/>
                <w:szCs w:val="20"/>
              </w:rPr>
              <w:t xml:space="preserve">forgone </w:t>
            </w:r>
            <w:r w:rsidR="002468DE" w:rsidRPr="00800122">
              <w:rPr>
                <w:color w:val="000000"/>
                <w:sz w:val="20"/>
                <w:szCs w:val="20"/>
              </w:rPr>
              <w:t xml:space="preserve">revenue </w:t>
            </w:r>
            <w:r w:rsidRPr="00800122">
              <w:rPr>
                <w:color w:val="000000"/>
                <w:sz w:val="20"/>
                <w:szCs w:val="20"/>
              </w:rPr>
              <w:t>as a result of customers switching to the best offer</w:t>
            </w:r>
            <w:r w:rsidR="00C95888">
              <w:rPr>
                <w:color w:val="000000"/>
                <w:sz w:val="20"/>
                <w:szCs w:val="20"/>
              </w:rPr>
              <w:t xml:space="preserve"> from higher-priced plans</w:t>
            </w:r>
            <w:r w:rsidR="00107E86">
              <w:rPr>
                <w:color w:val="000000"/>
                <w:sz w:val="20"/>
                <w:szCs w:val="20"/>
              </w:rPr>
              <w:t xml:space="preserve">, noting the comments on </w:t>
            </w:r>
            <w:r w:rsidR="001205DC">
              <w:rPr>
                <w:color w:val="000000"/>
                <w:sz w:val="20"/>
                <w:szCs w:val="20"/>
              </w:rPr>
              <w:t>O</w:t>
            </w:r>
            <w:r w:rsidR="00107E86">
              <w:rPr>
                <w:color w:val="000000"/>
                <w:sz w:val="20"/>
                <w:szCs w:val="20"/>
              </w:rPr>
              <w:t>ption C.1 above</w:t>
            </w:r>
            <w:r w:rsidRPr="00800122">
              <w:rPr>
                <w:color w:val="000000"/>
                <w:sz w:val="20"/>
                <w:szCs w:val="20"/>
              </w:rPr>
              <w:t>.</w:t>
            </w:r>
          </w:p>
          <w:p w14:paraId="2D5930AF" w14:textId="1F610F51" w:rsidR="00DA43BD" w:rsidRPr="00800122" w:rsidRDefault="0036716C">
            <w:pPr>
              <w:spacing w:after="120" w:line="240" w:lineRule="auto"/>
              <w:rPr>
                <w:color w:val="000000"/>
                <w:sz w:val="20"/>
                <w:szCs w:val="20"/>
              </w:rPr>
            </w:pPr>
            <w:r w:rsidRPr="00800122">
              <w:rPr>
                <w:color w:val="000000"/>
                <w:sz w:val="20"/>
                <w:szCs w:val="20"/>
              </w:rPr>
              <w:t>A</w:t>
            </w:r>
            <w:r w:rsidR="00434A1D">
              <w:rPr>
                <w:color w:val="000000"/>
                <w:sz w:val="20"/>
                <w:szCs w:val="20"/>
              </w:rPr>
              <w:t xml:space="preserve"> lower </w:t>
            </w:r>
            <w:r w:rsidR="00DA43BD" w:rsidRPr="00800122">
              <w:rPr>
                <w:color w:val="000000"/>
                <w:sz w:val="20"/>
                <w:szCs w:val="20"/>
              </w:rPr>
              <w:t xml:space="preserve">MCA score is assigned to this criterion to reflect higher </w:t>
            </w:r>
            <w:r w:rsidR="006A3694">
              <w:rPr>
                <w:color w:val="000000"/>
                <w:sz w:val="20"/>
                <w:szCs w:val="20"/>
              </w:rPr>
              <w:t xml:space="preserve">compliance </w:t>
            </w:r>
            <w:r w:rsidR="00DA43BD" w:rsidRPr="00800122">
              <w:rPr>
                <w:color w:val="000000"/>
                <w:sz w:val="20"/>
                <w:szCs w:val="20"/>
              </w:rPr>
              <w:t>costs</w:t>
            </w:r>
            <w:r w:rsidR="00845848">
              <w:rPr>
                <w:color w:val="000000"/>
                <w:sz w:val="20"/>
                <w:szCs w:val="20"/>
              </w:rPr>
              <w:t xml:space="preserve"> and forgone </w:t>
            </w:r>
            <w:r w:rsidR="00DA43BD" w:rsidRPr="00800122">
              <w:rPr>
                <w:color w:val="000000"/>
                <w:sz w:val="20"/>
                <w:szCs w:val="20"/>
              </w:rPr>
              <w:t>revenue of this option</w:t>
            </w:r>
            <w:r w:rsidR="00845848">
              <w:rPr>
                <w:color w:val="000000"/>
                <w:sz w:val="20"/>
                <w:szCs w:val="20"/>
              </w:rPr>
              <w:t xml:space="preserve"> compared to Option C.1</w:t>
            </w:r>
            <w:r w:rsidR="00DA43BD" w:rsidRPr="00800122">
              <w:rPr>
                <w:color w:val="000000"/>
                <w:sz w:val="20"/>
                <w:szCs w:val="20"/>
              </w:rPr>
              <w:t>.</w:t>
            </w:r>
          </w:p>
          <w:p w14:paraId="51AD6DC2" w14:textId="56B7C4B5" w:rsidR="00DA43BD" w:rsidRPr="00800122" w:rsidRDefault="00DA43BD">
            <w:pPr>
              <w:spacing w:after="120" w:line="240" w:lineRule="auto"/>
              <w:rPr>
                <w:color w:val="000000"/>
                <w:sz w:val="20"/>
                <w:szCs w:val="20"/>
              </w:rPr>
            </w:pPr>
          </w:p>
        </w:tc>
        <w:tc>
          <w:tcPr>
            <w:tcW w:w="994" w:type="dxa"/>
            <w:shd w:val="clear" w:color="auto" w:fill="F2F2F2"/>
          </w:tcPr>
          <w:p w14:paraId="64789409" w14:textId="62AE9DD2" w:rsidR="0036716C" w:rsidRDefault="0036716C">
            <w:pPr>
              <w:spacing w:after="120" w:line="240" w:lineRule="auto"/>
              <w:ind w:right="314"/>
              <w:jc w:val="right"/>
              <w:rPr>
                <w:color w:val="000000"/>
                <w:sz w:val="20"/>
                <w:szCs w:val="20"/>
              </w:rPr>
            </w:pPr>
            <w:r>
              <w:rPr>
                <w:color w:val="000000"/>
                <w:sz w:val="20"/>
                <w:szCs w:val="20"/>
              </w:rPr>
              <w:t>-2</w:t>
            </w:r>
          </w:p>
        </w:tc>
        <w:tc>
          <w:tcPr>
            <w:tcW w:w="1217" w:type="dxa"/>
            <w:shd w:val="clear" w:color="auto" w:fill="F2F2F2"/>
            <w:tcMar>
              <w:top w:w="0" w:type="dxa"/>
              <w:left w:w="123" w:type="dxa"/>
              <w:bottom w:w="0" w:type="dxa"/>
              <w:right w:w="123" w:type="dxa"/>
            </w:tcMar>
            <w:hideMark/>
          </w:tcPr>
          <w:p w14:paraId="0558908F" w14:textId="77777777" w:rsidR="00DA43BD" w:rsidRPr="00800122" w:rsidRDefault="00DA43BD">
            <w:pPr>
              <w:spacing w:after="120" w:line="240" w:lineRule="auto"/>
              <w:ind w:right="314"/>
              <w:jc w:val="right"/>
              <w:rPr>
                <w:color w:val="000000"/>
                <w:sz w:val="20"/>
                <w:szCs w:val="20"/>
              </w:rPr>
            </w:pPr>
            <w:r w:rsidRPr="00800122">
              <w:rPr>
                <w:color w:val="000000"/>
                <w:sz w:val="20"/>
                <w:szCs w:val="20"/>
              </w:rPr>
              <w:t>-0.8</w:t>
            </w:r>
          </w:p>
        </w:tc>
      </w:tr>
      <w:tr w:rsidR="00DA43BD" w14:paraId="0ACABE6F" w14:textId="77777777" w:rsidTr="00AF0360">
        <w:tc>
          <w:tcPr>
            <w:tcW w:w="709" w:type="dxa"/>
            <w:tcBorders>
              <w:bottom w:val="single" w:sz="4" w:space="0" w:color="4986A0"/>
            </w:tcBorders>
            <w:tcMar>
              <w:top w:w="0" w:type="dxa"/>
              <w:left w:w="0" w:type="dxa"/>
              <w:bottom w:w="0" w:type="dxa"/>
              <w:right w:w="0" w:type="dxa"/>
            </w:tcMar>
            <w:hideMark/>
          </w:tcPr>
          <w:p w14:paraId="0C731213" w14:textId="383A50EC" w:rsidR="00DA43BD" w:rsidRPr="00800122" w:rsidRDefault="00DA43BD">
            <w:pPr>
              <w:spacing w:after="120" w:line="240" w:lineRule="auto"/>
              <w:rPr>
                <w:color w:val="000000"/>
                <w:sz w:val="20"/>
                <w:szCs w:val="20"/>
              </w:rPr>
            </w:pPr>
            <w:r w:rsidRPr="00800122">
              <w:rPr>
                <w:color w:val="000000"/>
                <w:sz w:val="20"/>
                <w:szCs w:val="20"/>
              </w:rPr>
              <w:t>C</w:t>
            </w:r>
            <w:r w:rsidR="002E17C7">
              <w:rPr>
                <w:color w:val="000000"/>
                <w:sz w:val="20"/>
                <w:szCs w:val="20"/>
              </w:rPr>
              <w:t>.</w:t>
            </w:r>
            <w:r w:rsidRPr="00800122">
              <w:rPr>
                <w:color w:val="000000"/>
                <w:sz w:val="20"/>
                <w:szCs w:val="20"/>
              </w:rPr>
              <w:t>3</w:t>
            </w:r>
          </w:p>
        </w:tc>
        <w:tc>
          <w:tcPr>
            <w:tcW w:w="1841" w:type="dxa"/>
            <w:tcBorders>
              <w:bottom w:val="single" w:sz="4" w:space="0" w:color="4986A0"/>
            </w:tcBorders>
            <w:tcMar>
              <w:top w:w="0" w:type="dxa"/>
              <w:left w:w="123" w:type="dxa"/>
              <w:bottom w:w="0" w:type="dxa"/>
              <w:right w:w="123" w:type="dxa"/>
            </w:tcMar>
            <w:hideMark/>
          </w:tcPr>
          <w:p w14:paraId="35891C99" w14:textId="77777777" w:rsidR="00DA43BD" w:rsidRPr="00800122" w:rsidRDefault="00DA43BD">
            <w:pPr>
              <w:spacing w:after="120" w:line="240" w:lineRule="auto"/>
              <w:rPr>
                <w:color w:val="000000"/>
                <w:sz w:val="20"/>
                <w:szCs w:val="20"/>
              </w:rPr>
            </w:pPr>
            <w:r w:rsidRPr="00800122">
              <w:rPr>
                <w:color w:val="000000"/>
                <w:sz w:val="20"/>
                <w:szCs w:val="20"/>
              </w:rPr>
              <w:t>Cost to industry</w:t>
            </w:r>
          </w:p>
        </w:tc>
        <w:tc>
          <w:tcPr>
            <w:tcW w:w="4877" w:type="dxa"/>
            <w:tcBorders>
              <w:bottom w:val="single" w:sz="4" w:space="0" w:color="4986A0"/>
            </w:tcBorders>
            <w:tcMar>
              <w:top w:w="0" w:type="dxa"/>
              <w:left w:w="123" w:type="dxa"/>
              <w:bottom w:w="0" w:type="dxa"/>
              <w:right w:w="123" w:type="dxa"/>
            </w:tcMar>
            <w:hideMark/>
          </w:tcPr>
          <w:p w14:paraId="24E08FD5" w14:textId="4E1D87B0" w:rsidR="00FA74BC" w:rsidRPr="00FA74BC" w:rsidRDefault="00FA74BC">
            <w:pPr>
              <w:spacing w:after="120" w:line="240" w:lineRule="auto"/>
              <w:rPr>
                <w:color w:val="000000"/>
                <w:sz w:val="20"/>
                <w:szCs w:val="20"/>
                <w:u w:val="single"/>
              </w:rPr>
            </w:pPr>
            <w:r w:rsidRPr="00FA74BC">
              <w:rPr>
                <w:color w:val="000000"/>
                <w:sz w:val="20"/>
                <w:szCs w:val="20"/>
                <w:u w:val="single"/>
              </w:rPr>
              <w:t>Compliance costs</w:t>
            </w:r>
          </w:p>
          <w:p w14:paraId="3AB64D6A" w14:textId="69955836" w:rsidR="00A02A05" w:rsidRDefault="00DA43BD">
            <w:pPr>
              <w:spacing w:after="120" w:line="240" w:lineRule="auto"/>
              <w:rPr>
                <w:color w:val="000000"/>
                <w:sz w:val="20"/>
                <w:szCs w:val="20"/>
              </w:rPr>
            </w:pPr>
            <w:r w:rsidRPr="00800122">
              <w:rPr>
                <w:color w:val="000000"/>
                <w:sz w:val="20"/>
                <w:szCs w:val="20"/>
              </w:rPr>
              <w:t xml:space="preserve">This option would </w:t>
            </w:r>
            <w:r w:rsidR="00B31D58">
              <w:rPr>
                <w:color w:val="000000"/>
                <w:sz w:val="20"/>
                <w:szCs w:val="20"/>
              </w:rPr>
              <w:t>impose the highest compliance costs for industry</w:t>
            </w:r>
            <w:r w:rsidRPr="00800122">
              <w:rPr>
                <w:color w:val="000000"/>
                <w:sz w:val="20"/>
                <w:szCs w:val="20"/>
              </w:rPr>
              <w:t xml:space="preserve">. A more extensive and specific range of mandatory requirements would </w:t>
            </w:r>
            <w:r w:rsidR="00A10F1B">
              <w:rPr>
                <w:color w:val="000000"/>
                <w:sz w:val="20"/>
                <w:szCs w:val="20"/>
              </w:rPr>
              <w:t xml:space="preserve">mean retailers have less flexibility to </w:t>
            </w:r>
            <w:r w:rsidR="00253066">
              <w:rPr>
                <w:color w:val="000000"/>
                <w:sz w:val="20"/>
                <w:szCs w:val="20"/>
              </w:rPr>
              <w:t xml:space="preserve">determine the </w:t>
            </w:r>
            <w:r w:rsidR="00887B83">
              <w:rPr>
                <w:color w:val="000000"/>
                <w:sz w:val="20"/>
                <w:szCs w:val="20"/>
              </w:rPr>
              <w:t>design of their systems for switchin</w:t>
            </w:r>
            <w:r w:rsidR="00C93C54">
              <w:rPr>
                <w:color w:val="000000"/>
                <w:sz w:val="20"/>
                <w:szCs w:val="20"/>
              </w:rPr>
              <w:t>g customers</w:t>
            </w:r>
            <w:r w:rsidR="002E2578">
              <w:rPr>
                <w:color w:val="000000"/>
                <w:sz w:val="20"/>
                <w:szCs w:val="20"/>
              </w:rPr>
              <w:t xml:space="preserve">. Retailers would therefore have less ability to determine the </w:t>
            </w:r>
            <w:r w:rsidR="002E2578">
              <w:rPr>
                <w:color w:val="000000"/>
                <w:sz w:val="20"/>
                <w:szCs w:val="20"/>
              </w:rPr>
              <w:lastRenderedPageBreak/>
              <w:t xml:space="preserve">most cost-effective means of meeting the requirements. </w:t>
            </w:r>
          </w:p>
          <w:p w14:paraId="11BA1343" w14:textId="6DE664CF" w:rsidR="00023E4B" w:rsidRDefault="00A75A28">
            <w:pPr>
              <w:spacing w:after="120" w:line="240" w:lineRule="auto"/>
              <w:rPr>
                <w:color w:val="000000"/>
                <w:sz w:val="20"/>
                <w:szCs w:val="20"/>
              </w:rPr>
            </w:pPr>
            <w:r>
              <w:rPr>
                <w:color w:val="000000"/>
                <w:sz w:val="20"/>
                <w:szCs w:val="20"/>
              </w:rPr>
              <w:t xml:space="preserve">As retailers </w:t>
            </w:r>
            <w:r w:rsidR="00421959">
              <w:rPr>
                <w:color w:val="000000"/>
                <w:sz w:val="20"/>
                <w:szCs w:val="20"/>
              </w:rPr>
              <w:t xml:space="preserve">currently design their </w:t>
            </w:r>
            <w:r w:rsidR="00DD1FF2">
              <w:rPr>
                <w:color w:val="000000"/>
                <w:sz w:val="20"/>
                <w:szCs w:val="20"/>
              </w:rPr>
              <w:t xml:space="preserve">own systems for switching customers to the best offer, </w:t>
            </w:r>
            <w:r w:rsidR="00A67A79">
              <w:rPr>
                <w:color w:val="000000"/>
                <w:sz w:val="20"/>
                <w:szCs w:val="20"/>
              </w:rPr>
              <w:t xml:space="preserve">it is expected that </w:t>
            </w:r>
            <w:r w:rsidR="00B120E4">
              <w:rPr>
                <w:color w:val="000000"/>
                <w:sz w:val="20"/>
                <w:szCs w:val="20"/>
              </w:rPr>
              <w:t xml:space="preserve">adjusting </w:t>
            </w:r>
            <w:r w:rsidR="004469F0">
              <w:rPr>
                <w:color w:val="000000"/>
                <w:sz w:val="20"/>
                <w:szCs w:val="20"/>
              </w:rPr>
              <w:t xml:space="preserve">current systems to meet </w:t>
            </w:r>
            <w:r w:rsidR="007F4D70">
              <w:rPr>
                <w:color w:val="000000"/>
                <w:sz w:val="20"/>
                <w:szCs w:val="20"/>
              </w:rPr>
              <w:t xml:space="preserve">a </w:t>
            </w:r>
            <w:r w:rsidR="00B8097B">
              <w:rPr>
                <w:color w:val="000000"/>
                <w:sz w:val="20"/>
                <w:szCs w:val="20"/>
              </w:rPr>
              <w:t xml:space="preserve">set of </w:t>
            </w:r>
            <w:r w:rsidR="007F4D70">
              <w:rPr>
                <w:color w:val="000000"/>
                <w:sz w:val="20"/>
                <w:szCs w:val="20"/>
              </w:rPr>
              <w:t>standardised</w:t>
            </w:r>
            <w:r w:rsidR="00584BDD">
              <w:rPr>
                <w:color w:val="000000"/>
                <w:sz w:val="20"/>
                <w:szCs w:val="20"/>
              </w:rPr>
              <w:t xml:space="preserve">, prescriptive </w:t>
            </w:r>
            <w:r w:rsidR="00B8097B">
              <w:rPr>
                <w:color w:val="000000"/>
                <w:sz w:val="20"/>
                <w:szCs w:val="20"/>
              </w:rPr>
              <w:t xml:space="preserve">requirements would </w:t>
            </w:r>
            <w:r w:rsidR="00AA0CB7">
              <w:rPr>
                <w:color w:val="000000"/>
                <w:sz w:val="20"/>
                <w:szCs w:val="20"/>
              </w:rPr>
              <w:t>necessitate more retailers to make more significant changes, leading to higher implementation costs.</w:t>
            </w:r>
          </w:p>
          <w:p w14:paraId="5223D412" w14:textId="549647DC" w:rsidR="00C93C54" w:rsidRDefault="002E2578">
            <w:pPr>
              <w:spacing w:after="120" w:line="240" w:lineRule="auto"/>
              <w:rPr>
                <w:color w:val="000000"/>
                <w:sz w:val="20"/>
                <w:szCs w:val="20"/>
              </w:rPr>
            </w:pPr>
            <w:r>
              <w:rPr>
                <w:color w:val="000000"/>
                <w:sz w:val="20"/>
                <w:szCs w:val="20"/>
              </w:rPr>
              <w:t>Retailers would also</w:t>
            </w:r>
            <w:r w:rsidR="001F51C0">
              <w:rPr>
                <w:color w:val="000000"/>
                <w:sz w:val="20"/>
                <w:szCs w:val="20"/>
              </w:rPr>
              <w:t xml:space="preserve"> </w:t>
            </w:r>
            <w:r w:rsidR="00AA0CB7">
              <w:rPr>
                <w:color w:val="000000"/>
                <w:sz w:val="20"/>
                <w:szCs w:val="20"/>
              </w:rPr>
              <w:t xml:space="preserve">have </w:t>
            </w:r>
            <w:r w:rsidR="00395499">
              <w:rPr>
                <w:color w:val="000000"/>
                <w:sz w:val="20"/>
                <w:szCs w:val="20"/>
              </w:rPr>
              <w:t xml:space="preserve">increased compliance costs under this option. Although </w:t>
            </w:r>
            <w:r w:rsidR="00C36D5F">
              <w:rPr>
                <w:color w:val="000000"/>
                <w:sz w:val="20"/>
                <w:szCs w:val="20"/>
              </w:rPr>
              <w:t xml:space="preserve">it can be </w:t>
            </w:r>
            <w:r w:rsidR="00425064">
              <w:rPr>
                <w:color w:val="000000"/>
                <w:sz w:val="20"/>
                <w:szCs w:val="20"/>
              </w:rPr>
              <w:t xml:space="preserve">simpler to demonstrate compliance against clear, prescriptive requirements, </w:t>
            </w:r>
            <w:r w:rsidR="00177910">
              <w:rPr>
                <w:color w:val="000000"/>
                <w:sz w:val="20"/>
                <w:szCs w:val="20"/>
              </w:rPr>
              <w:t xml:space="preserve">the lack of flexibility </w:t>
            </w:r>
            <w:r w:rsidR="00900E41">
              <w:rPr>
                <w:color w:val="000000"/>
                <w:sz w:val="20"/>
                <w:szCs w:val="20"/>
              </w:rPr>
              <w:t>in complying</w:t>
            </w:r>
            <w:r w:rsidR="00177910">
              <w:rPr>
                <w:color w:val="000000"/>
                <w:sz w:val="20"/>
                <w:szCs w:val="20"/>
              </w:rPr>
              <w:t xml:space="preserve"> </w:t>
            </w:r>
            <w:r w:rsidR="00EC0213">
              <w:rPr>
                <w:color w:val="000000"/>
                <w:sz w:val="20"/>
                <w:szCs w:val="20"/>
              </w:rPr>
              <w:t xml:space="preserve">with these requirements </w:t>
            </w:r>
            <w:r w:rsidR="00E765EE">
              <w:rPr>
                <w:color w:val="000000"/>
                <w:sz w:val="20"/>
                <w:szCs w:val="20"/>
              </w:rPr>
              <w:t xml:space="preserve">would increase costs. For example, retailers may need </w:t>
            </w:r>
            <w:r w:rsidR="00BA2AF2">
              <w:rPr>
                <w:color w:val="000000"/>
                <w:sz w:val="20"/>
                <w:szCs w:val="20"/>
              </w:rPr>
              <w:t xml:space="preserve">to hire </w:t>
            </w:r>
            <w:r w:rsidR="00E765EE">
              <w:rPr>
                <w:color w:val="000000"/>
                <w:sz w:val="20"/>
                <w:szCs w:val="20"/>
              </w:rPr>
              <w:t xml:space="preserve">additional staff </w:t>
            </w:r>
            <w:r w:rsidR="00055584">
              <w:rPr>
                <w:color w:val="000000"/>
                <w:sz w:val="20"/>
                <w:szCs w:val="20"/>
              </w:rPr>
              <w:t xml:space="preserve">to support customers being </w:t>
            </w:r>
            <w:r w:rsidR="00553611">
              <w:rPr>
                <w:color w:val="000000"/>
                <w:sz w:val="20"/>
                <w:szCs w:val="20"/>
              </w:rPr>
              <w:t>switched to the best offer within prescribed maximum timef</w:t>
            </w:r>
            <w:r w:rsidR="00BA167D">
              <w:rPr>
                <w:color w:val="000000"/>
                <w:sz w:val="20"/>
                <w:szCs w:val="20"/>
              </w:rPr>
              <w:t xml:space="preserve">rames. </w:t>
            </w:r>
            <w:r w:rsidR="00F94727">
              <w:rPr>
                <w:color w:val="000000"/>
                <w:sz w:val="20"/>
                <w:szCs w:val="20"/>
              </w:rPr>
              <w:t xml:space="preserve">Retailers may also need to </w:t>
            </w:r>
            <w:r w:rsidR="004F494F">
              <w:rPr>
                <w:color w:val="000000"/>
                <w:sz w:val="20"/>
                <w:szCs w:val="20"/>
              </w:rPr>
              <w:t xml:space="preserve">spend significant resources </w:t>
            </w:r>
            <w:r w:rsidR="00BC25BE">
              <w:rPr>
                <w:color w:val="000000"/>
                <w:sz w:val="20"/>
                <w:szCs w:val="20"/>
              </w:rPr>
              <w:t xml:space="preserve">to </w:t>
            </w:r>
            <w:r w:rsidR="004F494F">
              <w:rPr>
                <w:color w:val="000000"/>
                <w:sz w:val="20"/>
                <w:szCs w:val="20"/>
              </w:rPr>
              <w:t xml:space="preserve">support customers in </w:t>
            </w:r>
            <w:r w:rsidR="00353066">
              <w:rPr>
                <w:color w:val="000000"/>
                <w:sz w:val="20"/>
                <w:szCs w:val="20"/>
              </w:rPr>
              <w:t>using a standard</w:t>
            </w:r>
            <w:r w:rsidR="00D72155">
              <w:rPr>
                <w:color w:val="000000"/>
                <w:sz w:val="20"/>
                <w:szCs w:val="20"/>
              </w:rPr>
              <w:t>ised</w:t>
            </w:r>
            <w:r w:rsidR="00353066">
              <w:rPr>
                <w:color w:val="000000"/>
                <w:sz w:val="20"/>
                <w:szCs w:val="20"/>
              </w:rPr>
              <w:t xml:space="preserve"> form for switching that may not be compatible with the</w:t>
            </w:r>
            <w:r w:rsidR="007511EB">
              <w:rPr>
                <w:color w:val="000000"/>
                <w:sz w:val="20"/>
                <w:szCs w:val="20"/>
              </w:rPr>
              <w:t xml:space="preserve"> retailer’s other </w:t>
            </w:r>
            <w:r w:rsidR="00353066">
              <w:rPr>
                <w:color w:val="000000"/>
                <w:sz w:val="20"/>
                <w:szCs w:val="20"/>
              </w:rPr>
              <w:t xml:space="preserve">systems or the specific needs of their customer base. </w:t>
            </w:r>
            <w:r w:rsidR="00055584">
              <w:rPr>
                <w:color w:val="000000"/>
                <w:sz w:val="20"/>
                <w:szCs w:val="20"/>
              </w:rPr>
              <w:t xml:space="preserve"> </w:t>
            </w:r>
          </w:p>
          <w:p w14:paraId="0B545B6E" w14:textId="0E323582" w:rsidR="00A02A05" w:rsidRDefault="00DA43BD">
            <w:pPr>
              <w:spacing w:after="120" w:line="240" w:lineRule="auto"/>
              <w:rPr>
                <w:color w:val="000000"/>
                <w:sz w:val="20"/>
                <w:szCs w:val="20"/>
              </w:rPr>
            </w:pPr>
            <w:r w:rsidRPr="00800122">
              <w:rPr>
                <w:color w:val="000000"/>
                <w:sz w:val="20"/>
                <w:szCs w:val="20"/>
              </w:rPr>
              <w:t>While prescriptive regulations can be quite effective in achieving outcomes</w:t>
            </w:r>
            <w:r w:rsidR="00353066">
              <w:rPr>
                <w:color w:val="000000"/>
                <w:sz w:val="20"/>
                <w:szCs w:val="20"/>
              </w:rPr>
              <w:t xml:space="preserve"> and setting a </w:t>
            </w:r>
            <w:r w:rsidR="004B3F16">
              <w:rPr>
                <w:color w:val="000000"/>
                <w:sz w:val="20"/>
                <w:szCs w:val="20"/>
              </w:rPr>
              <w:t xml:space="preserve">consistent level </w:t>
            </w:r>
            <w:r w:rsidR="00FF2720">
              <w:rPr>
                <w:color w:val="000000"/>
                <w:sz w:val="20"/>
                <w:szCs w:val="20"/>
              </w:rPr>
              <w:t>of practice across a sector</w:t>
            </w:r>
            <w:r w:rsidRPr="00800122">
              <w:rPr>
                <w:color w:val="000000"/>
                <w:sz w:val="20"/>
                <w:szCs w:val="20"/>
              </w:rPr>
              <w:t xml:space="preserve">, </w:t>
            </w:r>
            <w:r w:rsidR="006A3DEA">
              <w:rPr>
                <w:color w:val="000000"/>
                <w:sz w:val="20"/>
                <w:szCs w:val="20"/>
              </w:rPr>
              <w:t>it</w:t>
            </w:r>
            <w:r w:rsidR="006A3DEA" w:rsidRPr="00800122">
              <w:rPr>
                <w:color w:val="000000"/>
                <w:sz w:val="20"/>
                <w:szCs w:val="20"/>
              </w:rPr>
              <w:t xml:space="preserve"> </w:t>
            </w:r>
            <w:r w:rsidRPr="00800122">
              <w:rPr>
                <w:color w:val="000000"/>
                <w:sz w:val="20"/>
                <w:szCs w:val="20"/>
              </w:rPr>
              <w:t>generally impose</w:t>
            </w:r>
            <w:r w:rsidR="006A3DEA">
              <w:rPr>
                <w:color w:val="000000"/>
                <w:sz w:val="20"/>
                <w:szCs w:val="20"/>
              </w:rPr>
              <w:t>s</w:t>
            </w:r>
            <w:r w:rsidRPr="00800122">
              <w:rPr>
                <w:color w:val="000000"/>
                <w:sz w:val="20"/>
                <w:szCs w:val="20"/>
              </w:rPr>
              <w:t xml:space="preserve"> a higher regulatory burden on industry. </w:t>
            </w:r>
          </w:p>
          <w:p w14:paraId="7611B6C4" w14:textId="77777777" w:rsidR="00A02A05" w:rsidRPr="00FA74BC" w:rsidRDefault="00A02A05" w:rsidP="00A02A05">
            <w:pPr>
              <w:spacing w:after="120" w:line="240" w:lineRule="auto"/>
              <w:rPr>
                <w:color w:val="000000"/>
                <w:sz w:val="20"/>
                <w:szCs w:val="20"/>
                <w:u w:val="single"/>
              </w:rPr>
            </w:pPr>
            <w:r w:rsidRPr="00FA74BC">
              <w:rPr>
                <w:color w:val="000000"/>
                <w:sz w:val="20"/>
                <w:szCs w:val="20"/>
                <w:u w:val="single"/>
              </w:rPr>
              <w:t>Cost transfers</w:t>
            </w:r>
          </w:p>
          <w:p w14:paraId="5831DC6E" w14:textId="2165FBE4" w:rsidR="001E6C9E" w:rsidRDefault="00DA43BD">
            <w:pPr>
              <w:spacing w:after="120" w:line="240" w:lineRule="auto"/>
              <w:rPr>
                <w:color w:val="000000"/>
                <w:sz w:val="20"/>
                <w:szCs w:val="20"/>
              </w:rPr>
            </w:pPr>
            <w:r w:rsidRPr="00800122">
              <w:rPr>
                <w:color w:val="000000"/>
                <w:sz w:val="20"/>
                <w:szCs w:val="20"/>
              </w:rPr>
              <w:t>In addition, a higher number of customers moving to the best offer will also reduce industry income.</w:t>
            </w:r>
            <w:r w:rsidR="001E6C9E">
              <w:rPr>
                <w:color w:val="000000"/>
                <w:sz w:val="20"/>
                <w:szCs w:val="20"/>
              </w:rPr>
              <w:t xml:space="preserve"> We note that if </w:t>
            </w:r>
            <w:r w:rsidR="001E6C9E" w:rsidRPr="00F94D79">
              <w:rPr>
                <w:color w:val="000000"/>
                <w:sz w:val="20"/>
                <w:szCs w:val="20"/>
              </w:rPr>
              <w:t xml:space="preserve">retailers are unable to recover this revenue due to competitive pressures, </w:t>
            </w:r>
            <w:r w:rsidR="002B4C61">
              <w:rPr>
                <w:color w:val="000000"/>
                <w:sz w:val="20"/>
                <w:szCs w:val="20"/>
              </w:rPr>
              <w:t>this</w:t>
            </w:r>
            <w:r w:rsidR="001E6C9E" w:rsidRPr="00F94D79">
              <w:rPr>
                <w:color w:val="000000"/>
                <w:sz w:val="20"/>
                <w:szCs w:val="20"/>
              </w:rPr>
              <w:t xml:space="preserve"> reflects a normal feature of </w:t>
            </w:r>
            <w:r w:rsidR="002B4C61">
              <w:rPr>
                <w:color w:val="000000"/>
                <w:sz w:val="20"/>
                <w:szCs w:val="20"/>
              </w:rPr>
              <w:t xml:space="preserve">an </w:t>
            </w:r>
            <w:r w:rsidR="001E6C9E" w:rsidRPr="00F94D79">
              <w:rPr>
                <w:color w:val="000000"/>
                <w:sz w:val="20"/>
                <w:szCs w:val="20"/>
              </w:rPr>
              <w:t>efficient market functioning.</w:t>
            </w:r>
            <w:r w:rsidR="00357F00">
              <w:rPr>
                <w:color w:val="000000"/>
                <w:sz w:val="20"/>
                <w:szCs w:val="20"/>
              </w:rPr>
              <w:t xml:space="preserve"> </w:t>
            </w:r>
            <w:r w:rsidR="008A791A">
              <w:rPr>
                <w:color w:val="000000"/>
                <w:sz w:val="20"/>
                <w:szCs w:val="20"/>
              </w:rPr>
              <w:t xml:space="preserve"> Be</w:t>
            </w:r>
            <w:r w:rsidR="00357F00">
              <w:rPr>
                <w:color w:val="000000"/>
                <w:sz w:val="20"/>
                <w:szCs w:val="20"/>
              </w:rPr>
              <w:t>cause w</w:t>
            </w:r>
            <w:r w:rsidR="00DF64B5">
              <w:rPr>
                <w:color w:val="000000"/>
                <w:sz w:val="20"/>
                <w:szCs w:val="20"/>
              </w:rPr>
              <w:t xml:space="preserve">e expect the effectiveness score for this option to be roughly equivalent to Option C.1, the </w:t>
            </w:r>
            <w:r w:rsidR="00CA2003">
              <w:rPr>
                <w:color w:val="000000"/>
                <w:sz w:val="20"/>
                <w:szCs w:val="20"/>
              </w:rPr>
              <w:t>cost transfer is also estimated to be roughly the same</w:t>
            </w:r>
            <w:r w:rsidR="00DF52E2">
              <w:rPr>
                <w:color w:val="000000"/>
                <w:sz w:val="20"/>
                <w:szCs w:val="20"/>
              </w:rPr>
              <w:t xml:space="preserve"> under this option. </w:t>
            </w:r>
          </w:p>
          <w:p w14:paraId="38066E97" w14:textId="607D1F5C" w:rsidR="00DA43BD" w:rsidRPr="00800122" w:rsidRDefault="00357F00">
            <w:pPr>
              <w:spacing w:after="120" w:line="240" w:lineRule="auto"/>
              <w:rPr>
                <w:color w:val="000000"/>
                <w:sz w:val="20"/>
                <w:szCs w:val="20"/>
              </w:rPr>
            </w:pPr>
            <w:r>
              <w:rPr>
                <w:color w:val="000000"/>
                <w:sz w:val="20"/>
                <w:szCs w:val="20"/>
              </w:rPr>
              <w:t>Principally as a result of higher expected compliance costs</w:t>
            </w:r>
            <w:r w:rsidR="005C6BA1">
              <w:rPr>
                <w:color w:val="000000"/>
                <w:sz w:val="20"/>
                <w:szCs w:val="20"/>
              </w:rPr>
              <w:t xml:space="preserve">, this option </w:t>
            </w:r>
            <w:r w:rsidR="00EE170C">
              <w:rPr>
                <w:color w:val="000000"/>
                <w:sz w:val="20"/>
                <w:szCs w:val="20"/>
              </w:rPr>
              <w:t>scores</w:t>
            </w:r>
            <w:r w:rsidR="0087665D">
              <w:rPr>
                <w:color w:val="000000"/>
                <w:sz w:val="20"/>
                <w:szCs w:val="20"/>
              </w:rPr>
              <w:t xml:space="preserve"> higher under this criterion compared to options C.1 and C.2. </w:t>
            </w:r>
          </w:p>
        </w:tc>
        <w:tc>
          <w:tcPr>
            <w:tcW w:w="994" w:type="dxa"/>
            <w:tcBorders>
              <w:bottom w:val="single" w:sz="4" w:space="0" w:color="4986A0"/>
            </w:tcBorders>
          </w:tcPr>
          <w:p w14:paraId="5CE98935" w14:textId="2752CE99" w:rsidR="0036716C" w:rsidRPr="00800122" w:rsidRDefault="00434A1D">
            <w:pPr>
              <w:spacing w:after="120" w:line="240" w:lineRule="auto"/>
              <w:ind w:right="314"/>
              <w:jc w:val="right"/>
              <w:rPr>
                <w:color w:val="000000"/>
                <w:sz w:val="20"/>
                <w:szCs w:val="20"/>
              </w:rPr>
            </w:pPr>
            <w:r>
              <w:rPr>
                <w:color w:val="000000"/>
                <w:sz w:val="20"/>
                <w:szCs w:val="20"/>
              </w:rPr>
              <w:lastRenderedPageBreak/>
              <w:t>-3</w:t>
            </w:r>
          </w:p>
        </w:tc>
        <w:tc>
          <w:tcPr>
            <w:tcW w:w="1217" w:type="dxa"/>
            <w:tcBorders>
              <w:bottom w:val="single" w:sz="4" w:space="0" w:color="4986A0"/>
            </w:tcBorders>
            <w:tcMar>
              <w:top w:w="0" w:type="dxa"/>
              <w:left w:w="123" w:type="dxa"/>
              <w:bottom w:w="0" w:type="dxa"/>
              <w:right w:w="123" w:type="dxa"/>
            </w:tcMar>
            <w:hideMark/>
          </w:tcPr>
          <w:p w14:paraId="69CD79E9" w14:textId="77777777" w:rsidR="00DA43BD" w:rsidRPr="00800122" w:rsidRDefault="00DA43BD">
            <w:pPr>
              <w:spacing w:after="120" w:line="240" w:lineRule="auto"/>
              <w:ind w:right="314"/>
              <w:jc w:val="right"/>
              <w:rPr>
                <w:color w:val="000000"/>
                <w:sz w:val="20"/>
                <w:szCs w:val="20"/>
              </w:rPr>
            </w:pPr>
            <w:r w:rsidRPr="00800122">
              <w:rPr>
                <w:color w:val="000000"/>
                <w:sz w:val="20"/>
                <w:szCs w:val="20"/>
              </w:rPr>
              <w:t>-1.2</w:t>
            </w:r>
          </w:p>
        </w:tc>
      </w:tr>
    </w:tbl>
    <w:p w14:paraId="7DF5C157" w14:textId="4C989153" w:rsidR="00CD53B9" w:rsidRDefault="00CD53B9" w:rsidP="00CD53B9"/>
    <w:p w14:paraId="27BACFF2" w14:textId="02405AE3" w:rsidR="008C23D4" w:rsidRDefault="008C23D4" w:rsidP="000F6481">
      <w:pPr>
        <w:pStyle w:val="Figure-Table-BoxSubtitle"/>
        <w:ind w:left="0"/>
      </w:pPr>
      <w:r w:rsidRPr="000F6481">
        <w:rPr>
          <w:rStyle w:val="Figure-Table-BoxHeadingChar"/>
        </w:rPr>
        <w:t xml:space="preserve">Table </w:t>
      </w:r>
      <w:r w:rsidR="002E5943" w:rsidRPr="000F6481">
        <w:rPr>
          <w:rStyle w:val="Figure-Table-BoxHeadingChar"/>
        </w:rPr>
        <w:t>21</w:t>
      </w:r>
      <w:r w:rsidRPr="000F6481">
        <w:rPr>
          <w:rStyle w:val="Figure-Table-BoxHeadingChar"/>
        </w:rPr>
        <w:t>:</w:t>
      </w:r>
      <w:r w:rsidRPr="000F6481">
        <w:t xml:space="preserve"> </w:t>
      </w:r>
      <w:r w:rsidRPr="003A49F5">
        <w:t>MCA Assessment of Option</w:t>
      </w:r>
      <w:r w:rsidR="00E83612">
        <w:t>s</w:t>
      </w:r>
      <w:r w:rsidRPr="003A49F5">
        <w:t xml:space="preserve"> C.</w:t>
      </w:r>
      <w:r w:rsidR="00DA43BD">
        <w:t>1, C.2 and C.3: Cost to government</w:t>
      </w:r>
    </w:p>
    <w:tbl>
      <w:tblPr>
        <w:tblW w:w="0" w:type="auto"/>
        <w:tblCellMar>
          <w:left w:w="0" w:type="dxa"/>
          <w:right w:w="0" w:type="dxa"/>
        </w:tblCellMar>
        <w:tblLook w:val="04A0" w:firstRow="1" w:lastRow="0" w:firstColumn="1" w:lastColumn="0" w:noHBand="0" w:noVBand="1"/>
      </w:tblPr>
      <w:tblGrid>
        <w:gridCol w:w="817"/>
        <w:gridCol w:w="1823"/>
        <w:gridCol w:w="4799"/>
        <w:gridCol w:w="984"/>
        <w:gridCol w:w="1215"/>
      </w:tblGrid>
      <w:tr w:rsidR="000A09DF" w14:paraId="6295934A" w14:textId="77777777" w:rsidTr="003E66B6">
        <w:tc>
          <w:tcPr>
            <w:tcW w:w="709" w:type="dxa"/>
            <w:tcBorders>
              <w:top w:val="single" w:sz="4" w:space="0" w:color="4986A0"/>
              <w:bottom w:val="single" w:sz="4" w:space="0" w:color="4986A0"/>
            </w:tcBorders>
            <w:shd w:val="clear" w:color="auto" w:fill="4986A0"/>
            <w:tcMar>
              <w:top w:w="0" w:type="dxa"/>
              <w:left w:w="0" w:type="dxa"/>
              <w:bottom w:w="0" w:type="dxa"/>
              <w:right w:w="0" w:type="dxa"/>
            </w:tcMar>
            <w:hideMark/>
          </w:tcPr>
          <w:p w14:paraId="108BF325" w14:textId="77777777" w:rsidR="000A09DF" w:rsidRDefault="000A09DF" w:rsidP="00763DAE">
            <w:pPr>
              <w:spacing w:before="60" w:after="60" w:line="240" w:lineRule="auto"/>
              <w:jc w:val="center"/>
              <w:rPr>
                <w:color w:val="000000"/>
                <w:sz w:val="20"/>
                <w:szCs w:val="20"/>
              </w:rPr>
            </w:pPr>
            <w:r>
              <w:rPr>
                <w:b/>
                <w:bCs/>
                <w:color w:val="FFFFFF"/>
                <w:sz w:val="20"/>
                <w:szCs w:val="20"/>
              </w:rPr>
              <w:t>Option</w:t>
            </w:r>
          </w:p>
        </w:tc>
        <w:tc>
          <w:tcPr>
            <w:tcW w:w="1837"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63597F82" w14:textId="77777777" w:rsidR="003E66B6" w:rsidRDefault="000A09DF" w:rsidP="00763DAE">
            <w:pPr>
              <w:spacing w:before="60" w:after="60" w:line="240" w:lineRule="auto"/>
              <w:jc w:val="center"/>
              <w:rPr>
                <w:b/>
                <w:bCs/>
                <w:color w:val="FFFFFF"/>
                <w:sz w:val="20"/>
                <w:szCs w:val="20"/>
              </w:rPr>
            </w:pPr>
            <w:r>
              <w:rPr>
                <w:b/>
                <w:bCs/>
                <w:color w:val="FFFFFF"/>
                <w:sz w:val="20"/>
                <w:szCs w:val="20"/>
              </w:rPr>
              <w:t>Criteria</w:t>
            </w:r>
          </w:p>
          <w:p w14:paraId="63FB9E58" w14:textId="294E1F39" w:rsidR="000A09DF" w:rsidRDefault="000A09DF" w:rsidP="00763DAE">
            <w:pPr>
              <w:spacing w:before="60" w:after="60" w:line="240" w:lineRule="auto"/>
              <w:jc w:val="center"/>
              <w:rPr>
                <w:color w:val="000000"/>
                <w:sz w:val="20"/>
                <w:szCs w:val="20"/>
              </w:rPr>
            </w:pPr>
            <w:r>
              <w:rPr>
                <w:b/>
                <w:bCs/>
                <w:color w:val="FFFFFF"/>
                <w:sz w:val="20"/>
                <w:szCs w:val="20"/>
              </w:rPr>
              <w:t>(weighting 10%)</w:t>
            </w:r>
          </w:p>
        </w:tc>
        <w:tc>
          <w:tcPr>
            <w:tcW w:w="4884"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46F66FE2" w14:textId="77777777" w:rsidR="000A09DF" w:rsidRDefault="000A09DF" w:rsidP="00763DAE">
            <w:pPr>
              <w:spacing w:before="60" w:after="60" w:line="240" w:lineRule="auto"/>
              <w:jc w:val="center"/>
              <w:rPr>
                <w:color w:val="000000"/>
                <w:sz w:val="20"/>
                <w:szCs w:val="20"/>
              </w:rPr>
            </w:pPr>
            <w:r>
              <w:rPr>
                <w:b/>
                <w:bCs/>
                <w:color w:val="FFFFFF"/>
                <w:sz w:val="20"/>
                <w:szCs w:val="20"/>
              </w:rPr>
              <w:t>Assessment</w:t>
            </w:r>
          </w:p>
        </w:tc>
        <w:tc>
          <w:tcPr>
            <w:tcW w:w="991" w:type="dxa"/>
            <w:tcBorders>
              <w:top w:val="single" w:sz="4" w:space="0" w:color="4986A0"/>
              <w:bottom w:val="single" w:sz="4" w:space="0" w:color="4986A0"/>
            </w:tcBorders>
            <w:shd w:val="clear" w:color="auto" w:fill="4986A0"/>
          </w:tcPr>
          <w:p w14:paraId="497EE15A" w14:textId="35109A0F" w:rsidR="00434A1D" w:rsidRDefault="00434A1D" w:rsidP="00763DAE">
            <w:pPr>
              <w:spacing w:before="60" w:after="60" w:line="240" w:lineRule="auto"/>
              <w:jc w:val="center"/>
              <w:rPr>
                <w:b/>
                <w:bCs/>
                <w:color w:val="FFFFFF"/>
                <w:sz w:val="20"/>
                <w:szCs w:val="20"/>
              </w:rPr>
            </w:pPr>
            <w:r>
              <w:rPr>
                <w:b/>
                <w:bCs/>
                <w:color w:val="FFFFFF"/>
                <w:sz w:val="20"/>
                <w:szCs w:val="20"/>
              </w:rPr>
              <w:t>Score</w:t>
            </w:r>
          </w:p>
          <w:p w14:paraId="02759FFF" w14:textId="3B316145" w:rsidR="00434A1D" w:rsidRDefault="003E66B6" w:rsidP="00763DAE">
            <w:pPr>
              <w:spacing w:before="60" w:after="60" w:line="240" w:lineRule="auto"/>
              <w:jc w:val="center"/>
              <w:rPr>
                <w:b/>
                <w:bCs/>
                <w:color w:val="FFFFFF"/>
                <w:sz w:val="20"/>
                <w:szCs w:val="20"/>
              </w:rPr>
            </w:pPr>
            <w:r>
              <w:rPr>
                <w:b/>
                <w:bCs/>
                <w:color w:val="FFFFFF"/>
                <w:sz w:val="20"/>
                <w:szCs w:val="20"/>
              </w:rPr>
              <w:t>(-10 to 10)</w:t>
            </w:r>
          </w:p>
        </w:tc>
        <w:tc>
          <w:tcPr>
            <w:tcW w:w="1217"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772F09BD" w14:textId="77777777" w:rsidR="000A09DF" w:rsidRDefault="000A09DF" w:rsidP="00763DAE">
            <w:pPr>
              <w:spacing w:before="60" w:after="60" w:line="240" w:lineRule="auto"/>
              <w:jc w:val="center"/>
              <w:rPr>
                <w:color w:val="000000"/>
                <w:sz w:val="20"/>
                <w:szCs w:val="20"/>
              </w:rPr>
            </w:pPr>
            <w:r>
              <w:rPr>
                <w:b/>
                <w:bCs/>
                <w:color w:val="FFFFFF"/>
                <w:sz w:val="20"/>
                <w:szCs w:val="20"/>
              </w:rPr>
              <w:t>Weighted score</w:t>
            </w:r>
          </w:p>
        </w:tc>
      </w:tr>
      <w:tr w:rsidR="000A09DF" w14:paraId="1F79960D" w14:textId="77777777" w:rsidTr="00434A1D">
        <w:trPr>
          <w:trHeight w:val="333"/>
        </w:trPr>
        <w:tc>
          <w:tcPr>
            <w:tcW w:w="821" w:type="dxa"/>
            <w:tcMar>
              <w:top w:w="0" w:type="dxa"/>
              <w:left w:w="0" w:type="dxa"/>
              <w:bottom w:w="0" w:type="dxa"/>
              <w:right w:w="0" w:type="dxa"/>
            </w:tcMar>
            <w:hideMark/>
          </w:tcPr>
          <w:p w14:paraId="1F407300" w14:textId="77777777" w:rsidR="000A09DF" w:rsidRDefault="000A09DF">
            <w:pPr>
              <w:spacing w:after="120" w:line="240" w:lineRule="auto"/>
              <w:rPr>
                <w:color w:val="000000"/>
                <w:sz w:val="20"/>
                <w:szCs w:val="20"/>
              </w:rPr>
            </w:pPr>
            <w:r>
              <w:rPr>
                <w:color w:val="000000"/>
                <w:sz w:val="20"/>
                <w:szCs w:val="20"/>
              </w:rPr>
              <w:t>C.1</w:t>
            </w:r>
          </w:p>
        </w:tc>
        <w:tc>
          <w:tcPr>
            <w:tcW w:w="1725" w:type="dxa"/>
            <w:tcMar>
              <w:top w:w="0" w:type="dxa"/>
              <w:left w:w="123" w:type="dxa"/>
              <w:bottom w:w="0" w:type="dxa"/>
              <w:right w:w="123" w:type="dxa"/>
            </w:tcMar>
            <w:hideMark/>
          </w:tcPr>
          <w:p w14:paraId="068876CF" w14:textId="77777777" w:rsidR="000A09DF" w:rsidRDefault="000A09DF">
            <w:pPr>
              <w:spacing w:after="120" w:line="240" w:lineRule="auto"/>
              <w:rPr>
                <w:color w:val="000000"/>
                <w:sz w:val="20"/>
                <w:szCs w:val="20"/>
              </w:rPr>
            </w:pPr>
            <w:r>
              <w:rPr>
                <w:color w:val="000000"/>
                <w:sz w:val="20"/>
                <w:szCs w:val="20"/>
              </w:rPr>
              <w:t xml:space="preserve">Cost to government </w:t>
            </w:r>
          </w:p>
        </w:tc>
        <w:tc>
          <w:tcPr>
            <w:tcW w:w="4884" w:type="dxa"/>
            <w:tcMar>
              <w:top w:w="0" w:type="dxa"/>
              <w:left w:w="123" w:type="dxa"/>
              <w:bottom w:w="0" w:type="dxa"/>
              <w:right w:w="123" w:type="dxa"/>
            </w:tcMar>
            <w:hideMark/>
          </w:tcPr>
          <w:p w14:paraId="3C429254" w14:textId="79EB5D9D" w:rsidR="000A09DF" w:rsidRDefault="000A09DF">
            <w:pPr>
              <w:spacing w:after="120" w:line="240" w:lineRule="auto"/>
              <w:rPr>
                <w:color w:val="000000"/>
                <w:sz w:val="20"/>
                <w:szCs w:val="20"/>
              </w:rPr>
            </w:pPr>
            <w:r>
              <w:rPr>
                <w:color w:val="000000"/>
                <w:sz w:val="20"/>
                <w:szCs w:val="20"/>
              </w:rPr>
              <w:t>Under this option</w:t>
            </w:r>
            <w:r w:rsidR="00EF7DF7">
              <w:rPr>
                <w:color w:val="000000"/>
                <w:sz w:val="20"/>
                <w:szCs w:val="20"/>
              </w:rPr>
              <w:t>,</w:t>
            </w:r>
            <w:r>
              <w:rPr>
                <w:color w:val="000000"/>
                <w:sz w:val="20"/>
                <w:szCs w:val="20"/>
              </w:rPr>
              <w:t xml:space="preserve"> government would need to design</w:t>
            </w:r>
            <w:r w:rsidR="00EF7DF7">
              <w:rPr>
                <w:color w:val="000000"/>
                <w:sz w:val="20"/>
                <w:szCs w:val="20"/>
              </w:rPr>
              <w:t>, or support the design of,</w:t>
            </w:r>
            <w:r>
              <w:rPr>
                <w:color w:val="000000"/>
                <w:sz w:val="20"/>
                <w:szCs w:val="20"/>
              </w:rPr>
              <w:t xml:space="preserve"> metrics to provide </w:t>
            </w:r>
            <w:r w:rsidR="00F67C58">
              <w:rPr>
                <w:color w:val="000000"/>
                <w:sz w:val="20"/>
                <w:szCs w:val="20"/>
              </w:rPr>
              <w:t>support and direction</w:t>
            </w:r>
            <w:r>
              <w:rPr>
                <w:color w:val="000000"/>
                <w:sz w:val="20"/>
                <w:szCs w:val="20"/>
              </w:rPr>
              <w:t xml:space="preserve"> for industry to design its outcomes-based approach. Government would also monitor energy retailer performance against these metrics. Aside from these activities, there </w:t>
            </w:r>
            <w:r>
              <w:rPr>
                <w:color w:val="000000"/>
                <w:sz w:val="20"/>
                <w:szCs w:val="20"/>
              </w:rPr>
              <w:lastRenderedPageBreak/>
              <w:t>would be minimal government involved under this option and costs would be relatively low.</w:t>
            </w:r>
          </w:p>
        </w:tc>
        <w:tc>
          <w:tcPr>
            <w:tcW w:w="991" w:type="dxa"/>
          </w:tcPr>
          <w:p w14:paraId="3FBE15E4" w14:textId="52FAC5D7" w:rsidR="00434A1D" w:rsidRDefault="00C72005">
            <w:pPr>
              <w:spacing w:after="120" w:line="240" w:lineRule="auto"/>
              <w:ind w:right="314"/>
              <w:jc w:val="right"/>
              <w:rPr>
                <w:color w:val="000000"/>
                <w:sz w:val="20"/>
                <w:szCs w:val="20"/>
              </w:rPr>
            </w:pPr>
            <w:r>
              <w:rPr>
                <w:color w:val="000000"/>
                <w:sz w:val="20"/>
                <w:szCs w:val="20"/>
              </w:rPr>
              <w:lastRenderedPageBreak/>
              <w:t>-0.25</w:t>
            </w:r>
          </w:p>
        </w:tc>
        <w:tc>
          <w:tcPr>
            <w:tcW w:w="1217" w:type="dxa"/>
            <w:tcMar>
              <w:top w:w="0" w:type="dxa"/>
              <w:left w:w="123" w:type="dxa"/>
              <w:bottom w:w="0" w:type="dxa"/>
              <w:right w:w="123" w:type="dxa"/>
            </w:tcMar>
            <w:hideMark/>
          </w:tcPr>
          <w:p w14:paraId="60F48405" w14:textId="77777777" w:rsidR="000A09DF" w:rsidRDefault="000A09DF">
            <w:pPr>
              <w:spacing w:after="120" w:line="240" w:lineRule="auto"/>
              <w:ind w:right="314"/>
              <w:jc w:val="right"/>
              <w:rPr>
                <w:color w:val="000000"/>
                <w:sz w:val="20"/>
                <w:szCs w:val="20"/>
              </w:rPr>
            </w:pPr>
            <w:r>
              <w:rPr>
                <w:color w:val="000000"/>
                <w:sz w:val="20"/>
                <w:szCs w:val="20"/>
              </w:rPr>
              <w:t>-0.025</w:t>
            </w:r>
          </w:p>
        </w:tc>
      </w:tr>
      <w:tr w:rsidR="000A09DF" w14:paraId="61D8CAAB" w14:textId="77777777" w:rsidTr="00434A1D">
        <w:tc>
          <w:tcPr>
            <w:tcW w:w="821" w:type="dxa"/>
            <w:shd w:val="clear" w:color="auto" w:fill="F2F2F2"/>
            <w:tcMar>
              <w:top w:w="0" w:type="dxa"/>
              <w:left w:w="0" w:type="dxa"/>
              <w:bottom w:w="0" w:type="dxa"/>
              <w:right w:w="0" w:type="dxa"/>
            </w:tcMar>
            <w:hideMark/>
          </w:tcPr>
          <w:p w14:paraId="167E2939" w14:textId="77777777" w:rsidR="000A09DF" w:rsidRDefault="000A09DF">
            <w:pPr>
              <w:spacing w:after="120" w:line="240" w:lineRule="auto"/>
              <w:rPr>
                <w:color w:val="000000"/>
                <w:sz w:val="20"/>
                <w:szCs w:val="20"/>
              </w:rPr>
            </w:pPr>
            <w:r>
              <w:rPr>
                <w:color w:val="000000"/>
                <w:sz w:val="20"/>
                <w:szCs w:val="20"/>
              </w:rPr>
              <w:t>C.2</w:t>
            </w:r>
          </w:p>
        </w:tc>
        <w:tc>
          <w:tcPr>
            <w:tcW w:w="1725" w:type="dxa"/>
            <w:shd w:val="clear" w:color="auto" w:fill="F2F2F2"/>
            <w:tcMar>
              <w:top w:w="0" w:type="dxa"/>
              <w:left w:w="123" w:type="dxa"/>
              <w:bottom w:w="0" w:type="dxa"/>
              <w:right w:w="123" w:type="dxa"/>
            </w:tcMar>
            <w:hideMark/>
          </w:tcPr>
          <w:p w14:paraId="0100218A" w14:textId="77777777" w:rsidR="000A09DF" w:rsidRDefault="000A09DF">
            <w:pPr>
              <w:spacing w:after="120" w:line="240" w:lineRule="auto"/>
              <w:rPr>
                <w:color w:val="000000"/>
                <w:sz w:val="20"/>
                <w:szCs w:val="20"/>
              </w:rPr>
            </w:pPr>
            <w:r>
              <w:rPr>
                <w:color w:val="000000"/>
                <w:sz w:val="20"/>
                <w:szCs w:val="20"/>
              </w:rPr>
              <w:t>Cost to government</w:t>
            </w:r>
          </w:p>
        </w:tc>
        <w:tc>
          <w:tcPr>
            <w:tcW w:w="4884" w:type="dxa"/>
            <w:shd w:val="clear" w:color="auto" w:fill="F2F2F2"/>
            <w:tcMar>
              <w:top w:w="0" w:type="dxa"/>
              <w:left w:w="123" w:type="dxa"/>
              <w:bottom w:w="0" w:type="dxa"/>
              <w:right w:w="123" w:type="dxa"/>
            </w:tcMar>
            <w:hideMark/>
          </w:tcPr>
          <w:p w14:paraId="65F28003" w14:textId="37447929" w:rsidR="00F67C58" w:rsidRDefault="00966CC8">
            <w:pPr>
              <w:spacing w:after="120" w:line="240" w:lineRule="auto"/>
              <w:rPr>
                <w:color w:val="000000"/>
                <w:sz w:val="20"/>
                <w:szCs w:val="20"/>
              </w:rPr>
            </w:pPr>
            <w:r>
              <w:rPr>
                <w:color w:val="000000"/>
                <w:sz w:val="20"/>
                <w:szCs w:val="20"/>
              </w:rPr>
              <w:t>This option would present similar costs to government in relation to designing or supporting the design of metrics, as under Option C.1.</w:t>
            </w:r>
            <w:r w:rsidR="00B65A8C">
              <w:rPr>
                <w:color w:val="000000"/>
                <w:sz w:val="20"/>
                <w:szCs w:val="20"/>
              </w:rPr>
              <w:t xml:space="preserve"> </w:t>
            </w:r>
            <w:r w:rsidR="008D78C5">
              <w:rPr>
                <w:color w:val="000000"/>
                <w:sz w:val="20"/>
                <w:szCs w:val="20"/>
              </w:rPr>
              <w:t xml:space="preserve">Metrics would also need to be designed or confirmed in relation to </w:t>
            </w:r>
            <w:r w:rsidR="00CF4AB4">
              <w:rPr>
                <w:color w:val="000000"/>
                <w:sz w:val="20"/>
                <w:szCs w:val="20"/>
              </w:rPr>
              <w:t xml:space="preserve">the specified minimum requirements (noting there is likely to be crossover between metrics that measure ‘effectiveness’ and those that </w:t>
            </w:r>
            <w:r w:rsidR="00E33EB1">
              <w:rPr>
                <w:color w:val="000000"/>
                <w:sz w:val="20"/>
                <w:szCs w:val="20"/>
              </w:rPr>
              <w:t>measure achievement against the minimum requirements).</w:t>
            </w:r>
          </w:p>
          <w:p w14:paraId="7D135696" w14:textId="04A8AD91" w:rsidR="000A09DF" w:rsidRDefault="002E71CE">
            <w:pPr>
              <w:spacing w:after="120" w:line="240" w:lineRule="auto"/>
              <w:rPr>
                <w:color w:val="000000"/>
                <w:sz w:val="20"/>
                <w:szCs w:val="20"/>
              </w:rPr>
            </w:pPr>
            <w:r>
              <w:rPr>
                <w:color w:val="000000"/>
                <w:sz w:val="20"/>
                <w:szCs w:val="20"/>
              </w:rPr>
              <w:t xml:space="preserve">Although not significantly higher, </w:t>
            </w:r>
            <w:r w:rsidR="000E07F8">
              <w:rPr>
                <w:color w:val="000000"/>
                <w:sz w:val="20"/>
                <w:szCs w:val="20"/>
              </w:rPr>
              <w:t xml:space="preserve">monitoring compliance against this expected wider range of metrics is anticipated to require more effort than Option </w:t>
            </w:r>
            <w:r w:rsidR="00C72005">
              <w:rPr>
                <w:color w:val="000000"/>
                <w:sz w:val="20"/>
                <w:szCs w:val="20"/>
              </w:rPr>
              <w:t>C</w:t>
            </w:r>
            <w:r w:rsidR="000E07F8">
              <w:rPr>
                <w:color w:val="000000"/>
                <w:sz w:val="20"/>
                <w:szCs w:val="20"/>
              </w:rPr>
              <w:t xml:space="preserve">.1 and marginally increase costs to government. </w:t>
            </w:r>
          </w:p>
        </w:tc>
        <w:tc>
          <w:tcPr>
            <w:tcW w:w="991" w:type="dxa"/>
            <w:shd w:val="clear" w:color="auto" w:fill="F2F2F2"/>
          </w:tcPr>
          <w:p w14:paraId="4272B300" w14:textId="7EAA9C59" w:rsidR="00434A1D" w:rsidRDefault="00C72005">
            <w:pPr>
              <w:spacing w:after="120" w:line="240" w:lineRule="auto"/>
              <w:ind w:right="314"/>
              <w:jc w:val="right"/>
              <w:rPr>
                <w:color w:val="000000"/>
                <w:sz w:val="20"/>
                <w:szCs w:val="20"/>
              </w:rPr>
            </w:pPr>
            <w:r>
              <w:rPr>
                <w:color w:val="000000"/>
                <w:sz w:val="20"/>
                <w:szCs w:val="20"/>
              </w:rPr>
              <w:t>-0.3</w:t>
            </w:r>
          </w:p>
        </w:tc>
        <w:tc>
          <w:tcPr>
            <w:tcW w:w="1217" w:type="dxa"/>
            <w:shd w:val="clear" w:color="auto" w:fill="F2F2F2"/>
            <w:tcMar>
              <w:top w:w="0" w:type="dxa"/>
              <w:left w:w="123" w:type="dxa"/>
              <w:bottom w:w="0" w:type="dxa"/>
              <w:right w:w="123" w:type="dxa"/>
            </w:tcMar>
            <w:hideMark/>
          </w:tcPr>
          <w:p w14:paraId="69EDC62E" w14:textId="77777777" w:rsidR="000A09DF" w:rsidRDefault="000A09DF">
            <w:pPr>
              <w:spacing w:after="120" w:line="240" w:lineRule="auto"/>
              <w:ind w:right="314"/>
              <w:jc w:val="right"/>
              <w:rPr>
                <w:color w:val="000000"/>
                <w:sz w:val="20"/>
                <w:szCs w:val="20"/>
              </w:rPr>
            </w:pPr>
            <w:r>
              <w:rPr>
                <w:color w:val="000000"/>
                <w:sz w:val="20"/>
                <w:szCs w:val="20"/>
              </w:rPr>
              <w:t>-0.03</w:t>
            </w:r>
          </w:p>
        </w:tc>
      </w:tr>
      <w:tr w:rsidR="000A09DF" w14:paraId="57164FEE" w14:textId="77777777" w:rsidTr="00434A1D">
        <w:tc>
          <w:tcPr>
            <w:tcW w:w="821" w:type="dxa"/>
            <w:tcBorders>
              <w:bottom w:val="single" w:sz="4" w:space="0" w:color="4986A0"/>
            </w:tcBorders>
            <w:tcMar>
              <w:top w:w="0" w:type="dxa"/>
              <w:left w:w="0" w:type="dxa"/>
              <w:bottom w:w="0" w:type="dxa"/>
              <w:right w:w="0" w:type="dxa"/>
            </w:tcMar>
            <w:hideMark/>
          </w:tcPr>
          <w:p w14:paraId="54E3FAE8" w14:textId="77777777" w:rsidR="000A09DF" w:rsidRDefault="000A09DF">
            <w:pPr>
              <w:spacing w:after="120" w:line="240" w:lineRule="auto"/>
              <w:rPr>
                <w:color w:val="000000"/>
                <w:sz w:val="20"/>
                <w:szCs w:val="20"/>
              </w:rPr>
            </w:pPr>
            <w:r>
              <w:rPr>
                <w:color w:val="000000"/>
                <w:sz w:val="20"/>
                <w:szCs w:val="20"/>
              </w:rPr>
              <w:t>C.3</w:t>
            </w:r>
          </w:p>
        </w:tc>
        <w:tc>
          <w:tcPr>
            <w:tcW w:w="1725" w:type="dxa"/>
            <w:tcBorders>
              <w:bottom w:val="single" w:sz="4" w:space="0" w:color="4986A0"/>
            </w:tcBorders>
            <w:tcMar>
              <w:top w:w="0" w:type="dxa"/>
              <w:left w:w="123" w:type="dxa"/>
              <w:bottom w:w="0" w:type="dxa"/>
              <w:right w:w="123" w:type="dxa"/>
            </w:tcMar>
            <w:hideMark/>
          </w:tcPr>
          <w:p w14:paraId="491D68A1" w14:textId="77777777" w:rsidR="000A09DF" w:rsidRDefault="000A09DF">
            <w:pPr>
              <w:spacing w:after="120" w:line="240" w:lineRule="auto"/>
              <w:rPr>
                <w:color w:val="000000"/>
                <w:sz w:val="20"/>
                <w:szCs w:val="20"/>
              </w:rPr>
            </w:pPr>
            <w:r>
              <w:rPr>
                <w:color w:val="000000"/>
                <w:sz w:val="20"/>
                <w:szCs w:val="20"/>
              </w:rPr>
              <w:t>Cost to government</w:t>
            </w:r>
          </w:p>
        </w:tc>
        <w:tc>
          <w:tcPr>
            <w:tcW w:w="4884" w:type="dxa"/>
            <w:tcBorders>
              <w:bottom w:val="single" w:sz="4" w:space="0" w:color="4986A0"/>
            </w:tcBorders>
            <w:tcMar>
              <w:top w:w="0" w:type="dxa"/>
              <w:left w:w="123" w:type="dxa"/>
              <w:bottom w:w="0" w:type="dxa"/>
              <w:right w:w="123" w:type="dxa"/>
            </w:tcMar>
            <w:hideMark/>
          </w:tcPr>
          <w:p w14:paraId="0843B3DF" w14:textId="37D9A256" w:rsidR="000A09DF" w:rsidRDefault="000A09DF">
            <w:pPr>
              <w:spacing w:after="120" w:line="240" w:lineRule="auto"/>
              <w:rPr>
                <w:color w:val="000000"/>
                <w:sz w:val="20"/>
                <w:szCs w:val="20"/>
              </w:rPr>
            </w:pPr>
            <w:r>
              <w:rPr>
                <w:color w:val="000000"/>
                <w:sz w:val="20"/>
                <w:szCs w:val="20"/>
              </w:rPr>
              <w:t xml:space="preserve">This option would require the most government resources. </w:t>
            </w:r>
            <w:r w:rsidR="00CA40E9">
              <w:rPr>
                <w:color w:val="000000"/>
                <w:sz w:val="20"/>
                <w:szCs w:val="20"/>
              </w:rPr>
              <w:t xml:space="preserve">Monitoring </w:t>
            </w:r>
            <w:r w:rsidR="00F80C50">
              <w:rPr>
                <w:color w:val="000000"/>
                <w:sz w:val="20"/>
                <w:szCs w:val="20"/>
              </w:rPr>
              <w:t>retailer performance and compliance against the increased number of requirements</w:t>
            </w:r>
            <w:r w:rsidR="00CA40E9">
              <w:rPr>
                <w:color w:val="000000"/>
                <w:sz w:val="20"/>
                <w:szCs w:val="20"/>
              </w:rPr>
              <w:t xml:space="preserve"> </w:t>
            </w:r>
            <w:r w:rsidR="005039E9">
              <w:rPr>
                <w:color w:val="000000"/>
                <w:sz w:val="20"/>
                <w:szCs w:val="20"/>
              </w:rPr>
              <w:t xml:space="preserve">under this option would </w:t>
            </w:r>
            <w:r w:rsidR="003003D2">
              <w:rPr>
                <w:color w:val="000000"/>
                <w:sz w:val="20"/>
                <w:szCs w:val="20"/>
              </w:rPr>
              <w:t xml:space="preserve">also increase related costs for government. </w:t>
            </w:r>
            <w:r w:rsidR="009E041E">
              <w:rPr>
                <w:color w:val="000000"/>
                <w:sz w:val="20"/>
                <w:szCs w:val="20"/>
              </w:rPr>
              <w:t>Government would also incur costs</w:t>
            </w:r>
            <w:r w:rsidR="003003D2">
              <w:rPr>
                <w:color w:val="000000"/>
                <w:sz w:val="20"/>
                <w:szCs w:val="20"/>
              </w:rPr>
              <w:t xml:space="preserve"> </w:t>
            </w:r>
            <w:r w:rsidR="00653A10">
              <w:rPr>
                <w:color w:val="000000"/>
                <w:sz w:val="20"/>
                <w:szCs w:val="20"/>
              </w:rPr>
              <w:t xml:space="preserve">relating to </w:t>
            </w:r>
            <w:r w:rsidR="003A7B35">
              <w:rPr>
                <w:color w:val="000000"/>
                <w:sz w:val="20"/>
                <w:szCs w:val="20"/>
              </w:rPr>
              <w:t xml:space="preserve">regularly </w:t>
            </w:r>
            <w:r w:rsidR="00187828">
              <w:rPr>
                <w:color w:val="000000"/>
                <w:sz w:val="20"/>
                <w:szCs w:val="20"/>
              </w:rPr>
              <w:t>reviewing and monitoring the</w:t>
            </w:r>
            <w:r w:rsidR="00653A10">
              <w:rPr>
                <w:color w:val="000000"/>
                <w:sz w:val="20"/>
                <w:szCs w:val="20"/>
              </w:rPr>
              <w:t xml:space="preserve"> </w:t>
            </w:r>
            <w:r w:rsidR="00710E80">
              <w:rPr>
                <w:color w:val="000000"/>
                <w:sz w:val="20"/>
                <w:szCs w:val="20"/>
              </w:rPr>
              <w:t xml:space="preserve">prescribed requirements </w:t>
            </w:r>
            <w:r w:rsidR="00C6638F">
              <w:rPr>
                <w:color w:val="000000"/>
                <w:sz w:val="20"/>
                <w:szCs w:val="20"/>
              </w:rPr>
              <w:t>to assess if they are still</w:t>
            </w:r>
            <w:r w:rsidR="00C41053">
              <w:rPr>
                <w:color w:val="000000"/>
                <w:sz w:val="20"/>
                <w:szCs w:val="20"/>
              </w:rPr>
              <w:t xml:space="preserve"> appropriate</w:t>
            </w:r>
            <w:r w:rsidR="00710E80">
              <w:rPr>
                <w:color w:val="000000"/>
                <w:sz w:val="20"/>
                <w:szCs w:val="20"/>
              </w:rPr>
              <w:t xml:space="preserve"> given changing technologies and </w:t>
            </w:r>
            <w:r w:rsidR="002E1DB1">
              <w:rPr>
                <w:color w:val="000000"/>
                <w:sz w:val="20"/>
                <w:szCs w:val="20"/>
              </w:rPr>
              <w:t>consumer expectations. Th</w:t>
            </w:r>
            <w:r w:rsidR="006E678E">
              <w:rPr>
                <w:color w:val="000000"/>
                <w:sz w:val="20"/>
                <w:szCs w:val="20"/>
              </w:rPr>
              <w:t xml:space="preserve">ese costs would </w:t>
            </w:r>
            <w:r w:rsidR="00D70A67">
              <w:rPr>
                <w:color w:val="000000"/>
                <w:sz w:val="20"/>
                <w:szCs w:val="20"/>
              </w:rPr>
              <w:t xml:space="preserve">principally be </w:t>
            </w:r>
            <w:r w:rsidR="000C7F1B">
              <w:rPr>
                <w:color w:val="000000"/>
                <w:sz w:val="20"/>
                <w:szCs w:val="20"/>
              </w:rPr>
              <w:t>borne by</w:t>
            </w:r>
            <w:r w:rsidR="002E1DB1">
              <w:rPr>
                <w:color w:val="000000"/>
                <w:sz w:val="20"/>
                <w:szCs w:val="20"/>
              </w:rPr>
              <w:t xml:space="preserve"> </w:t>
            </w:r>
            <w:r w:rsidR="00550B41">
              <w:rPr>
                <w:color w:val="000000"/>
                <w:sz w:val="20"/>
                <w:szCs w:val="20"/>
              </w:rPr>
              <w:t>industry under Options C.1 and C.2.</w:t>
            </w:r>
            <w:r w:rsidR="00F80C50">
              <w:rPr>
                <w:color w:val="000000"/>
                <w:sz w:val="20"/>
                <w:szCs w:val="20"/>
              </w:rPr>
              <w:t xml:space="preserve"> </w:t>
            </w:r>
            <w:r w:rsidR="00C41053">
              <w:rPr>
                <w:color w:val="000000"/>
                <w:sz w:val="20"/>
                <w:szCs w:val="20"/>
              </w:rPr>
              <w:t xml:space="preserve">If </w:t>
            </w:r>
            <w:r w:rsidR="008324E4">
              <w:rPr>
                <w:color w:val="000000"/>
                <w:sz w:val="20"/>
                <w:szCs w:val="20"/>
              </w:rPr>
              <w:t xml:space="preserve">changes needed to be made </w:t>
            </w:r>
            <w:r w:rsidR="00C8004F">
              <w:rPr>
                <w:color w:val="000000"/>
                <w:sz w:val="20"/>
                <w:szCs w:val="20"/>
              </w:rPr>
              <w:t xml:space="preserve">to alter </w:t>
            </w:r>
            <w:r w:rsidR="005230C7">
              <w:rPr>
                <w:color w:val="000000"/>
                <w:sz w:val="20"/>
                <w:szCs w:val="20"/>
              </w:rPr>
              <w:t>prescribed requirements, g</w:t>
            </w:r>
            <w:r w:rsidR="00C13F28">
              <w:rPr>
                <w:color w:val="000000"/>
                <w:sz w:val="20"/>
                <w:szCs w:val="20"/>
              </w:rPr>
              <w:t xml:space="preserve">overnment would also </w:t>
            </w:r>
            <w:r w:rsidR="00D11776">
              <w:rPr>
                <w:color w:val="000000"/>
                <w:sz w:val="20"/>
                <w:szCs w:val="20"/>
              </w:rPr>
              <w:t xml:space="preserve">incur costs relating to </w:t>
            </w:r>
            <w:r w:rsidR="00625824">
              <w:rPr>
                <w:color w:val="000000"/>
                <w:sz w:val="20"/>
                <w:szCs w:val="20"/>
              </w:rPr>
              <w:t>updating prescribed ru</w:t>
            </w:r>
            <w:r w:rsidR="00085378">
              <w:rPr>
                <w:color w:val="000000"/>
                <w:sz w:val="20"/>
                <w:szCs w:val="20"/>
              </w:rPr>
              <w:t xml:space="preserve">les. </w:t>
            </w:r>
          </w:p>
        </w:tc>
        <w:tc>
          <w:tcPr>
            <w:tcW w:w="991" w:type="dxa"/>
            <w:tcBorders>
              <w:bottom w:val="single" w:sz="4" w:space="0" w:color="4986A0"/>
            </w:tcBorders>
          </w:tcPr>
          <w:p w14:paraId="6E6002D0" w14:textId="57E2462A" w:rsidR="00434A1D" w:rsidRDefault="00C72005">
            <w:pPr>
              <w:spacing w:after="120" w:line="240" w:lineRule="auto"/>
              <w:ind w:right="314"/>
              <w:jc w:val="right"/>
              <w:rPr>
                <w:color w:val="000000"/>
                <w:sz w:val="20"/>
                <w:szCs w:val="20"/>
              </w:rPr>
            </w:pPr>
            <w:r>
              <w:rPr>
                <w:color w:val="000000"/>
                <w:sz w:val="20"/>
                <w:szCs w:val="20"/>
              </w:rPr>
              <w:t>-0.5</w:t>
            </w:r>
          </w:p>
        </w:tc>
        <w:tc>
          <w:tcPr>
            <w:tcW w:w="1217" w:type="dxa"/>
            <w:tcBorders>
              <w:bottom w:val="single" w:sz="4" w:space="0" w:color="4986A0"/>
            </w:tcBorders>
            <w:tcMar>
              <w:top w:w="0" w:type="dxa"/>
              <w:left w:w="123" w:type="dxa"/>
              <w:bottom w:w="0" w:type="dxa"/>
              <w:right w:w="123" w:type="dxa"/>
            </w:tcMar>
            <w:hideMark/>
          </w:tcPr>
          <w:p w14:paraId="28581B26" w14:textId="77777777" w:rsidR="000A09DF" w:rsidRDefault="000A09DF">
            <w:pPr>
              <w:spacing w:after="120" w:line="240" w:lineRule="auto"/>
              <w:ind w:right="314"/>
              <w:jc w:val="right"/>
              <w:rPr>
                <w:color w:val="000000"/>
                <w:sz w:val="20"/>
                <w:szCs w:val="20"/>
              </w:rPr>
            </w:pPr>
            <w:r>
              <w:rPr>
                <w:color w:val="000000"/>
                <w:sz w:val="20"/>
                <w:szCs w:val="20"/>
              </w:rPr>
              <w:t>-0.05</w:t>
            </w:r>
          </w:p>
        </w:tc>
      </w:tr>
    </w:tbl>
    <w:p w14:paraId="48CAB458" w14:textId="77777777" w:rsidR="006403CD" w:rsidRPr="00CD53B9" w:rsidRDefault="006403CD" w:rsidP="003A49F5"/>
    <w:p w14:paraId="7E7B6A5B" w14:textId="7271EFA5" w:rsidR="00C7630D" w:rsidRDefault="00C7630D" w:rsidP="00E8074A">
      <w:pPr>
        <w:pStyle w:val="Heading2numbered"/>
      </w:pPr>
      <w:bookmarkStart w:id="224" w:name="_Toc197959449"/>
      <w:r>
        <w:t>Summary and pref</w:t>
      </w:r>
      <w:r w:rsidR="00E8074A">
        <w:t>erred option</w:t>
      </w:r>
      <w:bookmarkEnd w:id="224"/>
    </w:p>
    <w:p w14:paraId="6028B03F" w14:textId="3035A887" w:rsidR="00514BCD" w:rsidRDefault="00514BCD" w:rsidP="00514BCD">
      <w:r>
        <w:t xml:space="preserve">The MCA assessment of these options suggests that all are an improvement over the base case. Unlike </w:t>
      </w:r>
      <w:r w:rsidR="00ED5A80">
        <w:t>the automatic best offer reforms assessed in Chapter 5</w:t>
      </w:r>
      <w:r>
        <w:t>, th</w:t>
      </w:r>
      <w:r w:rsidR="00ED5A80">
        <w:t>ese</w:t>
      </w:r>
      <w:r>
        <w:t xml:space="preserve"> option</w:t>
      </w:r>
      <w:r w:rsidR="00ED5A80">
        <w:t>s</w:t>
      </w:r>
      <w:r>
        <w:t xml:space="preserve"> require clearer switching processes, which will allow </w:t>
      </w:r>
      <w:r w:rsidR="00ED5A80">
        <w:t>customers</w:t>
      </w:r>
      <w:r>
        <w:t xml:space="preserve"> to </w:t>
      </w:r>
      <w:r w:rsidR="00ED5A80">
        <w:t>switch to cheaper plans more easily</w:t>
      </w:r>
      <w:r>
        <w:t xml:space="preserve">. The decision to switch plans remains with the customer. Therefore, the behavioural response cannot be precisely known. That said, better </w:t>
      </w:r>
      <w:r w:rsidR="007E1A2F">
        <w:t xml:space="preserve">and simpler </w:t>
      </w:r>
      <w:r>
        <w:t>switching processes are likely to lower current behavioural barriers and encourage customers to switch to cheaper plans.</w:t>
      </w:r>
    </w:p>
    <w:p w14:paraId="13FE5328" w14:textId="438D9997" w:rsidR="00514BCD" w:rsidRDefault="00514BCD" w:rsidP="00514BCD">
      <w:r>
        <w:t>Under Option C.1, a purely outcomes-based approach could be relatively effective by provid</w:t>
      </w:r>
      <w:r w:rsidR="00232F11">
        <w:t xml:space="preserve">ing </w:t>
      </w:r>
      <w:r>
        <w:t xml:space="preserve">retailers with the flexibility to improve processes </w:t>
      </w:r>
      <w:r w:rsidR="00232F11">
        <w:t xml:space="preserve">for switching </w:t>
      </w:r>
      <w:r>
        <w:t>to better deals</w:t>
      </w:r>
      <w:r w:rsidR="00232F11">
        <w:t>. H</w:t>
      </w:r>
      <w:r>
        <w:t xml:space="preserve">owever, the design of these requirements is likely to vary between retailers and the </w:t>
      </w:r>
      <w:r w:rsidR="002F05A5">
        <w:t>processes</w:t>
      </w:r>
      <w:r>
        <w:t xml:space="preserve"> provided may or may not be sufficient to effectuate changes in customer behaviour. </w:t>
      </w:r>
    </w:p>
    <w:p w14:paraId="1EC8D916" w14:textId="1CBF2220" w:rsidR="00514BCD" w:rsidRDefault="00514BCD" w:rsidP="00514BCD">
      <w:r>
        <w:t xml:space="preserve">Option C.2 would retain the benefits of an outcomes-based approach by letting retailers design their own </w:t>
      </w:r>
      <w:r w:rsidR="00204D96">
        <w:t>processes for switching plans</w:t>
      </w:r>
      <w:r>
        <w:t xml:space="preserve">, but would require certain minimum </w:t>
      </w:r>
      <w:r w:rsidR="00471BF2">
        <w:t>requirements</w:t>
      </w:r>
      <w:r>
        <w:t xml:space="preserve"> to be </w:t>
      </w:r>
      <w:r>
        <w:lastRenderedPageBreak/>
        <w:t>provided (namely, clear</w:t>
      </w:r>
      <w:r w:rsidR="00471BF2">
        <w:t xml:space="preserve"> </w:t>
      </w:r>
      <w:r>
        <w:t xml:space="preserve">information and accessible plan comparisons on their website, along with switching processes </w:t>
      </w:r>
      <w:r w:rsidR="00686232">
        <w:t xml:space="preserve">through </w:t>
      </w:r>
      <w:r w:rsidR="006721E4">
        <w:t>their website and through the phone</w:t>
      </w:r>
      <w:r>
        <w:t xml:space="preserve">). This option would provide a base level of </w:t>
      </w:r>
      <w:r w:rsidR="005E3BA8">
        <w:t xml:space="preserve">requirements </w:t>
      </w:r>
      <w:r>
        <w:t>we consider necessary to achieve the effectiveness of this proposal to help households pay less for energy.</w:t>
      </w:r>
    </w:p>
    <w:p w14:paraId="1A3CD346" w14:textId="54BEFD93" w:rsidR="00514BCD" w:rsidRDefault="00514BCD" w:rsidP="00514BCD">
      <w:r>
        <w:t xml:space="preserve">Option C.3 </w:t>
      </w:r>
      <w:r w:rsidR="00A34664">
        <w:t xml:space="preserve">could be relatively effective but runs the risk of technical compliance by retailers at the expense of </w:t>
      </w:r>
      <w:r w:rsidR="00835C79">
        <w:t>genuinely improve switching for customers relative to C.2</w:t>
      </w:r>
      <w:r w:rsidR="00D96E19">
        <w:t>. Furthermore,</w:t>
      </w:r>
      <w:r>
        <w:t xml:space="preserve"> a broader scope of requirements would be required. Greater prescription would reduce retailer flexibility and the broader scope of compulsory requirements would increase costs to industry.</w:t>
      </w:r>
    </w:p>
    <w:p w14:paraId="0D2AB1B0" w14:textId="2A81D356" w:rsidR="00514BCD" w:rsidRDefault="00514BCD" w:rsidP="00514BCD">
      <w:r>
        <w:t>Option C.2 scores the highest MCA score (0.67) and is therefore preferred. The MCA scores of these options reflects the trade-off between effectiveness and costs to industry, with option C.2 capturing the benefits of effectiveness while minimising cost to industry and government.</w:t>
      </w:r>
    </w:p>
    <w:p w14:paraId="726DB7E9" w14:textId="0CBFF18E" w:rsidR="0021428D" w:rsidRPr="003A49F5" w:rsidRDefault="0021428D" w:rsidP="000F6481">
      <w:pPr>
        <w:pStyle w:val="Figure-Table-BoxSubtitle"/>
        <w:ind w:left="0"/>
        <w:rPr>
          <w:highlight w:val="yellow"/>
        </w:rPr>
      </w:pPr>
      <w:r w:rsidRPr="000F6481">
        <w:rPr>
          <w:rStyle w:val="Figure-Table-BoxHeadingChar"/>
        </w:rPr>
        <w:t xml:space="preserve">Table </w:t>
      </w:r>
      <w:r w:rsidR="004822D6" w:rsidRPr="000F6481">
        <w:rPr>
          <w:rStyle w:val="Figure-Table-BoxHeadingChar"/>
        </w:rPr>
        <w:t>2</w:t>
      </w:r>
      <w:r w:rsidR="002E5943" w:rsidRPr="000F6481">
        <w:rPr>
          <w:rStyle w:val="Figure-Table-BoxHeadingChar"/>
        </w:rPr>
        <w:t>2</w:t>
      </w:r>
      <w:r w:rsidRPr="000F6481">
        <w:rPr>
          <w:rStyle w:val="Figure-Table-BoxHeadingChar"/>
        </w:rPr>
        <w:t>:</w:t>
      </w:r>
      <w:r w:rsidRPr="000F6481">
        <w:t xml:space="preserve"> </w:t>
      </w:r>
      <w:r w:rsidRPr="003A49F5">
        <w:t>Summary of MCA assessment ‒ Improved ability to switch to best offer</w:t>
      </w:r>
    </w:p>
    <w:tbl>
      <w:tblPr>
        <w:tblW w:w="0" w:type="auto"/>
        <w:tblBorders>
          <w:insideH w:val="single" w:sz="8" w:space="0" w:color="FFFFFF"/>
        </w:tblBorders>
        <w:tblCellMar>
          <w:left w:w="0" w:type="dxa"/>
          <w:right w:w="0" w:type="dxa"/>
        </w:tblCellMar>
        <w:tblLook w:val="04A0" w:firstRow="1" w:lastRow="0" w:firstColumn="1" w:lastColumn="0" w:noHBand="0" w:noVBand="1"/>
      </w:tblPr>
      <w:tblGrid>
        <w:gridCol w:w="1150"/>
        <w:gridCol w:w="6493"/>
        <w:gridCol w:w="1995"/>
      </w:tblGrid>
      <w:tr w:rsidR="00777447" w14:paraId="735F29C5" w14:textId="77777777">
        <w:tc>
          <w:tcPr>
            <w:tcW w:w="1152" w:type="dxa"/>
            <w:tcBorders>
              <w:bottom w:val="single" w:sz="8" w:space="0" w:color="FFFFFF"/>
            </w:tcBorders>
            <w:shd w:val="clear" w:color="auto" w:fill="4986A0"/>
            <w:tcMar>
              <w:top w:w="85" w:type="dxa"/>
              <w:left w:w="95" w:type="dxa"/>
              <w:bottom w:w="85" w:type="dxa"/>
              <w:right w:w="67" w:type="dxa"/>
            </w:tcMar>
            <w:hideMark/>
          </w:tcPr>
          <w:p w14:paraId="1306B149" w14:textId="77777777" w:rsidR="00777447" w:rsidRDefault="00777447">
            <w:pPr>
              <w:spacing w:after="120" w:line="240" w:lineRule="auto"/>
              <w:rPr>
                <w:color w:val="000000"/>
                <w:sz w:val="20"/>
                <w:szCs w:val="20"/>
              </w:rPr>
            </w:pPr>
            <w:r>
              <w:rPr>
                <w:b/>
                <w:bCs/>
                <w:color w:val="FFFFFF"/>
                <w:sz w:val="20"/>
                <w:szCs w:val="20"/>
              </w:rPr>
              <w:t>Option</w:t>
            </w:r>
          </w:p>
        </w:tc>
        <w:tc>
          <w:tcPr>
            <w:tcW w:w="6517" w:type="dxa"/>
            <w:tcBorders>
              <w:bottom w:val="single" w:sz="8" w:space="0" w:color="FFFFFF"/>
            </w:tcBorders>
            <w:shd w:val="clear" w:color="auto" w:fill="4986A0"/>
            <w:tcMar>
              <w:top w:w="85" w:type="dxa"/>
              <w:left w:w="95" w:type="dxa"/>
              <w:bottom w:w="85" w:type="dxa"/>
              <w:right w:w="67" w:type="dxa"/>
            </w:tcMar>
            <w:hideMark/>
          </w:tcPr>
          <w:p w14:paraId="02CC0468" w14:textId="77777777" w:rsidR="00777447" w:rsidRDefault="00777447">
            <w:pPr>
              <w:spacing w:after="120" w:line="240" w:lineRule="auto"/>
              <w:rPr>
                <w:color w:val="000000"/>
                <w:sz w:val="20"/>
                <w:szCs w:val="20"/>
              </w:rPr>
            </w:pPr>
            <w:r>
              <w:rPr>
                <w:b/>
                <w:bCs/>
                <w:color w:val="FFFFFF"/>
                <w:sz w:val="20"/>
                <w:szCs w:val="20"/>
              </w:rPr>
              <w:t>Description</w:t>
            </w:r>
          </w:p>
        </w:tc>
        <w:tc>
          <w:tcPr>
            <w:tcW w:w="1999" w:type="dxa"/>
            <w:tcBorders>
              <w:bottom w:val="single" w:sz="8" w:space="0" w:color="FFFFFF"/>
            </w:tcBorders>
            <w:shd w:val="clear" w:color="auto" w:fill="4986A0"/>
            <w:tcMar>
              <w:top w:w="85" w:type="dxa"/>
              <w:left w:w="95" w:type="dxa"/>
              <w:bottom w:w="85" w:type="dxa"/>
              <w:right w:w="67" w:type="dxa"/>
            </w:tcMar>
            <w:hideMark/>
          </w:tcPr>
          <w:p w14:paraId="67D1B6D0" w14:textId="77777777" w:rsidR="00777447" w:rsidRDefault="00777447">
            <w:pPr>
              <w:spacing w:after="120" w:line="240" w:lineRule="auto"/>
              <w:rPr>
                <w:color w:val="000000"/>
                <w:sz w:val="20"/>
                <w:szCs w:val="20"/>
              </w:rPr>
            </w:pPr>
            <w:r>
              <w:rPr>
                <w:b/>
                <w:bCs/>
                <w:color w:val="FFFFFF"/>
                <w:sz w:val="20"/>
                <w:szCs w:val="20"/>
              </w:rPr>
              <w:t>Weighted score</w:t>
            </w:r>
          </w:p>
        </w:tc>
      </w:tr>
      <w:tr w:rsidR="00777447" w14:paraId="65172B2E" w14:textId="77777777">
        <w:tc>
          <w:tcPr>
            <w:tcW w:w="1152"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24D2641A" w14:textId="77777777" w:rsidR="00777447" w:rsidRDefault="00777447">
            <w:pPr>
              <w:spacing w:after="120" w:line="240" w:lineRule="auto"/>
              <w:jc w:val="center"/>
              <w:rPr>
                <w:color w:val="000000"/>
                <w:sz w:val="20"/>
                <w:szCs w:val="20"/>
              </w:rPr>
            </w:pPr>
            <w:r>
              <w:rPr>
                <w:color w:val="000000"/>
                <w:sz w:val="20"/>
                <w:szCs w:val="20"/>
              </w:rPr>
              <w:t>C.1</w:t>
            </w:r>
          </w:p>
        </w:tc>
        <w:tc>
          <w:tcPr>
            <w:tcW w:w="6517"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365704E6" w14:textId="77777777" w:rsidR="00777447" w:rsidRDefault="00777447">
            <w:pPr>
              <w:spacing w:after="120" w:line="240" w:lineRule="auto"/>
              <w:rPr>
                <w:color w:val="000000"/>
                <w:sz w:val="20"/>
                <w:szCs w:val="20"/>
              </w:rPr>
            </w:pPr>
            <w:r>
              <w:rPr>
                <w:color w:val="000000"/>
                <w:sz w:val="20"/>
                <w:szCs w:val="20"/>
              </w:rPr>
              <w:t>Outcomes-based approach, no minimum requirements</w:t>
            </w:r>
          </w:p>
        </w:tc>
        <w:tc>
          <w:tcPr>
            <w:tcW w:w="1999"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4363C206" w14:textId="77777777" w:rsidR="00777447" w:rsidRDefault="00777447">
            <w:pPr>
              <w:spacing w:after="120" w:line="240" w:lineRule="auto"/>
              <w:jc w:val="center"/>
              <w:rPr>
                <w:color w:val="000000"/>
                <w:sz w:val="20"/>
                <w:szCs w:val="20"/>
              </w:rPr>
            </w:pPr>
            <w:r>
              <w:rPr>
                <w:color w:val="000000"/>
                <w:sz w:val="20"/>
                <w:szCs w:val="20"/>
              </w:rPr>
              <w:t>0.325</w:t>
            </w:r>
          </w:p>
        </w:tc>
      </w:tr>
      <w:tr w:rsidR="00777447" w14:paraId="1B5C1CDF" w14:textId="77777777" w:rsidTr="00777447">
        <w:tc>
          <w:tcPr>
            <w:tcW w:w="1152"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44E07D18" w14:textId="77777777" w:rsidR="00777447" w:rsidRDefault="00777447">
            <w:pPr>
              <w:spacing w:after="120" w:line="240" w:lineRule="auto"/>
              <w:jc w:val="center"/>
              <w:rPr>
                <w:color w:val="000000"/>
                <w:sz w:val="20"/>
                <w:szCs w:val="20"/>
              </w:rPr>
            </w:pPr>
            <w:r>
              <w:rPr>
                <w:color w:val="000000"/>
                <w:sz w:val="20"/>
                <w:szCs w:val="20"/>
              </w:rPr>
              <w:t>C.2</w:t>
            </w:r>
          </w:p>
        </w:tc>
        <w:tc>
          <w:tcPr>
            <w:tcW w:w="6517"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732BE572" w14:textId="6D3CAFDC" w:rsidR="00777447" w:rsidRDefault="00777447">
            <w:pPr>
              <w:spacing w:after="120" w:line="240" w:lineRule="auto"/>
              <w:rPr>
                <w:color w:val="000000"/>
                <w:sz w:val="20"/>
                <w:szCs w:val="20"/>
              </w:rPr>
            </w:pPr>
            <w:r>
              <w:rPr>
                <w:color w:val="000000"/>
                <w:sz w:val="20"/>
                <w:szCs w:val="20"/>
              </w:rPr>
              <w:t xml:space="preserve">Outcomes-based approach with minimum requirements </w:t>
            </w:r>
          </w:p>
        </w:tc>
        <w:tc>
          <w:tcPr>
            <w:tcW w:w="1999" w:type="dxa"/>
            <w:tcBorders>
              <w:top w:val="single" w:sz="8" w:space="0" w:color="FFFFFF"/>
              <w:bottom w:val="single" w:sz="8" w:space="0" w:color="FFFFFF"/>
            </w:tcBorders>
            <w:shd w:val="clear" w:color="auto" w:fill="FFE8C8" w:themeFill="accent4" w:themeFillTint="33"/>
            <w:tcMar>
              <w:top w:w="85" w:type="dxa"/>
              <w:left w:w="95" w:type="dxa"/>
              <w:bottom w:w="85" w:type="dxa"/>
              <w:right w:w="67" w:type="dxa"/>
            </w:tcMar>
            <w:hideMark/>
          </w:tcPr>
          <w:p w14:paraId="77D36741" w14:textId="77777777" w:rsidR="00CF4011" w:rsidRDefault="00777447" w:rsidP="00ED0645">
            <w:pPr>
              <w:spacing w:before="0" w:after="0" w:line="240" w:lineRule="auto"/>
              <w:jc w:val="center"/>
              <w:rPr>
                <w:b/>
                <w:bCs/>
                <w:color w:val="000000"/>
                <w:sz w:val="20"/>
                <w:szCs w:val="20"/>
              </w:rPr>
            </w:pPr>
            <w:r>
              <w:rPr>
                <w:b/>
                <w:bCs/>
                <w:color w:val="000000"/>
                <w:sz w:val="20"/>
                <w:szCs w:val="20"/>
              </w:rPr>
              <w:t>0.6</w:t>
            </w:r>
            <w:r w:rsidR="00735033">
              <w:rPr>
                <w:b/>
                <w:bCs/>
                <w:color w:val="000000"/>
                <w:sz w:val="20"/>
                <w:szCs w:val="20"/>
              </w:rPr>
              <w:t>7</w:t>
            </w:r>
            <w:r>
              <w:rPr>
                <w:b/>
                <w:bCs/>
                <w:color w:val="000000"/>
                <w:sz w:val="20"/>
                <w:szCs w:val="20"/>
              </w:rPr>
              <w:t xml:space="preserve"> </w:t>
            </w:r>
          </w:p>
          <w:p w14:paraId="760E3D8C" w14:textId="7D105D2C" w:rsidR="00777447" w:rsidRDefault="00777447" w:rsidP="00ED0645">
            <w:pPr>
              <w:spacing w:before="0" w:after="0" w:line="240" w:lineRule="auto"/>
              <w:jc w:val="center"/>
              <w:rPr>
                <w:color w:val="000000"/>
                <w:sz w:val="20"/>
                <w:szCs w:val="20"/>
              </w:rPr>
            </w:pPr>
            <w:r>
              <w:rPr>
                <w:b/>
                <w:bCs/>
                <w:color w:val="000000"/>
                <w:sz w:val="20"/>
                <w:szCs w:val="20"/>
              </w:rPr>
              <w:t>(preferred)</w:t>
            </w:r>
          </w:p>
        </w:tc>
      </w:tr>
      <w:tr w:rsidR="00777447" w14:paraId="1A0BBC8B" w14:textId="77777777">
        <w:tc>
          <w:tcPr>
            <w:tcW w:w="1152" w:type="dxa"/>
            <w:tcBorders>
              <w:top w:val="single" w:sz="8" w:space="0" w:color="FFFFFF"/>
            </w:tcBorders>
            <w:shd w:val="clear" w:color="auto" w:fill="F2F2F2"/>
            <w:tcMar>
              <w:top w:w="85" w:type="dxa"/>
              <w:left w:w="95" w:type="dxa"/>
              <w:bottom w:w="85" w:type="dxa"/>
              <w:right w:w="67" w:type="dxa"/>
            </w:tcMar>
            <w:hideMark/>
          </w:tcPr>
          <w:p w14:paraId="37CC57FA" w14:textId="77777777" w:rsidR="00777447" w:rsidRDefault="00777447">
            <w:pPr>
              <w:spacing w:after="120" w:line="240" w:lineRule="auto"/>
              <w:jc w:val="center"/>
              <w:rPr>
                <w:color w:val="000000"/>
                <w:sz w:val="20"/>
                <w:szCs w:val="20"/>
              </w:rPr>
            </w:pPr>
            <w:r>
              <w:rPr>
                <w:color w:val="000000"/>
                <w:sz w:val="20"/>
                <w:szCs w:val="20"/>
              </w:rPr>
              <w:t>C.3</w:t>
            </w:r>
          </w:p>
        </w:tc>
        <w:tc>
          <w:tcPr>
            <w:tcW w:w="6517" w:type="dxa"/>
            <w:tcBorders>
              <w:top w:val="single" w:sz="8" w:space="0" w:color="FFFFFF"/>
            </w:tcBorders>
            <w:shd w:val="clear" w:color="auto" w:fill="F2F2F2"/>
            <w:tcMar>
              <w:top w:w="85" w:type="dxa"/>
              <w:left w:w="95" w:type="dxa"/>
              <w:bottom w:w="85" w:type="dxa"/>
              <w:right w:w="67" w:type="dxa"/>
            </w:tcMar>
            <w:hideMark/>
          </w:tcPr>
          <w:p w14:paraId="3557D7CE" w14:textId="77777777" w:rsidR="00777447" w:rsidRDefault="00777447">
            <w:pPr>
              <w:spacing w:after="120" w:line="240" w:lineRule="auto"/>
              <w:rPr>
                <w:color w:val="000000"/>
                <w:sz w:val="20"/>
                <w:szCs w:val="20"/>
              </w:rPr>
            </w:pPr>
            <w:r>
              <w:rPr>
                <w:color w:val="000000"/>
                <w:sz w:val="20"/>
                <w:szCs w:val="20"/>
              </w:rPr>
              <w:t>Prescriptive approach</w:t>
            </w:r>
          </w:p>
        </w:tc>
        <w:tc>
          <w:tcPr>
            <w:tcW w:w="1999" w:type="dxa"/>
            <w:tcBorders>
              <w:top w:val="single" w:sz="8" w:space="0" w:color="FFFFFF"/>
            </w:tcBorders>
            <w:shd w:val="clear" w:color="auto" w:fill="F2F2F2"/>
            <w:tcMar>
              <w:top w:w="85" w:type="dxa"/>
              <w:left w:w="95" w:type="dxa"/>
              <w:bottom w:w="85" w:type="dxa"/>
              <w:right w:w="67" w:type="dxa"/>
            </w:tcMar>
            <w:hideMark/>
          </w:tcPr>
          <w:p w14:paraId="05FEC657" w14:textId="6E87524D" w:rsidR="00777447" w:rsidRDefault="00C839F9">
            <w:pPr>
              <w:spacing w:after="120" w:line="240" w:lineRule="auto"/>
              <w:jc w:val="center"/>
              <w:rPr>
                <w:color w:val="000000"/>
                <w:sz w:val="20"/>
                <w:szCs w:val="20"/>
              </w:rPr>
            </w:pPr>
            <w:r>
              <w:rPr>
                <w:color w:val="000000"/>
                <w:sz w:val="20"/>
                <w:szCs w:val="20"/>
              </w:rPr>
              <w:t>-0.5</w:t>
            </w:r>
          </w:p>
        </w:tc>
      </w:tr>
    </w:tbl>
    <w:p w14:paraId="0ABD5696" w14:textId="77777777" w:rsidR="00412910" w:rsidRPr="00412910" w:rsidRDefault="00412910" w:rsidP="00412910"/>
    <w:p w14:paraId="0B8F7A0C" w14:textId="0D3A2BFA" w:rsidR="00CE6D75" w:rsidRPr="00CE6D75" w:rsidRDefault="00CE6D75" w:rsidP="00CE6D75">
      <w:pPr>
        <w:pStyle w:val="Heading2numbered"/>
      </w:pPr>
      <w:bookmarkStart w:id="225" w:name="_Toc197959450"/>
      <w:r w:rsidRPr="00CE6D75">
        <w:t>Question</w:t>
      </w:r>
      <w:r w:rsidR="00F16111">
        <w:t>s</w:t>
      </w:r>
      <w:r w:rsidRPr="00CE6D75">
        <w:t xml:space="preserve"> for stakeholders</w:t>
      </w:r>
      <w:bookmarkEnd w:id="225"/>
    </w:p>
    <w:p w14:paraId="18F3B05B" w14:textId="4D9EFCA9" w:rsidR="00CA3B24" w:rsidRDefault="00CA3B24" w:rsidP="00F16111">
      <w:pPr>
        <w:pStyle w:val="Pull-outBullet1"/>
        <w:numPr>
          <w:ilvl w:val="0"/>
          <w:numId w:val="43"/>
        </w:numPr>
      </w:pPr>
      <w:r>
        <w:t>W</w:t>
      </w:r>
      <w:r w:rsidR="008802A3">
        <w:t>hat</w:t>
      </w:r>
      <w:r>
        <w:t xml:space="preserve"> metrics do you think could</w:t>
      </w:r>
      <w:r w:rsidR="00316068">
        <w:t xml:space="preserve"> help assess the effectiveness of the process to switch to the best offer?</w:t>
      </w:r>
    </w:p>
    <w:p w14:paraId="08EC6340" w14:textId="4CF05F68" w:rsidR="00F878DB" w:rsidRDefault="009709AF" w:rsidP="00F16111">
      <w:pPr>
        <w:pStyle w:val="Pull-outBullet1"/>
        <w:numPr>
          <w:ilvl w:val="0"/>
          <w:numId w:val="44"/>
        </w:numPr>
      </w:pPr>
      <w:r>
        <w:t xml:space="preserve">Are there any </w:t>
      </w:r>
      <w:r w:rsidR="009872D7">
        <w:t xml:space="preserve">implementation </w:t>
      </w:r>
      <w:r w:rsidR="001B7182">
        <w:t>issues</w:t>
      </w:r>
      <w:r w:rsidR="009872D7">
        <w:t xml:space="preserve"> for small retailers </w:t>
      </w:r>
      <w:r w:rsidR="001B7182">
        <w:t xml:space="preserve">that </w:t>
      </w:r>
      <w:r w:rsidR="00884D9A">
        <w:t>we</w:t>
      </w:r>
      <w:r w:rsidR="00F878DB" w:rsidRPr="00F878DB">
        <w:t xml:space="preserve"> should </w:t>
      </w:r>
      <w:r w:rsidR="000903BA">
        <w:t xml:space="preserve">consider </w:t>
      </w:r>
      <w:r w:rsidR="001B7182">
        <w:t>regarding</w:t>
      </w:r>
      <w:r w:rsidR="000903BA">
        <w:t xml:space="preserve"> </w:t>
      </w:r>
      <w:r w:rsidR="000903BA" w:rsidRPr="000903BA">
        <w:t>effective processe</w:t>
      </w:r>
      <w:r w:rsidR="000903BA">
        <w:t xml:space="preserve">s to </w:t>
      </w:r>
      <w:r w:rsidR="0054253D">
        <w:t>switch to the best offer</w:t>
      </w:r>
      <w:r w:rsidR="00F878DB" w:rsidRPr="00F878DB">
        <w:t>?</w:t>
      </w:r>
    </w:p>
    <w:p w14:paraId="35008F17" w14:textId="77777777" w:rsidR="00D628F0" w:rsidRDefault="00D628F0" w:rsidP="00D628F0"/>
    <w:p w14:paraId="2546A9EE" w14:textId="77777777" w:rsidR="00D628F0" w:rsidRDefault="00D628F0" w:rsidP="00D628F0">
      <w:pPr>
        <w:sectPr w:rsidR="00D628F0" w:rsidSect="005E5FCE">
          <w:footerReference w:type="default" r:id="rId53"/>
          <w:type w:val="continuous"/>
          <w:pgSz w:w="11906" w:h="16838" w:code="9"/>
          <w:pgMar w:top="1134" w:right="1134" w:bottom="1134" w:left="1134" w:header="709" w:footer="692" w:gutter="0"/>
          <w:cols w:space="708"/>
          <w:docGrid w:linePitch="360"/>
        </w:sectPr>
      </w:pPr>
    </w:p>
    <w:p w14:paraId="739E310F" w14:textId="77777777" w:rsidR="00D628F0" w:rsidRPr="00505385" w:rsidRDefault="00D628F0" w:rsidP="00D628F0"/>
    <w:p w14:paraId="2E146F91" w14:textId="22235350" w:rsidR="00772EB1" w:rsidRDefault="00C460A1" w:rsidP="00C460A1">
      <w:pPr>
        <w:pStyle w:val="Heading1numbered"/>
      </w:pPr>
      <w:bookmarkStart w:id="226" w:name="_Toc195617195"/>
      <w:bookmarkStart w:id="227" w:name="_Toc195642880"/>
      <w:bookmarkStart w:id="228" w:name="_Toc195692592"/>
      <w:bookmarkStart w:id="229" w:name="_Toc195701887"/>
      <w:bookmarkStart w:id="230" w:name="_Toc197959451"/>
      <w:bookmarkEnd w:id="226"/>
      <w:bookmarkEnd w:id="227"/>
      <w:bookmarkEnd w:id="228"/>
      <w:bookmarkEnd w:id="229"/>
      <w:r>
        <w:lastRenderedPageBreak/>
        <w:t>Protections for customers paying higher prices</w:t>
      </w:r>
      <w:bookmarkEnd w:id="230"/>
    </w:p>
    <w:p w14:paraId="09290350" w14:textId="77777777" w:rsidR="002F34B8" w:rsidRDefault="002F34B8" w:rsidP="002F34B8">
      <w:pPr>
        <w:pStyle w:val="Pull-outHeading"/>
      </w:pPr>
      <w:r>
        <w:t>Preferred option</w:t>
      </w:r>
    </w:p>
    <w:p w14:paraId="5955BD21" w14:textId="1BD778E2" w:rsidR="002F34B8" w:rsidRDefault="002F34B8" w:rsidP="00BB0D1E">
      <w:pPr>
        <w:pStyle w:val="Pull-outHeading"/>
        <w:rPr>
          <w:b w:val="0"/>
        </w:rPr>
      </w:pPr>
      <w:r>
        <w:rPr>
          <w:b w:val="0"/>
          <w:bCs w:val="0"/>
        </w:rPr>
        <w:t xml:space="preserve">A retailer would be required to </w:t>
      </w:r>
      <w:r w:rsidR="00BB0D1E">
        <w:rPr>
          <w:b w:val="0"/>
          <w:bCs w:val="0"/>
        </w:rPr>
        <w:t>ensure that</w:t>
      </w:r>
      <w:r>
        <w:rPr>
          <w:b w:val="0"/>
        </w:rPr>
        <w:t xml:space="preserve"> customers </w:t>
      </w:r>
      <w:r w:rsidR="00BB0D1E">
        <w:rPr>
          <w:b w:val="0"/>
          <w:bCs w:val="0"/>
        </w:rPr>
        <w:t xml:space="preserve">on contracts that are </w:t>
      </w:r>
      <w:r w:rsidR="00052A7E">
        <w:rPr>
          <w:b w:val="0"/>
          <w:bCs w:val="0"/>
        </w:rPr>
        <w:t>four years or older</w:t>
      </w:r>
      <w:r w:rsidR="002E0A6A">
        <w:rPr>
          <w:b w:val="0"/>
          <w:bCs w:val="0"/>
        </w:rPr>
        <w:t xml:space="preserve"> </w:t>
      </w:r>
      <w:r w:rsidR="00D46FC8">
        <w:rPr>
          <w:b w:val="0"/>
          <w:bCs w:val="0"/>
        </w:rPr>
        <w:t>are paying a reasonable price for their energy.</w:t>
      </w:r>
    </w:p>
    <w:p w14:paraId="3D5640CA" w14:textId="14F08C7A" w:rsidR="002D6757" w:rsidRPr="002F34B8" w:rsidRDefault="00EB6C61" w:rsidP="00BB0D1E">
      <w:pPr>
        <w:pStyle w:val="Pull-outHeading"/>
      </w:pPr>
      <w:r>
        <w:rPr>
          <w:b w:val="0"/>
          <w:bCs w:val="0"/>
        </w:rPr>
        <w:t>To achieve this outcome, a</w:t>
      </w:r>
      <w:r w:rsidR="002D6757">
        <w:rPr>
          <w:b w:val="0"/>
          <w:bCs w:val="0"/>
        </w:rPr>
        <w:t xml:space="preserve"> retailer would have the </w:t>
      </w:r>
      <w:r w:rsidR="001675D7">
        <w:rPr>
          <w:b w:val="0"/>
          <w:bCs w:val="0"/>
        </w:rPr>
        <w:t>option of switching customers who may be paying higher prices to cheaper offer</w:t>
      </w:r>
      <w:r>
        <w:rPr>
          <w:b w:val="0"/>
          <w:bCs w:val="0"/>
        </w:rPr>
        <w:t xml:space="preserve">s. </w:t>
      </w:r>
      <w:r w:rsidR="00971510">
        <w:rPr>
          <w:b w:val="0"/>
          <w:bCs w:val="0"/>
        </w:rPr>
        <w:t xml:space="preserve">Retailers would not be required to </w:t>
      </w:r>
      <w:r w:rsidR="00D67F75">
        <w:rPr>
          <w:b w:val="0"/>
          <w:bCs w:val="0"/>
        </w:rPr>
        <w:t>obtain</w:t>
      </w:r>
      <w:r w:rsidR="00971510">
        <w:rPr>
          <w:b w:val="0"/>
          <w:bCs w:val="0"/>
        </w:rPr>
        <w:t xml:space="preserve"> explicit informed consent from customers. </w:t>
      </w:r>
      <w:r>
        <w:rPr>
          <w:b w:val="0"/>
          <w:bCs w:val="0"/>
        </w:rPr>
        <w:t xml:space="preserve">Customers would </w:t>
      </w:r>
      <w:r w:rsidR="009B5CAA">
        <w:rPr>
          <w:b w:val="0"/>
          <w:bCs w:val="0"/>
        </w:rPr>
        <w:t xml:space="preserve">be able to </w:t>
      </w:r>
      <w:r>
        <w:rPr>
          <w:b w:val="0"/>
          <w:bCs w:val="0"/>
        </w:rPr>
        <w:t xml:space="preserve">opt-out </w:t>
      </w:r>
      <w:r w:rsidR="009B5CAA">
        <w:rPr>
          <w:b w:val="0"/>
          <w:bCs w:val="0"/>
        </w:rPr>
        <w:t>or reverse the switch after receiving their first bill</w:t>
      </w:r>
      <w:r>
        <w:rPr>
          <w:b w:val="0"/>
          <w:bCs w:val="0"/>
        </w:rPr>
        <w:t>.</w:t>
      </w:r>
    </w:p>
    <w:p w14:paraId="23E4EA80" w14:textId="18B330F3" w:rsidR="00A668E7" w:rsidRDefault="00C460A1" w:rsidP="00C607EA">
      <w:pPr>
        <w:pStyle w:val="Heading2numbered"/>
      </w:pPr>
      <w:bookmarkStart w:id="231" w:name="_Toc197959452"/>
      <w:r>
        <w:t>Scope of reform</w:t>
      </w:r>
      <w:bookmarkEnd w:id="231"/>
    </w:p>
    <w:p w14:paraId="308CFA64" w14:textId="3A173C5E" w:rsidR="0066491C" w:rsidRDefault="0066491C" w:rsidP="00FC2E32">
      <w:pPr>
        <w:pStyle w:val="Heading3numbered"/>
      </w:pPr>
      <w:r>
        <w:t>Purpose of reform</w:t>
      </w:r>
    </w:p>
    <w:p w14:paraId="6E4D15E1" w14:textId="46FADB0F" w:rsidR="005B370A" w:rsidRDefault="005B370A" w:rsidP="00EF4A43">
      <w:r w:rsidRPr="005B370A">
        <w:t xml:space="preserve">This proposed reform </w:t>
      </w:r>
      <w:r w:rsidR="00682116">
        <w:t xml:space="preserve">aims </w:t>
      </w:r>
      <w:r w:rsidRPr="005B370A">
        <w:t xml:space="preserve">to </w:t>
      </w:r>
      <w:r w:rsidR="00682116">
        <w:t xml:space="preserve">protect </w:t>
      </w:r>
      <w:r w:rsidRPr="005B370A">
        <w:t xml:space="preserve">customers on older contracts paying significantly higher prices than customers on newer contracts. </w:t>
      </w:r>
    </w:p>
    <w:p w14:paraId="7F9ED81C" w14:textId="561B43E1" w:rsidR="00FC5834" w:rsidRDefault="006C5E69" w:rsidP="00EF4A43">
      <w:r>
        <w:t xml:space="preserve">Although most Victorian customers have switched to a new, lower-priced plan in the last two years, </w:t>
      </w:r>
      <w:r w:rsidR="00050A0B">
        <w:t xml:space="preserve">there are many </w:t>
      </w:r>
      <w:r>
        <w:t>customers on older contracts with prices above standing offers (above the VDO for electricity).</w:t>
      </w:r>
      <w:r>
        <w:rPr>
          <w:rStyle w:val="FootnoteReference"/>
        </w:rPr>
        <w:footnoteReference w:id="197"/>
      </w:r>
      <w:r w:rsidR="00CA608B">
        <w:t xml:space="preserve"> </w:t>
      </w:r>
      <w:r w:rsidR="00A6601F" w:rsidRPr="00A6601F">
        <w:t>This problem is commonly known as a ‘loyalty penalty’</w:t>
      </w:r>
      <w:r w:rsidR="00FD0CC7">
        <w:t>.</w:t>
      </w:r>
      <w:r w:rsidR="00A6601F" w:rsidRPr="00A6601F">
        <w:t xml:space="preserve"> </w:t>
      </w:r>
    </w:p>
    <w:p w14:paraId="25488F7B" w14:textId="2E374448" w:rsidR="009F3249" w:rsidRPr="009F3249" w:rsidRDefault="00FD0CC7" w:rsidP="009F3249">
      <w:r>
        <w:t>C</w:t>
      </w:r>
      <w:r w:rsidR="00A6601F" w:rsidRPr="00A6601F">
        <w:t>ustomers who actively engage with the energy market can take advantage of newer contracts with better rates</w:t>
      </w:r>
      <w:r>
        <w:t xml:space="preserve">. </w:t>
      </w:r>
      <w:r w:rsidR="009F5DD8">
        <w:t>However,</w:t>
      </w:r>
      <w:r>
        <w:t xml:space="preserve"> some customers </w:t>
      </w:r>
      <w:r w:rsidR="1318E8CB">
        <w:t>who</w:t>
      </w:r>
      <w:r>
        <w:t xml:space="preserve"> stay with their retailer</w:t>
      </w:r>
      <w:r w:rsidR="009F5DD8">
        <w:t xml:space="preserve"> can</w:t>
      </w:r>
      <w:r>
        <w:t xml:space="preserve"> end up </w:t>
      </w:r>
      <w:r w:rsidR="00A6601F" w:rsidRPr="00A6601F">
        <w:t>paying higher prices</w:t>
      </w:r>
      <w:r w:rsidR="009F5DD8">
        <w:t xml:space="preserve"> over time</w:t>
      </w:r>
      <w:r w:rsidR="00A6601F" w:rsidRPr="00A6601F">
        <w:t xml:space="preserve">. </w:t>
      </w:r>
      <w:r w:rsidR="009F3249" w:rsidRPr="009F3249">
        <w:t xml:space="preserve">Around four per cent of residential electricity customers have not changed plans for seven years or more, and three per cent </w:t>
      </w:r>
      <w:r w:rsidR="00EB667D">
        <w:t xml:space="preserve">have not changed </w:t>
      </w:r>
      <w:r w:rsidR="009F3249" w:rsidRPr="009F3249">
        <w:t xml:space="preserve">for </w:t>
      </w:r>
      <w:r w:rsidR="00EB667D">
        <w:t xml:space="preserve">at least </w:t>
      </w:r>
      <w:r w:rsidR="009F3249" w:rsidRPr="009F3249">
        <w:t>10 years.</w:t>
      </w:r>
      <w:r w:rsidR="009F3249" w:rsidRPr="009F3249">
        <w:rPr>
          <w:vertAlign w:val="superscript"/>
        </w:rPr>
        <w:footnoteReference w:id="198"/>
      </w:r>
    </w:p>
    <w:p w14:paraId="38B476BE" w14:textId="283EB94B" w:rsidR="009F15DC" w:rsidRDefault="00735CC3" w:rsidP="009F15DC">
      <w:r w:rsidRPr="00735CC3">
        <w:t xml:space="preserve">As discussed in Chapter 2, our analysis of customer data </w:t>
      </w:r>
      <w:r w:rsidR="00601DB1">
        <w:t xml:space="preserve">supports </w:t>
      </w:r>
      <w:r w:rsidRPr="00735CC3">
        <w:t>recent findings from the ACCC</w:t>
      </w:r>
      <w:r w:rsidR="00601DB1">
        <w:t xml:space="preserve">. There is a </w:t>
      </w:r>
      <w:r w:rsidRPr="00735CC3">
        <w:t xml:space="preserve">correlation between the age of a contract and higher median effective prices per kWh. </w:t>
      </w:r>
      <w:r w:rsidR="0016090A">
        <w:t>For example, e</w:t>
      </w:r>
      <w:r w:rsidR="005E328C">
        <w:t>lectricity c</w:t>
      </w:r>
      <w:r w:rsidR="009F15DC">
        <w:t xml:space="preserve">ustomers on older contracts are more likely to </w:t>
      </w:r>
      <w:r w:rsidR="00085E0D">
        <w:t>be on plans with tariffs</w:t>
      </w:r>
      <w:r w:rsidR="009F15DC">
        <w:t xml:space="preserve"> above the VDO</w:t>
      </w:r>
      <w:r w:rsidR="00F043AC">
        <w:t xml:space="preserve"> (a </w:t>
      </w:r>
      <w:r w:rsidR="000627CC">
        <w:t xml:space="preserve">regulated </w:t>
      </w:r>
      <w:r w:rsidR="00F043AC">
        <w:t>price</w:t>
      </w:r>
      <w:r w:rsidR="000627CC">
        <w:t>,</w:t>
      </w:r>
      <w:r w:rsidR="00F043AC">
        <w:t xml:space="preserve"> </w:t>
      </w:r>
      <w:r w:rsidR="000627CC">
        <w:t>set by the commission)</w:t>
      </w:r>
      <w:r w:rsidR="009F15DC">
        <w:t>.</w:t>
      </w:r>
      <w:r w:rsidR="009F15DC">
        <w:rPr>
          <w:rStyle w:val="FootnoteReference"/>
        </w:rPr>
        <w:footnoteReference w:id="199"/>
      </w:r>
    </w:p>
    <w:p w14:paraId="7BC6252F" w14:textId="73B2810C" w:rsidR="00A857C7" w:rsidRDefault="00A95963" w:rsidP="00EF4A43">
      <w:r>
        <w:t xml:space="preserve">Our proposed solutions </w:t>
      </w:r>
      <w:r w:rsidR="00C82D1C">
        <w:t xml:space="preserve">consider </w:t>
      </w:r>
      <w:r w:rsidR="00B15CAD">
        <w:t>two</w:t>
      </w:r>
      <w:r w:rsidR="0008052C">
        <w:t xml:space="preserve"> </w:t>
      </w:r>
      <w:r w:rsidR="00242E84">
        <w:t xml:space="preserve">key </w:t>
      </w:r>
      <w:r w:rsidR="00213AE4">
        <w:t>elements</w:t>
      </w:r>
      <w:r w:rsidR="00472C67">
        <w:t>:</w:t>
      </w:r>
    </w:p>
    <w:p w14:paraId="2375E834" w14:textId="2B805391" w:rsidR="00A857C7" w:rsidRDefault="00F241EA" w:rsidP="00A92E17">
      <w:pPr>
        <w:pStyle w:val="ListBullet"/>
      </w:pPr>
      <w:r>
        <w:t>the age of a contract</w:t>
      </w:r>
      <w:r w:rsidR="007A1BCB">
        <w:t xml:space="preserve"> </w:t>
      </w:r>
      <w:r w:rsidR="00472C67">
        <w:t>(to identify when existing contracts start becoming more expensive)</w:t>
      </w:r>
      <w:r w:rsidR="004033A4">
        <w:t xml:space="preserve"> and</w:t>
      </w:r>
    </w:p>
    <w:p w14:paraId="65C9170C" w14:textId="64907B11" w:rsidR="0021428C" w:rsidRDefault="00C82D1C" w:rsidP="00A92E17">
      <w:pPr>
        <w:pStyle w:val="ListBullet"/>
      </w:pPr>
      <w:r>
        <w:lastRenderedPageBreak/>
        <w:t xml:space="preserve">the price a </w:t>
      </w:r>
      <w:r w:rsidR="00CF022C">
        <w:t xml:space="preserve">customer </w:t>
      </w:r>
      <w:r>
        <w:t xml:space="preserve">pays on </w:t>
      </w:r>
      <w:r w:rsidR="00A857C7">
        <w:t>older</w:t>
      </w:r>
      <w:r w:rsidR="00FF5550">
        <w:t xml:space="preserve"> contracts. </w:t>
      </w:r>
    </w:p>
    <w:p w14:paraId="40433404" w14:textId="1518849E" w:rsidR="009534F7" w:rsidRDefault="009534F7" w:rsidP="009534F7">
      <w:pPr>
        <w:pStyle w:val="Heading3numbered"/>
      </w:pPr>
      <w:r>
        <w:t>What we heard from stakeholders</w:t>
      </w:r>
    </w:p>
    <w:p w14:paraId="7F55CB72" w14:textId="6EBEF930" w:rsidR="00A27BDF" w:rsidRPr="009C0478" w:rsidRDefault="002E27AC" w:rsidP="00D11094">
      <w:r>
        <w:t>C</w:t>
      </w:r>
      <w:r w:rsidR="00A27BDF">
        <w:t>onsumer advocate</w:t>
      </w:r>
      <w:r w:rsidR="009667B3">
        <w:t>s</w:t>
      </w:r>
      <w:r w:rsidR="00A27BDF">
        <w:t xml:space="preserve"> and community groups </w:t>
      </w:r>
      <w:r w:rsidR="006B56A3">
        <w:t xml:space="preserve">expressed support for </w:t>
      </w:r>
      <w:r w:rsidR="003A5C68">
        <w:t xml:space="preserve">greater </w:t>
      </w:r>
      <w:r w:rsidR="006B56A3">
        <w:t xml:space="preserve">protections </w:t>
      </w:r>
      <w:r w:rsidR="003A5C68">
        <w:t>for</w:t>
      </w:r>
      <w:r w:rsidR="00A27BDF">
        <w:t xml:space="preserve"> customers </w:t>
      </w:r>
      <w:r w:rsidR="00327772">
        <w:t>on older contracts</w:t>
      </w:r>
      <w:r w:rsidR="00A27BDF">
        <w:t xml:space="preserve"> from unreasonably high prices.</w:t>
      </w:r>
      <w:r w:rsidR="001B5CF6">
        <w:rPr>
          <w:rStyle w:val="FootnoteReference"/>
        </w:rPr>
        <w:footnoteReference w:id="200"/>
      </w:r>
      <w:r w:rsidR="00A27BDF">
        <w:t xml:space="preserve"> </w:t>
      </w:r>
      <w:r w:rsidR="000B739A">
        <w:t>T</w:t>
      </w:r>
      <w:r w:rsidR="00CA12E2">
        <w:t xml:space="preserve">hey </w:t>
      </w:r>
      <w:r w:rsidR="00237020">
        <w:t xml:space="preserve">recommended direct support for </w:t>
      </w:r>
      <w:r w:rsidR="00CA12E2">
        <w:t xml:space="preserve">customers </w:t>
      </w:r>
      <w:r w:rsidR="00237020">
        <w:t xml:space="preserve">on </w:t>
      </w:r>
      <w:r w:rsidR="009B0A16">
        <w:t xml:space="preserve">older </w:t>
      </w:r>
      <w:r w:rsidR="00CA12E2">
        <w:t xml:space="preserve">evergreen contracts </w:t>
      </w:r>
      <w:r w:rsidR="00356883">
        <w:t xml:space="preserve">(contracts that do not expire) </w:t>
      </w:r>
      <w:r w:rsidR="00CA12E2">
        <w:t xml:space="preserve">paying above the </w:t>
      </w:r>
      <w:r w:rsidR="00674B7A">
        <w:t>VDO</w:t>
      </w:r>
      <w:r w:rsidR="00CA12E2" w:rsidRPr="009C0478">
        <w:t xml:space="preserve">. </w:t>
      </w:r>
      <w:r w:rsidR="00E65359">
        <w:t>T</w:t>
      </w:r>
      <w:r w:rsidR="00A94F85">
        <w:t xml:space="preserve">hese </w:t>
      </w:r>
      <w:r w:rsidR="00B33974">
        <w:t>customers</w:t>
      </w:r>
      <w:r w:rsidR="00A27BDF" w:rsidRPr="009C0478">
        <w:t xml:space="preserve"> </w:t>
      </w:r>
      <w:r w:rsidR="00A94F85">
        <w:t xml:space="preserve">could not </w:t>
      </w:r>
      <w:r w:rsidR="00A27BDF" w:rsidRPr="009C0478">
        <w:t xml:space="preserve">engage </w:t>
      </w:r>
      <w:r w:rsidR="003B4988">
        <w:t>with a complex market</w:t>
      </w:r>
      <w:r w:rsidR="00E65359">
        <w:t xml:space="preserve">, and unfortunately </w:t>
      </w:r>
      <w:r w:rsidR="0082176B">
        <w:t xml:space="preserve">face </w:t>
      </w:r>
      <w:r w:rsidR="00A27BDF" w:rsidRPr="009C0478">
        <w:t>high</w:t>
      </w:r>
      <w:r w:rsidR="005657A5">
        <w:t>er</w:t>
      </w:r>
      <w:r w:rsidR="005C59F1">
        <w:t>-</w:t>
      </w:r>
      <w:r w:rsidR="00A27BDF" w:rsidRPr="009C0478">
        <w:t xml:space="preserve">priced </w:t>
      </w:r>
      <w:r w:rsidR="00143324">
        <w:t>older</w:t>
      </w:r>
      <w:r w:rsidR="00A27BDF" w:rsidRPr="009C0478">
        <w:t xml:space="preserve"> contracts.</w:t>
      </w:r>
      <w:r w:rsidR="00F5108D">
        <w:rPr>
          <w:rStyle w:val="FootnoteReference"/>
        </w:rPr>
        <w:footnoteReference w:id="201"/>
      </w:r>
      <w:r w:rsidR="00E65359" w:rsidRPr="00E65359">
        <w:t xml:space="preserve"> </w:t>
      </w:r>
      <w:r w:rsidR="00E65359">
        <w:t>The Brotherhood of St. Laurence and Energy Consumer’s Australia highlighted that customers who stay loyal to their retailers tend to be punished with higher prices.</w:t>
      </w:r>
      <w:r w:rsidR="00E65359">
        <w:rPr>
          <w:rStyle w:val="FootnoteReference"/>
        </w:rPr>
        <w:footnoteReference w:id="202"/>
      </w:r>
    </w:p>
    <w:p w14:paraId="4FE623DF" w14:textId="641C6706" w:rsidR="008847F8" w:rsidRPr="008847F8" w:rsidRDefault="008847F8" w:rsidP="008847F8">
      <w:r w:rsidRPr="008847F8">
        <w:t xml:space="preserve">Consumer groups and energy retailers agreed that it would be useful to understand how many customers are exposed to high prices in older contracts to assess the problem. </w:t>
      </w:r>
    </w:p>
    <w:p w14:paraId="4C04CB57" w14:textId="099DE662" w:rsidR="00A27BDF" w:rsidRDefault="002A097A" w:rsidP="00FC2E32">
      <w:r>
        <w:t>Some</w:t>
      </w:r>
      <w:r w:rsidR="004F17DF">
        <w:t xml:space="preserve"> retailers </w:t>
      </w:r>
      <w:r w:rsidR="000E1631">
        <w:t>emphasised</w:t>
      </w:r>
      <w:r w:rsidR="004F17DF">
        <w:t xml:space="preserve"> </w:t>
      </w:r>
      <w:r w:rsidR="00375239">
        <w:t xml:space="preserve">that </w:t>
      </w:r>
      <w:r w:rsidR="00FF56C1">
        <w:t>e</w:t>
      </w:r>
      <w:r w:rsidR="00A27BDF" w:rsidRPr="009C0478">
        <w:t xml:space="preserve">ncouraging consumer engagement </w:t>
      </w:r>
      <w:r w:rsidR="00FF56C1">
        <w:t>may be</w:t>
      </w:r>
      <w:r w:rsidR="00A27BDF" w:rsidRPr="009C0478">
        <w:t xml:space="preserve"> a better way to deliver lower cost energy to customers</w:t>
      </w:r>
      <w:r w:rsidR="00C07FF5">
        <w:t xml:space="preserve"> as opposed to </w:t>
      </w:r>
      <w:r w:rsidR="00FD47D4">
        <w:t>changing</w:t>
      </w:r>
      <w:r w:rsidR="007E7A12">
        <w:t xml:space="preserve"> current obligations around conditional discounts and older contracts</w:t>
      </w:r>
      <w:r w:rsidR="00A27BDF" w:rsidRPr="009C0478">
        <w:t>.</w:t>
      </w:r>
      <w:r w:rsidR="00F6357F">
        <w:rPr>
          <w:rStyle w:val="FootnoteReference"/>
        </w:rPr>
        <w:footnoteReference w:id="203"/>
      </w:r>
      <w:r w:rsidR="00CD64B8">
        <w:t xml:space="preserve"> </w:t>
      </w:r>
      <w:r w:rsidR="00A81EE2">
        <w:t>R</w:t>
      </w:r>
      <w:r w:rsidR="00F6357F">
        <w:t xml:space="preserve">etailers </w:t>
      </w:r>
      <w:r w:rsidR="002F12CF">
        <w:t>also</w:t>
      </w:r>
      <w:r w:rsidR="00F6357F">
        <w:t xml:space="preserve"> </w:t>
      </w:r>
      <w:r w:rsidR="002C57BD">
        <w:t>raised that</w:t>
      </w:r>
      <w:r w:rsidR="00CD64B8">
        <w:t xml:space="preserve"> </w:t>
      </w:r>
      <w:r w:rsidR="007D6DD6">
        <w:t>five-yearly reviews of older contracts</w:t>
      </w:r>
      <w:r w:rsidR="00A27BDF" w:rsidRPr="009F0BFA">
        <w:t xml:space="preserve"> could be used to reduce the risk of customers on </w:t>
      </w:r>
      <w:r w:rsidR="00CD64B8">
        <w:t>older</w:t>
      </w:r>
      <w:r w:rsidR="00A27BDF" w:rsidRPr="009F0BFA">
        <w:t xml:space="preserve"> plans facing high</w:t>
      </w:r>
      <w:r w:rsidR="00CD64B8">
        <w:t>er</w:t>
      </w:r>
      <w:r w:rsidR="00A27BDF" w:rsidRPr="009F0BFA">
        <w:t xml:space="preserve"> energy costs.</w:t>
      </w:r>
      <w:r w:rsidR="00E579F6">
        <w:rPr>
          <w:rStyle w:val="FootnoteReference"/>
        </w:rPr>
        <w:footnoteReference w:id="204"/>
      </w:r>
    </w:p>
    <w:p w14:paraId="7CC93BEB" w14:textId="26B913A9" w:rsidR="00A27BDF" w:rsidRPr="009C0478" w:rsidRDefault="005B5238" w:rsidP="00FE1A5A">
      <w:r>
        <w:t>O</w:t>
      </w:r>
      <w:r w:rsidR="009B67B4">
        <w:t xml:space="preserve">ther public entities </w:t>
      </w:r>
      <w:r w:rsidR="008B1490">
        <w:t xml:space="preserve">supported </w:t>
      </w:r>
      <w:r w:rsidR="00A27BDF" w:rsidRPr="009C0478">
        <w:t xml:space="preserve">regulation </w:t>
      </w:r>
      <w:r w:rsidR="00FE1A5A">
        <w:t xml:space="preserve">that protects consumers from </w:t>
      </w:r>
      <w:r w:rsidR="00A27BDF" w:rsidRPr="009C0478">
        <w:t>unreasonably high prices</w:t>
      </w:r>
      <w:r w:rsidR="00FE1A5A">
        <w:t xml:space="preserve"> </w:t>
      </w:r>
      <w:r w:rsidR="00B57F6A">
        <w:t xml:space="preserve">whilst also </w:t>
      </w:r>
      <w:r w:rsidR="00FE1A5A">
        <w:t>help</w:t>
      </w:r>
      <w:r w:rsidR="00B57F6A">
        <w:t>ing</w:t>
      </w:r>
      <w:r w:rsidR="00FE1A5A">
        <w:t xml:space="preserve"> customers who are willing to engage in the market</w:t>
      </w:r>
      <w:r w:rsidR="003B24AB">
        <w:t>.</w:t>
      </w:r>
      <w:r w:rsidR="000F77F9">
        <w:rPr>
          <w:rStyle w:val="FootnoteReference"/>
        </w:rPr>
        <w:footnoteReference w:id="205"/>
      </w:r>
    </w:p>
    <w:p w14:paraId="2BC9F46C" w14:textId="7397A56C" w:rsidR="0021428C" w:rsidRDefault="007A1DC4" w:rsidP="00FC2E32">
      <w:pPr>
        <w:pStyle w:val="Heading3numbered"/>
      </w:pPr>
      <w:r>
        <w:t xml:space="preserve">Approach to </w:t>
      </w:r>
      <w:r w:rsidR="0021428C">
        <w:t>options</w:t>
      </w:r>
      <w:r>
        <w:t xml:space="preserve"> development</w:t>
      </w:r>
    </w:p>
    <w:p w14:paraId="67DA483D" w14:textId="7207E6A6" w:rsidR="00B52F51" w:rsidRDefault="00031993" w:rsidP="00AC7B7F">
      <w:r>
        <w:t xml:space="preserve">Our aim is to </w:t>
      </w:r>
      <w:r w:rsidR="00ED5A96">
        <w:t xml:space="preserve">design a rule that can specifically target </w:t>
      </w:r>
      <w:r w:rsidR="00363D2A">
        <w:t>customers</w:t>
      </w:r>
      <w:r w:rsidR="00192C7A">
        <w:t xml:space="preserve"> </w:t>
      </w:r>
      <w:r w:rsidR="006E2334">
        <w:t>on old</w:t>
      </w:r>
      <w:r w:rsidR="00C0693D">
        <w:t>er</w:t>
      </w:r>
      <w:r w:rsidR="006E2334">
        <w:t xml:space="preserve"> contracts </w:t>
      </w:r>
      <w:r w:rsidR="007F7CCC">
        <w:t xml:space="preserve">paying </w:t>
      </w:r>
      <w:r w:rsidR="00F74393">
        <w:t>unreasonabl</w:t>
      </w:r>
      <w:r w:rsidR="006E2334">
        <w:t>y</w:t>
      </w:r>
      <w:r w:rsidR="000E19D8">
        <w:t xml:space="preserve"> high prices</w:t>
      </w:r>
      <w:r w:rsidR="00ED5A96">
        <w:t xml:space="preserve">. </w:t>
      </w:r>
      <w:r w:rsidR="00AC7B7F">
        <w:t>C</w:t>
      </w:r>
      <w:r w:rsidR="00E74EA6">
        <w:t xml:space="preserve">ustomers on older but cheaper contracts </w:t>
      </w:r>
      <w:r w:rsidR="00AC7B7F">
        <w:t xml:space="preserve">should </w:t>
      </w:r>
      <w:r w:rsidR="00E74EA6">
        <w:t xml:space="preserve">remain on those energy plans. </w:t>
      </w:r>
      <w:r w:rsidR="00C3124C" w:rsidRPr="00C3124C">
        <w:t xml:space="preserve">We </w:t>
      </w:r>
      <w:r w:rsidR="00AC7B7F">
        <w:t xml:space="preserve">also want to </w:t>
      </w:r>
      <w:r w:rsidR="004F4E53">
        <w:t xml:space="preserve">design a rule that limits the </w:t>
      </w:r>
      <w:r w:rsidR="00C3124C" w:rsidRPr="00C3124C">
        <w:t>regulatory burden</w:t>
      </w:r>
      <w:r w:rsidR="004F4E53">
        <w:t xml:space="preserve"> on retailers</w:t>
      </w:r>
      <w:r w:rsidR="00C3124C" w:rsidRPr="00C3124C">
        <w:t>.</w:t>
      </w:r>
    </w:p>
    <w:p w14:paraId="75B07140" w14:textId="0D6DA78D" w:rsidR="00BC319C" w:rsidRDefault="009448D0" w:rsidP="00800122">
      <w:pPr>
        <w:pStyle w:val="Heading4"/>
      </w:pPr>
      <w:r>
        <w:t>Price</w:t>
      </w:r>
      <w:r w:rsidR="00BC319C">
        <w:t xml:space="preserve"> of a contract</w:t>
      </w:r>
    </w:p>
    <w:p w14:paraId="151DDDF4" w14:textId="0D372DE9" w:rsidR="00042B1E" w:rsidRDefault="00CE01DE" w:rsidP="003E442F">
      <w:r>
        <w:t>T</w:t>
      </w:r>
      <w:r w:rsidR="00856F1D">
        <w:t>he first element</w:t>
      </w:r>
      <w:r w:rsidR="003E442F">
        <w:t xml:space="preserve"> of this reform </w:t>
      </w:r>
      <w:r>
        <w:t>is</w:t>
      </w:r>
      <w:r w:rsidR="003E442F">
        <w:t xml:space="preserve"> focus</w:t>
      </w:r>
      <w:r>
        <w:t>ed</w:t>
      </w:r>
      <w:r w:rsidR="003E442F">
        <w:t xml:space="preserve"> on </w:t>
      </w:r>
      <w:r w:rsidR="00B41CBF">
        <w:t xml:space="preserve">the </w:t>
      </w:r>
      <w:r w:rsidR="003E442F">
        <w:t>price</w:t>
      </w:r>
      <w:r w:rsidR="001209F6">
        <w:t xml:space="preserve"> of</w:t>
      </w:r>
      <w:r w:rsidR="003E442F">
        <w:t xml:space="preserve"> </w:t>
      </w:r>
      <w:r>
        <w:t xml:space="preserve">older </w:t>
      </w:r>
      <w:r w:rsidR="003E442F">
        <w:t>contracts</w:t>
      </w:r>
      <w:r>
        <w:t xml:space="preserve">. </w:t>
      </w:r>
    </w:p>
    <w:p w14:paraId="6427A666" w14:textId="3740A3C3" w:rsidR="00210490" w:rsidRDefault="00CE01DE" w:rsidP="003E442F">
      <w:r>
        <w:lastRenderedPageBreak/>
        <w:t xml:space="preserve">For electricity, </w:t>
      </w:r>
      <w:r w:rsidR="00042B1E">
        <w:t xml:space="preserve">we </w:t>
      </w:r>
      <w:r w:rsidR="00871119">
        <w:t xml:space="preserve">analysed </w:t>
      </w:r>
      <w:r w:rsidR="00042B1E">
        <w:t>how muc</w:t>
      </w:r>
      <w:r w:rsidR="00F41B6E">
        <w:t>h</w:t>
      </w:r>
      <w:r w:rsidR="003E442F">
        <w:t xml:space="preserve"> customers </w:t>
      </w:r>
      <w:r w:rsidR="001A2AD3">
        <w:t>are</w:t>
      </w:r>
      <w:r w:rsidR="003E442F">
        <w:t xml:space="preserve"> paying </w:t>
      </w:r>
      <w:r w:rsidR="001A2AD3">
        <w:t>above</w:t>
      </w:r>
      <w:r w:rsidR="003E442F">
        <w:t xml:space="preserve"> the VDO. </w:t>
      </w:r>
      <w:r w:rsidR="008632F2">
        <w:t>A</w:t>
      </w:r>
      <w:r w:rsidR="000B3079" w:rsidRPr="000B3079">
        <w:t xml:space="preserve">lmost half of all customers on flat rate market tariffs aged </w:t>
      </w:r>
      <w:r w:rsidR="00701399">
        <w:t>4</w:t>
      </w:r>
      <w:r w:rsidR="000B3079" w:rsidRPr="000B3079">
        <w:t xml:space="preserve"> years or older would be better off on the flat rate VDO </w:t>
      </w:r>
      <w:r w:rsidR="000B3079">
        <w:t>(</w:t>
      </w:r>
      <w:r w:rsidR="006753ED">
        <w:t>two</w:t>
      </w:r>
      <w:r w:rsidR="00170D43">
        <w:t xml:space="preserve"> per cent</w:t>
      </w:r>
      <w:r w:rsidR="000B3079" w:rsidRPr="000B3079">
        <w:t xml:space="preserve"> of all residential electricity customers in Victoria).</w:t>
      </w:r>
      <w:r w:rsidR="00C82271">
        <w:rPr>
          <w:rStyle w:val="FootnoteReference"/>
        </w:rPr>
        <w:footnoteReference w:id="206"/>
      </w:r>
      <w:r w:rsidR="000B3079" w:rsidRPr="000B3079">
        <w:t xml:space="preserve"> </w:t>
      </w:r>
      <w:r w:rsidR="003577CE">
        <w:t xml:space="preserve">These customers could </w:t>
      </w:r>
      <w:r w:rsidR="000B3079" w:rsidRPr="000B3079">
        <w:t xml:space="preserve">typically save around </w:t>
      </w:r>
      <w:r w:rsidR="13196E9C">
        <w:t xml:space="preserve">$258 </w:t>
      </w:r>
      <w:r w:rsidR="000B3079" w:rsidRPr="000B3079">
        <w:t>each year.</w:t>
      </w:r>
    </w:p>
    <w:p w14:paraId="1ED9D4F2" w14:textId="128DF9C8" w:rsidR="006D155B" w:rsidRDefault="006D155B" w:rsidP="006D155B">
      <w:r>
        <w:t>For gas, in the absence of regulated standing offers, we looked at factors such as the cost of plans available to new customers, the median price paid by a retailer’s customers and the price of retailers’ standing offers.</w:t>
      </w:r>
    </w:p>
    <w:p w14:paraId="4261DF9B" w14:textId="5D4E71DE" w:rsidR="009448D0" w:rsidRDefault="009448D0" w:rsidP="00800122">
      <w:pPr>
        <w:pStyle w:val="Heading4"/>
      </w:pPr>
      <w:r>
        <w:t>Age of a contract</w:t>
      </w:r>
    </w:p>
    <w:p w14:paraId="7885110A" w14:textId="2533EED9" w:rsidR="007033F1" w:rsidRDefault="00D82BCD" w:rsidP="00EF4A43">
      <w:r>
        <w:t xml:space="preserve">There is a </w:t>
      </w:r>
      <w:r w:rsidRPr="00735CC3">
        <w:t xml:space="preserve">correlation between the age of a contract and </w:t>
      </w:r>
      <w:r w:rsidR="00496282">
        <w:t>the price paid by a customer</w:t>
      </w:r>
      <w:r w:rsidRPr="00735CC3">
        <w:t>.</w:t>
      </w:r>
      <w:r w:rsidR="001B412B">
        <w:t xml:space="preserve"> </w:t>
      </w:r>
      <w:r w:rsidR="00934022">
        <w:t>M</w:t>
      </w:r>
      <w:r w:rsidR="002D599D">
        <w:t xml:space="preserve">ost </w:t>
      </w:r>
      <w:r w:rsidR="00210717">
        <w:t xml:space="preserve">customers </w:t>
      </w:r>
      <w:r w:rsidR="002D599D">
        <w:t>are benefitting from lower prices</w:t>
      </w:r>
      <w:r w:rsidR="00210717">
        <w:t xml:space="preserve">, with </w:t>
      </w:r>
      <w:r w:rsidR="006E4F72">
        <w:t>our analysis indicating</w:t>
      </w:r>
      <w:r w:rsidR="00210717">
        <w:t xml:space="preserve"> </w:t>
      </w:r>
      <w:r w:rsidR="007B1716">
        <w:t>7</w:t>
      </w:r>
      <w:r w:rsidR="006E4F72">
        <w:t>7</w:t>
      </w:r>
      <w:r w:rsidR="0042508E">
        <w:t xml:space="preserve"> per cent</w:t>
      </w:r>
      <w:r w:rsidR="007B1716">
        <w:t xml:space="preserve"> of Victorian customers </w:t>
      </w:r>
      <w:r w:rsidR="002F6558">
        <w:t xml:space="preserve">having </w:t>
      </w:r>
      <w:r w:rsidR="007B1716">
        <w:t>switch</w:t>
      </w:r>
      <w:r w:rsidR="002F6558">
        <w:t>ed</w:t>
      </w:r>
      <w:r w:rsidR="007B1716">
        <w:t xml:space="preserve"> </w:t>
      </w:r>
      <w:r w:rsidR="00F3225C">
        <w:t xml:space="preserve">plans </w:t>
      </w:r>
      <w:r w:rsidR="002F6558">
        <w:t>in the last</w:t>
      </w:r>
      <w:r w:rsidR="007B1716">
        <w:t xml:space="preserve"> two years.</w:t>
      </w:r>
      <w:r w:rsidR="00967928" w:rsidRPr="00967928">
        <w:t xml:space="preserve"> </w:t>
      </w:r>
      <w:r w:rsidR="00967928">
        <w:t>However, after four years, residential customers are more likely to face higher prices (as shown in Figure 6</w:t>
      </w:r>
      <w:r w:rsidR="00926940">
        <w:t>)</w:t>
      </w:r>
      <w:r w:rsidR="00967928">
        <w:t>.</w:t>
      </w:r>
      <w:r w:rsidR="00E12DA7">
        <w:t xml:space="preserve">For the purpose of </w:t>
      </w:r>
      <w:r w:rsidR="007C7AAA">
        <w:t>our</w:t>
      </w:r>
      <w:r w:rsidR="00E12DA7">
        <w:t xml:space="preserve"> </w:t>
      </w:r>
      <w:r w:rsidR="00FF1371">
        <w:t>assessment, this proposed reform consider</w:t>
      </w:r>
      <w:r w:rsidR="004C1CA7">
        <w:t>s</w:t>
      </w:r>
      <w:r w:rsidR="00FF1371">
        <w:t xml:space="preserve"> </w:t>
      </w:r>
      <w:r w:rsidR="004C1CA7">
        <w:t>contracts older than four years</w:t>
      </w:r>
      <w:r w:rsidR="007033F1">
        <w:t xml:space="preserve"> </w:t>
      </w:r>
      <w:r w:rsidR="004C1CA7">
        <w:t>to be ‘older contracts’.</w:t>
      </w:r>
    </w:p>
    <w:p w14:paraId="36655143" w14:textId="1C1956F6" w:rsidR="00BD7A27" w:rsidRDefault="004F6690" w:rsidP="00EF4A43">
      <w:r>
        <w:t>We estimate that around 10 per</w:t>
      </w:r>
      <w:r w:rsidR="00FB03BA">
        <w:t xml:space="preserve"> </w:t>
      </w:r>
      <w:r>
        <w:t xml:space="preserve">cent of Victorian </w:t>
      </w:r>
      <w:r w:rsidR="001F1AA5">
        <w:t xml:space="preserve">electricity customers </w:t>
      </w:r>
      <w:r>
        <w:t>are on contracts that are older than four years.</w:t>
      </w:r>
      <w:r>
        <w:rPr>
          <w:rStyle w:val="FootnoteReference"/>
        </w:rPr>
        <w:footnoteReference w:id="207"/>
      </w:r>
      <w:r w:rsidR="00FE4AA3">
        <w:t xml:space="preserve"> </w:t>
      </w:r>
      <w:r w:rsidR="001A707A">
        <w:t xml:space="preserve">Only a small proportion of these customers </w:t>
      </w:r>
      <w:r w:rsidR="00145D0E">
        <w:t>are on higher priced contracts</w:t>
      </w:r>
      <w:r w:rsidR="00BD7A27">
        <w:t>:</w:t>
      </w:r>
    </w:p>
    <w:p w14:paraId="2C2E8BF4" w14:textId="15EF09FF" w:rsidR="00BD7A27" w:rsidRDefault="00B96F7B" w:rsidP="00A92E17">
      <w:pPr>
        <w:pStyle w:val="ListBullet"/>
      </w:pPr>
      <w:r>
        <w:t>4</w:t>
      </w:r>
      <w:r w:rsidR="005E266C" w:rsidRPr="003A3194">
        <w:t xml:space="preserve"> per</w:t>
      </w:r>
      <w:r w:rsidR="00FB03BA">
        <w:t xml:space="preserve"> </w:t>
      </w:r>
      <w:r w:rsidR="005E266C" w:rsidRPr="003A3194">
        <w:t xml:space="preserve">cent </w:t>
      </w:r>
      <w:r w:rsidR="007272D8" w:rsidRPr="003A3194">
        <w:t>are</w:t>
      </w:r>
      <w:r w:rsidR="00D83796" w:rsidRPr="003A3194">
        <w:t xml:space="preserve"> paying more than 10 per cent above the VDO</w:t>
      </w:r>
    </w:p>
    <w:p w14:paraId="78C728E8" w14:textId="2B33A719" w:rsidR="00BD7A27" w:rsidRDefault="00B96F7B" w:rsidP="00A92E17">
      <w:pPr>
        <w:pStyle w:val="ListBullet"/>
      </w:pPr>
      <w:r>
        <w:t>2</w:t>
      </w:r>
      <w:r w:rsidR="00E058E6" w:rsidRPr="003A3194">
        <w:t xml:space="preserve"> per cent of customers paying </w:t>
      </w:r>
      <w:r w:rsidR="00EC2692" w:rsidRPr="003A3194">
        <w:t xml:space="preserve">25 per cent above </w:t>
      </w:r>
      <w:r w:rsidR="005501E1" w:rsidRPr="003A3194">
        <w:t>the VDO</w:t>
      </w:r>
      <w:r w:rsidR="007224E2">
        <w:t xml:space="preserve"> and </w:t>
      </w:r>
    </w:p>
    <w:p w14:paraId="6D20D425" w14:textId="58DEDCBD" w:rsidR="00EA5562" w:rsidRDefault="007224E2" w:rsidP="00A92E17">
      <w:pPr>
        <w:pStyle w:val="ListBullet"/>
      </w:pPr>
      <w:r>
        <w:t>0.1 per cent of customers are paying 50 per cent above the VDO</w:t>
      </w:r>
      <w:r w:rsidR="00351470">
        <w:t>.</w:t>
      </w:r>
      <w:r w:rsidR="00E10CED">
        <w:rPr>
          <w:rStyle w:val="FootnoteReference"/>
        </w:rPr>
        <w:footnoteReference w:id="208"/>
      </w:r>
      <w:r w:rsidR="004E551C">
        <w:t xml:space="preserve"> </w:t>
      </w:r>
    </w:p>
    <w:p w14:paraId="24A3035E" w14:textId="3E86C820" w:rsidR="004A09D3" w:rsidRDefault="00BD7A27" w:rsidP="00FC2E32">
      <w:r>
        <w:t xml:space="preserve">Most </w:t>
      </w:r>
      <w:r w:rsidR="009629F0">
        <w:t xml:space="preserve">retailers have a </w:t>
      </w:r>
      <w:r w:rsidR="00C5457C">
        <w:t xml:space="preserve">very </w:t>
      </w:r>
      <w:r w:rsidR="009629F0">
        <w:t xml:space="preserve">small proportion of customers </w:t>
      </w:r>
      <w:r w:rsidR="00E7469D">
        <w:t>on older contracts paying higher prices. Fo</w:t>
      </w:r>
      <w:r w:rsidR="009629F0">
        <w:t>r those retailers</w:t>
      </w:r>
      <w:r w:rsidR="00E7469D">
        <w:t>,</w:t>
      </w:r>
      <w:r w:rsidR="009629F0">
        <w:t xml:space="preserve"> this reform </w:t>
      </w:r>
      <w:r w:rsidR="009D4591">
        <w:t>should</w:t>
      </w:r>
      <w:r w:rsidR="009629F0">
        <w:t xml:space="preserve"> </w:t>
      </w:r>
      <w:r w:rsidR="00EA5562">
        <w:t xml:space="preserve">not </w:t>
      </w:r>
      <w:r w:rsidR="00B3046D">
        <w:t xml:space="preserve">be </w:t>
      </w:r>
      <w:r w:rsidR="00415789">
        <w:t xml:space="preserve">overly </w:t>
      </w:r>
      <w:r w:rsidR="004B3E52">
        <w:t>burdensome</w:t>
      </w:r>
      <w:r w:rsidR="00C540D3">
        <w:t xml:space="preserve"> or costly</w:t>
      </w:r>
      <w:r w:rsidR="004B3E52">
        <w:t>.</w:t>
      </w:r>
    </w:p>
    <w:p w14:paraId="44EB8891" w14:textId="249364E5" w:rsidR="009325AF" w:rsidRDefault="00E7469D" w:rsidP="00766B2B">
      <w:r>
        <w:t xml:space="preserve">However, </w:t>
      </w:r>
      <w:r w:rsidR="00415789">
        <w:t xml:space="preserve">there are a </w:t>
      </w:r>
      <w:r w:rsidR="0006616A">
        <w:t xml:space="preserve">few </w:t>
      </w:r>
      <w:r w:rsidR="008257A6">
        <w:t xml:space="preserve">retailers with much larger proportions of </w:t>
      </w:r>
      <w:r w:rsidR="00C81C18">
        <w:t xml:space="preserve">customers </w:t>
      </w:r>
      <w:r w:rsidR="00FE4FAC">
        <w:t>on older contracts paying higher prices.</w:t>
      </w:r>
      <w:r w:rsidR="004A09D3">
        <w:t xml:space="preserve"> </w:t>
      </w:r>
      <w:r w:rsidR="00DC1895">
        <w:t xml:space="preserve">We are particularly focused </w:t>
      </w:r>
      <w:r w:rsidR="00766B2B">
        <w:t>in providing stronger incentives for these retailers to reduce prices for its affected customers</w:t>
      </w:r>
      <w:r w:rsidR="00075F11">
        <w:t>.</w:t>
      </w:r>
    </w:p>
    <w:p w14:paraId="6C361DFE" w14:textId="77777777" w:rsidR="00B63077" w:rsidRDefault="00B63077" w:rsidP="00B63077">
      <w:pPr>
        <w:pStyle w:val="Heading2numbered"/>
      </w:pPr>
      <w:bookmarkStart w:id="232" w:name="_Toc195261903"/>
      <w:bookmarkStart w:id="233" w:name="_Toc195617198"/>
      <w:bookmarkStart w:id="234" w:name="_Toc195642883"/>
      <w:bookmarkStart w:id="235" w:name="_Toc195692595"/>
      <w:bookmarkStart w:id="236" w:name="_Toc195701890"/>
      <w:bookmarkStart w:id="237" w:name="_Toc195261904"/>
      <w:bookmarkStart w:id="238" w:name="_Toc195617199"/>
      <w:bookmarkStart w:id="239" w:name="_Toc195642884"/>
      <w:bookmarkStart w:id="240" w:name="_Toc195692596"/>
      <w:bookmarkStart w:id="241" w:name="_Toc195701891"/>
      <w:bookmarkStart w:id="242" w:name="_Toc197959453"/>
      <w:bookmarkEnd w:id="232"/>
      <w:bookmarkEnd w:id="233"/>
      <w:bookmarkEnd w:id="234"/>
      <w:bookmarkEnd w:id="235"/>
      <w:bookmarkEnd w:id="236"/>
      <w:bookmarkEnd w:id="237"/>
      <w:bookmarkEnd w:id="238"/>
      <w:bookmarkEnd w:id="239"/>
      <w:bookmarkEnd w:id="240"/>
      <w:bookmarkEnd w:id="241"/>
      <w:r>
        <w:t>Options considered but not progressed to assessment</w:t>
      </w:r>
      <w:bookmarkEnd w:id="242"/>
    </w:p>
    <w:p w14:paraId="2FEB070B" w14:textId="42619E66" w:rsidR="00811B3A" w:rsidRDefault="00896FDD" w:rsidP="00FC2E32">
      <w:r>
        <w:t xml:space="preserve">One </w:t>
      </w:r>
      <w:r w:rsidR="003D11B5">
        <w:t xml:space="preserve">method to </w:t>
      </w:r>
      <w:r w:rsidR="00E52352">
        <w:t xml:space="preserve">regulate </w:t>
      </w:r>
      <w:r w:rsidR="003D11B5">
        <w:t>price increases for older contracts is to ban evergreen contracts.</w:t>
      </w:r>
      <w:r w:rsidR="00FD6C08">
        <w:t xml:space="preserve"> </w:t>
      </w:r>
      <w:r w:rsidR="00294152">
        <w:t xml:space="preserve">While this option </w:t>
      </w:r>
      <w:r w:rsidR="003D11B5">
        <w:t xml:space="preserve">reduces </w:t>
      </w:r>
      <w:r w:rsidR="0047263F" w:rsidRPr="005C6949">
        <w:t xml:space="preserve">significant </w:t>
      </w:r>
      <w:r w:rsidR="00294152" w:rsidRPr="005C6949">
        <w:t>price increase</w:t>
      </w:r>
      <w:r w:rsidR="00BB18B6" w:rsidRPr="005C6949">
        <w:t>s over time</w:t>
      </w:r>
      <w:r w:rsidR="003D11B5" w:rsidRPr="005C6949">
        <w:t>,</w:t>
      </w:r>
      <w:r w:rsidR="00AB4AD8" w:rsidRPr="005C6949">
        <w:t xml:space="preserve"> </w:t>
      </w:r>
      <w:r w:rsidR="00AB3DB9" w:rsidRPr="005C6949">
        <w:t xml:space="preserve">it </w:t>
      </w:r>
      <w:r w:rsidR="00E07D73" w:rsidRPr="005C6949">
        <w:t>could</w:t>
      </w:r>
      <w:r w:rsidR="00AB3DB9" w:rsidRPr="005C6949">
        <w:t xml:space="preserve"> </w:t>
      </w:r>
      <w:r w:rsidR="003D11B5" w:rsidRPr="005C6949">
        <w:t xml:space="preserve">lead to </w:t>
      </w:r>
      <w:r w:rsidR="00A35E47" w:rsidRPr="005C6949">
        <w:t>unintended significant impacts in the market.</w:t>
      </w:r>
      <w:r w:rsidR="003A7BCF" w:rsidRPr="005C6949">
        <w:t xml:space="preserve"> </w:t>
      </w:r>
      <w:r w:rsidR="00456A32" w:rsidRPr="005C6949">
        <w:t xml:space="preserve">Banning </w:t>
      </w:r>
      <w:r w:rsidR="009A3B64" w:rsidRPr="005C6949">
        <w:t xml:space="preserve">evergreen </w:t>
      </w:r>
      <w:r w:rsidR="00E52F6C" w:rsidRPr="005C6949">
        <w:t>contracts</w:t>
      </w:r>
      <w:r w:rsidR="009A3B64" w:rsidRPr="005C6949">
        <w:t xml:space="preserve"> would only address the longevity of a plan without </w:t>
      </w:r>
      <w:r w:rsidR="00E52F6C" w:rsidRPr="005C6949">
        <w:t xml:space="preserve">any pricing considerations. </w:t>
      </w:r>
      <w:r w:rsidR="000F30E5" w:rsidRPr="005C6949">
        <w:t>Another</w:t>
      </w:r>
      <w:r w:rsidR="000F30E5">
        <w:t xml:space="preserve"> </w:t>
      </w:r>
      <w:r w:rsidR="00081154">
        <w:t xml:space="preserve">option </w:t>
      </w:r>
      <w:r w:rsidR="002A4969">
        <w:t xml:space="preserve">would be to mandate retailers to move </w:t>
      </w:r>
      <w:r w:rsidR="002A4969">
        <w:lastRenderedPageBreak/>
        <w:t xml:space="preserve">customers on older </w:t>
      </w:r>
      <w:r w:rsidR="00D110D7">
        <w:t xml:space="preserve">plans </w:t>
      </w:r>
      <w:r w:rsidR="005C6949">
        <w:t xml:space="preserve">priced </w:t>
      </w:r>
      <w:r w:rsidR="00D110D7">
        <w:t xml:space="preserve">above the VDO </w:t>
      </w:r>
      <w:r w:rsidR="006350D7">
        <w:t xml:space="preserve">onto the VDO or cheaper offers. </w:t>
      </w:r>
      <w:r w:rsidR="00081154">
        <w:t xml:space="preserve">A further option would be a </w:t>
      </w:r>
      <w:r w:rsidR="000F30E5">
        <w:t xml:space="preserve">market-wide price cap on all </w:t>
      </w:r>
      <w:r w:rsidR="00081154">
        <w:t xml:space="preserve">retail </w:t>
      </w:r>
      <w:r w:rsidR="000F30E5">
        <w:t>contracts</w:t>
      </w:r>
      <w:r w:rsidR="003B5720">
        <w:t xml:space="preserve">. </w:t>
      </w:r>
    </w:p>
    <w:p w14:paraId="250987D4" w14:textId="5CBC5E6E" w:rsidR="000615AB" w:rsidRDefault="003B5720" w:rsidP="00833BF0">
      <w:r>
        <w:t xml:space="preserve">These options </w:t>
      </w:r>
      <w:r w:rsidR="0067303A">
        <w:t xml:space="preserve">could </w:t>
      </w:r>
      <w:r w:rsidR="005C6949">
        <w:t xml:space="preserve">all </w:t>
      </w:r>
      <w:r w:rsidR="00FB1227">
        <w:t xml:space="preserve">have significant </w:t>
      </w:r>
      <w:r w:rsidR="0016357F">
        <w:t>impact</w:t>
      </w:r>
      <w:r w:rsidR="00BB2F82">
        <w:t>s</w:t>
      </w:r>
      <w:r w:rsidR="0016357F">
        <w:t xml:space="preserve"> in the energy market</w:t>
      </w:r>
      <w:r w:rsidR="0051422F">
        <w:t xml:space="preserve"> </w:t>
      </w:r>
      <w:r w:rsidR="00833BF0">
        <w:t xml:space="preserve">and may not be commensurate with the nature and extent of problems we have identified. </w:t>
      </w:r>
      <w:r w:rsidR="00A62DE0">
        <w:t xml:space="preserve">They </w:t>
      </w:r>
      <w:r w:rsidR="00833BF0">
        <w:t>could also significant</w:t>
      </w:r>
      <w:r w:rsidR="004E6AF1">
        <w:t xml:space="preserve">ly </w:t>
      </w:r>
      <w:r w:rsidR="00643F1C">
        <w:t xml:space="preserve">affect </w:t>
      </w:r>
      <w:r w:rsidR="004E6AF1">
        <w:t xml:space="preserve">the pricing strategies of retailers, </w:t>
      </w:r>
      <w:r w:rsidR="00643F1C">
        <w:t xml:space="preserve">with retailers offering fewer </w:t>
      </w:r>
      <w:r w:rsidR="006348DB">
        <w:t xml:space="preserve">cheaper </w:t>
      </w:r>
      <w:r w:rsidR="00643F1C">
        <w:t>energy plans</w:t>
      </w:r>
      <w:r w:rsidR="006348DB">
        <w:t>.</w:t>
      </w:r>
      <w:r>
        <w:t xml:space="preserve"> </w:t>
      </w:r>
    </w:p>
    <w:p w14:paraId="2EFC9EC5" w14:textId="1E133E6A" w:rsidR="00C460A1" w:rsidRDefault="00C460A1" w:rsidP="00C460A1">
      <w:pPr>
        <w:pStyle w:val="Heading2numbered"/>
      </w:pPr>
      <w:bookmarkStart w:id="243" w:name="_Toc195642886"/>
      <w:bookmarkStart w:id="244" w:name="_Toc195692598"/>
      <w:bookmarkStart w:id="245" w:name="_Toc195701893"/>
      <w:bookmarkStart w:id="246" w:name="_Toc197959454"/>
      <w:bookmarkEnd w:id="243"/>
      <w:bookmarkEnd w:id="244"/>
      <w:bookmarkEnd w:id="245"/>
      <w:r>
        <w:t>Options</w:t>
      </w:r>
      <w:bookmarkEnd w:id="246"/>
    </w:p>
    <w:p w14:paraId="75CD29F2" w14:textId="682F3573" w:rsidR="00E82018" w:rsidRPr="00E82018" w:rsidRDefault="006B1B77" w:rsidP="006B1B77">
      <w:pPr>
        <w:pStyle w:val="Heading3numbered"/>
      </w:pPr>
      <w:r>
        <w:t>Base case</w:t>
      </w:r>
    </w:p>
    <w:p w14:paraId="358F537C" w14:textId="417F9773" w:rsidR="00FA28B6" w:rsidRDefault="00AD5C07" w:rsidP="00A41137">
      <w:r>
        <w:t xml:space="preserve">As </w:t>
      </w:r>
      <w:r w:rsidR="00EF0012">
        <w:t xml:space="preserve">a </w:t>
      </w:r>
      <w:r>
        <w:t>base case, t</w:t>
      </w:r>
      <w:r w:rsidR="00A41137" w:rsidRPr="00A41137">
        <w:t xml:space="preserve">here is </w:t>
      </w:r>
      <w:r w:rsidR="00911E6F">
        <w:t xml:space="preserve">currently </w:t>
      </w:r>
      <w:r w:rsidR="00A41137" w:rsidRPr="00A41137">
        <w:t xml:space="preserve">no obligation for a retailer to </w:t>
      </w:r>
      <w:r w:rsidR="00911E6F">
        <w:t xml:space="preserve">lower </w:t>
      </w:r>
      <w:r w:rsidR="00A41137" w:rsidRPr="00A41137">
        <w:t xml:space="preserve">prices </w:t>
      </w:r>
      <w:r w:rsidR="00911E6F">
        <w:t xml:space="preserve">for </w:t>
      </w:r>
      <w:r w:rsidR="00A41137" w:rsidRPr="00A41137">
        <w:t xml:space="preserve">customers on older contracts. </w:t>
      </w:r>
      <w:r w:rsidR="00F365D3">
        <w:t xml:space="preserve">Some </w:t>
      </w:r>
      <w:r w:rsidR="002C36F2">
        <w:t xml:space="preserve">customers </w:t>
      </w:r>
      <w:r w:rsidR="00F365D3">
        <w:t xml:space="preserve">stay with their retailer for long periods of time and face </w:t>
      </w:r>
      <w:r w:rsidR="00312962">
        <w:t>cumulative</w:t>
      </w:r>
      <w:r w:rsidR="00F365D3">
        <w:t xml:space="preserve"> </w:t>
      </w:r>
      <w:r w:rsidR="00946406">
        <w:t xml:space="preserve">price increases. </w:t>
      </w:r>
      <w:r w:rsidR="00B96B57">
        <w:t xml:space="preserve">While these </w:t>
      </w:r>
      <w:r w:rsidR="00151A54">
        <w:t xml:space="preserve">customers can move contracts or switch retailers, </w:t>
      </w:r>
      <w:r w:rsidR="00B96B57">
        <w:t xml:space="preserve">they </w:t>
      </w:r>
      <w:r w:rsidR="001F6536">
        <w:t>do not</w:t>
      </w:r>
      <w:r w:rsidR="00B96B57">
        <w:t xml:space="preserve">. This may be due to having </w:t>
      </w:r>
      <w:r w:rsidR="00DC36E3">
        <w:t xml:space="preserve">high </w:t>
      </w:r>
      <w:r w:rsidR="00DC36E3" w:rsidRPr="00DC36E3">
        <w:t xml:space="preserve">search costs, a preference for the status quo, </w:t>
      </w:r>
      <w:r w:rsidR="00A90AEE">
        <w:t xml:space="preserve">or </w:t>
      </w:r>
      <w:r w:rsidR="00DC36E3" w:rsidRPr="00DC36E3">
        <w:t xml:space="preserve">perceived </w:t>
      </w:r>
      <w:r w:rsidR="00B96B57">
        <w:t>loss</w:t>
      </w:r>
      <w:r w:rsidR="001F3F3C">
        <w:t xml:space="preserve">es due to </w:t>
      </w:r>
      <w:r w:rsidR="00DC36E3" w:rsidRPr="00DC36E3">
        <w:t>switching</w:t>
      </w:r>
      <w:r w:rsidR="00B96B57">
        <w:t>.</w:t>
      </w:r>
    </w:p>
    <w:p w14:paraId="00D967D5" w14:textId="4B327F73" w:rsidR="00A41137" w:rsidRDefault="00831FE9" w:rsidP="00A41137">
      <w:r>
        <w:t>Under the current rules</w:t>
      </w:r>
      <w:r w:rsidR="00AF3A12">
        <w:t xml:space="preserve">, </w:t>
      </w:r>
      <w:r>
        <w:t>retailers can reduce their customers’ tariffs at any time</w:t>
      </w:r>
      <w:r w:rsidR="00BF51AF">
        <w:t xml:space="preserve"> but there is no obligation to do so</w:t>
      </w:r>
      <w:r>
        <w:t xml:space="preserve">. </w:t>
      </w:r>
      <w:r w:rsidR="00BF51AF">
        <w:t>This means that</w:t>
      </w:r>
      <w:r w:rsidR="00AF3A12">
        <w:t xml:space="preserve"> a</w:t>
      </w:r>
      <w:r w:rsidR="00A41137" w:rsidRPr="00A41137">
        <w:t xml:space="preserve"> retailer could choose </w:t>
      </w:r>
      <w:r w:rsidR="00DD3FB5">
        <w:t xml:space="preserve">to </w:t>
      </w:r>
      <w:r w:rsidR="00A41137" w:rsidRPr="00A41137">
        <w:t xml:space="preserve">voluntarily reduce </w:t>
      </w:r>
      <w:r w:rsidR="00BF51AF">
        <w:t xml:space="preserve">the tariff of a customer </w:t>
      </w:r>
      <w:r w:rsidR="007B4BE7">
        <w:t>on an older contract that is paying significantly more than a customer on a new contract</w:t>
      </w:r>
      <w:r w:rsidR="00A41137" w:rsidRPr="00A41137">
        <w:t xml:space="preserve">. </w:t>
      </w:r>
      <w:r w:rsidR="007B4BE7">
        <w:t>However,</w:t>
      </w:r>
      <w:r w:rsidR="00A41137" w:rsidRPr="00A41137">
        <w:t xml:space="preserve"> </w:t>
      </w:r>
      <w:r w:rsidR="00877BFB">
        <w:t>in most cases</w:t>
      </w:r>
      <w:r w:rsidR="00A85447">
        <w:t xml:space="preserve"> </w:t>
      </w:r>
      <w:r w:rsidR="00E52F93">
        <w:t xml:space="preserve">retailers </w:t>
      </w:r>
      <w:r w:rsidR="00877BFB">
        <w:t xml:space="preserve">do not </w:t>
      </w:r>
      <w:r w:rsidR="001232CD">
        <w:t>reduce</w:t>
      </w:r>
      <w:r w:rsidR="00E52F93">
        <w:t xml:space="preserve"> </w:t>
      </w:r>
      <w:r w:rsidR="00103B33">
        <w:t>tariffs</w:t>
      </w:r>
      <w:r w:rsidR="00A85447">
        <w:t xml:space="preserve">. On the other hand, retailers </w:t>
      </w:r>
      <w:r w:rsidR="002F12AB">
        <w:t>are allowed to</w:t>
      </w:r>
      <w:r w:rsidR="00A85447">
        <w:t xml:space="preserve"> increase tariffs once a year</w:t>
      </w:r>
      <w:r w:rsidR="00103B33">
        <w:t>. We have identified that in most cases,</w:t>
      </w:r>
      <w:r w:rsidR="00A85447">
        <w:t xml:space="preserve"> retailers </w:t>
      </w:r>
      <w:r w:rsidR="00103B33">
        <w:t>tend to</w:t>
      </w:r>
      <w:r w:rsidR="00A85447">
        <w:t xml:space="preserve"> </w:t>
      </w:r>
      <w:r w:rsidR="00E52F93">
        <w:t>increase tariffs yearly</w:t>
      </w:r>
      <w:r w:rsidR="00A85447">
        <w:t xml:space="preserve">. </w:t>
      </w:r>
      <w:r w:rsidR="00A41137" w:rsidRPr="00A41137">
        <w:t>Under the base case affected customers may continue to experience higher prices over time whe</w:t>
      </w:r>
      <w:r w:rsidR="00155CE9">
        <w:t>n</w:t>
      </w:r>
      <w:r w:rsidR="00A41137" w:rsidRPr="00A41137">
        <w:t xml:space="preserve"> they remain on an older contract.</w:t>
      </w:r>
    </w:p>
    <w:p w14:paraId="47B483BB" w14:textId="13BF7255" w:rsidR="00AB1198" w:rsidRDefault="0034125F" w:rsidP="00A41137">
      <w:r>
        <w:t>We have assessed three</w:t>
      </w:r>
      <w:r w:rsidR="00AB1198">
        <w:t xml:space="preserve"> options </w:t>
      </w:r>
      <w:r>
        <w:t>with</w:t>
      </w:r>
      <w:r w:rsidR="00AB1198">
        <w:t xml:space="preserve"> differing degrees of flexibility for a retailer to determine what is an ‘unreasonable price’ for an affected customer to pay for their energy. In all three options, the customers affected are those customers on contracts greater than four years old.</w:t>
      </w:r>
    </w:p>
    <w:p w14:paraId="2987D829" w14:textId="45AA6F31" w:rsidR="00A41137" w:rsidRPr="00A41137" w:rsidRDefault="00986142" w:rsidP="00986142">
      <w:pPr>
        <w:pStyle w:val="Heading3numbered"/>
      </w:pPr>
      <w:r>
        <w:t xml:space="preserve">Option </w:t>
      </w:r>
      <w:r w:rsidR="00782B43">
        <w:t>D.</w:t>
      </w:r>
      <w:r>
        <w:t xml:space="preserve">1 – </w:t>
      </w:r>
      <w:r w:rsidR="007A064D">
        <w:t xml:space="preserve">Mandating retailers to </w:t>
      </w:r>
      <w:r w:rsidR="4F277687">
        <w:t>ensure</w:t>
      </w:r>
      <w:r w:rsidR="008936B6">
        <w:t xml:space="preserve"> </w:t>
      </w:r>
      <w:r w:rsidR="007A064D">
        <w:t xml:space="preserve">all customers </w:t>
      </w:r>
      <w:r w:rsidR="0049300F">
        <w:t xml:space="preserve">on older contracts </w:t>
      </w:r>
      <w:r w:rsidR="206C370A">
        <w:t>pay a ‘reasonable price’</w:t>
      </w:r>
      <w:r w:rsidR="0049300F">
        <w:t xml:space="preserve"> </w:t>
      </w:r>
      <w:r w:rsidR="003C0ECF">
        <w:t>without</w:t>
      </w:r>
      <w:r w:rsidR="007A064D">
        <w:t xml:space="preserve"> </w:t>
      </w:r>
      <w:r>
        <w:t xml:space="preserve">defining </w:t>
      </w:r>
      <w:r w:rsidR="00F368F2">
        <w:t xml:space="preserve">what a </w:t>
      </w:r>
      <w:r w:rsidR="00D21D2F">
        <w:t>‘</w:t>
      </w:r>
      <w:r>
        <w:t>reasonable price</w:t>
      </w:r>
      <w:r w:rsidR="00D21D2F">
        <w:t>’</w:t>
      </w:r>
      <w:r w:rsidR="00F368F2">
        <w:t xml:space="preserve"> is</w:t>
      </w:r>
    </w:p>
    <w:p w14:paraId="107962FD" w14:textId="626B5E56" w:rsidR="008E3F68" w:rsidRDefault="008E3F68" w:rsidP="00986142">
      <w:r>
        <w:t>This option</w:t>
      </w:r>
      <w:r w:rsidR="000940D6">
        <w:t xml:space="preserve"> would require</w:t>
      </w:r>
      <w:r w:rsidR="00D55669" w:rsidRPr="00D55669">
        <w:t xml:space="preserve"> a retailer to </w:t>
      </w:r>
      <w:r w:rsidR="00BA7C8E">
        <w:t>ensure</w:t>
      </w:r>
      <w:r w:rsidR="00D55669" w:rsidRPr="00D55669">
        <w:t xml:space="preserve"> customers on older contracts</w:t>
      </w:r>
      <w:r w:rsidR="00BA7C8E">
        <w:t xml:space="preserve"> are paying </w:t>
      </w:r>
      <w:r w:rsidR="00D55669" w:rsidRPr="00D55669">
        <w:t xml:space="preserve">a </w:t>
      </w:r>
      <w:r w:rsidR="00BA7C8E">
        <w:t>reasonable price</w:t>
      </w:r>
      <w:r w:rsidR="00D55669" w:rsidRPr="00D55669">
        <w:t xml:space="preserve"> for their energy. Under this option, the meaning of ‘reasonable price’ would not be defined. </w:t>
      </w:r>
    </w:p>
    <w:p w14:paraId="32024847" w14:textId="77777777" w:rsidR="00155CE9" w:rsidRDefault="00D55669" w:rsidP="00986142">
      <w:r w:rsidRPr="00D55669">
        <w:t xml:space="preserve">This </w:t>
      </w:r>
      <w:r w:rsidR="009275F5">
        <w:t>obligation</w:t>
      </w:r>
      <w:r w:rsidRPr="00D55669">
        <w:t xml:space="preserve"> would </w:t>
      </w:r>
      <w:r w:rsidR="00F3507C">
        <w:t>require each</w:t>
      </w:r>
      <w:r w:rsidRPr="00D55669">
        <w:t xml:space="preserve"> retailer to determine what </w:t>
      </w:r>
      <w:r w:rsidR="00F93618">
        <w:t xml:space="preserve">a </w:t>
      </w:r>
      <w:r w:rsidRPr="00D55669">
        <w:t>‘reasonable price’ mean</w:t>
      </w:r>
      <w:r w:rsidR="00F3507C">
        <w:t>s</w:t>
      </w:r>
      <w:r w:rsidRPr="00D55669">
        <w:t xml:space="preserve"> for that customer. This could include a broad consideration of </w:t>
      </w:r>
      <w:r w:rsidR="00F3507C">
        <w:t>factors</w:t>
      </w:r>
      <w:r w:rsidR="00155CE9">
        <w:t>,</w:t>
      </w:r>
      <w:r w:rsidR="00F3507C">
        <w:t xml:space="preserve"> </w:t>
      </w:r>
      <w:r w:rsidRPr="00D55669">
        <w:t>such as the</w:t>
      </w:r>
      <w:r w:rsidR="00155CE9">
        <w:t>:</w:t>
      </w:r>
    </w:p>
    <w:p w14:paraId="4690D234" w14:textId="6B504D4B" w:rsidR="00155CE9" w:rsidRDefault="00D55669" w:rsidP="00A92E17">
      <w:pPr>
        <w:pStyle w:val="TableBullet"/>
      </w:pPr>
      <w:r w:rsidRPr="00D55669">
        <w:t>V</w:t>
      </w:r>
      <w:r w:rsidR="00155CE9">
        <w:t xml:space="preserve">ictorian </w:t>
      </w:r>
      <w:r w:rsidRPr="00D55669">
        <w:t>D</w:t>
      </w:r>
      <w:r w:rsidR="00155CE9">
        <w:t xml:space="preserve">efault </w:t>
      </w:r>
      <w:r w:rsidRPr="00D55669">
        <w:t>O</w:t>
      </w:r>
      <w:r w:rsidR="00155CE9">
        <w:t>ffer</w:t>
      </w:r>
    </w:p>
    <w:p w14:paraId="6B791632" w14:textId="02B23361" w:rsidR="00155CE9" w:rsidRDefault="00D55669" w:rsidP="00A92E17">
      <w:pPr>
        <w:pStyle w:val="TableBullet"/>
      </w:pPr>
      <w:r w:rsidRPr="00D55669">
        <w:t xml:space="preserve">retailer’s </w:t>
      </w:r>
      <w:r w:rsidR="00F93618">
        <w:t>lowest cost generally available plans</w:t>
      </w:r>
    </w:p>
    <w:p w14:paraId="07943654" w14:textId="3B7FFE65" w:rsidR="00155CE9" w:rsidRDefault="00D55669" w:rsidP="00A92E17">
      <w:pPr>
        <w:pStyle w:val="TableBullet"/>
      </w:pPr>
      <w:r w:rsidRPr="00D55669">
        <w:t>average price of energy in the retail market</w:t>
      </w:r>
    </w:p>
    <w:p w14:paraId="4063044F" w14:textId="51E34625" w:rsidR="009118B0" w:rsidRDefault="00E77784" w:rsidP="00A92E17">
      <w:pPr>
        <w:pStyle w:val="TableBullet"/>
      </w:pPr>
      <w:r>
        <w:lastRenderedPageBreak/>
        <w:t>consumer’s specific circumstances</w:t>
      </w:r>
      <w:r w:rsidR="009118B0">
        <w:t xml:space="preserve"> and</w:t>
      </w:r>
      <w:r w:rsidR="005816E6">
        <w:t xml:space="preserve"> consumption patterns</w:t>
      </w:r>
      <w:r w:rsidR="00D55669" w:rsidRPr="00D55669">
        <w:t xml:space="preserve">. </w:t>
      </w:r>
    </w:p>
    <w:p w14:paraId="4175BBD8" w14:textId="16FD28EE" w:rsidR="00CC460C" w:rsidRDefault="009118B0" w:rsidP="00B95866">
      <w:r>
        <w:t>This would provide greater flexibility to retailers</w:t>
      </w:r>
      <w:r w:rsidR="00627433">
        <w:t>,</w:t>
      </w:r>
      <w:r>
        <w:t xml:space="preserve"> but</w:t>
      </w:r>
      <w:r w:rsidR="00D55669" w:rsidRPr="00D55669">
        <w:t xml:space="preserve"> </w:t>
      </w:r>
      <w:r>
        <w:t xml:space="preserve">less clarity </w:t>
      </w:r>
      <w:r w:rsidR="00627433">
        <w:t xml:space="preserve">on how to </w:t>
      </w:r>
      <w:r w:rsidR="00FB5524">
        <w:t>comply</w:t>
      </w:r>
      <w:r w:rsidR="00D55669" w:rsidRPr="00D55669">
        <w:t>.</w:t>
      </w:r>
      <w:r w:rsidR="000C78C6">
        <w:t xml:space="preserve"> </w:t>
      </w:r>
      <w:r w:rsidR="00E5040D">
        <w:t xml:space="preserve">Each retailer would need to individually </w:t>
      </w:r>
      <w:r w:rsidR="00FB1E09">
        <w:t xml:space="preserve">consider </w:t>
      </w:r>
      <w:r w:rsidR="00E5040D">
        <w:t xml:space="preserve">its likelihood </w:t>
      </w:r>
      <w:r w:rsidR="00FB1E09">
        <w:t xml:space="preserve">of complying. It </w:t>
      </w:r>
      <w:r w:rsidR="00E5040D">
        <w:t xml:space="preserve">would assess whether its definition for ‘reasonable price’ would </w:t>
      </w:r>
      <w:r w:rsidR="00E033CA">
        <w:t>align with</w:t>
      </w:r>
      <w:r w:rsidR="00E5040D">
        <w:t xml:space="preserve"> </w:t>
      </w:r>
      <w:r w:rsidR="00E90635">
        <w:t>views the</w:t>
      </w:r>
      <w:r w:rsidR="00E5040D">
        <w:t xml:space="preserve"> commission</w:t>
      </w:r>
      <w:r w:rsidR="00E90635">
        <w:t xml:space="preserve"> could form</w:t>
      </w:r>
      <w:r w:rsidR="00E033CA">
        <w:t xml:space="preserve"> and with other retailers</w:t>
      </w:r>
      <w:r w:rsidR="00E90635">
        <w:t>’ definition</w:t>
      </w:r>
      <w:r w:rsidR="001F247A">
        <w:t>s</w:t>
      </w:r>
      <w:r w:rsidR="00E5040D">
        <w:t xml:space="preserve">, and weight it against the revenue it could obtain from its customers at that price. </w:t>
      </w:r>
      <w:r w:rsidR="00150A83">
        <w:t xml:space="preserve">This means that some retailers will consider its prices reasonable (and therefore compliant), despite the commission </w:t>
      </w:r>
      <w:r w:rsidR="00C27DD5">
        <w:t xml:space="preserve">having a different view. </w:t>
      </w:r>
      <w:r w:rsidR="006C101B">
        <w:t xml:space="preserve">This can make the </w:t>
      </w:r>
      <w:r w:rsidR="007858F0">
        <w:t xml:space="preserve">commission’s </w:t>
      </w:r>
      <w:r w:rsidR="00890DE5">
        <w:t xml:space="preserve">enforcement </w:t>
      </w:r>
      <w:r w:rsidR="007858F0">
        <w:t xml:space="preserve">approach </w:t>
      </w:r>
      <w:r w:rsidR="00F65E1E">
        <w:t xml:space="preserve">more </w:t>
      </w:r>
      <w:r w:rsidR="007858F0">
        <w:t>challenging</w:t>
      </w:r>
      <w:r w:rsidR="00867D9A">
        <w:t xml:space="preserve"> </w:t>
      </w:r>
      <w:r w:rsidR="00C27DD5">
        <w:t xml:space="preserve">and uncertain for retailers. </w:t>
      </w:r>
      <w:r w:rsidR="006C101B">
        <w:t xml:space="preserve">We would consider </w:t>
      </w:r>
      <w:r w:rsidR="00DD74BC">
        <w:t xml:space="preserve">enforcement on </w:t>
      </w:r>
      <w:r w:rsidR="007F4F1C">
        <w:t xml:space="preserve">a </w:t>
      </w:r>
      <w:r w:rsidR="00A32D6C">
        <w:t>case-by-case</w:t>
      </w:r>
      <w:r w:rsidR="00DD74BC">
        <w:t xml:space="preserve"> basis</w:t>
      </w:r>
      <w:r w:rsidR="00B75C6C">
        <w:t xml:space="preserve">, based on </w:t>
      </w:r>
      <w:r w:rsidR="007F4F1C">
        <w:t>the risk of harm to consumer</w:t>
      </w:r>
      <w:r w:rsidR="003717F8">
        <w:t>s</w:t>
      </w:r>
      <w:r w:rsidR="007F4F1C">
        <w:t>.</w:t>
      </w:r>
      <w:r w:rsidR="00B95866" w:rsidRPr="00B95866">
        <w:t xml:space="preserve"> </w:t>
      </w:r>
    </w:p>
    <w:p w14:paraId="43C29249" w14:textId="0F271A0B" w:rsidR="00B95866" w:rsidRDefault="00CF488B" w:rsidP="00B95866">
      <w:r>
        <w:t>We have heard that some</w:t>
      </w:r>
      <w:r w:rsidR="00B95866">
        <w:t xml:space="preserve"> retailers </w:t>
      </w:r>
      <w:r>
        <w:t xml:space="preserve">have </w:t>
      </w:r>
      <w:r w:rsidR="00B95866">
        <w:t>attempted to contact</w:t>
      </w:r>
      <w:r>
        <w:t xml:space="preserve"> </w:t>
      </w:r>
      <w:r w:rsidR="00B95866">
        <w:t xml:space="preserve">customers </w:t>
      </w:r>
      <w:r>
        <w:t>on older high</w:t>
      </w:r>
      <w:r w:rsidR="00AD5DFF">
        <w:t>-</w:t>
      </w:r>
      <w:r>
        <w:t xml:space="preserve">priced contracts </w:t>
      </w:r>
      <w:r w:rsidR="00B95866">
        <w:t xml:space="preserve">to switch </w:t>
      </w:r>
      <w:r>
        <w:t xml:space="preserve">them </w:t>
      </w:r>
      <w:r w:rsidR="00B95866">
        <w:t>to cheaper plans, but had difficulty obtaining a customer’s explicit informed consent. We note that these retailers did not consider lowering customers’ tariffs or providing financial benefits.</w:t>
      </w:r>
    </w:p>
    <w:p w14:paraId="1A72C0F4" w14:textId="1F82D6A0" w:rsidR="00B95866" w:rsidRDefault="00B95866" w:rsidP="00B95866">
      <w:r>
        <w:t xml:space="preserve">To remove barriers to lower prices, this option would provide an exception </w:t>
      </w:r>
      <w:r w:rsidR="00832D9F">
        <w:t>to</w:t>
      </w:r>
      <w:r>
        <w:t xml:space="preserve"> explicit informed consent requirements. This would include opt-out and post-switch reversal protections, similar to those described in Chapter 5. This exception </w:t>
      </w:r>
      <w:r w:rsidR="00131466">
        <w:t>to</w:t>
      </w:r>
      <w:r>
        <w:t xml:space="preserve"> explicit informed consent </w:t>
      </w:r>
      <w:r w:rsidR="009335D3">
        <w:t xml:space="preserve">requirements </w:t>
      </w:r>
      <w:r>
        <w:t xml:space="preserve">would allow (but not mandate) a retailer to move a customer on an unreasonably priced </w:t>
      </w:r>
      <w:r w:rsidR="00FC17C7">
        <w:t>older contract</w:t>
      </w:r>
      <w:r>
        <w:t xml:space="preserve"> to a</w:t>
      </w:r>
      <w:r w:rsidR="00FC17C7">
        <w:t xml:space="preserve"> new</w:t>
      </w:r>
      <w:r>
        <w:t xml:space="preserve"> plan with a cheaper, reasonable price. </w:t>
      </w:r>
      <w:r w:rsidR="00FE2F02">
        <w:t xml:space="preserve">We </w:t>
      </w:r>
      <w:r>
        <w:t xml:space="preserve">would also apply </w:t>
      </w:r>
      <w:r w:rsidR="00FE2F02">
        <w:t xml:space="preserve">this </w:t>
      </w:r>
      <w:r>
        <w:t>to Options D.</w:t>
      </w:r>
      <w:r w:rsidR="00DE02AD">
        <w:t>2</w:t>
      </w:r>
      <w:r>
        <w:t xml:space="preserve"> and D.3.</w:t>
      </w:r>
    </w:p>
    <w:p w14:paraId="7504604A" w14:textId="4103EC19" w:rsidR="00D55669" w:rsidRPr="00986142" w:rsidRDefault="00D55669" w:rsidP="00F54026">
      <w:pPr>
        <w:pStyle w:val="Heading3numbered"/>
      </w:pPr>
      <w:r>
        <w:t xml:space="preserve">Option </w:t>
      </w:r>
      <w:r w:rsidR="00782B43">
        <w:t>D.</w:t>
      </w:r>
      <w:r>
        <w:t xml:space="preserve">2 </w:t>
      </w:r>
      <w:r w:rsidR="00D21D2F">
        <w:t>–</w:t>
      </w:r>
      <w:r w:rsidR="00DA7511">
        <w:t xml:space="preserve"> </w:t>
      </w:r>
      <w:r w:rsidR="00DA7511" w:rsidRPr="00DA7511">
        <w:t xml:space="preserve">Mandating retailers to </w:t>
      </w:r>
      <w:r w:rsidR="0A2642EE">
        <w:t>ensure</w:t>
      </w:r>
      <w:r w:rsidR="00DA7511" w:rsidRPr="00DA7511">
        <w:t xml:space="preserve"> all customers </w:t>
      </w:r>
      <w:r w:rsidR="0049300F">
        <w:t>on older contracts</w:t>
      </w:r>
      <w:r w:rsidR="7932F750">
        <w:t xml:space="preserve"> pay a ‘reasonable price’</w:t>
      </w:r>
      <w:r w:rsidR="00DA7511">
        <w:t>, including a f</w:t>
      </w:r>
      <w:r w:rsidR="00D21D2F">
        <w:t>lexible definition of ‘reasonable price’</w:t>
      </w:r>
    </w:p>
    <w:p w14:paraId="50A58D3A" w14:textId="52857813" w:rsidR="00D34310" w:rsidRDefault="00CF66F9" w:rsidP="00F54026">
      <w:r w:rsidRPr="00CF66F9">
        <w:t xml:space="preserve">In </w:t>
      </w:r>
      <w:r w:rsidR="007458F2">
        <w:t>this option</w:t>
      </w:r>
      <w:r w:rsidRPr="00CF66F9">
        <w:t xml:space="preserve">, the same obligations would apply to a retailer as those in </w:t>
      </w:r>
      <w:r w:rsidR="007458F2">
        <w:t>the previous option</w:t>
      </w:r>
      <w:r w:rsidRPr="00CF66F9">
        <w:t xml:space="preserve">. </w:t>
      </w:r>
      <w:r w:rsidR="007458F2">
        <w:t>However, this option</w:t>
      </w:r>
      <w:r w:rsidRPr="00CF66F9">
        <w:t xml:space="preserve"> requires a retailer to determine </w:t>
      </w:r>
      <w:r w:rsidR="00E073D2">
        <w:t xml:space="preserve">whether a customer is on </w:t>
      </w:r>
      <w:r w:rsidRPr="00CF66F9">
        <w:t>a</w:t>
      </w:r>
      <w:r w:rsidR="002A6FFB">
        <w:t xml:space="preserve"> </w:t>
      </w:r>
      <w:r w:rsidRPr="00CF66F9">
        <w:t xml:space="preserve">‘reasonable price’ </w:t>
      </w:r>
      <w:r w:rsidR="005E7FC1">
        <w:t xml:space="preserve">based on several </w:t>
      </w:r>
      <w:r w:rsidR="007511A2">
        <w:t>prescribed factors</w:t>
      </w:r>
      <w:r w:rsidR="005E7FC1">
        <w:t xml:space="preserve"> </w:t>
      </w:r>
      <w:r w:rsidR="00D34310">
        <w:t>(</w:t>
      </w:r>
      <w:r w:rsidR="005E7FC1">
        <w:t xml:space="preserve">or </w:t>
      </w:r>
      <w:r w:rsidR="00D34310">
        <w:t>guidance)</w:t>
      </w:r>
      <w:r w:rsidR="005E7FC1">
        <w:t xml:space="preserve"> </w:t>
      </w:r>
      <w:r w:rsidR="00EF5FDD">
        <w:t>issued</w:t>
      </w:r>
      <w:r w:rsidRPr="00CF66F9">
        <w:t xml:space="preserve"> by </w:t>
      </w:r>
      <w:r w:rsidR="004325C6">
        <w:t>the commission</w:t>
      </w:r>
      <w:r w:rsidRPr="00CF66F9">
        <w:t>.</w:t>
      </w:r>
      <w:r w:rsidR="00D34310">
        <w:t xml:space="preserve"> </w:t>
      </w:r>
    </w:p>
    <w:p w14:paraId="779188F0" w14:textId="636DF1BB" w:rsidR="00910E97" w:rsidRDefault="00D34310" w:rsidP="00F54026">
      <w:r>
        <w:t>The prescribed factors would include:</w:t>
      </w:r>
    </w:p>
    <w:p w14:paraId="3E49E030" w14:textId="6177D72B" w:rsidR="00E96283" w:rsidRPr="00B04322" w:rsidRDefault="00E96283" w:rsidP="00A92E17">
      <w:pPr>
        <w:pStyle w:val="ListBullet"/>
      </w:pPr>
      <w:r w:rsidRPr="00B04322">
        <w:t xml:space="preserve">the </w:t>
      </w:r>
      <w:r w:rsidR="00685493" w:rsidRPr="00B04322">
        <w:t>lowest cost</w:t>
      </w:r>
      <w:r w:rsidRPr="00B04322">
        <w:t xml:space="preserve"> generally available plan </w:t>
      </w:r>
      <w:r w:rsidR="00685493" w:rsidRPr="00B04322">
        <w:t>available to</w:t>
      </w:r>
      <w:r w:rsidRPr="00B04322">
        <w:t xml:space="preserve"> </w:t>
      </w:r>
      <w:r w:rsidR="00155CE9" w:rsidRPr="00B04322">
        <w:t xml:space="preserve">the retailer’s </w:t>
      </w:r>
      <w:r w:rsidRPr="00B04322">
        <w:t>new customers</w:t>
      </w:r>
    </w:p>
    <w:p w14:paraId="663796BC" w14:textId="28D3AFFB" w:rsidR="00E96283" w:rsidRPr="00B04322" w:rsidRDefault="00E96283" w:rsidP="00A92E17">
      <w:pPr>
        <w:pStyle w:val="ListBullet"/>
      </w:pPr>
      <w:r w:rsidRPr="00B04322">
        <w:t>the median price paid by customers of the retailer</w:t>
      </w:r>
    </w:p>
    <w:p w14:paraId="79AE0E3B" w14:textId="43323269" w:rsidR="00E96283" w:rsidRPr="00B04322" w:rsidRDefault="00E96283" w:rsidP="00A92E17">
      <w:pPr>
        <w:pStyle w:val="ListBullet"/>
      </w:pPr>
      <w:r w:rsidRPr="00B04322">
        <w:t xml:space="preserve">the price of </w:t>
      </w:r>
      <w:r w:rsidR="002452C4" w:rsidRPr="00B04322">
        <w:t>the</w:t>
      </w:r>
      <w:r w:rsidRPr="00B04322">
        <w:t xml:space="preserve"> retailer</w:t>
      </w:r>
      <w:r w:rsidR="002848B4" w:rsidRPr="00B04322">
        <w:t>’</w:t>
      </w:r>
      <w:r w:rsidRPr="00B04322">
        <w:t>s standing offer</w:t>
      </w:r>
      <w:r w:rsidR="002452C4" w:rsidRPr="00B04322">
        <w:t>s</w:t>
      </w:r>
    </w:p>
    <w:p w14:paraId="7F41922F" w14:textId="66195BE6" w:rsidR="00E96283" w:rsidRPr="00B04322" w:rsidRDefault="00E96283" w:rsidP="00A92E17">
      <w:pPr>
        <w:pStyle w:val="ListBullet"/>
      </w:pPr>
      <w:r w:rsidRPr="00B04322">
        <w:t>the value of any additional benefits to the customer</w:t>
      </w:r>
    </w:p>
    <w:p w14:paraId="2140A3DB" w14:textId="52D1AEE2" w:rsidR="00E96283" w:rsidRPr="00B04322" w:rsidRDefault="00E96283" w:rsidP="00A92E17">
      <w:pPr>
        <w:pStyle w:val="ListBullet"/>
      </w:pPr>
      <w:r w:rsidRPr="00B04322">
        <w:t xml:space="preserve">any other matter </w:t>
      </w:r>
      <w:r w:rsidR="002452C4" w:rsidRPr="00B04322">
        <w:t xml:space="preserve">specified </w:t>
      </w:r>
      <w:r w:rsidRPr="00B04322">
        <w:t>in a guideline issued by the commission.</w:t>
      </w:r>
    </w:p>
    <w:p w14:paraId="3D642EBA" w14:textId="1B81894E" w:rsidR="001E78A4" w:rsidRDefault="001E78A4" w:rsidP="006678D3">
      <w:r>
        <w:t>Note that for electricity, we would consider the VDO as a ‘reasonable price’.</w:t>
      </w:r>
      <w:r w:rsidR="00C1775A">
        <w:t xml:space="preserve"> </w:t>
      </w:r>
      <w:r w:rsidR="00567BE2">
        <w:t xml:space="preserve">This means that prices at or below the VDO would be deemed reasonable. Prices above the VDO could still be considered reasonable, </w:t>
      </w:r>
      <w:r w:rsidR="00723460">
        <w:t xml:space="preserve">for example, </w:t>
      </w:r>
      <w:r w:rsidR="00565822">
        <w:t>if the contract includes additional benefits to the customer</w:t>
      </w:r>
      <w:r w:rsidR="00214A8F">
        <w:t>.</w:t>
      </w:r>
    </w:p>
    <w:p w14:paraId="4B354BB4" w14:textId="605B183A" w:rsidR="00AD350D" w:rsidRDefault="002725D5" w:rsidP="006678D3">
      <w:r>
        <w:lastRenderedPageBreak/>
        <w:t xml:space="preserve">For gas </w:t>
      </w:r>
      <w:r w:rsidR="00E26E93">
        <w:t xml:space="preserve">prices, as there </w:t>
      </w:r>
      <w:r w:rsidR="00135B5B">
        <w:t xml:space="preserve">is no regulated price for standing offers, </w:t>
      </w:r>
      <w:r w:rsidR="004E4167">
        <w:t xml:space="preserve">retailers would </w:t>
      </w:r>
      <w:r w:rsidR="007264A1">
        <w:t>need</w:t>
      </w:r>
      <w:r w:rsidR="004D214E">
        <w:t xml:space="preserve"> </w:t>
      </w:r>
      <w:r w:rsidR="00442594">
        <w:t>to conside</w:t>
      </w:r>
      <w:r w:rsidR="004D214E">
        <w:t>r the price of their standing offers</w:t>
      </w:r>
      <w:r w:rsidR="006A15EC">
        <w:t xml:space="preserve"> together with the other factors listed above. This would lead to </w:t>
      </w:r>
      <w:r w:rsidR="00682EBC">
        <w:t xml:space="preserve">some additional flexibility </w:t>
      </w:r>
      <w:r w:rsidR="00454F3F">
        <w:t xml:space="preserve">for gas prices </w:t>
      </w:r>
      <w:r w:rsidR="004B178A">
        <w:t>compared to electricity prices.</w:t>
      </w:r>
      <w:r w:rsidR="004D214E">
        <w:t xml:space="preserve"> </w:t>
      </w:r>
    </w:p>
    <w:p w14:paraId="027F7461" w14:textId="1ED49B75" w:rsidR="00FC028E" w:rsidRDefault="00AD31D4" w:rsidP="006678D3">
      <w:r>
        <w:t xml:space="preserve">A retailer would </w:t>
      </w:r>
      <w:r w:rsidR="00367A0C">
        <w:t xml:space="preserve">need to review its customers’ prices </w:t>
      </w:r>
      <w:r w:rsidR="003D436B">
        <w:t>annually</w:t>
      </w:r>
      <w:r w:rsidR="005A6695">
        <w:t xml:space="preserve"> </w:t>
      </w:r>
      <w:r w:rsidR="006678D3">
        <w:t xml:space="preserve">and consider reducing the price of customers who are not paying a ‘reasonable price’. A retailer could also reconsider </w:t>
      </w:r>
      <w:r w:rsidR="003D436B">
        <w:t>increas</w:t>
      </w:r>
      <w:r w:rsidR="006678D3">
        <w:t>ing</w:t>
      </w:r>
      <w:r w:rsidR="003D436B">
        <w:t xml:space="preserve"> </w:t>
      </w:r>
      <w:r w:rsidR="006678D3">
        <w:t xml:space="preserve">some </w:t>
      </w:r>
      <w:r w:rsidR="009D732C">
        <w:t>customers’ tariffs (noting that in Victoria tariff increases are only allowed once a year).</w:t>
      </w:r>
      <w:r w:rsidR="005E6A1F">
        <w:t xml:space="preserve"> </w:t>
      </w:r>
    </w:p>
    <w:p w14:paraId="7EB3310F" w14:textId="2830990D" w:rsidR="005021A1" w:rsidRDefault="00C213C8" w:rsidP="00C86BE7">
      <w:r>
        <w:t xml:space="preserve">In late 2024, we analysed </w:t>
      </w:r>
      <w:r w:rsidR="004222A1">
        <w:t xml:space="preserve">a large sample of customers’ energy </w:t>
      </w:r>
      <w:r w:rsidR="00B74C47">
        <w:t>bills</w:t>
      </w:r>
      <w:r w:rsidR="004222A1">
        <w:t xml:space="preserve">. </w:t>
      </w:r>
      <w:r w:rsidR="00540626">
        <w:t xml:space="preserve">Our analysis </w:t>
      </w:r>
      <w:r w:rsidR="00B74C47">
        <w:t xml:space="preserve">found </w:t>
      </w:r>
      <w:r w:rsidR="00540626">
        <w:t xml:space="preserve">that most retailers would </w:t>
      </w:r>
      <w:r w:rsidR="00ED4A2A">
        <w:t xml:space="preserve">already be </w:t>
      </w:r>
      <w:r w:rsidR="00C86BE7">
        <w:t>comply</w:t>
      </w:r>
      <w:r w:rsidR="00ED4A2A">
        <w:t>ing</w:t>
      </w:r>
      <w:r w:rsidR="00C86BE7">
        <w:t xml:space="preserve"> </w:t>
      </w:r>
      <w:r w:rsidR="00463C43">
        <w:t xml:space="preserve">with </w:t>
      </w:r>
      <w:r w:rsidR="00B74C47">
        <w:t xml:space="preserve">this </w:t>
      </w:r>
      <w:r w:rsidR="00463C43">
        <w:t xml:space="preserve">obligation, if it were in effect. </w:t>
      </w:r>
    </w:p>
    <w:p w14:paraId="3D3B23E0" w14:textId="7016A7D7" w:rsidR="009D732C" w:rsidRDefault="00C86BE7" w:rsidP="00C86BE7">
      <w:r>
        <w:t xml:space="preserve">However, </w:t>
      </w:r>
      <w:r w:rsidR="004B2F21">
        <w:t xml:space="preserve">we found that </w:t>
      </w:r>
      <w:r>
        <w:t xml:space="preserve">a small number of </w:t>
      </w:r>
      <w:r w:rsidR="00FC028E">
        <w:t xml:space="preserve">retailers </w:t>
      </w:r>
      <w:r>
        <w:t xml:space="preserve">have </w:t>
      </w:r>
      <w:r w:rsidR="00FC028E">
        <w:t xml:space="preserve">high </w:t>
      </w:r>
      <w:r w:rsidR="006C4317">
        <w:t>proportions of customers on older contracts paying high prices</w:t>
      </w:r>
      <w:r>
        <w:t xml:space="preserve"> – these retailers would be at risk of non-compliance</w:t>
      </w:r>
      <w:r w:rsidR="004222A1">
        <w:t xml:space="preserve"> (if </w:t>
      </w:r>
      <w:r w:rsidR="00B74C47">
        <w:t xml:space="preserve">the </w:t>
      </w:r>
      <w:r w:rsidR="004222A1">
        <w:t xml:space="preserve">rule </w:t>
      </w:r>
      <w:r w:rsidR="00B74C47">
        <w:t>were</w:t>
      </w:r>
      <w:r w:rsidR="004222A1">
        <w:t xml:space="preserve"> in place)</w:t>
      </w:r>
      <w:r>
        <w:t>. These retailers could actively avoid compliance action by</w:t>
      </w:r>
      <w:r w:rsidR="00082196">
        <w:t>:</w:t>
      </w:r>
    </w:p>
    <w:p w14:paraId="170E5D51" w14:textId="3031D0CD" w:rsidR="00082196" w:rsidRDefault="00082196" w:rsidP="00A92E17">
      <w:pPr>
        <w:pStyle w:val="ListBullet"/>
      </w:pPr>
      <w:r>
        <w:t>lowering a customer’s tariffs (noting there are no restrictions in the code for when a retailer may lower tariffs)</w:t>
      </w:r>
    </w:p>
    <w:p w14:paraId="04794DA6" w14:textId="3ED22DE8" w:rsidR="00082196" w:rsidRDefault="00082196" w:rsidP="00A92E17">
      <w:pPr>
        <w:pStyle w:val="ListBullet"/>
      </w:pPr>
      <w:r>
        <w:t>providing a financial benefit such as a credit or a discount to the customer</w:t>
      </w:r>
    </w:p>
    <w:p w14:paraId="194065AD" w14:textId="26FDA210" w:rsidR="00082196" w:rsidRDefault="00227376" w:rsidP="00A92E17">
      <w:pPr>
        <w:pStyle w:val="ListBullet"/>
      </w:pPr>
      <w:r>
        <w:t>switching the customer to a cheaper plan.</w:t>
      </w:r>
    </w:p>
    <w:p w14:paraId="127EC9A2" w14:textId="6E624FBA" w:rsidR="00832D9F" w:rsidRDefault="00832D9F" w:rsidP="00F84DEB">
      <w:r>
        <w:t>This option would also include an exception to explicit informed consent requirements to allow (but not mandate) a retailer to move a customer on an unreasonably priced older contract to a new plan with a cheaper, reasonable price.</w:t>
      </w:r>
    </w:p>
    <w:p w14:paraId="47BD0158" w14:textId="4C998E6D" w:rsidR="00763E6D" w:rsidRPr="00F54026" w:rsidRDefault="001E78A4" w:rsidP="0035299B">
      <w:r>
        <w:t xml:space="preserve">The commission would monitor compliance by analysing large samples of customers’ billing data from retailers. </w:t>
      </w:r>
      <w:r w:rsidR="0035299B">
        <w:t>T</w:t>
      </w:r>
      <w:r>
        <w:t xml:space="preserve">he commission could </w:t>
      </w:r>
      <w:r w:rsidR="0035299B">
        <w:t xml:space="preserve">identify </w:t>
      </w:r>
      <w:r>
        <w:t xml:space="preserve">retailers at risk of </w:t>
      </w:r>
      <w:r w:rsidR="0035299B">
        <w:t>non-compliance and require these retailers to actively reduce affected customers’ prices. Enforcement action could be considered for particularly egregious pricing practices, such as a retailer having large proportions of its customer base on high</w:t>
      </w:r>
      <w:r w:rsidR="00B4314E">
        <w:t xml:space="preserve"> </w:t>
      </w:r>
      <w:r w:rsidR="0035299B">
        <w:t>prices compared to the rest of the market.</w:t>
      </w:r>
    </w:p>
    <w:p w14:paraId="745EC80E" w14:textId="23F4DEB8" w:rsidR="00541563" w:rsidRDefault="00541563" w:rsidP="00541563">
      <w:pPr>
        <w:pStyle w:val="Heading3numbered"/>
      </w:pPr>
      <w:r>
        <w:t xml:space="preserve">Option </w:t>
      </w:r>
      <w:r w:rsidR="00782B43">
        <w:t>D.</w:t>
      </w:r>
      <w:r>
        <w:t xml:space="preserve">3 – </w:t>
      </w:r>
      <w:r w:rsidR="00790177" w:rsidRPr="00790177">
        <w:t xml:space="preserve">Mandating retailers to </w:t>
      </w:r>
      <w:r w:rsidR="3F921C27">
        <w:t xml:space="preserve">ensure </w:t>
      </w:r>
      <w:r w:rsidR="00790177" w:rsidRPr="00790177">
        <w:t xml:space="preserve">all customers </w:t>
      </w:r>
      <w:r w:rsidR="0049300F">
        <w:t>on older contracts</w:t>
      </w:r>
      <w:r w:rsidR="7CFA2AE5">
        <w:t xml:space="preserve"> pay a ‘reasonable price’</w:t>
      </w:r>
      <w:r w:rsidR="00790177" w:rsidRPr="00790177">
        <w:t xml:space="preserve">, including a </w:t>
      </w:r>
      <w:r w:rsidR="00790177">
        <w:t>p</w:t>
      </w:r>
      <w:r>
        <w:t>rescriptive definition of ‘reasonable price’</w:t>
      </w:r>
    </w:p>
    <w:p w14:paraId="2F51974C" w14:textId="21C79F13" w:rsidR="004E4ABA" w:rsidRDefault="0025274A">
      <w:r w:rsidRPr="0025274A">
        <w:t xml:space="preserve">Option </w:t>
      </w:r>
      <w:r w:rsidR="007800F5">
        <w:t>D.</w:t>
      </w:r>
      <w:r w:rsidRPr="0025274A">
        <w:t>3 is the most prescriptive option</w:t>
      </w:r>
      <w:r w:rsidR="00710E60">
        <w:t>, by specifically defining a ‘reasonable price’.</w:t>
      </w:r>
    </w:p>
    <w:p w14:paraId="700DB893" w14:textId="39F9CF2E" w:rsidR="00704282" w:rsidRDefault="00710E60" w:rsidP="00FC2E32">
      <w:r>
        <w:t xml:space="preserve">A ‘reasonable price’ </w:t>
      </w:r>
      <w:r w:rsidR="00065240">
        <w:t>w</w:t>
      </w:r>
      <w:r>
        <w:t xml:space="preserve">ould be defined as being at or below </w:t>
      </w:r>
      <w:r w:rsidR="0081171A">
        <w:t>the VDO</w:t>
      </w:r>
      <w:r w:rsidR="006E5F08">
        <w:t xml:space="preserve"> for electricity</w:t>
      </w:r>
      <w:r>
        <w:t>,</w:t>
      </w:r>
      <w:r w:rsidR="0082025D">
        <w:t xml:space="preserve"> and </w:t>
      </w:r>
      <w:r w:rsidR="00D94C26">
        <w:t xml:space="preserve">at or </w:t>
      </w:r>
      <w:r w:rsidR="00092142">
        <w:t xml:space="preserve">below </w:t>
      </w:r>
      <w:r w:rsidR="002A6FFB">
        <w:t xml:space="preserve">the </w:t>
      </w:r>
      <w:r>
        <w:t xml:space="preserve">retailer’s </w:t>
      </w:r>
      <w:r w:rsidR="002A6FFB">
        <w:t>median price or standing offer</w:t>
      </w:r>
      <w:r w:rsidR="0082025D">
        <w:t xml:space="preserve"> </w:t>
      </w:r>
      <w:r>
        <w:t xml:space="preserve">price for </w:t>
      </w:r>
      <w:r w:rsidR="0082025D">
        <w:t>gas.</w:t>
      </w:r>
      <w:r w:rsidR="002F13C6">
        <w:t xml:space="preserve"> </w:t>
      </w:r>
      <w:r w:rsidR="00704282">
        <w:t>There would be no flexibility to consider other factors such the value of a</w:t>
      </w:r>
      <w:r w:rsidR="00553924">
        <w:t>ny additional benefits to the customer.</w:t>
      </w:r>
    </w:p>
    <w:p w14:paraId="7D23C6B8" w14:textId="3A4B9B77" w:rsidR="00832D9F" w:rsidRDefault="00832D9F" w:rsidP="00FC2E32">
      <w:r>
        <w:t>As with Options D.1 and D.2, this option would also include an exception to explicit informed consent requirements to allow (but not mandate) a retailer to move a customer on an unreasonably priced older contract to a new plan with a cheaper, reasonable price.</w:t>
      </w:r>
    </w:p>
    <w:p w14:paraId="2E12B25F" w14:textId="76F014C7" w:rsidR="00541563" w:rsidRPr="00541563" w:rsidRDefault="002F13C6" w:rsidP="00710E60">
      <w:r>
        <w:lastRenderedPageBreak/>
        <w:t xml:space="preserve">This option </w:t>
      </w:r>
      <w:r w:rsidR="005074C7">
        <w:t>may be</w:t>
      </w:r>
      <w:r>
        <w:t xml:space="preserve"> clearer </w:t>
      </w:r>
      <w:r w:rsidR="0023340A">
        <w:t xml:space="preserve">for a retailer </w:t>
      </w:r>
      <w:r>
        <w:t>to comply</w:t>
      </w:r>
      <w:r w:rsidR="00067C12">
        <w:t xml:space="preserve"> with</w:t>
      </w:r>
      <w:r w:rsidR="00471CFE">
        <w:t xml:space="preserve">, but </w:t>
      </w:r>
      <w:r w:rsidR="00067C12">
        <w:t>it</w:t>
      </w:r>
      <w:r w:rsidR="00471CFE">
        <w:t xml:space="preserve"> </w:t>
      </w:r>
      <w:r w:rsidR="0023340A">
        <w:t xml:space="preserve">does not </w:t>
      </w:r>
      <w:r w:rsidR="00471CFE">
        <w:t xml:space="preserve">provide </w:t>
      </w:r>
      <w:r w:rsidR="005D069B">
        <w:t xml:space="preserve">flexibility </w:t>
      </w:r>
      <w:r w:rsidR="00471CFE">
        <w:t xml:space="preserve">to consider </w:t>
      </w:r>
      <w:r w:rsidR="007838DA">
        <w:t xml:space="preserve">other </w:t>
      </w:r>
      <w:r w:rsidR="00CB182A">
        <w:t xml:space="preserve">pricing </w:t>
      </w:r>
      <w:r w:rsidR="007838DA">
        <w:t>factors</w:t>
      </w:r>
      <w:r w:rsidR="00CB182A">
        <w:t xml:space="preserve">, </w:t>
      </w:r>
      <w:r w:rsidR="007838DA">
        <w:t>plan types</w:t>
      </w:r>
      <w:r w:rsidR="00CB182A">
        <w:t xml:space="preserve"> or customers’ preferences</w:t>
      </w:r>
      <w:r w:rsidR="00E232FA">
        <w:t>.</w:t>
      </w:r>
      <w:r w:rsidR="005A34C5">
        <w:t xml:space="preserve"> This </w:t>
      </w:r>
      <w:r w:rsidR="00960A45">
        <w:t xml:space="preserve">is </w:t>
      </w:r>
      <w:r w:rsidR="00B416FF">
        <w:t>a more objective test</w:t>
      </w:r>
      <w:r w:rsidR="005A34C5">
        <w:t xml:space="preserve"> for the commission to </w:t>
      </w:r>
      <w:r w:rsidR="00AA3F09">
        <w:t>enforce</w:t>
      </w:r>
      <w:r w:rsidR="00762964">
        <w:t>.</w:t>
      </w:r>
      <w:r w:rsidR="00B30F31">
        <w:t xml:space="preserve"> </w:t>
      </w:r>
    </w:p>
    <w:p w14:paraId="4896ED12" w14:textId="520B264F" w:rsidR="00C460A1" w:rsidRDefault="00C460A1" w:rsidP="00C460A1">
      <w:pPr>
        <w:pStyle w:val="Heading2numbered"/>
      </w:pPr>
      <w:bookmarkStart w:id="247" w:name="_Toc197959455"/>
      <w:r>
        <w:t>Analysis</w:t>
      </w:r>
      <w:bookmarkEnd w:id="247"/>
    </w:p>
    <w:p w14:paraId="5AB3E9F2" w14:textId="02A6F52A" w:rsidR="00B52FBA" w:rsidRDefault="00B52FBA" w:rsidP="00800122">
      <w:pPr>
        <w:pStyle w:val="Heading3numbered"/>
      </w:pPr>
      <w:r>
        <w:t>MCA assessment – Options D.1, D.2 and D.3</w:t>
      </w:r>
    </w:p>
    <w:p w14:paraId="72F23190" w14:textId="77777777" w:rsidR="00555363" w:rsidRDefault="0020594E" w:rsidP="00B81E9E">
      <w:r>
        <w:t>T</w:t>
      </w:r>
      <w:r w:rsidR="00930AFE">
        <w:t xml:space="preserve">he proposed reforms </w:t>
      </w:r>
      <w:r w:rsidR="00970DC7">
        <w:t xml:space="preserve">will provide </w:t>
      </w:r>
      <w:r w:rsidR="00090332">
        <w:t xml:space="preserve">energy bill reductions </w:t>
      </w:r>
      <w:r w:rsidR="00970DC7">
        <w:t xml:space="preserve">for </w:t>
      </w:r>
      <w:r w:rsidR="00090332">
        <w:t xml:space="preserve">many </w:t>
      </w:r>
      <w:r w:rsidR="00970DC7">
        <w:t>affected customers.</w:t>
      </w:r>
      <w:r w:rsidR="0067119C">
        <w:t xml:space="preserve"> </w:t>
      </w:r>
      <w:r w:rsidR="00B6414E">
        <w:t>R</w:t>
      </w:r>
      <w:r w:rsidR="0067119C">
        <w:t xml:space="preserve">etailers may </w:t>
      </w:r>
      <w:r w:rsidR="00B6414E">
        <w:t xml:space="preserve">choose to carry </w:t>
      </w:r>
      <w:r w:rsidR="00090332">
        <w:t xml:space="preserve">these </w:t>
      </w:r>
      <w:r w:rsidR="00B6414E">
        <w:t>costs as foregone revenue or pass the costs onto other customers.</w:t>
      </w:r>
      <w:r w:rsidR="000E1E63">
        <w:t xml:space="preserve"> The extent of these bill reductions and costs will depend on </w:t>
      </w:r>
      <w:r w:rsidR="00E44C82">
        <w:t xml:space="preserve">how a </w:t>
      </w:r>
      <w:r w:rsidR="000F2C70">
        <w:t>‘reasonable price’</w:t>
      </w:r>
      <w:r w:rsidR="00E44C82">
        <w:t xml:space="preserve"> is defined</w:t>
      </w:r>
      <w:r w:rsidR="000F2C70">
        <w:t>.</w:t>
      </w:r>
      <w:r w:rsidR="00A71700">
        <w:t xml:space="preserve"> We estimate </w:t>
      </w:r>
      <w:r w:rsidR="00B81E9E">
        <w:t>the potential savings for electricity customers for each option.</w:t>
      </w:r>
    </w:p>
    <w:p w14:paraId="0A7D49C3" w14:textId="6CD43D5A" w:rsidR="001218E3" w:rsidRDefault="00555363" w:rsidP="00B81E9E">
      <w:r w:rsidRPr="00555363">
        <w:t xml:space="preserve">While we cannot predict how each retailer would determine </w:t>
      </w:r>
      <w:r w:rsidR="00120883">
        <w:t>‘</w:t>
      </w:r>
      <w:r w:rsidRPr="00555363">
        <w:t>reasonable prices</w:t>
      </w:r>
      <w:r w:rsidR="00120883">
        <w:t xml:space="preserve">’ under some options, </w:t>
      </w:r>
      <w:r w:rsidRPr="00555363">
        <w:t xml:space="preserve">we </w:t>
      </w:r>
      <w:r w:rsidR="00120883">
        <w:t xml:space="preserve">have </w:t>
      </w:r>
      <w:r w:rsidRPr="00555363">
        <w:t>estimate</w:t>
      </w:r>
      <w:r w:rsidR="004958C7">
        <w:t>d</w:t>
      </w:r>
      <w:r w:rsidRPr="00555363">
        <w:t xml:space="preserve"> the impact of </w:t>
      </w:r>
      <w:r w:rsidR="00120883">
        <w:t xml:space="preserve">each </w:t>
      </w:r>
      <w:r w:rsidRPr="00555363">
        <w:t>option based on possible scenarios.</w:t>
      </w:r>
      <w:r w:rsidR="004958C7">
        <w:rPr>
          <w:rStyle w:val="FootnoteReference"/>
        </w:rPr>
        <w:footnoteReference w:id="209"/>
      </w:r>
      <w:r w:rsidRPr="00555363">
        <w:t xml:space="preserve"> These scenarios </w:t>
      </w:r>
      <w:r w:rsidR="00CA6271">
        <w:t xml:space="preserve">are not intended to </w:t>
      </w:r>
      <w:r w:rsidRPr="00555363">
        <w:t xml:space="preserve">accurately </w:t>
      </w:r>
      <w:r w:rsidR="00CA6271">
        <w:t xml:space="preserve">predict customer </w:t>
      </w:r>
      <w:r w:rsidRPr="00555363">
        <w:t xml:space="preserve">impacts, </w:t>
      </w:r>
      <w:r w:rsidR="00CA6271">
        <w:t xml:space="preserve">but </w:t>
      </w:r>
      <w:r w:rsidR="004958C7">
        <w:t xml:space="preserve">are </w:t>
      </w:r>
      <w:r w:rsidR="00CA6271">
        <w:t>used</w:t>
      </w:r>
      <w:r w:rsidRPr="00555363">
        <w:t xml:space="preserve"> as basis for comparison between the options.</w:t>
      </w:r>
    </w:p>
    <w:p w14:paraId="57BA2B94" w14:textId="748F34A6" w:rsidR="00970DC7" w:rsidRDefault="00B81E9E" w:rsidP="00930AFE">
      <w:r>
        <w:t>We do not have data to estimate the impacts on gas customers</w:t>
      </w:r>
      <w:r w:rsidR="001218E3">
        <w:t xml:space="preserve">. Unlike for electricity, there </w:t>
      </w:r>
      <w:r>
        <w:t>is no baseline comparison price such as the VDO for gas prices</w:t>
      </w:r>
      <w:r w:rsidR="0079374B">
        <w:t>. R</w:t>
      </w:r>
      <w:r>
        <w:t>etailers are free to set prices for gas standing offers every six months.</w:t>
      </w:r>
      <w:r w:rsidR="00177E0D">
        <w:t xml:space="preserve"> </w:t>
      </w:r>
      <w:r w:rsidR="00000E7B">
        <w:t>Because of this</w:t>
      </w:r>
      <w:r w:rsidR="004857A0">
        <w:t xml:space="preserve"> comparative flexibility</w:t>
      </w:r>
      <w:r w:rsidR="00000E7B">
        <w:t xml:space="preserve">, we </w:t>
      </w:r>
      <w:r w:rsidR="00210463">
        <w:t xml:space="preserve">estimate </w:t>
      </w:r>
      <w:r w:rsidR="00000E7B">
        <w:t xml:space="preserve">that </w:t>
      </w:r>
      <w:r w:rsidR="00210463">
        <w:t>the</w:t>
      </w:r>
      <w:r w:rsidR="00000E7B">
        <w:t xml:space="preserve"> </w:t>
      </w:r>
      <w:r w:rsidR="00F9550F">
        <w:t>impacts on gas customers would be lower than on electricity customers.</w:t>
      </w:r>
      <w:r w:rsidR="00187466">
        <w:t xml:space="preserve"> </w:t>
      </w:r>
      <w:r w:rsidR="00B64A4E">
        <w:t>Th</w:t>
      </w:r>
      <w:r w:rsidR="00561DED">
        <w:t xml:space="preserve">is </w:t>
      </w:r>
      <w:r w:rsidR="005476D2">
        <w:t>is</w:t>
      </w:r>
      <w:r w:rsidR="00561DED">
        <w:t xml:space="preserve"> </w:t>
      </w:r>
      <w:r w:rsidR="00F7163D">
        <w:t>also due to</w:t>
      </w:r>
      <w:r w:rsidR="00561DED">
        <w:t xml:space="preserve"> th</w:t>
      </w:r>
      <w:r w:rsidR="00B64A4E">
        <w:t xml:space="preserve">e </w:t>
      </w:r>
      <w:r w:rsidR="0018209C">
        <w:t>larger</w:t>
      </w:r>
      <w:r w:rsidR="00B64A4E">
        <w:t xml:space="preserve"> gap between </w:t>
      </w:r>
      <w:r w:rsidR="00187466">
        <w:t xml:space="preserve">gas standing offers </w:t>
      </w:r>
      <w:r w:rsidR="00B64A4E">
        <w:t>and</w:t>
      </w:r>
      <w:r w:rsidR="00187466">
        <w:t xml:space="preserve"> market offers (see Figure 4)</w:t>
      </w:r>
      <w:r w:rsidR="00B64A4E">
        <w:t xml:space="preserve"> </w:t>
      </w:r>
      <w:r w:rsidR="00736312">
        <w:t xml:space="preserve">when </w:t>
      </w:r>
      <w:r w:rsidR="0018209C">
        <w:t xml:space="preserve">compared to </w:t>
      </w:r>
      <w:r w:rsidR="00AB76C4">
        <w:t xml:space="preserve">electricity. </w:t>
      </w:r>
      <w:r w:rsidR="001E76BF">
        <w:t>This larger gap means that i</w:t>
      </w:r>
      <w:r w:rsidR="00907D55">
        <w:t>t is likely</w:t>
      </w:r>
      <w:r w:rsidR="00AB76C4">
        <w:t xml:space="preserve"> that </w:t>
      </w:r>
      <w:r w:rsidR="00907D55">
        <w:t xml:space="preserve">fewer </w:t>
      </w:r>
      <w:r w:rsidR="00761F1A">
        <w:t xml:space="preserve">gas </w:t>
      </w:r>
      <w:r w:rsidR="00907D55">
        <w:t>customers are</w:t>
      </w:r>
      <w:r w:rsidR="00DA6A42">
        <w:t xml:space="preserve"> </w:t>
      </w:r>
      <w:r w:rsidR="00F9117C">
        <w:t xml:space="preserve">paying above </w:t>
      </w:r>
      <w:r w:rsidR="008A46A4">
        <w:t>their retailer’s</w:t>
      </w:r>
      <w:r w:rsidR="00F9117C">
        <w:t xml:space="preserve"> standing offer </w:t>
      </w:r>
      <w:r w:rsidR="00907D55">
        <w:t>than electricity</w:t>
      </w:r>
      <w:r w:rsidR="00761F1A">
        <w:t xml:space="preserve"> customers</w:t>
      </w:r>
      <w:r w:rsidR="00F9117C">
        <w:t>.</w:t>
      </w:r>
    </w:p>
    <w:p w14:paraId="15EF2CFC" w14:textId="03919B16" w:rsidR="00304894" w:rsidRDefault="00304894" w:rsidP="009B6291">
      <w:r>
        <w:t>T</w:t>
      </w:r>
      <w:r w:rsidRPr="00304894">
        <w:t xml:space="preserve">here may also be additional compliance costs </w:t>
      </w:r>
      <w:r w:rsidR="00E3526B">
        <w:t>under all option</w:t>
      </w:r>
      <w:r w:rsidR="005476D2">
        <w:t>s</w:t>
      </w:r>
      <w:r w:rsidR="00E3526B">
        <w:t xml:space="preserve"> </w:t>
      </w:r>
      <w:r w:rsidRPr="00304894">
        <w:t xml:space="preserve">to set up systems and processes to switch eligible customers. </w:t>
      </w:r>
      <w:r>
        <w:t xml:space="preserve">However, </w:t>
      </w:r>
      <w:r w:rsidRPr="00304894">
        <w:t xml:space="preserve">retailers could pre-emptively reduce </w:t>
      </w:r>
      <w:r w:rsidR="00DE3C3E">
        <w:t xml:space="preserve">the tariffs </w:t>
      </w:r>
      <w:r>
        <w:t xml:space="preserve">for potentially affected customers </w:t>
      </w:r>
      <w:r w:rsidR="00DE3C3E">
        <w:t>earlier than the four-year threshold as there are no restrictions to reducing energy tariffs at any time.</w:t>
      </w:r>
      <w:r w:rsidR="00170156">
        <w:t xml:space="preserve"> </w:t>
      </w:r>
      <w:r w:rsidR="00B43F11">
        <w:t xml:space="preserve">To the extent retailers </w:t>
      </w:r>
      <w:r w:rsidR="00A045EF">
        <w:t>take pre-emptive action,</w:t>
      </w:r>
      <w:r w:rsidR="007D1055">
        <w:t xml:space="preserve"> for example during </w:t>
      </w:r>
      <w:r w:rsidR="007D1055">
        <w:lastRenderedPageBreak/>
        <w:t>annual tariff reviews,</w:t>
      </w:r>
      <w:r w:rsidR="00A045EF">
        <w:t xml:space="preserve"> compliance costs would be </w:t>
      </w:r>
      <w:r w:rsidR="00537D48">
        <w:t>reduced.</w:t>
      </w:r>
      <w:r w:rsidR="00D52668">
        <w:t xml:space="preserve"> This would be relevant under any reform option.</w:t>
      </w:r>
    </w:p>
    <w:p w14:paraId="601BF8A3" w14:textId="53C177B9" w:rsidR="00062EEF" w:rsidRPr="0048428A" w:rsidRDefault="00062EEF" w:rsidP="00E46B94">
      <w:r w:rsidRPr="000F6481">
        <w:rPr>
          <w:rStyle w:val="Figure-Table-BoxHeadingChar"/>
        </w:rPr>
        <w:t xml:space="preserve">Table </w:t>
      </w:r>
      <w:r w:rsidR="002215C0" w:rsidRPr="000F6481">
        <w:rPr>
          <w:rStyle w:val="Figure-Table-BoxHeadingChar"/>
        </w:rPr>
        <w:t>2</w:t>
      </w:r>
      <w:r w:rsidR="002E5943" w:rsidRPr="000F6481">
        <w:rPr>
          <w:rStyle w:val="Figure-Table-BoxHeadingChar"/>
        </w:rPr>
        <w:t>3</w:t>
      </w:r>
      <w:r w:rsidRPr="000F6481">
        <w:rPr>
          <w:rStyle w:val="Figure-Table-BoxHeadingChar"/>
        </w:rPr>
        <w:fldChar w:fldCharType="begin"/>
      </w:r>
      <w:r w:rsidRPr="000F6481">
        <w:rPr>
          <w:rStyle w:val="Figure-Table-BoxHeadingChar"/>
        </w:rPr>
        <w:instrText xml:space="preserve"> SEQ Table \* ARABIC </w:instrText>
      </w:r>
      <w:r w:rsidRPr="000F6481">
        <w:rPr>
          <w:rStyle w:val="Figure-Table-BoxHeadingChar"/>
        </w:rPr>
        <w:fldChar w:fldCharType="separate"/>
      </w:r>
      <w:r w:rsidR="009A244B">
        <w:rPr>
          <w:rStyle w:val="Figure-Table-BoxHeadingChar"/>
          <w:noProof/>
        </w:rPr>
        <w:t>5</w:t>
      </w:r>
      <w:r w:rsidRPr="000F6481">
        <w:rPr>
          <w:rStyle w:val="Figure-Table-BoxHeadingChar"/>
        </w:rPr>
        <w:fldChar w:fldCharType="end"/>
      </w:r>
      <w:r w:rsidRPr="000F6481">
        <w:rPr>
          <w:rStyle w:val="Figure-Table-BoxHeadingChar"/>
        </w:rPr>
        <w:t>:</w:t>
      </w:r>
      <w:r w:rsidRPr="003A49F5">
        <w:t xml:space="preserve"> </w:t>
      </w:r>
      <w:r w:rsidRPr="00DA1B9B">
        <w:rPr>
          <w:rFonts w:asciiTheme="majorHAnsi" w:eastAsiaTheme="majorEastAsia" w:hAnsiTheme="majorHAnsi" w:cstheme="majorBidi"/>
          <w:color w:val="4986A0" w:themeColor="text2"/>
          <w:szCs w:val="24"/>
          <w:lang w:val="en-US"/>
        </w:rPr>
        <w:t>MCA Assessment of Option</w:t>
      </w:r>
      <w:r w:rsidR="00B55BBF" w:rsidRPr="00DA1B9B">
        <w:rPr>
          <w:rFonts w:asciiTheme="majorHAnsi" w:eastAsiaTheme="majorEastAsia" w:hAnsiTheme="majorHAnsi" w:cstheme="majorBidi"/>
          <w:color w:val="4986A0" w:themeColor="text2"/>
          <w:szCs w:val="24"/>
          <w:lang w:val="en-US"/>
        </w:rPr>
        <w:t>s</w:t>
      </w:r>
      <w:r w:rsidRPr="00DA1B9B">
        <w:rPr>
          <w:rFonts w:asciiTheme="majorHAnsi" w:eastAsiaTheme="majorEastAsia" w:hAnsiTheme="majorHAnsi" w:cstheme="majorBidi"/>
          <w:color w:val="4986A0" w:themeColor="text2"/>
          <w:szCs w:val="24"/>
          <w:lang w:val="en-US"/>
        </w:rPr>
        <w:t xml:space="preserve"> D.1</w:t>
      </w:r>
      <w:r w:rsidR="00472976" w:rsidRPr="00DA1B9B">
        <w:rPr>
          <w:rFonts w:asciiTheme="majorHAnsi" w:eastAsiaTheme="majorEastAsia" w:hAnsiTheme="majorHAnsi" w:cstheme="majorBidi"/>
          <w:color w:val="4986A0" w:themeColor="text2"/>
          <w:szCs w:val="24"/>
          <w:lang w:val="en-US"/>
        </w:rPr>
        <w:t>, D.2 and D.3: Effectiveness</w:t>
      </w:r>
    </w:p>
    <w:tbl>
      <w:tblPr>
        <w:tblStyle w:val="TableGrid"/>
        <w:tblW w:w="0" w:type="auto"/>
        <w:tblLook w:val="04A0" w:firstRow="1" w:lastRow="0" w:firstColumn="1" w:lastColumn="0" w:noHBand="0" w:noVBand="1"/>
      </w:tblPr>
      <w:tblGrid>
        <w:gridCol w:w="849"/>
        <w:gridCol w:w="1978"/>
        <w:gridCol w:w="4570"/>
        <w:gridCol w:w="1199"/>
        <w:gridCol w:w="1042"/>
      </w:tblGrid>
      <w:tr w:rsidR="003A2A04" w:rsidRPr="003A2A04" w14:paraId="48922C09" w14:textId="77777777" w:rsidTr="00AA1E65">
        <w:trPr>
          <w:cnfStyle w:val="100000000000" w:firstRow="1" w:lastRow="0" w:firstColumn="0" w:lastColumn="0" w:oddVBand="0" w:evenVBand="0" w:oddHBand="0" w:evenHBand="0" w:firstRowFirstColumn="0" w:firstRowLastColumn="0" w:lastRowFirstColumn="0" w:lastRowLastColumn="0"/>
        </w:trPr>
        <w:tc>
          <w:tcPr>
            <w:tcW w:w="850" w:type="dxa"/>
            <w:hideMark/>
          </w:tcPr>
          <w:p w14:paraId="16E0B3C4" w14:textId="77777777" w:rsidR="007728D7" w:rsidRPr="003A2A04" w:rsidRDefault="007728D7" w:rsidP="00E46B94">
            <w:pPr>
              <w:pStyle w:val="TableBody"/>
              <w:spacing w:before="60" w:after="60"/>
              <w:jc w:val="center"/>
              <w:rPr>
                <w:color w:val="000000"/>
                <w:sz w:val="20"/>
                <w:szCs w:val="20"/>
                <w:lang w:val="en-AU"/>
              </w:rPr>
            </w:pPr>
            <w:r w:rsidRPr="634691F6">
              <w:rPr>
                <w:sz w:val="20"/>
                <w:szCs w:val="20"/>
                <w:lang w:val="en-AU"/>
              </w:rPr>
              <w:t>Option</w:t>
            </w:r>
          </w:p>
        </w:tc>
        <w:tc>
          <w:tcPr>
            <w:tcW w:w="1985" w:type="dxa"/>
            <w:hideMark/>
          </w:tcPr>
          <w:p w14:paraId="01565B91" w14:textId="77777777" w:rsidR="00B30060" w:rsidRDefault="007728D7" w:rsidP="00E46B94">
            <w:pPr>
              <w:pStyle w:val="TableBody"/>
              <w:spacing w:before="60" w:after="60"/>
              <w:jc w:val="center"/>
              <w:rPr>
                <w:b w:val="0"/>
                <w:sz w:val="20"/>
                <w:szCs w:val="20"/>
              </w:rPr>
            </w:pPr>
            <w:r w:rsidRPr="003A2A04">
              <w:rPr>
                <w:sz w:val="20"/>
                <w:szCs w:val="20"/>
              </w:rPr>
              <w:t>Criteria</w:t>
            </w:r>
          </w:p>
          <w:p w14:paraId="455D2584" w14:textId="217EC264" w:rsidR="007728D7" w:rsidRPr="003A2A04" w:rsidRDefault="007728D7" w:rsidP="00E46B94">
            <w:pPr>
              <w:pStyle w:val="TableBody"/>
              <w:spacing w:before="60" w:after="60"/>
              <w:jc w:val="center"/>
              <w:rPr>
                <w:color w:val="000000"/>
                <w:sz w:val="20"/>
                <w:szCs w:val="20"/>
              </w:rPr>
            </w:pPr>
            <w:r w:rsidRPr="003A2A04">
              <w:rPr>
                <w:sz w:val="20"/>
                <w:szCs w:val="20"/>
              </w:rPr>
              <w:t>(weighting 50%)</w:t>
            </w:r>
          </w:p>
        </w:tc>
        <w:tc>
          <w:tcPr>
            <w:tcW w:w="4607" w:type="dxa"/>
            <w:hideMark/>
          </w:tcPr>
          <w:p w14:paraId="21752574" w14:textId="77777777" w:rsidR="007728D7" w:rsidRPr="003A2A04" w:rsidRDefault="007728D7" w:rsidP="00E46B94">
            <w:pPr>
              <w:pStyle w:val="TableBody"/>
              <w:spacing w:before="60" w:after="60"/>
              <w:jc w:val="center"/>
              <w:rPr>
                <w:color w:val="000000"/>
                <w:sz w:val="20"/>
                <w:szCs w:val="20"/>
              </w:rPr>
            </w:pPr>
            <w:r w:rsidRPr="003A2A04">
              <w:rPr>
                <w:sz w:val="20"/>
                <w:szCs w:val="20"/>
              </w:rPr>
              <w:t>Assessment</w:t>
            </w:r>
          </w:p>
        </w:tc>
        <w:tc>
          <w:tcPr>
            <w:tcW w:w="1205" w:type="dxa"/>
          </w:tcPr>
          <w:p w14:paraId="7AC3A33B" w14:textId="77777777" w:rsidR="00775C2F" w:rsidRDefault="00775C2F" w:rsidP="00E46B94">
            <w:pPr>
              <w:pStyle w:val="TableBody"/>
              <w:spacing w:before="60" w:after="60"/>
              <w:jc w:val="center"/>
              <w:rPr>
                <w:b w:val="0"/>
                <w:sz w:val="20"/>
                <w:szCs w:val="20"/>
              </w:rPr>
            </w:pPr>
            <w:r>
              <w:rPr>
                <w:sz w:val="20"/>
                <w:szCs w:val="20"/>
              </w:rPr>
              <w:t>Score</w:t>
            </w:r>
          </w:p>
          <w:p w14:paraId="78F7A444" w14:textId="7E42CDC6" w:rsidR="00775C2F" w:rsidRDefault="00F96D5B" w:rsidP="00E46B94">
            <w:pPr>
              <w:pStyle w:val="TableBody"/>
              <w:spacing w:before="60" w:after="60"/>
              <w:jc w:val="center"/>
              <w:rPr>
                <w:sz w:val="20"/>
                <w:szCs w:val="20"/>
              </w:rPr>
            </w:pPr>
            <w:r>
              <w:rPr>
                <w:sz w:val="20"/>
                <w:szCs w:val="20"/>
              </w:rPr>
              <w:t>(</w:t>
            </w:r>
            <w:r w:rsidR="00AA1E65">
              <w:rPr>
                <w:sz w:val="20"/>
                <w:szCs w:val="20"/>
              </w:rPr>
              <w:t>-10 to 10)</w:t>
            </w:r>
          </w:p>
        </w:tc>
        <w:tc>
          <w:tcPr>
            <w:tcW w:w="991" w:type="dxa"/>
            <w:hideMark/>
          </w:tcPr>
          <w:p w14:paraId="262A8738" w14:textId="104CA551" w:rsidR="007728D7" w:rsidRPr="003A2A04" w:rsidRDefault="007728D7" w:rsidP="00E46B94">
            <w:pPr>
              <w:pStyle w:val="TableBody"/>
              <w:spacing w:before="60" w:after="60"/>
              <w:jc w:val="center"/>
              <w:rPr>
                <w:color w:val="000000"/>
                <w:sz w:val="20"/>
                <w:szCs w:val="20"/>
              </w:rPr>
            </w:pPr>
            <w:r w:rsidRPr="003A2A04">
              <w:rPr>
                <w:sz w:val="20"/>
                <w:szCs w:val="20"/>
              </w:rPr>
              <w:t>Weighted score</w:t>
            </w:r>
          </w:p>
        </w:tc>
      </w:tr>
      <w:tr w:rsidR="003A2A04" w:rsidRPr="003A2A04" w14:paraId="0233EC2E" w14:textId="77777777" w:rsidTr="00AA1E65">
        <w:trPr>
          <w:cnfStyle w:val="000000100000" w:firstRow="0" w:lastRow="0" w:firstColumn="0" w:lastColumn="0" w:oddVBand="0" w:evenVBand="0" w:oddHBand="1" w:evenHBand="0" w:firstRowFirstColumn="0" w:firstRowLastColumn="0" w:lastRowFirstColumn="0" w:lastRowLastColumn="0"/>
          <w:trHeight w:val="333"/>
        </w:trPr>
        <w:tc>
          <w:tcPr>
            <w:tcW w:w="850" w:type="dxa"/>
            <w:hideMark/>
          </w:tcPr>
          <w:p w14:paraId="2AB0340E" w14:textId="77777777" w:rsidR="007728D7" w:rsidRPr="003A2A04" w:rsidRDefault="007728D7" w:rsidP="00E46B94">
            <w:pPr>
              <w:pStyle w:val="TableBody"/>
              <w:rPr>
                <w:color w:val="000000"/>
                <w:sz w:val="20"/>
                <w:szCs w:val="20"/>
              </w:rPr>
            </w:pPr>
            <w:r w:rsidRPr="003A2A04">
              <w:rPr>
                <w:color w:val="000000"/>
                <w:sz w:val="20"/>
                <w:szCs w:val="20"/>
              </w:rPr>
              <w:t>D.1</w:t>
            </w:r>
          </w:p>
        </w:tc>
        <w:tc>
          <w:tcPr>
            <w:tcW w:w="1985" w:type="dxa"/>
            <w:hideMark/>
          </w:tcPr>
          <w:p w14:paraId="6DBD24BA" w14:textId="77777777" w:rsidR="007728D7" w:rsidRDefault="007728D7" w:rsidP="00E46B94">
            <w:pPr>
              <w:pStyle w:val="TableBody"/>
              <w:rPr>
                <w:color w:val="000000"/>
                <w:sz w:val="20"/>
                <w:szCs w:val="20"/>
              </w:rPr>
            </w:pPr>
            <w:r w:rsidRPr="003A2A04">
              <w:rPr>
                <w:color w:val="000000"/>
                <w:sz w:val="20"/>
                <w:szCs w:val="20"/>
              </w:rPr>
              <w:t xml:space="preserve">Effectiveness </w:t>
            </w:r>
          </w:p>
          <w:p w14:paraId="1AEEACB7" w14:textId="77777777" w:rsidR="000A0E25" w:rsidRDefault="00C76C05" w:rsidP="00E46B94">
            <w:pPr>
              <w:spacing w:line="240" w:lineRule="auto"/>
              <w:rPr>
                <w:color w:val="000000"/>
                <w:sz w:val="20"/>
                <w:szCs w:val="20"/>
              </w:rPr>
            </w:pPr>
            <w:r>
              <w:rPr>
                <w:color w:val="000000"/>
                <w:sz w:val="20"/>
                <w:szCs w:val="20"/>
              </w:rPr>
              <w:t>Reform objectives:</w:t>
            </w:r>
          </w:p>
          <w:p w14:paraId="44906927" w14:textId="69F4AD45" w:rsidR="00C76C05" w:rsidRPr="000A0E25" w:rsidRDefault="00C76C05" w:rsidP="00E46B94">
            <w:pPr>
              <w:pStyle w:val="ListParagraph"/>
              <w:numPr>
                <w:ilvl w:val="0"/>
                <w:numId w:val="27"/>
              </w:numPr>
              <w:spacing w:line="240" w:lineRule="auto"/>
              <w:ind w:left="201" w:hanging="201"/>
              <w:rPr>
                <w:rFonts w:ascii="Times New Roman" w:eastAsia="Times New Roman" w:hAnsi="Times New Roman" w:cs="Times New Roman"/>
                <w:color w:val="000000"/>
                <w:sz w:val="20"/>
                <w:szCs w:val="20"/>
              </w:rPr>
            </w:pPr>
            <w:r w:rsidRPr="000A0E25">
              <w:rPr>
                <w:color w:val="000000"/>
                <w:sz w:val="20"/>
                <w:szCs w:val="20"/>
              </w:rPr>
              <w:t>help households pay less for energy</w:t>
            </w:r>
            <w:r w:rsidR="000A0E25">
              <w:rPr>
                <w:color w:val="000000"/>
                <w:sz w:val="20"/>
                <w:szCs w:val="20"/>
              </w:rPr>
              <w:t>.</w:t>
            </w:r>
          </w:p>
          <w:p w14:paraId="44C9CE4F" w14:textId="77777777" w:rsidR="00C76C05" w:rsidRPr="003A2A04" w:rsidRDefault="00C76C05" w:rsidP="00E46B94">
            <w:pPr>
              <w:pStyle w:val="TableBody"/>
              <w:rPr>
                <w:color w:val="000000"/>
                <w:sz w:val="20"/>
                <w:szCs w:val="20"/>
              </w:rPr>
            </w:pPr>
          </w:p>
        </w:tc>
        <w:tc>
          <w:tcPr>
            <w:tcW w:w="4607" w:type="dxa"/>
            <w:hideMark/>
          </w:tcPr>
          <w:p w14:paraId="787B7B5E" w14:textId="77777777" w:rsidR="00033C8C" w:rsidRDefault="007728D7" w:rsidP="00E46B94">
            <w:pPr>
              <w:pStyle w:val="TableBody"/>
              <w:rPr>
                <w:color w:val="000000" w:themeColor="text1"/>
                <w:sz w:val="20"/>
                <w:szCs w:val="20"/>
                <w:lang w:val="en-AU"/>
              </w:rPr>
            </w:pPr>
            <w:r w:rsidRPr="634691F6">
              <w:rPr>
                <w:color w:val="000000" w:themeColor="text1"/>
                <w:sz w:val="20"/>
                <w:szCs w:val="20"/>
                <w:lang w:val="en-AU"/>
              </w:rPr>
              <w:t xml:space="preserve">This option </w:t>
            </w:r>
            <w:r w:rsidR="00774016" w:rsidRPr="634691F6">
              <w:rPr>
                <w:color w:val="000000" w:themeColor="text1"/>
                <w:sz w:val="20"/>
                <w:szCs w:val="20"/>
                <w:lang w:val="en-AU"/>
              </w:rPr>
              <w:t xml:space="preserve">allows </w:t>
            </w:r>
            <w:r w:rsidR="00CF0A35" w:rsidRPr="634691F6">
              <w:rPr>
                <w:color w:val="000000" w:themeColor="text1"/>
                <w:sz w:val="20"/>
                <w:szCs w:val="20"/>
                <w:lang w:val="en-AU"/>
              </w:rPr>
              <w:t xml:space="preserve">a </w:t>
            </w:r>
            <w:r w:rsidR="00774016" w:rsidRPr="634691F6">
              <w:rPr>
                <w:color w:val="000000" w:themeColor="text1"/>
                <w:sz w:val="20"/>
                <w:szCs w:val="20"/>
                <w:lang w:val="en-AU"/>
              </w:rPr>
              <w:t xml:space="preserve">retailer to determine </w:t>
            </w:r>
            <w:r w:rsidR="00CF0A35" w:rsidRPr="634691F6">
              <w:rPr>
                <w:color w:val="000000" w:themeColor="text1"/>
                <w:sz w:val="20"/>
                <w:szCs w:val="20"/>
                <w:lang w:val="en-AU"/>
              </w:rPr>
              <w:t xml:space="preserve">what </w:t>
            </w:r>
            <w:r w:rsidR="00774016" w:rsidRPr="634691F6">
              <w:rPr>
                <w:color w:val="000000" w:themeColor="text1"/>
                <w:sz w:val="20"/>
                <w:szCs w:val="20"/>
                <w:lang w:val="en-AU"/>
              </w:rPr>
              <w:t>a ‘</w:t>
            </w:r>
            <w:r w:rsidRPr="634691F6">
              <w:rPr>
                <w:color w:val="000000" w:themeColor="text1"/>
                <w:sz w:val="20"/>
                <w:szCs w:val="20"/>
                <w:lang w:val="en-AU"/>
              </w:rPr>
              <w:t xml:space="preserve">reasonable price’ would be </w:t>
            </w:r>
            <w:r w:rsidR="00CF0A35" w:rsidRPr="634691F6">
              <w:rPr>
                <w:color w:val="000000" w:themeColor="text1"/>
                <w:sz w:val="20"/>
                <w:szCs w:val="20"/>
                <w:lang w:val="en-AU"/>
              </w:rPr>
              <w:t xml:space="preserve">for a customer. </w:t>
            </w:r>
          </w:p>
          <w:p w14:paraId="62A4F2B3" w14:textId="77777777" w:rsidR="00033C8C" w:rsidRDefault="00033C8C" w:rsidP="00E46B94">
            <w:pPr>
              <w:pStyle w:val="TableBody"/>
              <w:rPr>
                <w:color w:val="000000" w:themeColor="text1"/>
                <w:sz w:val="20"/>
                <w:szCs w:val="20"/>
                <w:lang w:val="en-AU"/>
              </w:rPr>
            </w:pPr>
          </w:p>
          <w:p w14:paraId="1D9C98CF" w14:textId="431FF92E" w:rsidR="00FA54C5" w:rsidRDefault="00E66170" w:rsidP="00E46B94">
            <w:pPr>
              <w:pStyle w:val="TableBody"/>
              <w:rPr>
                <w:color w:val="000000" w:themeColor="text1"/>
                <w:sz w:val="20"/>
                <w:szCs w:val="20"/>
                <w:lang w:val="en-AU"/>
              </w:rPr>
            </w:pPr>
            <w:r w:rsidRPr="634691F6">
              <w:rPr>
                <w:color w:val="000000" w:themeColor="text1"/>
                <w:sz w:val="20"/>
                <w:szCs w:val="20"/>
                <w:lang w:val="en-AU"/>
              </w:rPr>
              <w:t xml:space="preserve">Retailers have </w:t>
            </w:r>
            <w:r w:rsidR="007728D7" w:rsidRPr="634691F6">
              <w:rPr>
                <w:color w:val="000000" w:themeColor="text1"/>
                <w:sz w:val="20"/>
                <w:szCs w:val="20"/>
                <w:lang w:val="en-AU"/>
              </w:rPr>
              <w:t xml:space="preserve">strong economic incentives to </w:t>
            </w:r>
            <w:r w:rsidR="00597FB4" w:rsidRPr="634691F6">
              <w:rPr>
                <w:color w:val="000000" w:themeColor="text1"/>
                <w:sz w:val="20"/>
                <w:szCs w:val="20"/>
                <w:lang w:val="en-AU"/>
              </w:rPr>
              <w:t xml:space="preserve">set </w:t>
            </w:r>
            <w:r w:rsidR="007728D7" w:rsidRPr="634691F6">
              <w:rPr>
                <w:color w:val="000000" w:themeColor="text1"/>
                <w:sz w:val="20"/>
                <w:szCs w:val="20"/>
                <w:lang w:val="en-AU"/>
              </w:rPr>
              <w:t xml:space="preserve">a ‘reasonable price’ </w:t>
            </w:r>
            <w:r w:rsidR="00597FB4" w:rsidRPr="634691F6">
              <w:rPr>
                <w:color w:val="000000" w:themeColor="text1"/>
                <w:sz w:val="20"/>
                <w:szCs w:val="20"/>
                <w:lang w:val="en-AU"/>
              </w:rPr>
              <w:t xml:space="preserve">that </w:t>
            </w:r>
            <w:r w:rsidR="003F5169" w:rsidRPr="634691F6">
              <w:rPr>
                <w:color w:val="000000" w:themeColor="text1"/>
                <w:sz w:val="20"/>
                <w:szCs w:val="20"/>
                <w:lang w:val="en-AU"/>
              </w:rPr>
              <w:t xml:space="preserve">limits </w:t>
            </w:r>
            <w:r w:rsidR="00597FB4" w:rsidRPr="634691F6">
              <w:rPr>
                <w:color w:val="000000" w:themeColor="text1"/>
                <w:sz w:val="20"/>
                <w:szCs w:val="20"/>
                <w:lang w:val="en-AU"/>
              </w:rPr>
              <w:t xml:space="preserve">any impact on </w:t>
            </w:r>
            <w:r w:rsidR="000A0E25">
              <w:rPr>
                <w:color w:val="000000" w:themeColor="text1"/>
                <w:sz w:val="20"/>
                <w:szCs w:val="20"/>
                <w:lang w:val="en-AU"/>
              </w:rPr>
              <w:t>their</w:t>
            </w:r>
            <w:r w:rsidR="00597FB4" w:rsidRPr="634691F6">
              <w:rPr>
                <w:color w:val="000000" w:themeColor="text1"/>
                <w:sz w:val="20"/>
                <w:szCs w:val="20"/>
                <w:lang w:val="en-AU"/>
              </w:rPr>
              <w:t xml:space="preserve"> </w:t>
            </w:r>
            <w:r w:rsidR="007728D7" w:rsidRPr="634691F6">
              <w:rPr>
                <w:color w:val="000000" w:themeColor="text1"/>
                <w:sz w:val="20"/>
                <w:szCs w:val="20"/>
                <w:lang w:val="en-AU"/>
              </w:rPr>
              <w:t>revenue</w:t>
            </w:r>
            <w:r w:rsidR="005478B9" w:rsidRPr="634691F6">
              <w:rPr>
                <w:color w:val="000000" w:themeColor="text1"/>
                <w:sz w:val="20"/>
                <w:szCs w:val="20"/>
                <w:lang w:val="en-AU"/>
              </w:rPr>
              <w:t>.</w:t>
            </w:r>
            <w:r w:rsidR="00927D4D">
              <w:rPr>
                <w:color w:val="000000" w:themeColor="text1"/>
                <w:sz w:val="20"/>
                <w:szCs w:val="20"/>
                <w:lang w:val="en-AU"/>
              </w:rPr>
              <w:t xml:space="preserve"> Given the wider flexibility provided by this option, </w:t>
            </w:r>
            <w:r w:rsidR="00F120A6">
              <w:rPr>
                <w:color w:val="000000" w:themeColor="text1"/>
                <w:sz w:val="20"/>
                <w:szCs w:val="20"/>
                <w:lang w:val="en-AU"/>
              </w:rPr>
              <w:t xml:space="preserve">retailers </w:t>
            </w:r>
            <w:r w:rsidR="00286E45">
              <w:rPr>
                <w:color w:val="000000" w:themeColor="text1"/>
                <w:sz w:val="20"/>
                <w:szCs w:val="20"/>
                <w:lang w:val="en-AU"/>
              </w:rPr>
              <w:t xml:space="preserve">are likely to </w:t>
            </w:r>
            <w:r w:rsidR="00181434">
              <w:rPr>
                <w:color w:val="000000" w:themeColor="text1"/>
                <w:sz w:val="20"/>
                <w:szCs w:val="20"/>
                <w:lang w:val="en-AU"/>
              </w:rPr>
              <w:t>d</w:t>
            </w:r>
            <w:r w:rsidR="00E91E74">
              <w:rPr>
                <w:color w:val="000000" w:themeColor="text1"/>
                <w:sz w:val="20"/>
                <w:szCs w:val="20"/>
                <w:lang w:val="en-AU"/>
              </w:rPr>
              <w:t xml:space="preserve">etermine </w:t>
            </w:r>
            <w:r w:rsidR="00DB094A">
              <w:rPr>
                <w:color w:val="000000" w:themeColor="text1"/>
                <w:sz w:val="20"/>
                <w:szCs w:val="20"/>
                <w:lang w:val="en-AU"/>
              </w:rPr>
              <w:t xml:space="preserve">that only a very small proportion of customers </w:t>
            </w:r>
            <w:r w:rsidR="006A0A1E">
              <w:rPr>
                <w:color w:val="000000" w:themeColor="text1"/>
                <w:sz w:val="20"/>
                <w:szCs w:val="20"/>
                <w:lang w:val="en-AU"/>
              </w:rPr>
              <w:t xml:space="preserve">would be considered </w:t>
            </w:r>
            <w:r w:rsidR="00F66966">
              <w:rPr>
                <w:color w:val="000000" w:themeColor="text1"/>
                <w:sz w:val="20"/>
                <w:szCs w:val="20"/>
                <w:lang w:val="en-AU"/>
              </w:rPr>
              <w:t>as paying unreasonable prices.</w:t>
            </w:r>
          </w:p>
          <w:p w14:paraId="0C8A879D" w14:textId="77777777" w:rsidR="008438F3" w:rsidRDefault="008438F3" w:rsidP="00E46B94">
            <w:pPr>
              <w:pStyle w:val="TableBody"/>
              <w:rPr>
                <w:color w:val="000000" w:themeColor="text1"/>
                <w:sz w:val="20"/>
                <w:szCs w:val="20"/>
                <w:lang w:val="en-AU"/>
              </w:rPr>
            </w:pPr>
          </w:p>
          <w:p w14:paraId="507F85BD" w14:textId="502C548B" w:rsidR="004B0412" w:rsidRDefault="00693662" w:rsidP="00E46B94">
            <w:pPr>
              <w:pStyle w:val="TableBody"/>
              <w:rPr>
                <w:color w:val="000000" w:themeColor="text1"/>
                <w:sz w:val="20"/>
                <w:szCs w:val="20"/>
                <w:lang w:val="en-AU"/>
              </w:rPr>
            </w:pPr>
            <w:r>
              <w:rPr>
                <w:color w:val="000000" w:themeColor="text1"/>
                <w:sz w:val="20"/>
                <w:szCs w:val="20"/>
                <w:lang w:val="en-AU"/>
              </w:rPr>
              <w:t xml:space="preserve">As this option would provide the highest degree of flexibility for retailers, </w:t>
            </w:r>
            <w:r w:rsidR="00555C13">
              <w:rPr>
                <w:color w:val="000000" w:themeColor="text1"/>
                <w:sz w:val="20"/>
                <w:szCs w:val="20"/>
                <w:lang w:val="en-AU"/>
              </w:rPr>
              <w:t>we</w:t>
            </w:r>
            <w:r w:rsidR="003E4C14">
              <w:rPr>
                <w:color w:val="000000" w:themeColor="text1"/>
                <w:sz w:val="20"/>
                <w:szCs w:val="20"/>
                <w:lang w:val="en-AU"/>
              </w:rPr>
              <w:t xml:space="preserve"> assume that the number of customers who would benefit from this option would be in the range between those currently paying 25%</w:t>
            </w:r>
            <w:r w:rsidR="000F38DE">
              <w:rPr>
                <w:color w:val="000000" w:themeColor="text1"/>
                <w:sz w:val="20"/>
                <w:szCs w:val="20"/>
                <w:lang w:val="en-AU"/>
              </w:rPr>
              <w:t xml:space="preserve"> above the VDO</w:t>
            </w:r>
            <w:r w:rsidR="00A8776D">
              <w:rPr>
                <w:color w:val="000000" w:themeColor="text1"/>
                <w:sz w:val="20"/>
                <w:szCs w:val="20"/>
                <w:lang w:val="en-AU"/>
              </w:rPr>
              <w:t xml:space="preserve"> (at the higher end)</w:t>
            </w:r>
            <w:r w:rsidR="000F38DE">
              <w:rPr>
                <w:color w:val="000000" w:themeColor="text1"/>
                <w:sz w:val="20"/>
                <w:szCs w:val="20"/>
                <w:lang w:val="en-AU"/>
              </w:rPr>
              <w:t xml:space="preserve"> to</w:t>
            </w:r>
            <w:r w:rsidR="00A8776D">
              <w:rPr>
                <w:color w:val="000000" w:themeColor="text1"/>
                <w:sz w:val="20"/>
                <w:szCs w:val="20"/>
                <w:lang w:val="en-AU"/>
              </w:rPr>
              <w:t xml:space="preserve"> </w:t>
            </w:r>
            <w:r w:rsidR="008B244D">
              <w:rPr>
                <w:color w:val="000000" w:themeColor="text1"/>
                <w:sz w:val="20"/>
                <w:szCs w:val="20"/>
                <w:lang w:val="en-AU"/>
              </w:rPr>
              <w:t>those paying 50% above the VDO</w:t>
            </w:r>
            <w:r w:rsidR="00A8776D">
              <w:rPr>
                <w:color w:val="000000" w:themeColor="text1"/>
                <w:sz w:val="20"/>
                <w:szCs w:val="20"/>
                <w:lang w:val="en-AU"/>
              </w:rPr>
              <w:t xml:space="preserve"> (at the lower end)</w:t>
            </w:r>
            <w:r w:rsidR="008B244D">
              <w:rPr>
                <w:color w:val="000000" w:themeColor="text1"/>
                <w:sz w:val="20"/>
                <w:szCs w:val="20"/>
                <w:lang w:val="en-AU"/>
              </w:rPr>
              <w:t>.</w:t>
            </w:r>
            <w:r w:rsidR="00DE4C09">
              <w:rPr>
                <w:color w:val="000000" w:themeColor="text1"/>
                <w:sz w:val="20"/>
                <w:szCs w:val="20"/>
                <w:lang w:val="en-AU"/>
              </w:rPr>
              <w:t xml:space="preserve"> </w:t>
            </w:r>
            <w:r w:rsidR="00563E55">
              <w:rPr>
                <w:color w:val="000000" w:themeColor="text1"/>
                <w:sz w:val="20"/>
                <w:szCs w:val="20"/>
                <w:lang w:val="en-AU"/>
              </w:rPr>
              <w:t>A range h</w:t>
            </w:r>
            <w:r w:rsidR="007175C4">
              <w:rPr>
                <w:color w:val="000000" w:themeColor="text1"/>
                <w:sz w:val="20"/>
                <w:szCs w:val="20"/>
                <w:lang w:val="en-AU"/>
              </w:rPr>
              <w:t>as been considered</w:t>
            </w:r>
            <w:r w:rsidR="00316774">
              <w:rPr>
                <w:color w:val="000000" w:themeColor="text1"/>
                <w:sz w:val="20"/>
                <w:szCs w:val="20"/>
                <w:lang w:val="en-AU"/>
              </w:rPr>
              <w:t xml:space="preserve"> </w:t>
            </w:r>
            <w:r w:rsidR="006B75AE">
              <w:rPr>
                <w:color w:val="000000" w:themeColor="text1"/>
                <w:sz w:val="20"/>
                <w:szCs w:val="20"/>
                <w:lang w:val="en-AU"/>
              </w:rPr>
              <w:t xml:space="preserve">to assess potential impacts </w:t>
            </w:r>
            <w:r w:rsidR="00C630DA">
              <w:rPr>
                <w:color w:val="000000" w:themeColor="text1"/>
                <w:sz w:val="20"/>
                <w:szCs w:val="20"/>
                <w:lang w:val="en-AU"/>
              </w:rPr>
              <w:t>as it is</w:t>
            </w:r>
            <w:r w:rsidR="006B75AE">
              <w:rPr>
                <w:color w:val="000000" w:themeColor="text1"/>
                <w:sz w:val="20"/>
                <w:szCs w:val="20"/>
                <w:lang w:val="en-AU"/>
              </w:rPr>
              <w:t xml:space="preserve"> </w:t>
            </w:r>
            <w:r w:rsidR="00DF697B">
              <w:rPr>
                <w:color w:val="000000" w:themeColor="text1"/>
                <w:sz w:val="20"/>
                <w:szCs w:val="20"/>
                <w:lang w:val="en-AU"/>
              </w:rPr>
              <w:t xml:space="preserve">uncertain how retailers would respond to this option. </w:t>
            </w:r>
            <w:r w:rsidR="00C630DA">
              <w:rPr>
                <w:color w:val="000000" w:themeColor="text1"/>
                <w:sz w:val="20"/>
                <w:szCs w:val="20"/>
                <w:lang w:val="en-AU"/>
              </w:rPr>
              <w:t xml:space="preserve"> </w:t>
            </w:r>
          </w:p>
          <w:p w14:paraId="38DA3D4E" w14:textId="77777777" w:rsidR="00ED29F3" w:rsidRDefault="00ED29F3" w:rsidP="00E46B94">
            <w:pPr>
              <w:pStyle w:val="TableBody"/>
              <w:rPr>
                <w:color w:val="000000" w:themeColor="text1"/>
                <w:sz w:val="20"/>
                <w:szCs w:val="20"/>
                <w:lang w:val="en-AU"/>
              </w:rPr>
            </w:pPr>
          </w:p>
          <w:p w14:paraId="648E5524" w14:textId="297E5689" w:rsidR="00A66E8B" w:rsidRDefault="00A66E8B" w:rsidP="00043574">
            <w:pPr>
              <w:pStyle w:val="TableBody"/>
              <w:ind w:left="67"/>
              <w:rPr>
                <w:color w:val="000000" w:themeColor="text1"/>
                <w:sz w:val="20"/>
                <w:szCs w:val="20"/>
              </w:rPr>
            </w:pPr>
            <w:r>
              <w:rPr>
                <w:color w:val="000000" w:themeColor="text1"/>
                <w:sz w:val="20"/>
                <w:szCs w:val="20"/>
              </w:rPr>
              <w:t xml:space="preserve">In summary, </w:t>
            </w:r>
            <w:r w:rsidR="00FE6E00">
              <w:rPr>
                <w:color w:val="000000" w:themeColor="text1"/>
                <w:sz w:val="20"/>
                <w:szCs w:val="20"/>
              </w:rPr>
              <w:t>the estimated</w:t>
            </w:r>
            <w:r>
              <w:rPr>
                <w:color w:val="000000" w:themeColor="text1"/>
                <w:sz w:val="20"/>
                <w:szCs w:val="20"/>
              </w:rPr>
              <w:t xml:space="preserve"> overall benefits for electricity customers from this option range </w:t>
            </w:r>
            <w:r w:rsidR="006C44DF">
              <w:rPr>
                <w:color w:val="000000" w:themeColor="text1"/>
                <w:sz w:val="20"/>
                <w:szCs w:val="20"/>
              </w:rPr>
              <w:t>from around</w:t>
            </w:r>
            <w:r>
              <w:rPr>
                <w:color w:val="000000" w:themeColor="text1"/>
                <w:sz w:val="20"/>
                <w:szCs w:val="20"/>
              </w:rPr>
              <w:t xml:space="preserve"> </w:t>
            </w:r>
            <w:r w:rsidR="00FE6E00">
              <w:rPr>
                <w:color w:val="000000" w:themeColor="text1"/>
                <w:sz w:val="20"/>
                <w:szCs w:val="20"/>
              </w:rPr>
              <w:t>$0.</w:t>
            </w:r>
            <w:r w:rsidR="006C44DF">
              <w:rPr>
                <w:color w:val="000000" w:themeColor="text1"/>
                <w:sz w:val="20"/>
                <w:szCs w:val="20"/>
              </w:rPr>
              <w:t>8</w:t>
            </w:r>
            <w:r w:rsidR="00FE6E00">
              <w:rPr>
                <w:color w:val="000000" w:themeColor="text1"/>
                <w:sz w:val="20"/>
                <w:szCs w:val="20"/>
              </w:rPr>
              <w:t>m to $1</w:t>
            </w:r>
            <w:r w:rsidR="006C44DF">
              <w:rPr>
                <w:color w:val="000000" w:themeColor="text1"/>
                <w:sz w:val="20"/>
                <w:szCs w:val="20"/>
              </w:rPr>
              <w:t>0.1</w:t>
            </w:r>
            <w:r w:rsidR="00FE6E00">
              <w:rPr>
                <w:color w:val="000000" w:themeColor="text1"/>
                <w:sz w:val="20"/>
                <w:szCs w:val="20"/>
              </w:rPr>
              <w:t>m</w:t>
            </w:r>
            <w:r w:rsidR="00D2692E">
              <w:rPr>
                <w:color w:val="000000" w:themeColor="text1"/>
                <w:sz w:val="20"/>
                <w:szCs w:val="20"/>
              </w:rPr>
              <w:t xml:space="preserve"> per year</w:t>
            </w:r>
            <w:r w:rsidR="005B6ECB">
              <w:rPr>
                <w:color w:val="000000" w:themeColor="text1"/>
                <w:sz w:val="20"/>
                <w:szCs w:val="20"/>
              </w:rPr>
              <w:t xml:space="preserve"> (benefit</w:t>
            </w:r>
            <w:r w:rsidR="00ED2500">
              <w:rPr>
                <w:color w:val="000000" w:themeColor="text1"/>
                <w:sz w:val="20"/>
                <w:szCs w:val="20"/>
              </w:rPr>
              <w:t>t</w:t>
            </w:r>
            <w:r w:rsidR="005B6ECB">
              <w:rPr>
                <w:color w:val="000000" w:themeColor="text1"/>
                <w:sz w:val="20"/>
                <w:szCs w:val="20"/>
              </w:rPr>
              <w:t xml:space="preserve">ing between </w:t>
            </w:r>
            <w:r w:rsidR="00937516">
              <w:rPr>
                <w:color w:val="000000" w:themeColor="text1"/>
                <w:sz w:val="20"/>
                <w:szCs w:val="20"/>
              </w:rPr>
              <w:t xml:space="preserve">one </w:t>
            </w:r>
            <w:r w:rsidR="003404EA">
              <w:rPr>
                <w:color w:val="000000" w:themeColor="text1"/>
                <w:sz w:val="20"/>
                <w:szCs w:val="20"/>
              </w:rPr>
              <w:t>thousand</w:t>
            </w:r>
            <w:r w:rsidR="00937516">
              <w:rPr>
                <w:color w:val="000000" w:themeColor="text1"/>
                <w:sz w:val="20"/>
                <w:szCs w:val="20"/>
              </w:rPr>
              <w:t xml:space="preserve"> and 27 thousand customers)</w:t>
            </w:r>
            <w:r w:rsidR="00FE6E00">
              <w:rPr>
                <w:color w:val="000000" w:themeColor="text1"/>
                <w:sz w:val="20"/>
                <w:szCs w:val="20"/>
              </w:rPr>
              <w:t>.</w:t>
            </w:r>
          </w:p>
          <w:p w14:paraId="2BDA0C1C" w14:textId="77777777" w:rsidR="00F71A5E" w:rsidRDefault="00F71A5E" w:rsidP="00043574">
            <w:pPr>
              <w:pStyle w:val="TableBody"/>
              <w:ind w:left="67"/>
              <w:rPr>
                <w:color w:val="000000" w:themeColor="text1"/>
                <w:sz w:val="20"/>
                <w:szCs w:val="20"/>
              </w:rPr>
            </w:pPr>
          </w:p>
          <w:p w14:paraId="6F3AF456" w14:textId="4FB42B97" w:rsidR="00F71A5E" w:rsidRDefault="00E2458E" w:rsidP="00043574">
            <w:pPr>
              <w:pStyle w:val="TableBody"/>
              <w:ind w:left="67"/>
              <w:rPr>
                <w:color w:val="000000" w:themeColor="text1"/>
                <w:sz w:val="20"/>
                <w:szCs w:val="20"/>
                <w:lang w:val="en-AU"/>
              </w:rPr>
            </w:pPr>
            <w:r w:rsidRPr="5E3F7F5F">
              <w:rPr>
                <w:color w:val="000000" w:themeColor="text1"/>
                <w:sz w:val="20"/>
                <w:szCs w:val="20"/>
                <w:lang w:val="en-AU"/>
              </w:rPr>
              <w:t>W</w:t>
            </w:r>
            <w:r w:rsidR="00F71A5E" w:rsidRPr="5E3F7F5F">
              <w:rPr>
                <w:color w:val="000000" w:themeColor="text1"/>
                <w:sz w:val="20"/>
                <w:szCs w:val="20"/>
                <w:lang w:val="en-AU"/>
              </w:rPr>
              <w:t xml:space="preserve">e have no data to make </w:t>
            </w:r>
            <w:r w:rsidR="00FE6E00" w:rsidRPr="5E3F7F5F">
              <w:rPr>
                <w:color w:val="000000" w:themeColor="text1"/>
                <w:sz w:val="20"/>
                <w:szCs w:val="20"/>
                <w:lang w:val="en-AU"/>
              </w:rPr>
              <w:t xml:space="preserve">similar </w:t>
            </w:r>
            <w:r w:rsidR="00F71A5E" w:rsidRPr="5E3F7F5F">
              <w:rPr>
                <w:color w:val="000000" w:themeColor="text1"/>
                <w:sz w:val="20"/>
                <w:szCs w:val="20"/>
                <w:lang w:val="en-AU"/>
              </w:rPr>
              <w:t>estimates for gas customers</w:t>
            </w:r>
            <w:r w:rsidRPr="5E3F7F5F">
              <w:rPr>
                <w:color w:val="000000" w:themeColor="text1"/>
                <w:sz w:val="20"/>
                <w:szCs w:val="20"/>
                <w:lang w:val="en-AU"/>
              </w:rPr>
              <w:t>. However,</w:t>
            </w:r>
            <w:r w:rsidR="00F71A5E" w:rsidRPr="5E3F7F5F">
              <w:rPr>
                <w:color w:val="000000" w:themeColor="text1"/>
                <w:sz w:val="20"/>
                <w:szCs w:val="20"/>
                <w:lang w:val="en-AU"/>
              </w:rPr>
              <w:t xml:space="preserve"> we expect the overall benefits for gas customers would be </w:t>
            </w:r>
            <w:r w:rsidR="001B3778" w:rsidRPr="5E3F7F5F">
              <w:rPr>
                <w:color w:val="000000" w:themeColor="text1"/>
                <w:sz w:val="20"/>
                <w:szCs w:val="20"/>
                <w:lang w:val="en-AU"/>
              </w:rPr>
              <w:t>lower than for electricity customers. This is because</w:t>
            </w:r>
            <w:r w:rsidR="00EB66B0" w:rsidRPr="5E3F7F5F">
              <w:rPr>
                <w:color w:val="000000" w:themeColor="text1"/>
                <w:sz w:val="20"/>
                <w:szCs w:val="20"/>
                <w:lang w:val="en-AU"/>
              </w:rPr>
              <w:t xml:space="preserve"> </w:t>
            </w:r>
            <w:r w:rsidR="00B07D37" w:rsidRPr="5E3F7F5F">
              <w:rPr>
                <w:color w:val="000000" w:themeColor="text1"/>
                <w:sz w:val="20"/>
                <w:szCs w:val="20"/>
                <w:lang w:val="en-AU"/>
              </w:rPr>
              <w:t>only 73% of Victorian electricity customers also use gas</w:t>
            </w:r>
            <w:r w:rsidR="00EB66B0" w:rsidRPr="5E3F7F5F">
              <w:rPr>
                <w:color w:val="000000" w:themeColor="text1"/>
                <w:sz w:val="20"/>
                <w:szCs w:val="20"/>
                <w:lang w:val="en-AU"/>
              </w:rPr>
              <w:t xml:space="preserve"> (lower overall customer numbers) an</w:t>
            </w:r>
            <w:r w:rsidR="00DA3E22" w:rsidRPr="5E3F7F5F">
              <w:rPr>
                <w:color w:val="000000" w:themeColor="text1"/>
                <w:sz w:val="20"/>
                <w:szCs w:val="20"/>
                <w:lang w:val="en-AU"/>
              </w:rPr>
              <w:t xml:space="preserve">d </w:t>
            </w:r>
            <w:r w:rsidR="00A028D9" w:rsidRPr="5E3F7F5F">
              <w:rPr>
                <w:color w:val="000000" w:themeColor="text1"/>
                <w:sz w:val="20"/>
                <w:szCs w:val="20"/>
                <w:lang w:val="en-AU"/>
              </w:rPr>
              <w:t>due to the</w:t>
            </w:r>
            <w:r w:rsidR="0064426E" w:rsidRPr="5E3F7F5F">
              <w:rPr>
                <w:color w:val="000000" w:themeColor="text1"/>
                <w:sz w:val="20"/>
                <w:szCs w:val="20"/>
                <w:lang w:val="en-AU"/>
              </w:rPr>
              <w:t xml:space="preserve"> </w:t>
            </w:r>
            <w:r w:rsidR="000043CA" w:rsidRPr="5E3F7F5F">
              <w:rPr>
                <w:color w:val="000000" w:themeColor="text1"/>
                <w:sz w:val="20"/>
                <w:szCs w:val="20"/>
                <w:lang w:val="en-AU"/>
              </w:rPr>
              <w:t xml:space="preserve">absence of a regulated standing offer such as the VDO </w:t>
            </w:r>
            <w:r w:rsidR="00035810" w:rsidRPr="5E3F7F5F">
              <w:rPr>
                <w:color w:val="000000" w:themeColor="text1"/>
                <w:sz w:val="20"/>
                <w:szCs w:val="20"/>
                <w:lang w:val="en-AU"/>
              </w:rPr>
              <w:t>that could be used as a baseline to assess gas prices</w:t>
            </w:r>
            <w:r w:rsidR="00A028D9" w:rsidRPr="5E3F7F5F">
              <w:rPr>
                <w:color w:val="000000" w:themeColor="text1"/>
                <w:sz w:val="20"/>
                <w:szCs w:val="20"/>
                <w:lang w:val="en-AU"/>
              </w:rPr>
              <w:t xml:space="preserve"> (so retailers could </w:t>
            </w:r>
            <w:r w:rsidR="008B6C3D" w:rsidRPr="5E3F7F5F">
              <w:rPr>
                <w:color w:val="000000" w:themeColor="text1"/>
                <w:sz w:val="20"/>
                <w:szCs w:val="20"/>
                <w:lang w:val="en-AU"/>
              </w:rPr>
              <w:t xml:space="preserve">define reasonable prices </w:t>
            </w:r>
            <w:r w:rsidR="00F757B1" w:rsidRPr="5E3F7F5F">
              <w:rPr>
                <w:color w:val="000000" w:themeColor="text1"/>
                <w:sz w:val="20"/>
                <w:szCs w:val="20"/>
                <w:lang w:val="en-AU"/>
              </w:rPr>
              <w:t>with</w:t>
            </w:r>
            <w:r w:rsidR="0010745D" w:rsidRPr="5E3F7F5F">
              <w:rPr>
                <w:color w:val="000000" w:themeColor="text1"/>
                <w:sz w:val="20"/>
                <w:szCs w:val="20"/>
                <w:lang w:val="en-AU"/>
              </w:rPr>
              <w:t xml:space="preserve"> a higher margin of uncertainty</w:t>
            </w:r>
            <w:r w:rsidR="004D055F" w:rsidRPr="5E3F7F5F">
              <w:rPr>
                <w:color w:val="000000" w:themeColor="text1"/>
                <w:sz w:val="20"/>
                <w:szCs w:val="20"/>
                <w:lang w:val="en-AU"/>
              </w:rPr>
              <w:t>)</w:t>
            </w:r>
            <w:r w:rsidR="00035810" w:rsidRPr="5E3F7F5F">
              <w:rPr>
                <w:color w:val="000000" w:themeColor="text1"/>
                <w:sz w:val="20"/>
                <w:szCs w:val="20"/>
                <w:lang w:val="en-AU"/>
              </w:rPr>
              <w:t>.</w:t>
            </w:r>
          </w:p>
          <w:p w14:paraId="50B21B71" w14:textId="77777777" w:rsidR="00F71A5E" w:rsidRDefault="00F71A5E" w:rsidP="00043574">
            <w:pPr>
              <w:pStyle w:val="TableBody"/>
              <w:ind w:left="67"/>
              <w:rPr>
                <w:color w:val="000000" w:themeColor="text1"/>
                <w:sz w:val="20"/>
                <w:szCs w:val="20"/>
              </w:rPr>
            </w:pPr>
          </w:p>
          <w:p w14:paraId="24168EEA" w14:textId="4DF92A8E" w:rsidR="007728D7" w:rsidRPr="003A2A04" w:rsidRDefault="0066020C" w:rsidP="00043574">
            <w:pPr>
              <w:pStyle w:val="TableBody"/>
              <w:ind w:left="67"/>
              <w:rPr>
                <w:color w:val="000000"/>
                <w:sz w:val="20"/>
                <w:szCs w:val="20"/>
                <w:lang w:val="en-AU"/>
              </w:rPr>
            </w:pPr>
            <w:r w:rsidRPr="0028758A">
              <w:rPr>
                <w:color w:val="000000" w:themeColor="text1"/>
                <w:sz w:val="20"/>
                <w:szCs w:val="20"/>
              </w:rPr>
              <w:t>T</w:t>
            </w:r>
            <w:r w:rsidR="00DB3D80">
              <w:rPr>
                <w:color w:val="000000" w:themeColor="text1"/>
                <w:sz w:val="20"/>
                <w:szCs w:val="20"/>
              </w:rPr>
              <w:t>he</w:t>
            </w:r>
            <w:r w:rsidR="0001552A" w:rsidRPr="0028758A">
              <w:rPr>
                <w:color w:val="000000" w:themeColor="text1"/>
                <w:sz w:val="20"/>
                <w:szCs w:val="20"/>
                <w:lang w:val="en-AU"/>
              </w:rPr>
              <w:t xml:space="preserve"> estimated customer savings for </w:t>
            </w:r>
            <w:r w:rsidR="00DB3D80">
              <w:rPr>
                <w:color w:val="000000" w:themeColor="text1"/>
                <w:sz w:val="20"/>
                <w:szCs w:val="20"/>
                <w:lang w:val="en-AU"/>
              </w:rPr>
              <w:t xml:space="preserve">this option </w:t>
            </w:r>
            <w:r w:rsidR="005677A2">
              <w:rPr>
                <w:color w:val="000000" w:themeColor="text1"/>
                <w:sz w:val="20"/>
                <w:szCs w:val="20"/>
                <w:lang w:val="en-AU"/>
              </w:rPr>
              <w:t xml:space="preserve">are </w:t>
            </w:r>
            <w:r w:rsidR="00DB3D80">
              <w:rPr>
                <w:color w:val="000000" w:themeColor="text1"/>
                <w:sz w:val="20"/>
                <w:szCs w:val="20"/>
                <w:lang w:val="en-AU"/>
              </w:rPr>
              <w:t xml:space="preserve">significantly lower than </w:t>
            </w:r>
            <w:r w:rsidR="0001552A" w:rsidRPr="0028758A">
              <w:rPr>
                <w:color w:val="000000" w:themeColor="text1"/>
                <w:sz w:val="20"/>
                <w:szCs w:val="20"/>
                <w:lang w:val="en-AU"/>
              </w:rPr>
              <w:t>options D.2 and D.3.</w:t>
            </w:r>
          </w:p>
        </w:tc>
        <w:tc>
          <w:tcPr>
            <w:tcW w:w="1205" w:type="dxa"/>
          </w:tcPr>
          <w:p w14:paraId="336DF9EE" w14:textId="68299870" w:rsidR="00775C2F" w:rsidRPr="003A2A04" w:rsidRDefault="004E60BB" w:rsidP="00E46B94">
            <w:pPr>
              <w:pStyle w:val="TableBody"/>
              <w:jc w:val="center"/>
              <w:rPr>
                <w:color w:val="000000"/>
                <w:sz w:val="20"/>
                <w:szCs w:val="20"/>
              </w:rPr>
            </w:pPr>
            <w:r>
              <w:rPr>
                <w:color w:val="000000"/>
                <w:sz w:val="20"/>
                <w:szCs w:val="20"/>
              </w:rPr>
              <w:t>2</w:t>
            </w:r>
          </w:p>
        </w:tc>
        <w:tc>
          <w:tcPr>
            <w:tcW w:w="991" w:type="dxa"/>
            <w:hideMark/>
          </w:tcPr>
          <w:p w14:paraId="107561C1" w14:textId="1EC9E5FE" w:rsidR="007728D7" w:rsidRPr="003A2A04" w:rsidRDefault="004E60BB" w:rsidP="00E46B94">
            <w:pPr>
              <w:pStyle w:val="TableBody"/>
              <w:jc w:val="center"/>
              <w:rPr>
                <w:color w:val="000000"/>
                <w:sz w:val="20"/>
                <w:szCs w:val="20"/>
              </w:rPr>
            </w:pPr>
            <w:r>
              <w:rPr>
                <w:color w:val="000000"/>
                <w:sz w:val="20"/>
                <w:szCs w:val="20"/>
              </w:rPr>
              <w:t>1</w:t>
            </w:r>
            <w:r w:rsidR="007728D7" w:rsidRPr="003A2A04">
              <w:rPr>
                <w:color w:val="000000"/>
                <w:sz w:val="20"/>
                <w:szCs w:val="20"/>
              </w:rPr>
              <w:t>.0</w:t>
            </w:r>
          </w:p>
        </w:tc>
      </w:tr>
      <w:tr w:rsidR="003A2A04" w:rsidRPr="003A2A04" w14:paraId="34510130" w14:textId="77777777" w:rsidTr="00AA1E65">
        <w:trPr>
          <w:cnfStyle w:val="000000010000" w:firstRow="0" w:lastRow="0" w:firstColumn="0" w:lastColumn="0" w:oddVBand="0" w:evenVBand="0" w:oddHBand="0" w:evenHBand="1" w:firstRowFirstColumn="0" w:firstRowLastColumn="0" w:lastRowFirstColumn="0" w:lastRowLastColumn="0"/>
        </w:trPr>
        <w:tc>
          <w:tcPr>
            <w:tcW w:w="850" w:type="dxa"/>
            <w:hideMark/>
          </w:tcPr>
          <w:p w14:paraId="1CF843A1" w14:textId="77777777" w:rsidR="007728D7" w:rsidRPr="003A2A04" w:rsidRDefault="007728D7" w:rsidP="00E46B94">
            <w:pPr>
              <w:pStyle w:val="TableBody"/>
              <w:rPr>
                <w:color w:val="000000"/>
                <w:sz w:val="20"/>
                <w:szCs w:val="20"/>
              </w:rPr>
            </w:pPr>
            <w:r w:rsidRPr="003A2A04">
              <w:rPr>
                <w:color w:val="000000"/>
                <w:sz w:val="20"/>
                <w:szCs w:val="20"/>
              </w:rPr>
              <w:t>D.2</w:t>
            </w:r>
          </w:p>
        </w:tc>
        <w:tc>
          <w:tcPr>
            <w:tcW w:w="1985" w:type="dxa"/>
            <w:hideMark/>
          </w:tcPr>
          <w:p w14:paraId="3ACB58E9" w14:textId="77777777" w:rsidR="007728D7" w:rsidRDefault="007728D7" w:rsidP="00E46B94">
            <w:pPr>
              <w:pStyle w:val="TableBody"/>
              <w:rPr>
                <w:color w:val="000000"/>
                <w:sz w:val="20"/>
                <w:szCs w:val="20"/>
              </w:rPr>
            </w:pPr>
            <w:r w:rsidRPr="003A2A04">
              <w:rPr>
                <w:color w:val="000000"/>
                <w:sz w:val="20"/>
                <w:szCs w:val="20"/>
              </w:rPr>
              <w:t>Effectiveness</w:t>
            </w:r>
          </w:p>
          <w:p w14:paraId="46CD9965" w14:textId="77777777" w:rsidR="000A0E25" w:rsidRDefault="000A0E25" w:rsidP="00E46B94">
            <w:pPr>
              <w:spacing w:line="240" w:lineRule="auto"/>
              <w:rPr>
                <w:color w:val="000000"/>
                <w:sz w:val="20"/>
                <w:szCs w:val="20"/>
              </w:rPr>
            </w:pPr>
            <w:r>
              <w:rPr>
                <w:color w:val="000000"/>
                <w:sz w:val="20"/>
                <w:szCs w:val="20"/>
              </w:rPr>
              <w:t>Reform objectives:</w:t>
            </w:r>
          </w:p>
          <w:p w14:paraId="5882A0BD" w14:textId="77777777" w:rsidR="000A0E25" w:rsidRPr="000A0E25" w:rsidRDefault="000A0E25" w:rsidP="00E46B94">
            <w:pPr>
              <w:pStyle w:val="ListParagraph"/>
              <w:numPr>
                <w:ilvl w:val="0"/>
                <w:numId w:val="27"/>
              </w:numPr>
              <w:spacing w:line="240" w:lineRule="auto"/>
              <w:ind w:left="201" w:hanging="201"/>
              <w:rPr>
                <w:rFonts w:ascii="Times New Roman" w:eastAsia="Times New Roman" w:hAnsi="Times New Roman" w:cs="Times New Roman"/>
                <w:color w:val="000000"/>
                <w:sz w:val="20"/>
                <w:szCs w:val="20"/>
              </w:rPr>
            </w:pPr>
            <w:r w:rsidRPr="000A0E25">
              <w:rPr>
                <w:color w:val="000000"/>
                <w:sz w:val="20"/>
                <w:szCs w:val="20"/>
              </w:rPr>
              <w:t>help households pay less for energy</w:t>
            </w:r>
            <w:r>
              <w:rPr>
                <w:color w:val="000000"/>
                <w:sz w:val="20"/>
                <w:szCs w:val="20"/>
              </w:rPr>
              <w:t>.</w:t>
            </w:r>
          </w:p>
          <w:p w14:paraId="7B4743B0" w14:textId="77777777" w:rsidR="000A0E25" w:rsidRPr="003A2A04" w:rsidRDefault="000A0E25" w:rsidP="00E46B94">
            <w:pPr>
              <w:pStyle w:val="TableBody"/>
              <w:rPr>
                <w:color w:val="000000"/>
                <w:sz w:val="20"/>
                <w:szCs w:val="20"/>
              </w:rPr>
            </w:pPr>
          </w:p>
        </w:tc>
        <w:tc>
          <w:tcPr>
            <w:tcW w:w="4607" w:type="dxa"/>
            <w:hideMark/>
          </w:tcPr>
          <w:p w14:paraId="2FB3BE2D" w14:textId="1E751525" w:rsidR="009D656C" w:rsidRPr="00CD5218" w:rsidRDefault="007728D7" w:rsidP="00E46B94">
            <w:pPr>
              <w:pStyle w:val="TableBody"/>
              <w:rPr>
                <w:color w:val="000000"/>
                <w:sz w:val="20"/>
                <w:szCs w:val="20"/>
                <w:lang w:val="en-AU"/>
              </w:rPr>
            </w:pPr>
            <w:r w:rsidRPr="00CD5218">
              <w:rPr>
                <w:color w:val="000000" w:themeColor="text1"/>
                <w:sz w:val="20"/>
                <w:szCs w:val="20"/>
                <w:lang w:val="en-AU"/>
              </w:rPr>
              <w:t>This option would provide greater clarity for energy retailers</w:t>
            </w:r>
            <w:r w:rsidR="00934B1E" w:rsidRPr="00CD5218">
              <w:rPr>
                <w:color w:val="000000" w:themeColor="text1"/>
                <w:sz w:val="20"/>
                <w:szCs w:val="20"/>
                <w:lang w:val="en-AU"/>
              </w:rPr>
              <w:t xml:space="preserve">, </w:t>
            </w:r>
            <w:r w:rsidR="007D66EF" w:rsidRPr="00CD5218">
              <w:rPr>
                <w:color w:val="000000" w:themeColor="text1"/>
                <w:sz w:val="20"/>
                <w:szCs w:val="20"/>
                <w:lang w:val="en-AU"/>
              </w:rPr>
              <w:t xml:space="preserve">with less </w:t>
            </w:r>
            <w:r w:rsidR="00F42213" w:rsidRPr="00CD5218">
              <w:rPr>
                <w:color w:val="000000" w:themeColor="text1"/>
                <w:sz w:val="20"/>
                <w:szCs w:val="20"/>
                <w:lang w:val="en-AU"/>
              </w:rPr>
              <w:t xml:space="preserve">difference </w:t>
            </w:r>
            <w:r w:rsidR="003A622D" w:rsidRPr="00CD5218">
              <w:rPr>
                <w:color w:val="000000" w:themeColor="text1"/>
                <w:sz w:val="20"/>
                <w:szCs w:val="20"/>
                <w:lang w:val="en-AU"/>
              </w:rPr>
              <w:t>between retailers</w:t>
            </w:r>
            <w:r w:rsidR="00F42213" w:rsidRPr="00CD5218">
              <w:rPr>
                <w:color w:val="000000" w:themeColor="text1"/>
                <w:sz w:val="20"/>
                <w:szCs w:val="20"/>
                <w:lang w:val="en-AU"/>
              </w:rPr>
              <w:t xml:space="preserve">’ interpretations. </w:t>
            </w:r>
            <w:r w:rsidR="00461DFB">
              <w:rPr>
                <w:color w:val="000000" w:themeColor="text1"/>
                <w:sz w:val="20"/>
                <w:szCs w:val="20"/>
                <w:lang w:val="en-AU"/>
              </w:rPr>
              <w:t>It would establish a range of factors retailers must consider to determine a ‘reasonable price’.</w:t>
            </w:r>
          </w:p>
          <w:p w14:paraId="0AE70882" w14:textId="77777777" w:rsidR="00A40721" w:rsidRPr="00CD5218" w:rsidRDefault="00A40721" w:rsidP="00E46B94">
            <w:pPr>
              <w:pStyle w:val="TableBody"/>
              <w:rPr>
                <w:color w:val="000000"/>
                <w:sz w:val="20"/>
                <w:szCs w:val="20"/>
              </w:rPr>
            </w:pPr>
          </w:p>
          <w:p w14:paraId="1A308016" w14:textId="176E7FF3" w:rsidR="007728D7" w:rsidRDefault="007728D7" w:rsidP="00E46B94">
            <w:pPr>
              <w:pStyle w:val="TableBody"/>
              <w:rPr>
                <w:color w:val="000000" w:themeColor="text1"/>
                <w:sz w:val="20"/>
                <w:szCs w:val="20"/>
                <w:lang w:val="en-AU"/>
              </w:rPr>
            </w:pPr>
            <w:r w:rsidRPr="00CD5218">
              <w:rPr>
                <w:color w:val="000000" w:themeColor="text1"/>
                <w:sz w:val="20"/>
                <w:szCs w:val="20"/>
                <w:lang w:val="en-AU"/>
              </w:rPr>
              <w:t xml:space="preserve">This option </w:t>
            </w:r>
            <w:r w:rsidR="007875EF">
              <w:rPr>
                <w:color w:val="000000" w:themeColor="text1"/>
                <w:sz w:val="20"/>
                <w:szCs w:val="20"/>
                <w:lang w:val="en-AU"/>
              </w:rPr>
              <w:t xml:space="preserve">is estimated to </w:t>
            </w:r>
            <w:r w:rsidRPr="00CD5218">
              <w:rPr>
                <w:color w:val="000000" w:themeColor="text1"/>
                <w:sz w:val="20"/>
                <w:szCs w:val="20"/>
                <w:lang w:val="en-AU"/>
              </w:rPr>
              <w:t xml:space="preserve">deliver </w:t>
            </w:r>
            <w:r w:rsidR="007875EF">
              <w:rPr>
                <w:color w:val="000000" w:themeColor="text1"/>
                <w:sz w:val="20"/>
                <w:szCs w:val="20"/>
                <w:lang w:val="en-AU"/>
              </w:rPr>
              <w:t xml:space="preserve">significantly </w:t>
            </w:r>
            <w:r w:rsidR="00FB25E7" w:rsidRPr="00CD5218">
              <w:rPr>
                <w:color w:val="000000" w:themeColor="text1"/>
                <w:sz w:val="20"/>
                <w:szCs w:val="20"/>
                <w:lang w:val="en-AU"/>
              </w:rPr>
              <w:t xml:space="preserve">more </w:t>
            </w:r>
            <w:r w:rsidRPr="00CD5218">
              <w:rPr>
                <w:color w:val="000000" w:themeColor="text1"/>
                <w:sz w:val="20"/>
                <w:szCs w:val="20"/>
                <w:lang w:val="en-AU"/>
              </w:rPr>
              <w:t xml:space="preserve">savings to customers </w:t>
            </w:r>
            <w:r w:rsidR="007875EF">
              <w:rPr>
                <w:color w:val="000000" w:themeColor="text1"/>
                <w:sz w:val="20"/>
                <w:szCs w:val="20"/>
                <w:lang w:val="en-AU"/>
              </w:rPr>
              <w:t xml:space="preserve">compared to Option </w:t>
            </w:r>
            <w:r w:rsidR="007875EF">
              <w:rPr>
                <w:color w:val="000000" w:themeColor="text1"/>
                <w:sz w:val="20"/>
                <w:szCs w:val="20"/>
                <w:lang w:val="en-AU"/>
              </w:rPr>
              <w:lastRenderedPageBreak/>
              <w:t>D.1</w:t>
            </w:r>
            <w:r w:rsidRPr="00CD5218">
              <w:rPr>
                <w:color w:val="000000" w:themeColor="text1"/>
                <w:sz w:val="20"/>
                <w:szCs w:val="20"/>
                <w:lang w:val="en-AU"/>
              </w:rPr>
              <w:t xml:space="preserve"> </w:t>
            </w:r>
            <w:r w:rsidR="00575F5A" w:rsidRPr="00CD5218">
              <w:rPr>
                <w:color w:val="000000" w:themeColor="text1"/>
                <w:sz w:val="20"/>
                <w:szCs w:val="20"/>
                <w:lang w:val="en-AU"/>
              </w:rPr>
              <w:t>and will be more effective in lowering household energy costs</w:t>
            </w:r>
            <w:r w:rsidRPr="00CD5218">
              <w:rPr>
                <w:color w:val="000000" w:themeColor="text1"/>
                <w:sz w:val="20"/>
                <w:szCs w:val="20"/>
                <w:lang w:val="en-AU"/>
              </w:rPr>
              <w:t>.</w:t>
            </w:r>
            <w:r w:rsidR="00FB25E7" w:rsidRPr="00CD5218">
              <w:rPr>
                <w:color w:val="000000" w:themeColor="text1"/>
                <w:sz w:val="20"/>
                <w:szCs w:val="20"/>
                <w:lang w:val="en-AU"/>
              </w:rPr>
              <w:t xml:space="preserve"> </w:t>
            </w:r>
            <w:r w:rsidR="00301DA3">
              <w:rPr>
                <w:color w:val="000000" w:themeColor="text1"/>
                <w:sz w:val="20"/>
                <w:szCs w:val="20"/>
                <w:lang w:val="en-AU"/>
              </w:rPr>
              <w:t>R</w:t>
            </w:r>
            <w:r w:rsidR="00437C75" w:rsidRPr="00CD5218">
              <w:rPr>
                <w:color w:val="000000" w:themeColor="text1"/>
                <w:sz w:val="20"/>
                <w:szCs w:val="20"/>
                <w:lang w:val="en-AU"/>
              </w:rPr>
              <w:t xml:space="preserve">etailers will have </w:t>
            </w:r>
            <w:r w:rsidR="009A27F9" w:rsidRPr="00CD5218">
              <w:rPr>
                <w:color w:val="000000" w:themeColor="text1"/>
                <w:sz w:val="20"/>
                <w:szCs w:val="20"/>
                <w:lang w:val="en-AU"/>
              </w:rPr>
              <w:t>some</w:t>
            </w:r>
            <w:r w:rsidR="00437C75" w:rsidRPr="00CD5218">
              <w:rPr>
                <w:color w:val="000000" w:themeColor="text1"/>
                <w:sz w:val="20"/>
                <w:szCs w:val="20"/>
                <w:lang w:val="en-AU"/>
              </w:rPr>
              <w:t xml:space="preserve"> flexibility to determine whether a customer should be switched to a price below the VDO</w:t>
            </w:r>
            <w:r w:rsidR="00CD5218" w:rsidRPr="00CD5218">
              <w:rPr>
                <w:color w:val="000000" w:themeColor="text1"/>
                <w:sz w:val="20"/>
                <w:szCs w:val="20"/>
                <w:lang w:val="en-AU"/>
              </w:rPr>
              <w:t xml:space="preserve"> (for example, some existing contracts may have non-monetary benefits).</w:t>
            </w:r>
          </w:p>
          <w:p w14:paraId="0175FB39" w14:textId="77777777" w:rsidR="00301DA3" w:rsidRDefault="00301DA3" w:rsidP="00E46B94">
            <w:pPr>
              <w:pStyle w:val="TableBody"/>
              <w:rPr>
                <w:color w:val="000000" w:themeColor="text1"/>
                <w:sz w:val="20"/>
                <w:szCs w:val="20"/>
                <w:lang w:val="en-AU"/>
              </w:rPr>
            </w:pPr>
          </w:p>
          <w:p w14:paraId="40CB7B6B" w14:textId="6AE2563C" w:rsidR="00123596" w:rsidRPr="00123596" w:rsidRDefault="00123596" w:rsidP="00123596">
            <w:pPr>
              <w:pStyle w:val="TableBody"/>
              <w:rPr>
                <w:color w:val="000000" w:themeColor="text1"/>
                <w:sz w:val="20"/>
                <w:szCs w:val="20"/>
                <w:lang w:val="en-AU"/>
              </w:rPr>
            </w:pPr>
            <w:r w:rsidRPr="00123596">
              <w:rPr>
                <w:color w:val="000000" w:themeColor="text1"/>
                <w:sz w:val="20"/>
                <w:szCs w:val="20"/>
              </w:rPr>
              <w:t xml:space="preserve">This range assumes that some retailers may determine this as being between a range of </w:t>
            </w:r>
            <w:r>
              <w:rPr>
                <w:color w:val="000000" w:themeColor="text1"/>
                <w:sz w:val="20"/>
                <w:szCs w:val="20"/>
              </w:rPr>
              <w:t xml:space="preserve">10% and </w:t>
            </w:r>
            <w:r w:rsidRPr="00123596">
              <w:rPr>
                <w:color w:val="000000" w:themeColor="text1"/>
                <w:sz w:val="20"/>
                <w:szCs w:val="20"/>
              </w:rPr>
              <w:t xml:space="preserve">25% </w:t>
            </w:r>
            <w:r>
              <w:rPr>
                <w:color w:val="000000" w:themeColor="text1"/>
                <w:sz w:val="20"/>
                <w:szCs w:val="20"/>
              </w:rPr>
              <w:t xml:space="preserve">(a conservative assumption) </w:t>
            </w:r>
            <w:r w:rsidRPr="00123596">
              <w:rPr>
                <w:color w:val="000000" w:themeColor="text1"/>
                <w:sz w:val="20"/>
                <w:szCs w:val="20"/>
              </w:rPr>
              <w:t>above the VDO</w:t>
            </w:r>
            <w:r w:rsidR="005D5073">
              <w:rPr>
                <w:color w:val="000000" w:themeColor="text1"/>
                <w:sz w:val="20"/>
                <w:szCs w:val="20"/>
              </w:rPr>
              <w:t>.</w:t>
            </w:r>
            <w:r w:rsidR="00802ECE">
              <w:rPr>
                <w:color w:val="000000" w:themeColor="text1"/>
                <w:sz w:val="20"/>
                <w:szCs w:val="20"/>
              </w:rPr>
              <w:t xml:space="preserve"> </w:t>
            </w:r>
            <w:r w:rsidR="008C5108" w:rsidRPr="008C5108">
              <w:rPr>
                <w:color w:val="000000" w:themeColor="text1"/>
                <w:sz w:val="20"/>
                <w:szCs w:val="20"/>
              </w:rPr>
              <w:t xml:space="preserve">A range has been considered to assess potential impacts as it is uncertain how retailers would respond to this option.   </w:t>
            </w:r>
          </w:p>
          <w:p w14:paraId="1733D6E8" w14:textId="77777777" w:rsidR="00123596" w:rsidRDefault="00123596" w:rsidP="00E46B94">
            <w:pPr>
              <w:pStyle w:val="TableBody"/>
              <w:rPr>
                <w:color w:val="000000" w:themeColor="text1"/>
                <w:sz w:val="20"/>
                <w:szCs w:val="20"/>
                <w:lang w:val="en-AU"/>
              </w:rPr>
            </w:pPr>
          </w:p>
          <w:p w14:paraId="56C769E3" w14:textId="6B404553" w:rsidR="007208A3" w:rsidRDefault="007208A3" w:rsidP="003637D4">
            <w:pPr>
              <w:pStyle w:val="TableBody"/>
              <w:rPr>
                <w:color w:val="000000" w:themeColor="text1"/>
                <w:sz w:val="20"/>
                <w:szCs w:val="20"/>
              </w:rPr>
            </w:pPr>
            <w:r>
              <w:rPr>
                <w:color w:val="000000" w:themeColor="text1"/>
                <w:sz w:val="20"/>
                <w:szCs w:val="20"/>
              </w:rPr>
              <w:t xml:space="preserve">In summary, the estimated overall benefits for electricity customers from this option range </w:t>
            </w:r>
            <w:r w:rsidR="006C44DF">
              <w:rPr>
                <w:color w:val="000000" w:themeColor="text1"/>
                <w:sz w:val="20"/>
                <w:szCs w:val="20"/>
              </w:rPr>
              <w:t xml:space="preserve">from around </w:t>
            </w:r>
            <w:r>
              <w:rPr>
                <w:color w:val="000000" w:themeColor="text1"/>
                <w:sz w:val="20"/>
                <w:szCs w:val="20"/>
              </w:rPr>
              <w:t>$</w:t>
            </w:r>
            <w:r w:rsidR="0082799E">
              <w:rPr>
                <w:color w:val="000000" w:themeColor="text1"/>
                <w:sz w:val="20"/>
                <w:szCs w:val="20"/>
              </w:rPr>
              <w:t>10.1</w:t>
            </w:r>
            <w:r>
              <w:rPr>
                <w:color w:val="000000" w:themeColor="text1"/>
                <w:sz w:val="20"/>
                <w:szCs w:val="20"/>
              </w:rPr>
              <w:t>m to $</w:t>
            </w:r>
            <w:r w:rsidR="0082799E">
              <w:rPr>
                <w:color w:val="000000" w:themeColor="text1"/>
                <w:sz w:val="20"/>
                <w:szCs w:val="20"/>
              </w:rPr>
              <w:t>12.2m</w:t>
            </w:r>
            <w:r w:rsidR="00D2692E">
              <w:rPr>
                <w:color w:val="000000" w:themeColor="text1"/>
                <w:sz w:val="20"/>
                <w:szCs w:val="20"/>
              </w:rPr>
              <w:t xml:space="preserve"> per year</w:t>
            </w:r>
            <w:r w:rsidR="00937516">
              <w:rPr>
                <w:color w:val="000000" w:themeColor="text1"/>
                <w:sz w:val="20"/>
                <w:szCs w:val="20"/>
              </w:rPr>
              <w:t xml:space="preserve"> (benefit</w:t>
            </w:r>
            <w:r w:rsidR="00ED2500">
              <w:rPr>
                <w:color w:val="000000" w:themeColor="text1"/>
                <w:sz w:val="20"/>
                <w:szCs w:val="20"/>
              </w:rPr>
              <w:t>t</w:t>
            </w:r>
            <w:r w:rsidR="00937516">
              <w:rPr>
                <w:color w:val="000000" w:themeColor="text1"/>
                <w:sz w:val="20"/>
                <w:szCs w:val="20"/>
              </w:rPr>
              <w:t>ing between 27 and 53 thousand customers)</w:t>
            </w:r>
            <w:r>
              <w:rPr>
                <w:color w:val="000000" w:themeColor="text1"/>
                <w:sz w:val="20"/>
                <w:szCs w:val="20"/>
              </w:rPr>
              <w:t>.</w:t>
            </w:r>
          </w:p>
          <w:p w14:paraId="5A3769FE" w14:textId="77777777" w:rsidR="004B1900" w:rsidRDefault="004B1900" w:rsidP="003637D4">
            <w:pPr>
              <w:pStyle w:val="TableBody"/>
              <w:rPr>
                <w:color w:val="000000" w:themeColor="text1"/>
                <w:sz w:val="20"/>
                <w:szCs w:val="20"/>
              </w:rPr>
            </w:pPr>
          </w:p>
          <w:p w14:paraId="22D6803D" w14:textId="1CBFEB8C" w:rsidR="004B1900" w:rsidRDefault="004B1900" w:rsidP="003637D4">
            <w:pPr>
              <w:pStyle w:val="TableBody"/>
              <w:rPr>
                <w:color w:val="000000" w:themeColor="text1"/>
                <w:sz w:val="20"/>
                <w:szCs w:val="20"/>
                <w:lang w:val="en-AU"/>
              </w:rPr>
            </w:pPr>
            <w:r w:rsidRPr="5E3F7F5F">
              <w:rPr>
                <w:color w:val="000000" w:themeColor="text1"/>
                <w:sz w:val="20"/>
                <w:szCs w:val="20"/>
                <w:lang w:val="en-AU"/>
              </w:rPr>
              <w:t xml:space="preserve">The higher end estimate </w:t>
            </w:r>
            <w:r w:rsidR="00856506" w:rsidRPr="5E3F7F5F">
              <w:rPr>
                <w:color w:val="000000" w:themeColor="text1"/>
                <w:sz w:val="20"/>
                <w:szCs w:val="20"/>
                <w:lang w:val="en-AU"/>
              </w:rPr>
              <w:t>is similar to the impact expected for option D.3</w:t>
            </w:r>
            <w:r w:rsidR="00176BCE" w:rsidRPr="5E3F7F5F">
              <w:rPr>
                <w:color w:val="000000" w:themeColor="text1"/>
                <w:sz w:val="20"/>
                <w:szCs w:val="20"/>
                <w:lang w:val="en-AU"/>
              </w:rPr>
              <w:t xml:space="preserve">, but </w:t>
            </w:r>
            <w:r w:rsidR="00856506" w:rsidRPr="5E3F7F5F">
              <w:rPr>
                <w:color w:val="000000" w:themeColor="text1"/>
                <w:sz w:val="20"/>
                <w:szCs w:val="20"/>
                <w:lang w:val="en-AU"/>
              </w:rPr>
              <w:t>is less likely to materiali</w:t>
            </w:r>
            <w:r w:rsidR="00176BCE" w:rsidRPr="5E3F7F5F">
              <w:rPr>
                <w:color w:val="000000" w:themeColor="text1"/>
                <w:sz w:val="20"/>
                <w:szCs w:val="20"/>
                <w:lang w:val="en-AU"/>
              </w:rPr>
              <w:t>s</w:t>
            </w:r>
            <w:r w:rsidR="00856506" w:rsidRPr="5E3F7F5F">
              <w:rPr>
                <w:color w:val="000000" w:themeColor="text1"/>
                <w:sz w:val="20"/>
                <w:szCs w:val="20"/>
                <w:lang w:val="en-AU"/>
              </w:rPr>
              <w:t>e under this option</w:t>
            </w:r>
            <w:r w:rsidR="007B093F" w:rsidRPr="5E3F7F5F">
              <w:rPr>
                <w:color w:val="000000" w:themeColor="text1"/>
                <w:sz w:val="20"/>
                <w:szCs w:val="20"/>
                <w:lang w:val="en-AU"/>
              </w:rPr>
              <w:t xml:space="preserve"> given the flexibility retailers will have to keep some customers paying</w:t>
            </w:r>
            <w:r w:rsidR="003A4875" w:rsidRPr="5E3F7F5F">
              <w:rPr>
                <w:color w:val="000000" w:themeColor="text1"/>
                <w:sz w:val="20"/>
                <w:szCs w:val="20"/>
                <w:lang w:val="en-AU"/>
              </w:rPr>
              <w:t xml:space="preserve"> prices</w:t>
            </w:r>
            <w:r w:rsidR="007B093F" w:rsidRPr="5E3F7F5F">
              <w:rPr>
                <w:color w:val="000000" w:themeColor="text1"/>
                <w:sz w:val="20"/>
                <w:szCs w:val="20"/>
                <w:lang w:val="en-AU"/>
              </w:rPr>
              <w:t xml:space="preserve"> above the VDO</w:t>
            </w:r>
            <w:r w:rsidR="003A4875" w:rsidRPr="5E3F7F5F">
              <w:rPr>
                <w:color w:val="000000" w:themeColor="text1"/>
                <w:sz w:val="20"/>
                <w:szCs w:val="20"/>
                <w:lang w:val="en-AU"/>
              </w:rPr>
              <w:t>.</w:t>
            </w:r>
          </w:p>
          <w:p w14:paraId="3628473A" w14:textId="77777777" w:rsidR="007208A3" w:rsidRDefault="007208A3" w:rsidP="00E46B94">
            <w:pPr>
              <w:pStyle w:val="TableBody"/>
              <w:rPr>
                <w:color w:val="000000" w:themeColor="text1"/>
                <w:sz w:val="20"/>
                <w:szCs w:val="20"/>
                <w:lang w:val="en-AU"/>
              </w:rPr>
            </w:pPr>
          </w:p>
          <w:p w14:paraId="5E812936" w14:textId="6EA9387E" w:rsidR="007208A3" w:rsidRDefault="00381EA0" w:rsidP="00E46B94">
            <w:pPr>
              <w:pStyle w:val="TableBody"/>
              <w:rPr>
                <w:color w:val="000000" w:themeColor="text1"/>
                <w:sz w:val="20"/>
                <w:szCs w:val="20"/>
              </w:rPr>
            </w:pPr>
            <w:r>
              <w:rPr>
                <w:color w:val="000000" w:themeColor="text1"/>
                <w:sz w:val="20"/>
                <w:szCs w:val="20"/>
              </w:rPr>
              <w:t>We have no data to make similar estimates for gas customers. However, we expect the overall benefits for gas customers would be lower than for electricity customers (for the same reasons explained in Option D.1).</w:t>
            </w:r>
          </w:p>
          <w:p w14:paraId="2354C5EB" w14:textId="77777777" w:rsidR="00227DB2" w:rsidRDefault="00227DB2" w:rsidP="00E46B94">
            <w:pPr>
              <w:pStyle w:val="TableBody"/>
              <w:rPr>
                <w:color w:val="000000" w:themeColor="text1"/>
                <w:sz w:val="20"/>
                <w:szCs w:val="20"/>
                <w:lang w:val="en-AU"/>
              </w:rPr>
            </w:pPr>
          </w:p>
          <w:p w14:paraId="583ADB21" w14:textId="3C0B02A0" w:rsidR="007728D7" w:rsidRPr="00A22EE0" w:rsidRDefault="003C6A10" w:rsidP="00DB3D80">
            <w:pPr>
              <w:pStyle w:val="TableBody"/>
              <w:rPr>
                <w:color w:val="000000"/>
                <w:sz w:val="20"/>
                <w:szCs w:val="20"/>
                <w:highlight w:val="yellow"/>
                <w:lang w:val="en-AU"/>
              </w:rPr>
            </w:pPr>
            <w:r w:rsidRPr="0028758A">
              <w:rPr>
                <w:color w:val="000000" w:themeColor="text1"/>
                <w:sz w:val="20"/>
                <w:szCs w:val="20"/>
              </w:rPr>
              <w:t>T</w:t>
            </w:r>
            <w:r>
              <w:rPr>
                <w:color w:val="000000" w:themeColor="text1"/>
                <w:sz w:val="20"/>
                <w:szCs w:val="20"/>
              </w:rPr>
              <w:t>he</w:t>
            </w:r>
            <w:r w:rsidRPr="0028758A">
              <w:rPr>
                <w:color w:val="000000" w:themeColor="text1"/>
                <w:sz w:val="20"/>
                <w:szCs w:val="20"/>
                <w:lang w:val="en-AU"/>
              </w:rPr>
              <w:t xml:space="preserve"> estimated customer savings for </w:t>
            </w:r>
            <w:r>
              <w:rPr>
                <w:color w:val="000000" w:themeColor="text1"/>
                <w:sz w:val="20"/>
                <w:szCs w:val="20"/>
                <w:lang w:val="en-AU"/>
              </w:rPr>
              <w:t xml:space="preserve">this option </w:t>
            </w:r>
            <w:r w:rsidR="00EB132B">
              <w:rPr>
                <w:color w:val="000000" w:themeColor="text1"/>
                <w:sz w:val="20"/>
                <w:szCs w:val="20"/>
                <w:lang w:val="en-AU"/>
              </w:rPr>
              <w:t>are</w:t>
            </w:r>
            <w:r>
              <w:rPr>
                <w:color w:val="000000" w:themeColor="text1"/>
                <w:sz w:val="20"/>
                <w:szCs w:val="20"/>
                <w:lang w:val="en-AU"/>
              </w:rPr>
              <w:t xml:space="preserve"> significantly higher than </w:t>
            </w:r>
            <w:r w:rsidR="007A3C80">
              <w:rPr>
                <w:color w:val="000000" w:themeColor="text1"/>
                <w:sz w:val="20"/>
                <w:szCs w:val="20"/>
                <w:lang w:val="en-AU"/>
              </w:rPr>
              <w:t>O</w:t>
            </w:r>
            <w:r>
              <w:rPr>
                <w:color w:val="000000" w:themeColor="text1"/>
                <w:sz w:val="20"/>
                <w:szCs w:val="20"/>
                <w:lang w:val="en-AU"/>
              </w:rPr>
              <w:t xml:space="preserve">ption D.1, but lower than </w:t>
            </w:r>
            <w:r w:rsidR="007A3C80">
              <w:rPr>
                <w:color w:val="000000" w:themeColor="text1"/>
                <w:sz w:val="20"/>
                <w:szCs w:val="20"/>
                <w:lang w:val="en-AU"/>
              </w:rPr>
              <w:t>O</w:t>
            </w:r>
            <w:r w:rsidRPr="0028758A">
              <w:rPr>
                <w:color w:val="000000" w:themeColor="text1"/>
                <w:sz w:val="20"/>
                <w:szCs w:val="20"/>
                <w:lang w:val="en-AU"/>
              </w:rPr>
              <w:t>ption</w:t>
            </w:r>
            <w:r>
              <w:rPr>
                <w:color w:val="000000" w:themeColor="text1"/>
                <w:sz w:val="20"/>
                <w:szCs w:val="20"/>
                <w:lang w:val="en-AU"/>
              </w:rPr>
              <w:t xml:space="preserve"> </w:t>
            </w:r>
            <w:r w:rsidRPr="0028758A">
              <w:rPr>
                <w:color w:val="000000" w:themeColor="text1"/>
                <w:sz w:val="20"/>
                <w:szCs w:val="20"/>
                <w:lang w:val="en-AU"/>
              </w:rPr>
              <w:t>D.3</w:t>
            </w:r>
            <w:r>
              <w:rPr>
                <w:color w:val="000000" w:themeColor="text1"/>
                <w:sz w:val="20"/>
                <w:szCs w:val="20"/>
                <w:lang w:val="en-AU"/>
              </w:rPr>
              <w:t>.</w:t>
            </w:r>
          </w:p>
        </w:tc>
        <w:tc>
          <w:tcPr>
            <w:tcW w:w="1205" w:type="dxa"/>
          </w:tcPr>
          <w:p w14:paraId="2B3B7048" w14:textId="0D707671" w:rsidR="00775C2F" w:rsidRPr="003A2A04" w:rsidRDefault="00985F18" w:rsidP="00E46B94">
            <w:pPr>
              <w:pStyle w:val="TableBody"/>
              <w:jc w:val="center"/>
              <w:rPr>
                <w:color w:val="000000"/>
                <w:sz w:val="20"/>
                <w:szCs w:val="20"/>
              </w:rPr>
            </w:pPr>
            <w:r>
              <w:rPr>
                <w:color w:val="000000"/>
                <w:sz w:val="20"/>
                <w:szCs w:val="20"/>
              </w:rPr>
              <w:lastRenderedPageBreak/>
              <w:t>6</w:t>
            </w:r>
            <w:r w:rsidR="007D7F1B">
              <w:rPr>
                <w:color w:val="000000"/>
                <w:sz w:val="20"/>
                <w:szCs w:val="20"/>
              </w:rPr>
              <w:t>.</w:t>
            </w:r>
            <w:r w:rsidR="00A500BE">
              <w:rPr>
                <w:color w:val="000000"/>
                <w:sz w:val="20"/>
                <w:szCs w:val="20"/>
              </w:rPr>
              <w:t>5</w:t>
            </w:r>
          </w:p>
        </w:tc>
        <w:tc>
          <w:tcPr>
            <w:tcW w:w="991" w:type="dxa"/>
            <w:hideMark/>
          </w:tcPr>
          <w:p w14:paraId="64F55F2C" w14:textId="77EE7D23" w:rsidR="007728D7" w:rsidRPr="003A2A04" w:rsidRDefault="008D20C8" w:rsidP="00E46B94">
            <w:pPr>
              <w:pStyle w:val="TableBody"/>
              <w:jc w:val="center"/>
              <w:rPr>
                <w:color w:val="000000"/>
                <w:sz w:val="20"/>
                <w:szCs w:val="20"/>
              </w:rPr>
            </w:pPr>
            <w:r>
              <w:rPr>
                <w:color w:val="000000"/>
                <w:sz w:val="20"/>
                <w:szCs w:val="20"/>
              </w:rPr>
              <w:t>3</w:t>
            </w:r>
            <w:r w:rsidR="007728D7" w:rsidRPr="003A2A04">
              <w:rPr>
                <w:color w:val="000000"/>
                <w:sz w:val="20"/>
                <w:szCs w:val="20"/>
              </w:rPr>
              <w:t>.</w:t>
            </w:r>
            <w:r>
              <w:rPr>
                <w:color w:val="000000"/>
                <w:sz w:val="20"/>
                <w:szCs w:val="20"/>
              </w:rPr>
              <w:t>2</w:t>
            </w:r>
            <w:r w:rsidR="007728D7" w:rsidRPr="003A2A04">
              <w:rPr>
                <w:color w:val="000000"/>
                <w:sz w:val="20"/>
                <w:szCs w:val="20"/>
              </w:rPr>
              <w:t>5</w:t>
            </w:r>
          </w:p>
        </w:tc>
      </w:tr>
      <w:tr w:rsidR="003A2A04" w:rsidRPr="003A2A04" w14:paraId="38A53A6A" w14:textId="77777777" w:rsidTr="00AA1E65">
        <w:trPr>
          <w:cnfStyle w:val="000000100000" w:firstRow="0" w:lastRow="0" w:firstColumn="0" w:lastColumn="0" w:oddVBand="0" w:evenVBand="0" w:oddHBand="1" w:evenHBand="0" w:firstRowFirstColumn="0" w:firstRowLastColumn="0" w:lastRowFirstColumn="0" w:lastRowLastColumn="0"/>
        </w:trPr>
        <w:tc>
          <w:tcPr>
            <w:tcW w:w="850" w:type="dxa"/>
            <w:hideMark/>
          </w:tcPr>
          <w:p w14:paraId="22A75EFD" w14:textId="77777777" w:rsidR="007728D7" w:rsidRPr="003A2A04" w:rsidRDefault="007728D7" w:rsidP="003A2A04">
            <w:pPr>
              <w:pStyle w:val="TableBody"/>
              <w:rPr>
                <w:color w:val="000000"/>
                <w:sz w:val="20"/>
                <w:szCs w:val="20"/>
              </w:rPr>
            </w:pPr>
            <w:r w:rsidRPr="003A2A04">
              <w:rPr>
                <w:color w:val="000000"/>
                <w:sz w:val="20"/>
                <w:szCs w:val="20"/>
              </w:rPr>
              <w:t>D.3</w:t>
            </w:r>
          </w:p>
        </w:tc>
        <w:tc>
          <w:tcPr>
            <w:tcW w:w="1985" w:type="dxa"/>
            <w:hideMark/>
          </w:tcPr>
          <w:p w14:paraId="1ADC6D31" w14:textId="77777777" w:rsidR="007728D7" w:rsidRDefault="007728D7" w:rsidP="003A2A04">
            <w:pPr>
              <w:pStyle w:val="TableBody"/>
              <w:rPr>
                <w:color w:val="000000"/>
                <w:sz w:val="20"/>
                <w:szCs w:val="20"/>
              </w:rPr>
            </w:pPr>
            <w:r w:rsidRPr="003A2A04">
              <w:rPr>
                <w:color w:val="000000"/>
                <w:sz w:val="20"/>
                <w:szCs w:val="20"/>
              </w:rPr>
              <w:t>Effectiveness</w:t>
            </w:r>
          </w:p>
          <w:p w14:paraId="125228E2" w14:textId="77777777" w:rsidR="000A0E25" w:rsidRDefault="000A0E25" w:rsidP="000A0E25">
            <w:pPr>
              <w:spacing w:line="240" w:lineRule="auto"/>
              <w:rPr>
                <w:color w:val="000000"/>
                <w:sz w:val="20"/>
                <w:szCs w:val="20"/>
              </w:rPr>
            </w:pPr>
            <w:r>
              <w:rPr>
                <w:color w:val="000000"/>
                <w:sz w:val="20"/>
                <w:szCs w:val="20"/>
              </w:rPr>
              <w:t>Reform objectives:</w:t>
            </w:r>
          </w:p>
          <w:p w14:paraId="74F7299C" w14:textId="77777777" w:rsidR="000A0E25" w:rsidRPr="000A0E25" w:rsidRDefault="000A0E25" w:rsidP="00B43F3C">
            <w:pPr>
              <w:pStyle w:val="ListParagraph"/>
              <w:numPr>
                <w:ilvl w:val="0"/>
                <w:numId w:val="27"/>
              </w:numPr>
              <w:spacing w:line="240" w:lineRule="auto"/>
              <w:ind w:left="201" w:hanging="201"/>
              <w:rPr>
                <w:rFonts w:ascii="Times New Roman" w:eastAsia="Times New Roman" w:hAnsi="Times New Roman" w:cs="Times New Roman"/>
                <w:color w:val="000000"/>
                <w:sz w:val="20"/>
                <w:szCs w:val="20"/>
              </w:rPr>
            </w:pPr>
            <w:r w:rsidRPr="000A0E25">
              <w:rPr>
                <w:color w:val="000000"/>
                <w:sz w:val="20"/>
                <w:szCs w:val="20"/>
              </w:rPr>
              <w:t>help households pay less for energy</w:t>
            </w:r>
            <w:r>
              <w:rPr>
                <w:color w:val="000000"/>
                <w:sz w:val="20"/>
                <w:szCs w:val="20"/>
              </w:rPr>
              <w:t>.</w:t>
            </w:r>
          </w:p>
          <w:p w14:paraId="09F3CD81" w14:textId="77777777" w:rsidR="000A0E25" w:rsidRPr="003A2A04" w:rsidRDefault="000A0E25" w:rsidP="003A2A04">
            <w:pPr>
              <w:pStyle w:val="TableBody"/>
              <w:rPr>
                <w:color w:val="000000"/>
                <w:sz w:val="20"/>
                <w:szCs w:val="20"/>
              </w:rPr>
            </w:pPr>
          </w:p>
        </w:tc>
        <w:tc>
          <w:tcPr>
            <w:tcW w:w="4607" w:type="dxa"/>
            <w:hideMark/>
          </w:tcPr>
          <w:p w14:paraId="3E990072" w14:textId="0FA96E85" w:rsidR="00B43054" w:rsidRDefault="007728D7" w:rsidP="634691F6">
            <w:pPr>
              <w:pStyle w:val="TableBody"/>
              <w:rPr>
                <w:color w:val="000000" w:themeColor="text1"/>
                <w:sz w:val="20"/>
                <w:szCs w:val="20"/>
                <w:lang w:val="en-AU"/>
              </w:rPr>
            </w:pPr>
            <w:r w:rsidRPr="634691F6">
              <w:rPr>
                <w:color w:val="000000" w:themeColor="text1"/>
                <w:sz w:val="20"/>
                <w:szCs w:val="20"/>
                <w:lang w:val="en-AU"/>
              </w:rPr>
              <w:t>This option would require prescribing the definition of ‘reasonable price’ in the code.</w:t>
            </w:r>
          </w:p>
          <w:p w14:paraId="629DDF45" w14:textId="77777777" w:rsidR="00B43054" w:rsidRDefault="00B43054" w:rsidP="634691F6">
            <w:pPr>
              <w:pStyle w:val="TableBody"/>
              <w:rPr>
                <w:color w:val="000000" w:themeColor="text1"/>
                <w:sz w:val="20"/>
                <w:szCs w:val="20"/>
                <w:lang w:val="en-AU"/>
              </w:rPr>
            </w:pPr>
          </w:p>
          <w:p w14:paraId="04DCED89" w14:textId="5E4A75CA" w:rsidR="00C77510" w:rsidRDefault="00937516" w:rsidP="634691F6">
            <w:pPr>
              <w:pStyle w:val="TableBody"/>
              <w:rPr>
                <w:color w:val="000000" w:themeColor="text1"/>
                <w:sz w:val="20"/>
                <w:szCs w:val="20"/>
                <w:lang w:val="en-AU"/>
              </w:rPr>
            </w:pPr>
            <w:r>
              <w:rPr>
                <w:color w:val="000000" w:themeColor="text1"/>
                <w:sz w:val="20"/>
                <w:szCs w:val="20"/>
              </w:rPr>
              <w:t xml:space="preserve">Given that this option would leave no flexibility for retailers to determine whether prices above the VDO are reasonable, it would lead to higher savings for customers than Option D.2 (and significantly higher savings than Option D.1). </w:t>
            </w:r>
          </w:p>
          <w:p w14:paraId="22E13781" w14:textId="77777777" w:rsidR="00C77510" w:rsidRDefault="00C77510" w:rsidP="634691F6">
            <w:pPr>
              <w:pStyle w:val="TableBody"/>
              <w:rPr>
                <w:color w:val="000000" w:themeColor="text1"/>
                <w:sz w:val="20"/>
                <w:szCs w:val="20"/>
                <w:lang w:val="en-AU"/>
              </w:rPr>
            </w:pPr>
          </w:p>
          <w:p w14:paraId="2533B1B1" w14:textId="2A914A6E" w:rsidR="003761B7" w:rsidRDefault="00B43054" w:rsidP="634691F6">
            <w:pPr>
              <w:pStyle w:val="TableBody"/>
              <w:rPr>
                <w:color w:val="000000" w:themeColor="text1"/>
                <w:sz w:val="20"/>
                <w:szCs w:val="20"/>
                <w:lang w:val="en-AU"/>
              </w:rPr>
            </w:pPr>
            <w:r>
              <w:rPr>
                <w:color w:val="000000" w:themeColor="text1"/>
                <w:sz w:val="20"/>
                <w:szCs w:val="20"/>
                <w:lang w:val="en-AU"/>
              </w:rPr>
              <w:t xml:space="preserve">We estimate the impacts of this option by assuming it would affect </w:t>
            </w:r>
            <w:r w:rsidR="00A10BA4">
              <w:rPr>
                <w:color w:val="000000" w:themeColor="text1"/>
                <w:sz w:val="20"/>
                <w:szCs w:val="20"/>
                <w:lang w:val="en-AU"/>
              </w:rPr>
              <w:t xml:space="preserve">all </w:t>
            </w:r>
            <w:r>
              <w:rPr>
                <w:color w:val="000000" w:themeColor="text1"/>
                <w:sz w:val="20"/>
                <w:szCs w:val="20"/>
                <w:lang w:val="en-AU"/>
              </w:rPr>
              <w:t xml:space="preserve">customers paying above the VDO. </w:t>
            </w:r>
            <w:r w:rsidRPr="00B43054">
              <w:rPr>
                <w:color w:val="000000" w:themeColor="text1"/>
                <w:sz w:val="20"/>
                <w:szCs w:val="20"/>
                <w:lang w:val="en-AU"/>
              </w:rPr>
              <w:t xml:space="preserve">For the purposes of </w:t>
            </w:r>
            <w:r w:rsidR="003761B7">
              <w:rPr>
                <w:color w:val="000000" w:themeColor="text1"/>
                <w:sz w:val="20"/>
                <w:szCs w:val="20"/>
                <w:lang w:val="en-AU"/>
              </w:rPr>
              <w:t>assessing the impact of this option</w:t>
            </w:r>
            <w:r w:rsidRPr="00B43054">
              <w:rPr>
                <w:color w:val="000000" w:themeColor="text1"/>
                <w:sz w:val="20"/>
                <w:szCs w:val="20"/>
                <w:lang w:val="en-AU"/>
              </w:rPr>
              <w:t xml:space="preserve">, we assume a +10% margin </w:t>
            </w:r>
            <w:r w:rsidR="00A10BA4">
              <w:rPr>
                <w:color w:val="000000" w:themeColor="text1"/>
                <w:sz w:val="20"/>
                <w:szCs w:val="20"/>
                <w:lang w:val="en-AU"/>
              </w:rPr>
              <w:t xml:space="preserve">of uncertainty </w:t>
            </w:r>
            <w:r w:rsidRPr="00B43054">
              <w:rPr>
                <w:color w:val="000000" w:themeColor="text1"/>
                <w:sz w:val="20"/>
                <w:szCs w:val="20"/>
                <w:lang w:val="en-AU"/>
              </w:rPr>
              <w:t>for contracts calculated as being above the VDO</w:t>
            </w:r>
            <w:r w:rsidR="00A10BA4">
              <w:rPr>
                <w:color w:val="000000" w:themeColor="text1"/>
                <w:sz w:val="20"/>
                <w:szCs w:val="20"/>
                <w:lang w:val="en-AU"/>
              </w:rPr>
              <w:t>.</w:t>
            </w:r>
          </w:p>
          <w:p w14:paraId="5EFD7523" w14:textId="77777777" w:rsidR="003761B7" w:rsidRDefault="003761B7" w:rsidP="634691F6">
            <w:pPr>
              <w:pStyle w:val="TableBody"/>
              <w:rPr>
                <w:color w:val="000000" w:themeColor="text1"/>
                <w:sz w:val="20"/>
                <w:szCs w:val="20"/>
                <w:lang w:val="en-AU"/>
              </w:rPr>
            </w:pPr>
          </w:p>
          <w:p w14:paraId="1984211B" w14:textId="73A7B02A" w:rsidR="002169F2" w:rsidRDefault="00862CE1" w:rsidP="634691F6">
            <w:pPr>
              <w:pStyle w:val="TableBody"/>
              <w:rPr>
                <w:color w:val="000000" w:themeColor="text1"/>
                <w:sz w:val="20"/>
                <w:szCs w:val="20"/>
              </w:rPr>
            </w:pPr>
            <w:r>
              <w:rPr>
                <w:color w:val="000000" w:themeColor="text1"/>
                <w:sz w:val="20"/>
                <w:szCs w:val="20"/>
                <w:lang w:val="en-AU"/>
              </w:rPr>
              <w:t xml:space="preserve">Based on historical data, </w:t>
            </w:r>
            <w:r w:rsidR="007D137D">
              <w:rPr>
                <w:color w:val="000000" w:themeColor="text1"/>
                <w:sz w:val="20"/>
                <w:szCs w:val="20"/>
                <w:lang w:val="en-AU"/>
              </w:rPr>
              <w:t xml:space="preserve">this option would </w:t>
            </w:r>
            <w:r w:rsidR="00937516">
              <w:rPr>
                <w:color w:val="000000" w:themeColor="text1"/>
                <w:sz w:val="20"/>
                <w:szCs w:val="20"/>
                <w:lang w:val="en-AU"/>
              </w:rPr>
              <w:t xml:space="preserve">benefit </w:t>
            </w:r>
            <w:r w:rsidR="009A265F">
              <w:rPr>
                <w:color w:val="000000" w:themeColor="text1"/>
                <w:sz w:val="20"/>
                <w:szCs w:val="20"/>
              </w:rPr>
              <w:t xml:space="preserve">53,391 electricity customers (or 3% of electricity customers). </w:t>
            </w:r>
            <w:r w:rsidR="00937516">
              <w:rPr>
                <w:color w:val="000000" w:themeColor="text1"/>
                <w:sz w:val="20"/>
                <w:szCs w:val="20"/>
              </w:rPr>
              <w:t>T</w:t>
            </w:r>
            <w:r w:rsidR="009A265F">
              <w:rPr>
                <w:color w:val="000000" w:themeColor="text1"/>
                <w:sz w:val="20"/>
                <w:szCs w:val="20"/>
              </w:rPr>
              <w:t>otal savings are estimated to be</w:t>
            </w:r>
            <w:r w:rsidR="006B54A7">
              <w:rPr>
                <w:color w:val="000000" w:themeColor="text1"/>
                <w:sz w:val="20"/>
                <w:szCs w:val="20"/>
              </w:rPr>
              <w:t xml:space="preserve"> </w:t>
            </w:r>
            <w:r w:rsidR="009A265F">
              <w:rPr>
                <w:color w:val="000000" w:themeColor="text1"/>
                <w:sz w:val="20"/>
                <w:szCs w:val="20"/>
              </w:rPr>
              <w:t xml:space="preserve">$12.2m </w:t>
            </w:r>
            <w:r w:rsidR="00B266F9">
              <w:rPr>
                <w:color w:val="000000" w:themeColor="text1"/>
                <w:sz w:val="20"/>
                <w:szCs w:val="20"/>
              </w:rPr>
              <w:t>per year</w:t>
            </w:r>
            <w:r w:rsidR="00A04AA8">
              <w:rPr>
                <w:color w:val="000000" w:themeColor="text1"/>
                <w:sz w:val="20"/>
                <w:szCs w:val="20"/>
              </w:rPr>
              <w:t>.</w:t>
            </w:r>
          </w:p>
          <w:p w14:paraId="4BF2FD1C" w14:textId="77777777" w:rsidR="002169F2" w:rsidRDefault="002169F2" w:rsidP="634691F6">
            <w:pPr>
              <w:pStyle w:val="TableBody"/>
              <w:rPr>
                <w:color w:val="000000" w:themeColor="text1"/>
                <w:sz w:val="20"/>
                <w:szCs w:val="20"/>
              </w:rPr>
            </w:pPr>
          </w:p>
          <w:p w14:paraId="48D7152B" w14:textId="77777777" w:rsidR="00A9477D" w:rsidRDefault="00A9477D" w:rsidP="00A9477D">
            <w:pPr>
              <w:pStyle w:val="TableBody"/>
              <w:rPr>
                <w:color w:val="000000" w:themeColor="text1"/>
                <w:sz w:val="20"/>
                <w:szCs w:val="20"/>
              </w:rPr>
            </w:pPr>
            <w:r>
              <w:rPr>
                <w:color w:val="000000" w:themeColor="text1"/>
                <w:sz w:val="20"/>
                <w:szCs w:val="20"/>
              </w:rPr>
              <w:t xml:space="preserve">We have no data to make similar estimates for gas customers. However, we expect the overall benefits for gas customers would be lower than </w:t>
            </w:r>
            <w:r>
              <w:rPr>
                <w:color w:val="000000" w:themeColor="text1"/>
                <w:sz w:val="20"/>
                <w:szCs w:val="20"/>
              </w:rPr>
              <w:lastRenderedPageBreak/>
              <w:t>for electricity customers (for the same reasons explained in Option D.1).</w:t>
            </w:r>
          </w:p>
          <w:p w14:paraId="7C1F761E" w14:textId="77777777" w:rsidR="00A9477D" w:rsidRDefault="00A9477D" w:rsidP="634691F6">
            <w:pPr>
              <w:pStyle w:val="TableBody"/>
              <w:rPr>
                <w:color w:val="000000" w:themeColor="text1"/>
                <w:sz w:val="20"/>
                <w:szCs w:val="20"/>
                <w:lang w:val="en-AU"/>
              </w:rPr>
            </w:pPr>
          </w:p>
          <w:p w14:paraId="642202A2" w14:textId="1608A060" w:rsidR="00D25E40" w:rsidRDefault="006B54A7" w:rsidP="007A3C80">
            <w:pPr>
              <w:pStyle w:val="TableBody"/>
              <w:rPr>
                <w:color w:val="000000" w:themeColor="text1"/>
                <w:sz w:val="20"/>
                <w:szCs w:val="20"/>
              </w:rPr>
            </w:pPr>
            <w:r>
              <w:rPr>
                <w:color w:val="000000" w:themeColor="text1"/>
                <w:sz w:val="20"/>
                <w:szCs w:val="20"/>
                <w:lang w:val="en-AU"/>
              </w:rPr>
              <w:t xml:space="preserve">Despite the highest expected savings for customers </w:t>
            </w:r>
            <w:r w:rsidR="00960D6C">
              <w:rPr>
                <w:color w:val="000000" w:themeColor="text1"/>
                <w:sz w:val="20"/>
                <w:szCs w:val="20"/>
                <w:lang w:val="en-AU"/>
              </w:rPr>
              <w:t xml:space="preserve">paying high prices </w:t>
            </w:r>
            <w:r w:rsidR="00A9477D">
              <w:rPr>
                <w:color w:val="000000" w:themeColor="text1"/>
                <w:sz w:val="20"/>
                <w:szCs w:val="20"/>
                <w:lang w:val="en-AU"/>
              </w:rPr>
              <w:t xml:space="preserve">under this option, there are </w:t>
            </w:r>
            <w:r w:rsidR="00CD0D3B">
              <w:rPr>
                <w:color w:val="000000" w:themeColor="text1"/>
                <w:sz w:val="20"/>
                <w:szCs w:val="20"/>
                <w:lang w:val="en-AU"/>
              </w:rPr>
              <w:t xml:space="preserve">potential </w:t>
            </w:r>
            <w:r w:rsidR="00176D0E">
              <w:rPr>
                <w:color w:val="000000" w:themeColor="text1"/>
                <w:sz w:val="20"/>
                <w:szCs w:val="20"/>
                <w:lang w:val="en-AU"/>
              </w:rPr>
              <w:t xml:space="preserve">disadvantages </w:t>
            </w:r>
            <w:r w:rsidR="00BE58CB">
              <w:rPr>
                <w:color w:val="000000" w:themeColor="text1"/>
                <w:sz w:val="20"/>
                <w:szCs w:val="20"/>
                <w:lang w:val="en-AU"/>
              </w:rPr>
              <w:t>resulting from a prescriptive definition of ‘reasonable price’</w:t>
            </w:r>
            <w:r w:rsidR="006A3248">
              <w:rPr>
                <w:color w:val="000000" w:themeColor="text1"/>
                <w:sz w:val="20"/>
                <w:szCs w:val="20"/>
                <w:lang w:val="en-AU"/>
              </w:rPr>
              <w:t xml:space="preserve"> in the code. </w:t>
            </w:r>
            <w:r w:rsidR="003E0A5B">
              <w:rPr>
                <w:color w:val="000000" w:themeColor="text1"/>
                <w:sz w:val="20"/>
                <w:szCs w:val="20"/>
                <w:lang w:val="en-AU"/>
              </w:rPr>
              <w:t>C</w:t>
            </w:r>
            <w:r w:rsidR="000B44F9">
              <w:rPr>
                <w:color w:val="000000" w:themeColor="text1"/>
                <w:sz w:val="20"/>
                <w:szCs w:val="20"/>
                <w:lang w:val="en-AU"/>
              </w:rPr>
              <w:t xml:space="preserve">ustomers </w:t>
            </w:r>
            <w:r w:rsidR="003E0A5B">
              <w:rPr>
                <w:color w:val="000000" w:themeColor="text1"/>
                <w:sz w:val="20"/>
                <w:szCs w:val="20"/>
                <w:lang w:val="en-AU"/>
              </w:rPr>
              <w:t xml:space="preserve">who </w:t>
            </w:r>
            <w:r w:rsidR="00421AEE">
              <w:rPr>
                <w:color w:val="000000" w:themeColor="text1"/>
                <w:sz w:val="20"/>
                <w:szCs w:val="20"/>
                <w:lang w:val="en-AU"/>
              </w:rPr>
              <w:t xml:space="preserve">may be paying above the VDO </w:t>
            </w:r>
            <w:r w:rsidR="003A0A2A">
              <w:rPr>
                <w:color w:val="000000" w:themeColor="text1"/>
                <w:sz w:val="20"/>
                <w:szCs w:val="20"/>
                <w:lang w:val="en-AU"/>
              </w:rPr>
              <w:t xml:space="preserve">because their plans </w:t>
            </w:r>
            <w:r w:rsidR="003279A5">
              <w:rPr>
                <w:color w:val="000000" w:themeColor="text1"/>
                <w:sz w:val="20"/>
                <w:szCs w:val="20"/>
                <w:lang w:val="en-AU"/>
              </w:rPr>
              <w:t xml:space="preserve">have other benefits </w:t>
            </w:r>
            <w:r w:rsidR="00916D42">
              <w:rPr>
                <w:color w:val="000000" w:themeColor="text1"/>
                <w:sz w:val="20"/>
                <w:szCs w:val="20"/>
                <w:lang w:val="en-AU"/>
              </w:rPr>
              <w:t>would be potentially worse off under this optio</w:t>
            </w:r>
            <w:r w:rsidR="000844AA">
              <w:rPr>
                <w:color w:val="000000" w:themeColor="text1"/>
                <w:sz w:val="20"/>
                <w:szCs w:val="20"/>
                <w:lang w:val="en-AU"/>
              </w:rPr>
              <w:t>n</w:t>
            </w:r>
            <w:r w:rsidR="002B2083">
              <w:rPr>
                <w:color w:val="000000" w:themeColor="text1"/>
                <w:sz w:val="20"/>
                <w:szCs w:val="20"/>
              </w:rPr>
              <w:t>.</w:t>
            </w:r>
            <w:r w:rsidR="007A3C80">
              <w:rPr>
                <w:color w:val="000000" w:themeColor="text1"/>
                <w:sz w:val="20"/>
                <w:szCs w:val="20"/>
              </w:rPr>
              <w:t xml:space="preserve"> </w:t>
            </w:r>
          </w:p>
          <w:p w14:paraId="522C5687" w14:textId="77777777" w:rsidR="00D25E40" w:rsidRDefault="00D25E40" w:rsidP="007A3C80">
            <w:pPr>
              <w:pStyle w:val="TableBody"/>
              <w:rPr>
                <w:color w:val="000000" w:themeColor="text1"/>
                <w:sz w:val="20"/>
                <w:szCs w:val="20"/>
              </w:rPr>
            </w:pPr>
          </w:p>
          <w:p w14:paraId="7A77E3D7" w14:textId="08133509" w:rsidR="007728D7" w:rsidRPr="0092704E" w:rsidRDefault="007A3C80" w:rsidP="007A3C80">
            <w:pPr>
              <w:pStyle w:val="TableBody"/>
              <w:rPr>
                <w:color w:val="000000" w:themeColor="text1"/>
                <w:sz w:val="20"/>
                <w:szCs w:val="20"/>
              </w:rPr>
            </w:pPr>
            <w:r>
              <w:rPr>
                <w:color w:val="000000" w:themeColor="text1"/>
                <w:sz w:val="20"/>
                <w:szCs w:val="20"/>
              </w:rPr>
              <w:t xml:space="preserve">In addition, </w:t>
            </w:r>
            <w:r w:rsidR="009959DD">
              <w:rPr>
                <w:color w:val="000000" w:themeColor="text1"/>
                <w:sz w:val="20"/>
                <w:szCs w:val="20"/>
              </w:rPr>
              <w:t>compared</w:t>
            </w:r>
            <w:r w:rsidR="000D1CC4">
              <w:rPr>
                <w:color w:val="000000" w:themeColor="text1"/>
                <w:sz w:val="20"/>
                <w:szCs w:val="20"/>
              </w:rPr>
              <w:t xml:space="preserve"> to Option D.2, this option is more likely to </w:t>
            </w:r>
            <w:r w:rsidR="005F0A5E">
              <w:rPr>
                <w:color w:val="000000" w:themeColor="text1"/>
                <w:sz w:val="20"/>
                <w:szCs w:val="20"/>
              </w:rPr>
              <w:t xml:space="preserve">result in retailers making changes to pricing strategies </w:t>
            </w:r>
            <w:r w:rsidR="00826956">
              <w:rPr>
                <w:color w:val="000000" w:themeColor="text1"/>
                <w:sz w:val="20"/>
                <w:szCs w:val="20"/>
              </w:rPr>
              <w:t xml:space="preserve">which </w:t>
            </w:r>
            <w:r w:rsidR="00CD2F6A">
              <w:rPr>
                <w:color w:val="000000" w:themeColor="text1"/>
                <w:sz w:val="20"/>
                <w:szCs w:val="20"/>
              </w:rPr>
              <w:t xml:space="preserve">may </w:t>
            </w:r>
            <w:r w:rsidR="0025565C">
              <w:rPr>
                <w:color w:val="000000" w:themeColor="text1"/>
                <w:sz w:val="20"/>
                <w:szCs w:val="20"/>
              </w:rPr>
              <w:t xml:space="preserve">result in </w:t>
            </w:r>
            <w:r w:rsidR="0063303E">
              <w:rPr>
                <w:color w:val="000000" w:themeColor="text1"/>
                <w:sz w:val="20"/>
                <w:szCs w:val="20"/>
              </w:rPr>
              <w:t xml:space="preserve">negative impacts </w:t>
            </w:r>
            <w:r w:rsidR="00DD3471">
              <w:rPr>
                <w:color w:val="000000" w:themeColor="text1"/>
                <w:sz w:val="20"/>
                <w:szCs w:val="20"/>
              </w:rPr>
              <w:t>on</w:t>
            </w:r>
            <w:r w:rsidR="0063303E">
              <w:rPr>
                <w:color w:val="000000" w:themeColor="text1"/>
                <w:sz w:val="20"/>
                <w:szCs w:val="20"/>
              </w:rPr>
              <w:t xml:space="preserve"> customers</w:t>
            </w:r>
            <w:r w:rsidR="001D71ED">
              <w:rPr>
                <w:color w:val="000000" w:themeColor="text1"/>
                <w:sz w:val="20"/>
                <w:szCs w:val="20"/>
              </w:rPr>
              <w:t xml:space="preserve"> not on older contracts </w:t>
            </w:r>
            <w:r w:rsidR="0063303E">
              <w:rPr>
                <w:color w:val="000000" w:themeColor="text1"/>
                <w:sz w:val="20"/>
                <w:szCs w:val="20"/>
              </w:rPr>
              <w:t>(</w:t>
            </w:r>
            <w:r w:rsidR="00975EF2">
              <w:rPr>
                <w:color w:val="000000" w:themeColor="text1"/>
                <w:sz w:val="20"/>
                <w:szCs w:val="20"/>
              </w:rPr>
              <w:t>such as increased prices</w:t>
            </w:r>
            <w:r w:rsidR="00995946">
              <w:rPr>
                <w:color w:val="000000" w:themeColor="text1"/>
                <w:sz w:val="20"/>
                <w:szCs w:val="20"/>
              </w:rPr>
              <w:t xml:space="preserve"> or reduced </w:t>
            </w:r>
            <w:r w:rsidR="009C6EAC">
              <w:rPr>
                <w:color w:val="000000" w:themeColor="text1"/>
                <w:sz w:val="20"/>
                <w:szCs w:val="20"/>
              </w:rPr>
              <w:t>innovation in plan types and benefits</w:t>
            </w:r>
            <w:r w:rsidR="00CC4027">
              <w:rPr>
                <w:color w:val="000000" w:themeColor="text1"/>
                <w:sz w:val="20"/>
                <w:szCs w:val="20"/>
              </w:rPr>
              <w:t>)</w:t>
            </w:r>
            <w:r w:rsidR="001D71ED">
              <w:rPr>
                <w:color w:val="000000" w:themeColor="text1"/>
                <w:sz w:val="20"/>
                <w:szCs w:val="20"/>
              </w:rPr>
              <w:t xml:space="preserve">. </w:t>
            </w:r>
            <w:r w:rsidR="001337BB">
              <w:rPr>
                <w:color w:val="000000" w:themeColor="text1"/>
                <w:sz w:val="20"/>
                <w:szCs w:val="20"/>
              </w:rPr>
              <w:t>This</w:t>
            </w:r>
            <w:r w:rsidR="000E41C3">
              <w:rPr>
                <w:color w:val="000000" w:themeColor="text1"/>
                <w:sz w:val="20"/>
                <w:szCs w:val="20"/>
              </w:rPr>
              <w:t xml:space="preserve"> increased risk</w:t>
            </w:r>
            <w:r w:rsidR="001337BB">
              <w:rPr>
                <w:color w:val="000000" w:themeColor="text1"/>
                <w:sz w:val="20"/>
                <w:szCs w:val="20"/>
              </w:rPr>
              <w:t xml:space="preserve"> </w:t>
            </w:r>
            <w:r w:rsidR="001B1D92">
              <w:rPr>
                <w:color w:val="000000" w:themeColor="text1"/>
                <w:sz w:val="20"/>
                <w:szCs w:val="20"/>
              </w:rPr>
              <w:t>slightly reduces</w:t>
            </w:r>
            <w:r w:rsidR="000E41C3">
              <w:rPr>
                <w:color w:val="000000" w:themeColor="text1"/>
                <w:sz w:val="20"/>
                <w:szCs w:val="20"/>
              </w:rPr>
              <w:t xml:space="preserve"> the effectiveness scor</w:t>
            </w:r>
            <w:r w:rsidR="001B1D92">
              <w:rPr>
                <w:color w:val="000000" w:themeColor="text1"/>
                <w:sz w:val="20"/>
                <w:szCs w:val="20"/>
              </w:rPr>
              <w:t>e</w:t>
            </w:r>
            <w:r w:rsidR="000E41C3">
              <w:rPr>
                <w:color w:val="000000" w:themeColor="text1"/>
                <w:sz w:val="20"/>
                <w:szCs w:val="20"/>
              </w:rPr>
              <w:t xml:space="preserve"> for this option compared to Option D.2.</w:t>
            </w:r>
          </w:p>
        </w:tc>
        <w:tc>
          <w:tcPr>
            <w:tcW w:w="1205" w:type="dxa"/>
          </w:tcPr>
          <w:p w14:paraId="1C3F9F9F" w14:textId="307B9822" w:rsidR="00775C2F" w:rsidRPr="003A2A04" w:rsidRDefault="00A500BE" w:rsidP="003A2A04">
            <w:pPr>
              <w:pStyle w:val="TableBody"/>
              <w:jc w:val="center"/>
              <w:rPr>
                <w:color w:val="000000"/>
                <w:sz w:val="20"/>
                <w:szCs w:val="20"/>
              </w:rPr>
            </w:pPr>
            <w:r>
              <w:rPr>
                <w:color w:val="000000"/>
                <w:sz w:val="20"/>
                <w:szCs w:val="20"/>
              </w:rPr>
              <w:lastRenderedPageBreak/>
              <w:t>6</w:t>
            </w:r>
          </w:p>
        </w:tc>
        <w:tc>
          <w:tcPr>
            <w:tcW w:w="991" w:type="dxa"/>
            <w:hideMark/>
          </w:tcPr>
          <w:p w14:paraId="646CAFE8" w14:textId="77777777" w:rsidR="007728D7" w:rsidRPr="003A2A04" w:rsidRDefault="007728D7" w:rsidP="003A2A04">
            <w:pPr>
              <w:pStyle w:val="TableBody"/>
              <w:jc w:val="center"/>
              <w:rPr>
                <w:color w:val="000000"/>
                <w:sz w:val="20"/>
                <w:szCs w:val="20"/>
              </w:rPr>
            </w:pPr>
            <w:r w:rsidRPr="003A2A04">
              <w:rPr>
                <w:color w:val="000000"/>
                <w:sz w:val="20"/>
                <w:szCs w:val="20"/>
              </w:rPr>
              <w:t>3.0</w:t>
            </w:r>
          </w:p>
        </w:tc>
      </w:tr>
    </w:tbl>
    <w:p w14:paraId="20EEA62E" w14:textId="77777777" w:rsidR="009A13BF" w:rsidRDefault="009A13BF" w:rsidP="000F6481">
      <w:pPr>
        <w:pStyle w:val="Figure-Table-BoxSubtitle"/>
        <w:ind w:left="0"/>
        <w:rPr>
          <w:rStyle w:val="Figure-Table-BoxHeadingChar"/>
        </w:rPr>
      </w:pPr>
    </w:p>
    <w:p w14:paraId="6D080908" w14:textId="248BF9F7" w:rsidR="00446AF9" w:rsidRPr="002379E6" w:rsidRDefault="00446AF9" w:rsidP="009A13BF">
      <w:pPr>
        <w:spacing w:before="0" w:line="259" w:lineRule="auto"/>
        <w:rPr>
          <w:rFonts w:asciiTheme="majorHAnsi" w:eastAsiaTheme="majorEastAsia" w:hAnsiTheme="majorHAnsi" w:cstheme="majorBidi"/>
          <w:color w:val="4986A0" w:themeColor="text2"/>
          <w:szCs w:val="24"/>
          <w:lang w:val="en-US"/>
        </w:rPr>
      </w:pPr>
      <w:r w:rsidRPr="000F6481">
        <w:rPr>
          <w:rStyle w:val="Figure-Table-BoxHeadingChar"/>
        </w:rPr>
        <w:t xml:space="preserve">Table </w:t>
      </w:r>
      <w:r w:rsidR="002215C0" w:rsidRPr="000F6481">
        <w:rPr>
          <w:rStyle w:val="Figure-Table-BoxHeadingChar"/>
        </w:rPr>
        <w:t>2</w:t>
      </w:r>
      <w:r w:rsidR="002E5943" w:rsidRPr="000F6481">
        <w:rPr>
          <w:rStyle w:val="Figure-Table-BoxHeadingChar"/>
        </w:rPr>
        <w:t>4</w:t>
      </w:r>
      <w:r w:rsidRPr="000F6481">
        <w:rPr>
          <w:rStyle w:val="Figure-Table-BoxHeadingChar"/>
        </w:rPr>
        <w:t>:</w:t>
      </w:r>
      <w:r w:rsidRPr="003A49F5">
        <w:t xml:space="preserve"> </w:t>
      </w:r>
      <w:r w:rsidRPr="002379E6">
        <w:rPr>
          <w:rFonts w:asciiTheme="majorHAnsi" w:eastAsiaTheme="majorEastAsia" w:hAnsiTheme="majorHAnsi" w:cstheme="majorBidi"/>
          <w:color w:val="4986A0" w:themeColor="text2"/>
          <w:szCs w:val="24"/>
          <w:lang w:val="en-US"/>
        </w:rPr>
        <w:t>MCA Assessment of Option D.</w:t>
      </w:r>
      <w:r w:rsidR="006E179B" w:rsidRPr="002379E6">
        <w:rPr>
          <w:rFonts w:asciiTheme="majorHAnsi" w:eastAsiaTheme="majorEastAsia" w:hAnsiTheme="majorHAnsi" w:cstheme="majorBidi"/>
          <w:color w:val="4986A0" w:themeColor="text2"/>
          <w:szCs w:val="24"/>
          <w:lang w:val="en-US"/>
        </w:rPr>
        <w:t xml:space="preserve">1, D.2 and D.3: </w:t>
      </w:r>
      <w:r w:rsidR="0060403C" w:rsidRPr="002379E6">
        <w:rPr>
          <w:rFonts w:asciiTheme="majorHAnsi" w:eastAsiaTheme="majorEastAsia" w:hAnsiTheme="majorHAnsi" w:cstheme="majorBidi"/>
          <w:color w:val="4986A0" w:themeColor="text2"/>
          <w:szCs w:val="24"/>
          <w:lang w:val="en-US"/>
        </w:rPr>
        <w:t>Cost to industry</w:t>
      </w:r>
    </w:p>
    <w:tbl>
      <w:tblPr>
        <w:tblStyle w:val="TableGrid"/>
        <w:tblW w:w="0" w:type="auto"/>
        <w:tblLook w:val="04A0" w:firstRow="1" w:lastRow="0" w:firstColumn="1" w:lastColumn="0" w:noHBand="0" w:noVBand="1"/>
      </w:tblPr>
      <w:tblGrid>
        <w:gridCol w:w="851"/>
        <w:gridCol w:w="1704"/>
        <w:gridCol w:w="4675"/>
        <w:gridCol w:w="1275"/>
        <w:gridCol w:w="1133"/>
      </w:tblGrid>
      <w:tr w:rsidR="00A46E05" w:rsidRPr="003A2A04" w14:paraId="05F184EE" w14:textId="77777777" w:rsidTr="00763DAE">
        <w:trPr>
          <w:cnfStyle w:val="100000000000" w:firstRow="1" w:lastRow="0" w:firstColumn="0" w:lastColumn="0" w:oddVBand="0" w:evenVBand="0" w:oddHBand="0" w:evenHBand="0" w:firstRowFirstColumn="0" w:firstRowLastColumn="0" w:lastRowFirstColumn="0" w:lastRowLastColumn="0"/>
        </w:trPr>
        <w:tc>
          <w:tcPr>
            <w:tcW w:w="851" w:type="dxa"/>
            <w:hideMark/>
          </w:tcPr>
          <w:p w14:paraId="7BA24BDA" w14:textId="77777777" w:rsidR="00A46E05" w:rsidRPr="003A2A04" w:rsidRDefault="00A46E05" w:rsidP="00763DAE">
            <w:pPr>
              <w:pStyle w:val="TableBody"/>
              <w:spacing w:before="60" w:after="60"/>
              <w:jc w:val="center"/>
              <w:rPr>
                <w:color w:val="000000"/>
                <w:sz w:val="20"/>
                <w:szCs w:val="20"/>
                <w:lang w:val="en-AU"/>
              </w:rPr>
            </w:pPr>
            <w:r w:rsidRPr="634691F6">
              <w:rPr>
                <w:sz w:val="20"/>
                <w:szCs w:val="20"/>
                <w:lang w:val="en-AU"/>
              </w:rPr>
              <w:t>Option</w:t>
            </w:r>
          </w:p>
        </w:tc>
        <w:tc>
          <w:tcPr>
            <w:tcW w:w="1704" w:type="dxa"/>
            <w:hideMark/>
          </w:tcPr>
          <w:p w14:paraId="1C44EFC2" w14:textId="77777777" w:rsidR="00A46E05" w:rsidRPr="003A2A04" w:rsidRDefault="00A46E05" w:rsidP="00763DAE">
            <w:pPr>
              <w:pStyle w:val="TableBody"/>
              <w:spacing w:before="60" w:after="60"/>
              <w:jc w:val="center"/>
              <w:rPr>
                <w:color w:val="000000"/>
                <w:sz w:val="20"/>
                <w:szCs w:val="20"/>
              </w:rPr>
            </w:pPr>
            <w:r w:rsidRPr="003A2A04">
              <w:rPr>
                <w:sz w:val="20"/>
                <w:szCs w:val="20"/>
              </w:rPr>
              <w:t>Criteria</w:t>
            </w:r>
            <w:r w:rsidRPr="003A2A04">
              <w:rPr>
                <w:color w:val="000000"/>
                <w:sz w:val="20"/>
                <w:szCs w:val="20"/>
              </w:rPr>
              <w:br/>
            </w:r>
            <w:r w:rsidRPr="003A2A04">
              <w:rPr>
                <w:sz w:val="20"/>
                <w:szCs w:val="20"/>
              </w:rPr>
              <w:t>(weighting 40%)</w:t>
            </w:r>
          </w:p>
        </w:tc>
        <w:tc>
          <w:tcPr>
            <w:tcW w:w="4675" w:type="dxa"/>
            <w:hideMark/>
          </w:tcPr>
          <w:p w14:paraId="1BAEA398" w14:textId="77777777" w:rsidR="00A46E05" w:rsidRPr="003A2A04" w:rsidRDefault="00A46E05" w:rsidP="00763DAE">
            <w:pPr>
              <w:pStyle w:val="TableBody"/>
              <w:spacing w:before="60" w:after="60"/>
              <w:jc w:val="center"/>
              <w:rPr>
                <w:color w:val="000000"/>
                <w:sz w:val="20"/>
                <w:szCs w:val="20"/>
              </w:rPr>
            </w:pPr>
            <w:r w:rsidRPr="003A2A04">
              <w:rPr>
                <w:sz w:val="20"/>
                <w:szCs w:val="20"/>
              </w:rPr>
              <w:t>Assessment</w:t>
            </w:r>
          </w:p>
        </w:tc>
        <w:tc>
          <w:tcPr>
            <w:tcW w:w="1275" w:type="dxa"/>
          </w:tcPr>
          <w:p w14:paraId="15584F33" w14:textId="77777777" w:rsidR="007D7F1B" w:rsidRDefault="007D7F1B" w:rsidP="00763DAE">
            <w:pPr>
              <w:pStyle w:val="TableBody"/>
              <w:spacing w:before="60" w:after="60"/>
              <w:jc w:val="center"/>
              <w:rPr>
                <w:b w:val="0"/>
                <w:sz w:val="20"/>
                <w:szCs w:val="20"/>
              </w:rPr>
            </w:pPr>
            <w:r>
              <w:rPr>
                <w:sz w:val="20"/>
                <w:szCs w:val="20"/>
              </w:rPr>
              <w:t>Score</w:t>
            </w:r>
          </w:p>
          <w:p w14:paraId="7E188D9D" w14:textId="69EF01ED" w:rsidR="007D7F1B" w:rsidRDefault="00763DAE" w:rsidP="00763DAE">
            <w:pPr>
              <w:pStyle w:val="TableBody"/>
              <w:spacing w:before="60" w:after="60"/>
              <w:jc w:val="center"/>
              <w:rPr>
                <w:sz w:val="20"/>
                <w:szCs w:val="20"/>
              </w:rPr>
            </w:pPr>
            <w:r>
              <w:rPr>
                <w:sz w:val="20"/>
                <w:szCs w:val="20"/>
              </w:rPr>
              <w:t>(-10 to 10)</w:t>
            </w:r>
          </w:p>
        </w:tc>
        <w:tc>
          <w:tcPr>
            <w:tcW w:w="1133" w:type="dxa"/>
            <w:hideMark/>
          </w:tcPr>
          <w:p w14:paraId="15C6C7F3" w14:textId="77777777" w:rsidR="00A46E05" w:rsidRPr="003A2A04" w:rsidRDefault="00A46E05" w:rsidP="00763DAE">
            <w:pPr>
              <w:pStyle w:val="TableBody"/>
              <w:spacing w:before="60" w:after="60"/>
              <w:jc w:val="center"/>
              <w:rPr>
                <w:color w:val="000000"/>
                <w:sz w:val="20"/>
                <w:szCs w:val="20"/>
              </w:rPr>
            </w:pPr>
            <w:r w:rsidRPr="003A2A04">
              <w:rPr>
                <w:sz w:val="20"/>
                <w:szCs w:val="20"/>
              </w:rPr>
              <w:t>Weighted score</w:t>
            </w:r>
          </w:p>
        </w:tc>
      </w:tr>
      <w:tr w:rsidR="00A46E05" w:rsidRPr="003A2A04" w14:paraId="5E974F53" w14:textId="77777777" w:rsidTr="00763DAE">
        <w:trPr>
          <w:cnfStyle w:val="000000100000" w:firstRow="0" w:lastRow="0" w:firstColumn="0" w:lastColumn="0" w:oddVBand="0" w:evenVBand="0" w:oddHBand="1" w:evenHBand="0" w:firstRowFirstColumn="0" w:firstRowLastColumn="0" w:lastRowFirstColumn="0" w:lastRowLastColumn="0"/>
          <w:trHeight w:val="333"/>
        </w:trPr>
        <w:tc>
          <w:tcPr>
            <w:tcW w:w="851" w:type="dxa"/>
            <w:hideMark/>
          </w:tcPr>
          <w:p w14:paraId="1D855529" w14:textId="77777777" w:rsidR="00A46E05" w:rsidRPr="003A2A04" w:rsidRDefault="00A46E05" w:rsidP="003A2A04">
            <w:pPr>
              <w:pStyle w:val="TableBody"/>
              <w:rPr>
                <w:color w:val="000000"/>
                <w:sz w:val="20"/>
                <w:szCs w:val="20"/>
              </w:rPr>
            </w:pPr>
            <w:r w:rsidRPr="003A2A04">
              <w:rPr>
                <w:color w:val="000000"/>
                <w:sz w:val="20"/>
                <w:szCs w:val="20"/>
              </w:rPr>
              <w:t>D.1</w:t>
            </w:r>
          </w:p>
        </w:tc>
        <w:tc>
          <w:tcPr>
            <w:tcW w:w="1704" w:type="dxa"/>
            <w:hideMark/>
          </w:tcPr>
          <w:p w14:paraId="1F20D04D" w14:textId="77777777" w:rsidR="00A46E05" w:rsidRPr="003A2A04" w:rsidRDefault="00A46E05" w:rsidP="003A2A04">
            <w:pPr>
              <w:pStyle w:val="TableBody"/>
              <w:rPr>
                <w:color w:val="000000"/>
                <w:sz w:val="20"/>
                <w:szCs w:val="20"/>
              </w:rPr>
            </w:pPr>
            <w:r w:rsidRPr="003A2A04">
              <w:rPr>
                <w:color w:val="000000"/>
                <w:sz w:val="20"/>
                <w:szCs w:val="20"/>
              </w:rPr>
              <w:t>Cost to industry</w:t>
            </w:r>
          </w:p>
        </w:tc>
        <w:tc>
          <w:tcPr>
            <w:tcW w:w="4675" w:type="dxa"/>
            <w:hideMark/>
          </w:tcPr>
          <w:p w14:paraId="3C803FB7" w14:textId="77777777" w:rsidR="006F05C6" w:rsidRDefault="006F05C6" w:rsidP="634691F6">
            <w:pPr>
              <w:pStyle w:val="TableBody"/>
              <w:rPr>
                <w:color w:val="000000" w:themeColor="text1"/>
                <w:sz w:val="20"/>
                <w:szCs w:val="20"/>
                <w:u w:val="single"/>
                <w:lang w:val="en-AU"/>
              </w:rPr>
            </w:pPr>
            <w:r>
              <w:rPr>
                <w:color w:val="000000" w:themeColor="text1"/>
                <w:sz w:val="20"/>
                <w:szCs w:val="20"/>
                <w:u w:val="single"/>
                <w:lang w:val="en-AU"/>
              </w:rPr>
              <w:t>Compliance costs</w:t>
            </w:r>
          </w:p>
          <w:p w14:paraId="22FFA437" w14:textId="77777777" w:rsidR="006F05C6" w:rsidRDefault="006F05C6" w:rsidP="634691F6">
            <w:pPr>
              <w:pStyle w:val="TableBody"/>
              <w:rPr>
                <w:color w:val="000000" w:themeColor="text1"/>
                <w:sz w:val="20"/>
                <w:szCs w:val="20"/>
                <w:u w:val="single"/>
                <w:lang w:val="en-AU"/>
              </w:rPr>
            </w:pPr>
          </w:p>
          <w:p w14:paraId="7DFA64B9" w14:textId="77777777" w:rsidR="006A1259" w:rsidRDefault="006A1259" w:rsidP="006A1259">
            <w:pPr>
              <w:pStyle w:val="TableBody"/>
              <w:rPr>
                <w:color w:val="000000" w:themeColor="text1"/>
                <w:sz w:val="20"/>
                <w:szCs w:val="20"/>
                <w:lang w:val="en-AU"/>
              </w:rPr>
            </w:pPr>
            <w:r>
              <w:rPr>
                <w:color w:val="000000" w:themeColor="text1"/>
                <w:sz w:val="20"/>
                <w:szCs w:val="20"/>
                <w:lang w:val="en-AU"/>
              </w:rPr>
              <w:t xml:space="preserve">To implement this option, retailers would update systems and processes to identify affected customers and take action (such as switching customers to cheaper plans) when necessary. </w:t>
            </w:r>
          </w:p>
          <w:p w14:paraId="7BE50151" w14:textId="77777777" w:rsidR="006A1259" w:rsidRDefault="006A1259" w:rsidP="634691F6">
            <w:pPr>
              <w:pStyle w:val="TableBody"/>
              <w:rPr>
                <w:color w:val="000000" w:themeColor="text1"/>
                <w:sz w:val="20"/>
                <w:szCs w:val="20"/>
                <w:lang w:val="en-AU"/>
              </w:rPr>
            </w:pPr>
          </w:p>
          <w:p w14:paraId="1C0A6608" w14:textId="04DF5E88" w:rsidR="005B6623" w:rsidRDefault="006A1259" w:rsidP="005B6623">
            <w:pPr>
              <w:pStyle w:val="TableBody"/>
              <w:rPr>
                <w:color w:val="000000" w:themeColor="text1"/>
                <w:sz w:val="20"/>
                <w:szCs w:val="20"/>
                <w:lang w:val="en-AU"/>
              </w:rPr>
            </w:pPr>
            <w:r>
              <w:rPr>
                <w:color w:val="000000" w:themeColor="text1"/>
                <w:sz w:val="20"/>
                <w:szCs w:val="20"/>
                <w:lang w:val="en-AU"/>
              </w:rPr>
              <w:t>However, t</w:t>
            </w:r>
            <w:r w:rsidR="00A46E05" w:rsidRPr="634691F6">
              <w:rPr>
                <w:color w:val="000000" w:themeColor="text1"/>
                <w:sz w:val="20"/>
                <w:szCs w:val="20"/>
                <w:lang w:val="en-AU"/>
              </w:rPr>
              <w:t xml:space="preserve">his option </w:t>
            </w:r>
            <w:r w:rsidR="00B13E34" w:rsidRPr="634691F6">
              <w:rPr>
                <w:color w:val="000000" w:themeColor="text1"/>
                <w:sz w:val="20"/>
                <w:szCs w:val="20"/>
                <w:lang w:val="en-AU"/>
              </w:rPr>
              <w:t xml:space="preserve">gives </w:t>
            </w:r>
            <w:r w:rsidR="00306F21" w:rsidRPr="634691F6">
              <w:rPr>
                <w:color w:val="000000" w:themeColor="text1"/>
                <w:sz w:val="20"/>
                <w:szCs w:val="20"/>
                <w:lang w:val="en-AU"/>
              </w:rPr>
              <w:t xml:space="preserve">retailers </w:t>
            </w:r>
            <w:r w:rsidR="0051191C">
              <w:rPr>
                <w:color w:val="000000" w:themeColor="text1"/>
                <w:sz w:val="20"/>
                <w:szCs w:val="20"/>
                <w:lang w:val="en-AU"/>
              </w:rPr>
              <w:t>the</w:t>
            </w:r>
            <w:r w:rsidR="0051191C" w:rsidRPr="634691F6">
              <w:rPr>
                <w:color w:val="000000" w:themeColor="text1"/>
                <w:sz w:val="20"/>
                <w:szCs w:val="20"/>
                <w:lang w:val="en-AU"/>
              </w:rPr>
              <w:t xml:space="preserve"> </w:t>
            </w:r>
            <w:r w:rsidR="00B13E34" w:rsidRPr="634691F6">
              <w:rPr>
                <w:color w:val="000000" w:themeColor="text1"/>
                <w:sz w:val="20"/>
                <w:szCs w:val="20"/>
                <w:lang w:val="en-AU"/>
              </w:rPr>
              <w:t xml:space="preserve">greatest flexibility on </w:t>
            </w:r>
            <w:r w:rsidR="0051191C">
              <w:rPr>
                <w:color w:val="000000" w:themeColor="text1"/>
                <w:sz w:val="20"/>
                <w:szCs w:val="20"/>
                <w:lang w:val="en-AU"/>
              </w:rPr>
              <w:t xml:space="preserve">determining </w:t>
            </w:r>
            <w:r w:rsidR="00B13E34" w:rsidRPr="634691F6">
              <w:rPr>
                <w:color w:val="000000" w:themeColor="text1"/>
                <w:sz w:val="20"/>
                <w:szCs w:val="20"/>
                <w:lang w:val="en-AU"/>
              </w:rPr>
              <w:t>what is a ‘reasonable price’</w:t>
            </w:r>
            <w:r w:rsidR="006A1EB0">
              <w:rPr>
                <w:color w:val="000000" w:themeColor="text1"/>
                <w:sz w:val="20"/>
                <w:szCs w:val="20"/>
                <w:lang w:val="en-AU"/>
              </w:rPr>
              <w:t xml:space="preserve">. </w:t>
            </w:r>
            <w:r w:rsidR="005B6623">
              <w:rPr>
                <w:color w:val="000000" w:themeColor="text1"/>
                <w:sz w:val="20"/>
                <w:szCs w:val="20"/>
                <w:lang w:val="en-AU"/>
              </w:rPr>
              <w:t xml:space="preserve">We anticipate retailers would </w:t>
            </w:r>
            <w:r w:rsidR="006A1EB0">
              <w:rPr>
                <w:color w:val="000000" w:themeColor="text1"/>
                <w:sz w:val="20"/>
                <w:szCs w:val="20"/>
                <w:lang w:val="en-AU"/>
              </w:rPr>
              <w:t xml:space="preserve">consider </w:t>
            </w:r>
            <w:r w:rsidR="005B6623">
              <w:rPr>
                <w:color w:val="000000" w:themeColor="text1"/>
                <w:sz w:val="20"/>
                <w:szCs w:val="20"/>
                <w:lang w:val="en-AU"/>
              </w:rPr>
              <w:t>only a small proportion of customers as paying unreasonable prices (between one to 27 thousand customers, based on historical data). This would lead to lower compliance costs compared to other options.</w:t>
            </w:r>
          </w:p>
          <w:p w14:paraId="082AAF3D" w14:textId="77777777" w:rsidR="006A1259" w:rsidRDefault="006A1259" w:rsidP="634691F6">
            <w:pPr>
              <w:pStyle w:val="TableBody"/>
              <w:rPr>
                <w:color w:val="000000" w:themeColor="text1"/>
                <w:sz w:val="20"/>
                <w:szCs w:val="20"/>
                <w:lang w:val="en-AU"/>
              </w:rPr>
            </w:pPr>
          </w:p>
          <w:p w14:paraId="377874B8" w14:textId="258FF7D7" w:rsidR="005F1097" w:rsidRDefault="00B13E34" w:rsidP="00C70DA4">
            <w:pPr>
              <w:pStyle w:val="TableBody"/>
              <w:rPr>
                <w:color w:val="000000" w:themeColor="text1"/>
                <w:sz w:val="20"/>
                <w:szCs w:val="20"/>
                <w:lang w:val="en-AU"/>
              </w:rPr>
            </w:pPr>
            <w:r w:rsidRPr="634691F6">
              <w:rPr>
                <w:color w:val="000000" w:themeColor="text1"/>
                <w:sz w:val="20"/>
                <w:szCs w:val="20"/>
                <w:lang w:val="en-AU"/>
              </w:rPr>
              <w:t xml:space="preserve">It is </w:t>
            </w:r>
            <w:r w:rsidR="005B6623">
              <w:rPr>
                <w:color w:val="000000" w:themeColor="text1"/>
                <w:sz w:val="20"/>
                <w:szCs w:val="20"/>
                <w:lang w:val="en-AU"/>
              </w:rPr>
              <w:t xml:space="preserve">also </w:t>
            </w:r>
            <w:r w:rsidRPr="634691F6">
              <w:rPr>
                <w:color w:val="000000" w:themeColor="text1"/>
                <w:sz w:val="20"/>
                <w:szCs w:val="20"/>
                <w:lang w:val="en-AU"/>
              </w:rPr>
              <w:t>likely that</w:t>
            </w:r>
            <w:r w:rsidR="003A24A5">
              <w:rPr>
                <w:color w:val="000000" w:themeColor="text1"/>
                <w:sz w:val="20"/>
                <w:szCs w:val="20"/>
                <w:lang w:val="en-AU"/>
              </w:rPr>
              <w:t xml:space="preserve"> most retailers </w:t>
            </w:r>
            <w:r w:rsidR="00EF6360">
              <w:rPr>
                <w:color w:val="000000" w:themeColor="text1"/>
                <w:sz w:val="20"/>
                <w:szCs w:val="20"/>
                <w:lang w:val="en-AU"/>
              </w:rPr>
              <w:t xml:space="preserve">would </w:t>
            </w:r>
            <w:r w:rsidR="006A1EB0">
              <w:rPr>
                <w:color w:val="000000" w:themeColor="text1"/>
                <w:sz w:val="20"/>
                <w:szCs w:val="20"/>
                <w:lang w:val="en-AU"/>
              </w:rPr>
              <w:t xml:space="preserve">be largely compliant </w:t>
            </w:r>
            <w:r w:rsidR="008B1340">
              <w:rPr>
                <w:color w:val="000000" w:themeColor="text1"/>
                <w:sz w:val="20"/>
                <w:szCs w:val="20"/>
                <w:lang w:val="en-AU"/>
              </w:rPr>
              <w:t>under this option.</w:t>
            </w:r>
            <w:r w:rsidR="00C64AC6">
              <w:rPr>
                <w:color w:val="000000" w:themeColor="text1"/>
                <w:sz w:val="20"/>
                <w:szCs w:val="20"/>
                <w:lang w:val="en-AU"/>
              </w:rPr>
              <w:t xml:space="preserve"> </w:t>
            </w:r>
            <w:r w:rsidR="00A97F28">
              <w:rPr>
                <w:color w:val="000000" w:themeColor="text1"/>
                <w:sz w:val="20"/>
                <w:szCs w:val="20"/>
                <w:lang w:val="en-AU"/>
              </w:rPr>
              <w:t>Therefore,</w:t>
            </w:r>
            <w:r w:rsidR="00C64AC6">
              <w:rPr>
                <w:color w:val="000000" w:themeColor="text1"/>
                <w:sz w:val="20"/>
                <w:szCs w:val="20"/>
                <w:lang w:val="en-AU"/>
              </w:rPr>
              <w:t xml:space="preserve"> only a small number of retailers</w:t>
            </w:r>
            <w:r w:rsidR="00EF6360">
              <w:rPr>
                <w:color w:val="000000" w:themeColor="text1"/>
                <w:sz w:val="20"/>
                <w:szCs w:val="20"/>
                <w:lang w:val="en-AU"/>
              </w:rPr>
              <w:t xml:space="preserve"> would need to take action</w:t>
            </w:r>
            <w:r w:rsidR="005B6623">
              <w:rPr>
                <w:color w:val="000000" w:themeColor="text1"/>
                <w:sz w:val="20"/>
                <w:szCs w:val="20"/>
                <w:lang w:val="en-AU"/>
              </w:rPr>
              <w:t xml:space="preserve">. This means that </w:t>
            </w:r>
            <w:r w:rsidR="00EF6360">
              <w:rPr>
                <w:color w:val="000000" w:themeColor="text1"/>
                <w:sz w:val="20"/>
                <w:szCs w:val="20"/>
                <w:lang w:val="en-AU"/>
              </w:rPr>
              <w:t xml:space="preserve">overall compliance costs </w:t>
            </w:r>
            <w:r w:rsidR="005B6623">
              <w:rPr>
                <w:color w:val="000000" w:themeColor="text1"/>
                <w:sz w:val="20"/>
                <w:szCs w:val="20"/>
                <w:lang w:val="en-AU"/>
              </w:rPr>
              <w:t xml:space="preserve">across </w:t>
            </w:r>
            <w:r w:rsidR="00EF6360">
              <w:rPr>
                <w:color w:val="000000" w:themeColor="text1"/>
                <w:sz w:val="20"/>
                <w:szCs w:val="20"/>
                <w:lang w:val="en-AU"/>
              </w:rPr>
              <w:t>the industry would be the lowest for this option</w:t>
            </w:r>
            <w:r w:rsidR="00C70DA4">
              <w:rPr>
                <w:color w:val="000000" w:themeColor="text1"/>
                <w:sz w:val="20"/>
                <w:szCs w:val="20"/>
                <w:lang w:val="en-AU"/>
              </w:rPr>
              <w:t>, and against the base case</w:t>
            </w:r>
            <w:r w:rsidR="00EF6360">
              <w:rPr>
                <w:color w:val="000000" w:themeColor="text1"/>
                <w:sz w:val="20"/>
                <w:szCs w:val="20"/>
                <w:lang w:val="en-AU"/>
              </w:rPr>
              <w:t>.</w:t>
            </w:r>
            <w:r w:rsidR="00C70DA4">
              <w:rPr>
                <w:color w:val="000000" w:themeColor="text1"/>
                <w:sz w:val="20"/>
                <w:szCs w:val="20"/>
                <w:lang w:val="en-AU"/>
              </w:rPr>
              <w:t xml:space="preserve"> </w:t>
            </w:r>
          </w:p>
          <w:p w14:paraId="2A4677D1" w14:textId="77777777" w:rsidR="005F1097" w:rsidRDefault="005F1097" w:rsidP="634691F6">
            <w:pPr>
              <w:pStyle w:val="TableBody"/>
              <w:rPr>
                <w:color w:val="000000" w:themeColor="text1"/>
                <w:sz w:val="20"/>
                <w:szCs w:val="20"/>
                <w:lang w:val="en-AU"/>
              </w:rPr>
            </w:pPr>
          </w:p>
          <w:p w14:paraId="173AACE1" w14:textId="687A74CE" w:rsidR="006F05C6" w:rsidRPr="00F84E6C" w:rsidRDefault="006F05C6" w:rsidP="006254AC">
            <w:pPr>
              <w:pStyle w:val="TableBody"/>
              <w:keepNext/>
              <w:rPr>
                <w:color w:val="000000" w:themeColor="text1"/>
                <w:sz w:val="20"/>
                <w:szCs w:val="20"/>
                <w:u w:val="single"/>
                <w:lang w:val="en-AU"/>
              </w:rPr>
            </w:pPr>
            <w:r w:rsidRPr="00F84E6C">
              <w:rPr>
                <w:color w:val="000000" w:themeColor="text1"/>
                <w:sz w:val="20"/>
                <w:szCs w:val="20"/>
                <w:u w:val="single"/>
                <w:lang w:val="en-AU"/>
              </w:rPr>
              <w:t>Cost transfers</w:t>
            </w:r>
          </w:p>
          <w:p w14:paraId="10986942" w14:textId="77777777" w:rsidR="006254AC" w:rsidRPr="00F84E6C" w:rsidRDefault="006254AC" w:rsidP="006254AC">
            <w:pPr>
              <w:pStyle w:val="TableBody"/>
              <w:keepNext/>
              <w:rPr>
                <w:color w:val="000000" w:themeColor="text1"/>
                <w:sz w:val="20"/>
                <w:szCs w:val="20"/>
                <w:u w:val="single"/>
                <w:lang w:val="en-AU"/>
              </w:rPr>
            </w:pPr>
          </w:p>
          <w:p w14:paraId="03A03ADE" w14:textId="27107E37" w:rsidR="006F05C6" w:rsidRDefault="00F71F90" w:rsidP="006254AC">
            <w:pPr>
              <w:pStyle w:val="TableBody"/>
              <w:keepNext/>
              <w:rPr>
                <w:color w:val="000000" w:themeColor="text1"/>
                <w:sz w:val="20"/>
                <w:szCs w:val="20"/>
              </w:rPr>
            </w:pPr>
            <w:r w:rsidRPr="00F84E6C">
              <w:rPr>
                <w:color w:val="000000"/>
                <w:sz w:val="20"/>
                <w:szCs w:val="20"/>
              </w:rPr>
              <w:t xml:space="preserve">This option will also result in </w:t>
            </w:r>
            <w:r w:rsidR="004A6DB1" w:rsidRPr="00F84E6C">
              <w:rPr>
                <w:color w:val="000000"/>
                <w:sz w:val="20"/>
                <w:szCs w:val="20"/>
              </w:rPr>
              <w:t>potential cost transfers between customer</w:t>
            </w:r>
            <w:r w:rsidR="00702F42" w:rsidRPr="00F84E6C">
              <w:rPr>
                <w:color w:val="000000"/>
                <w:sz w:val="20"/>
                <w:szCs w:val="20"/>
              </w:rPr>
              <w:t>s</w:t>
            </w:r>
            <w:r w:rsidR="004A6DB1" w:rsidRPr="00F84E6C">
              <w:rPr>
                <w:color w:val="000000"/>
                <w:sz w:val="20"/>
                <w:szCs w:val="20"/>
              </w:rPr>
              <w:t xml:space="preserve"> on older and newer contracts, or foregone revenue</w:t>
            </w:r>
            <w:r w:rsidRPr="00F84E6C">
              <w:rPr>
                <w:color w:val="000000"/>
                <w:sz w:val="20"/>
                <w:szCs w:val="20"/>
              </w:rPr>
              <w:t xml:space="preserve"> from energy retailers</w:t>
            </w:r>
            <w:r w:rsidR="00702F42" w:rsidRPr="00F84E6C">
              <w:rPr>
                <w:color w:val="000000"/>
                <w:sz w:val="20"/>
                <w:szCs w:val="20"/>
              </w:rPr>
              <w:t xml:space="preserve"> (depending on whether retailers absorb this cost due to competitive pressures or pass </w:t>
            </w:r>
            <w:r w:rsidR="00702F42" w:rsidRPr="00F84E6C">
              <w:rPr>
                <w:color w:val="000000"/>
                <w:sz w:val="20"/>
                <w:szCs w:val="20"/>
              </w:rPr>
              <w:lastRenderedPageBreak/>
              <w:t>them on to other customers)</w:t>
            </w:r>
            <w:r w:rsidRPr="0062382B">
              <w:rPr>
                <w:color w:val="000000"/>
                <w:sz w:val="20"/>
              </w:rPr>
              <w:t>.</w:t>
            </w:r>
            <w:r w:rsidR="00822918" w:rsidRPr="00F84E6C">
              <w:rPr>
                <w:color w:val="000000" w:themeColor="text1"/>
                <w:sz w:val="20"/>
                <w:szCs w:val="20"/>
                <w:lang w:val="en-AU"/>
              </w:rPr>
              <w:t xml:space="preserve"> </w:t>
            </w:r>
            <w:r w:rsidR="001067CA" w:rsidRPr="00F84E6C">
              <w:rPr>
                <w:color w:val="000000" w:themeColor="text1"/>
                <w:sz w:val="20"/>
                <w:szCs w:val="20"/>
                <w:lang w:val="en-AU"/>
              </w:rPr>
              <w:t xml:space="preserve">Based on historical data, </w:t>
            </w:r>
            <w:r w:rsidR="001F1C13" w:rsidRPr="00F84E6C">
              <w:rPr>
                <w:color w:val="000000" w:themeColor="text1"/>
                <w:sz w:val="20"/>
                <w:szCs w:val="20"/>
              </w:rPr>
              <w:t xml:space="preserve">the estimated potential </w:t>
            </w:r>
            <w:r w:rsidR="001174D8" w:rsidRPr="00F84E6C">
              <w:rPr>
                <w:color w:val="000000" w:themeColor="text1"/>
                <w:sz w:val="20"/>
                <w:szCs w:val="20"/>
              </w:rPr>
              <w:t>impact</w:t>
            </w:r>
            <w:r w:rsidR="001F1C13" w:rsidRPr="00F84E6C">
              <w:rPr>
                <w:color w:val="000000" w:themeColor="text1"/>
                <w:sz w:val="20"/>
                <w:szCs w:val="20"/>
              </w:rPr>
              <w:t xml:space="preserve"> for electricity </w:t>
            </w:r>
            <w:r w:rsidR="001174D8" w:rsidRPr="00F84E6C">
              <w:rPr>
                <w:color w:val="000000" w:themeColor="text1"/>
                <w:sz w:val="20"/>
                <w:szCs w:val="20"/>
              </w:rPr>
              <w:t>retailers f</w:t>
            </w:r>
            <w:r w:rsidR="001F1C13" w:rsidRPr="00F84E6C">
              <w:rPr>
                <w:color w:val="000000" w:themeColor="text1"/>
                <w:sz w:val="20"/>
                <w:szCs w:val="20"/>
              </w:rPr>
              <w:t>rom this option range from around $0.8m to $10.1m</w:t>
            </w:r>
            <w:r w:rsidR="00702F42" w:rsidRPr="00F84E6C">
              <w:rPr>
                <w:color w:val="000000" w:themeColor="text1"/>
                <w:sz w:val="20"/>
                <w:szCs w:val="20"/>
              </w:rPr>
              <w:t xml:space="preserve"> per year</w:t>
            </w:r>
            <w:r w:rsidR="001F1C13" w:rsidRPr="00F84E6C">
              <w:rPr>
                <w:color w:val="000000" w:themeColor="text1"/>
                <w:sz w:val="20"/>
                <w:szCs w:val="20"/>
              </w:rPr>
              <w:t>.</w:t>
            </w:r>
            <w:r w:rsidR="00702F42" w:rsidRPr="00F84E6C">
              <w:rPr>
                <w:color w:val="000000" w:themeColor="text1"/>
                <w:sz w:val="20"/>
                <w:szCs w:val="20"/>
              </w:rPr>
              <w:t xml:space="preserve"> We have no data to make similar estimates for gas </w:t>
            </w:r>
            <w:r w:rsidR="001174D8" w:rsidRPr="00F84E6C">
              <w:rPr>
                <w:color w:val="000000" w:themeColor="text1"/>
                <w:sz w:val="20"/>
                <w:szCs w:val="20"/>
              </w:rPr>
              <w:t>retailers</w:t>
            </w:r>
            <w:r w:rsidR="00702F42" w:rsidRPr="00F84E6C">
              <w:rPr>
                <w:color w:val="000000" w:themeColor="text1"/>
                <w:sz w:val="20"/>
                <w:szCs w:val="20"/>
              </w:rPr>
              <w:t>. However, we expect th</w:t>
            </w:r>
            <w:r w:rsidR="00D2692E" w:rsidRPr="00F84E6C">
              <w:rPr>
                <w:color w:val="000000" w:themeColor="text1"/>
                <w:sz w:val="20"/>
                <w:szCs w:val="20"/>
              </w:rPr>
              <w:t xml:space="preserve">at potential cost transfers or foregone revenue </w:t>
            </w:r>
            <w:r w:rsidR="00702F42" w:rsidRPr="00F84E6C">
              <w:rPr>
                <w:color w:val="000000" w:themeColor="text1"/>
                <w:sz w:val="20"/>
                <w:szCs w:val="20"/>
              </w:rPr>
              <w:t xml:space="preserve">for gas </w:t>
            </w:r>
            <w:r w:rsidR="00D2692E" w:rsidRPr="00F84E6C">
              <w:rPr>
                <w:color w:val="000000" w:themeColor="text1"/>
                <w:sz w:val="20"/>
                <w:szCs w:val="20"/>
              </w:rPr>
              <w:t xml:space="preserve">retailers </w:t>
            </w:r>
            <w:r w:rsidR="00702F42" w:rsidRPr="00F84E6C">
              <w:rPr>
                <w:color w:val="000000" w:themeColor="text1"/>
                <w:sz w:val="20"/>
                <w:szCs w:val="20"/>
              </w:rPr>
              <w:t xml:space="preserve">would be lower than for electricity </w:t>
            </w:r>
            <w:r w:rsidR="00D2692E" w:rsidRPr="00F84E6C">
              <w:rPr>
                <w:color w:val="000000" w:themeColor="text1"/>
                <w:sz w:val="20"/>
                <w:szCs w:val="20"/>
              </w:rPr>
              <w:t>retailers.</w:t>
            </w:r>
            <w:r w:rsidR="00822918" w:rsidDel="005F1097">
              <w:rPr>
                <w:color w:val="000000" w:themeColor="text1"/>
                <w:sz w:val="20"/>
                <w:szCs w:val="20"/>
              </w:rPr>
              <w:t xml:space="preserve"> </w:t>
            </w:r>
          </w:p>
          <w:p w14:paraId="4D33FC46" w14:textId="77777777" w:rsidR="00F84E6C" w:rsidRDefault="00F84E6C" w:rsidP="006254AC">
            <w:pPr>
              <w:pStyle w:val="TableBody"/>
              <w:keepNext/>
              <w:rPr>
                <w:color w:val="000000" w:themeColor="text1"/>
                <w:sz w:val="20"/>
                <w:szCs w:val="20"/>
                <w:lang w:val="en-AU"/>
              </w:rPr>
            </w:pPr>
          </w:p>
          <w:p w14:paraId="0D27CF29" w14:textId="4AE84F38" w:rsidR="001779C2" w:rsidRDefault="001779C2" w:rsidP="006254AC">
            <w:pPr>
              <w:pStyle w:val="TableBody"/>
              <w:keepNext/>
              <w:rPr>
                <w:color w:val="000000" w:themeColor="text1"/>
                <w:sz w:val="20"/>
                <w:szCs w:val="20"/>
              </w:rPr>
            </w:pPr>
            <w:r w:rsidRPr="00BA7D25">
              <w:rPr>
                <w:color w:val="000000" w:themeColor="text1"/>
                <w:sz w:val="20"/>
                <w:szCs w:val="20"/>
                <w:lang w:val="en-AU"/>
              </w:rPr>
              <w:t>For the purposes of this assessment, we recognise this as a cost</w:t>
            </w:r>
            <w:r>
              <w:rPr>
                <w:color w:val="000000" w:themeColor="text1"/>
                <w:sz w:val="20"/>
                <w:szCs w:val="20"/>
                <w:lang w:val="en-AU"/>
              </w:rPr>
              <w:t>.</w:t>
            </w:r>
            <w:r w:rsidRPr="00BA7D25">
              <w:rPr>
                <w:color w:val="000000" w:themeColor="text1"/>
                <w:sz w:val="20"/>
                <w:szCs w:val="20"/>
                <w:lang w:val="en-AU"/>
              </w:rPr>
              <w:t xml:space="preserve"> </w:t>
            </w:r>
            <w:r>
              <w:rPr>
                <w:color w:val="000000" w:themeColor="text1"/>
                <w:sz w:val="20"/>
                <w:szCs w:val="20"/>
                <w:lang w:val="en-AU"/>
              </w:rPr>
              <w:t>H</w:t>
            </w:r>
            <w:r w:rsidRPr="00BA7D25">
              <w:rPr>
                <w:color w:val="000000" w:themeColor="text1"/>
                <w:sz w:val="20"/>
                <w:szCs w:val="20"/>
                <w:lang w:val="en-AU"/>
              </w:rPr>
              <w:t>owever, it reflects the erosion of excess margins from disengaged customers rather than an increase in the underlying cost of service provision.</w:t>
            </w:r>
          </w:p>
          <w:p w14:paraId="38A9EE7C" w14:textId="77777777" w:rsidR="006F05C6" w:rsidRDefault="006F05C6" w:rsidP="00B677A7">
            <w:pPr>
              <w:pStyle w:val="TableBody"/>
              <w:rPr>
                <w:color w:val="000000" w:themeColor="text1"/>
                <w:sz w:val="20"/>
                <w:szCs w:val="20"/>
              </w:rPr>
            </w:pPr>
          </w:p>
          <w:p w14:paraId="7F13A58D" w14:textId="17CB7EF5" w:rsidR="006F05C6" w:rsidRDefault="006F05C6" w:rsidP="00B677A7">
            <w:pPr>
              <w:pStyle w:val="TableBody"/>
              <w:rPr>
                <w:color w:val="000000" w:themeColor="text1"/>
                <w:sz w:val="20"/>
                <w:szCs w:val="20"/>
                <w:u w:val="single"/>
              </w:rPr>
            </w:pPr>
            <w:r>
              <w:rPr>
                <w:color w:val="000000" w:themeColor="text1"/>
                <w:sz w:val="20"/>
                <w:szCs w:val="20"/>
                <w:u w:val="single"/>
              </w:rPr>
              <w:t>Comparison with other options</w:t>
            </w:r>
          </w:p>
          <w:p w14:paraId="68511C4F" w14:textId="77777777" w:rsidR="006254AC" w:rsidRPr="006F05C6" w:rsidRDefault="006254AC" w:rsidP="00B677A7">
            <w:pPr>
              <w:pStyle w:val="TableBody"/>
              <w:rPr>
                <w:color w:val="000000" w:themeColor="text1"/>
                <w:sz w:val="20"/>
                <w:szCs w:val="20"/>
                <w:u w:val="single"/>
              </w:rPr>
            </w:pPr>
          </w:p>
          <w:p w14:paraId="3127F081" w14:textId="4E65A5CC" w:rsidR="00A46E05" w:rsidRPr="003A2A04" w:rsidRDefault="001B1D92" w:rsidP="00B677A7">
            <w:pPr>
              <w:pStyle w:val="TableBody"/>
              <w:rPr>
                <w:color w:val="000000"/>
                <w:sz w:val="20"/>
                <w:szCs w:val="20"/>
                <w:lang w:val="en-AU"/>
              </w:rPr>
            </w:pPr>
            <w:r>
              <w:rPr>
                <w:color w:val="000000" w:themeColor="text1"/>
                <w:sz w:val="20"/>
                <w:szCs w:val="20"/>
              </w:rPr>
              <w:t>Th</w:t>
            </w:r>
            <w:r w:rsidR="006F05C6">
              <w:rPr>
                <w:color w:val="000000" w:themeColor="text1"/>
                <w:sz w:val="20"/>
                <w:szCs w:val="20"/>
              </w:rPr>
              <w:t>e compliance costs for this option are low compared to the base case and significantly lower</w:t>
            </w:r>
            <w:r>
              <w:rPr>
                <w:color w:val="000000" w:themeColor="text1"/>
                <w:sz w:val="20"/>
                <w:szCs w:val="20"/>
              </w:rPr>
              <w:t xml:space="preserve"> than </w:t>
            </w:r>
            <w:r w:rsidR="0057384C">
              <w:rPr>
                <w:color w:val="000000" w:themeColor="text1"/>
                <w:sz w:val="20"/>
                <w:szCs w:val="20"/>
              </w:rPr>
              <w:t xml:space="preserve">for </w:t>
            </w:r>
            <w:r>
              <w:rPr>
                <w:color w:val="000000" w:themeColor="text1"/>
                <w:sz w:val="20"/>
                <w:szCs w:val="20"/>
              </w:rPr>
              <w:t xml:space="preserve">Options D.2 and D.3. </w:t>
            </w:r>
            <w:r w:rsidR="006F05C6">
              <w:rPr>
                <w:color w:val="000000" w:themeColor="text1"/>
                <w:sz w:val="20"/>
                <w:szCs w:val="20"/>
              </w:rPr>
              <w:t>The estimated potential cost transfers are also significantly lower than for Options D.2 and D.3.</w:t>
            </w:r>
          </w:p>
        </w:tc>
        <w:tc>
          <w:tcPr>
            <w:tcW w:w="1275" w:type="dxa"/>
          </w:tcPr>
          <w:p w14:paraId="0EB23898" w14:textId="2C965D2D" w:rsidR="007D7F1B" w:rsidRDefault="007D7F1B" w:rsidP="003A2A04">
            <w:pPr>
              <w:pStyle w:val="TableBody"/>
              <w:jc w:val="center"/>
              <w:rPr>
                <w:color w:val="000000"/>
                <w:sz w:val="20"/>
                <w:szCs w:val="20"/>
              </w:rPr>
            </w:pPr>
            <w:r>
              <w:rPr>
                <w:color w:val="000000"/>
                <w:sz w:val="20"/>
                <w:szCs w:val="20"/>
              </w:rPr>
              <w:lastRenderedPageBreak/>
              <w:t>-</w:t>
            </w:r>
            <w:r w:rsidR="00453B0D">
              <w:rPr>
                <w:color w:val="000000"/>
                <w:sz w:val="20"/>
                <w:szCs w:val="20"/>
              </w:rPr>
              <w:t>1.5</w:t>
            </w:r>
          </w:p>
        </w:tc>
        <w:tc>
          <w:tcPr>
            <w:tcW w:w="1133" w:type="dxa"/>
            <w:hideMark/>
          </w:tcPr>
          <w:p w14:paraId="64424D2B" w14:textId="3DA32C57" w:rsidR="00A46E05" w:rsidRPr="003A2A04" w:rsidRDefault="00A46E05" w:rsidP="003A2A04">
            <w:pPr>
              <w:pStyle w:val="TableBody"/>
              <w:jc w:val="center"/>
              <w:rPr>
                <w:color w:val="000000"/>
                <w:sz w:val="20"/>
                <w:szCs w:val="20"/>
              </w:rPr>
            </w:pPr>
            <w:r w:rsidRPr="003A2A04">
              <w:rPr>
                <w:color w:val="000000"/>
                <w:sz w:val="20"/>
                <w:szCs w:val="20"/>
              </w:rPr>
              <w:t>-</w:t>
            </w:r>
            <w:r w:rsidR="00A41C53">
              <w:rPr>
                <w:color w:val="000000"/>
                <w:sz w:val="20"/>
                <w:szCs w:val="20"/>
              </w:rPr>
              <w:t>0.6</w:t>
            </w:r>
          </w:p>
        </w:tc>
      </w:tr>
      <w:tr w:rsidR="00A46E05" w:rsidRPr="003A2A04" w14:paraId="7C9BD5AC" w14:textId="77777777" w:rsidTr="00763DAE">
        <w:trPr>
          <w:cnfStyle w:val="000000010000" w:firstRow="0" w:lastRow="0" w:firstColumn="0" w:lastColumn="0" w:oddVBand="0" w:evenVBand="0" w:oddHBand="0" w:evenHBand="1" w:firstRowFirstColumn="0" w:firstRowLastColumn="0" w:lastRowFirstColumn="0" w:lastRowLastColumn="0"/>
        </w:trPr>
        <w:tc>
          <w:tcPr>
            <w:tcW w:w="851" w:type="dxa"/>
            <w:hideMark/>
          </w:tcPr>
          <w:p w14:paraId="6DCB01C9" w14:textId="77777777" w:rsidR="00A46E05" w:rsidRPr="003A2A04" w:rsidRDefault="00A46E05" w:rsidP="003A2A04">
            <w:pPr>
              <w:pStyle w:val="TableBody"/>
              <w:rPr>
                <w:color w:val="000000"/>
                <w:sz w:val="20"/>
                <w:szCs w:val="20"/>
              </w:rPr>
            </w:pPr>
            <w:r w:rsidRPr="003A2A04">
              <w:rPr>
                <w:color w:val="000000"/>
                <w:sz w:val="20"/>
                <w:szCs w:val="20"/>
              </w:rPr>
              <w:t>D.2</w:t>
            </w:r>
          </w:p>
        </w:tc>
        <w:tc>
          <w:tcPr>
            <w:tcW w:w="1704" w:type="dxa"/>
            <w:hideMark/>
          </w:tcPr>
          <w:p w14:paraId="201065AC" w14:textId="77777777" w:rsidR="00A46E05" w:rsidRPr="003A2A04" w:rsidRDefault="00A46E05" w:rsidP="003A2A04">
            <w:pPr>
              <w:pStyle w:val="TableBody"/>
              <w:rPr>
                <w:color w:val="000000"/>
                <w:sz w:val="20"/>
                <w:szCs w:val="20"/>
              </w:rPr>
            </w:pPr>
            <w:r w:rsidRPr="003A2A04">
              <w:rPr>
                <w:color w:val="000000"/>
                <w:sz w:val="20"/>
                <w:szCs w:val="20"/>
              </w:rPr>
              <w:t>Cost to industry</w:t>
            </w:r>
          </w:p>
        </w:tc>
        <w:tc>
          <w:tcPr>
            <w:tcW w:w="4675" w:type="dxa"/>
            <w:hideMark/>
          </w:tcPr>
          <w:p w14:paraId="5DF957C6" w14:textId="110768F4" w:rsidR="00D3133C" w:rsidRDefault="00D3133C" w:rsidP="00993746">
            <w:pPr>
              <w:spacing w:before="0" w:line="240" w:lineRule="auto"/>
              <w:rPr>
                <w:color w:val="000000" w:themeColor="text1"/>
                <w:sz w:val="20"/>
                <w:szCs w:val="20"/>
                <w:u w:val="single"/>
              </w:rPr>
            </w:pPr>
            <w:r>
              <w:rPr>
                <w:color w:val="000000" w:themeColor="text1"/>
                <w:sz w:val="20"/>
                <w:szCs w:val="20"/>
                <w:u w:val="single"/>
              </w:rPr>
              <w:t>Compliance costs</w:t>
            </w:r>
          </w:p>
          <w:p w14:paraId="392C3DA4" w14:textId="77777777" w:rsidR="00D3133C" w:rsidRPr="00D3133C" w:rsidRDefault="00D3133C" w:rsidP="00993746">
            <w:pPr>
              <w:spacing w:before="0" w:line="240" w:lineRule="auto"/>
              <w:rPr>
                <w:color w:val="000000" w:themeColor="text1"/>
                <w:sz w:val="20"/>
                <w:szCs w:val="20"/>
                <w:u w:val="single"/>
              </w:rPr>
            </w:pPr>
          </w:p>
          <w:p w14:paraId="7AFF4C20" w14:textId="4BE05C88" w:rsidR="00ED50B0" w:rsidRDefault="00A46E05" w:rsidP="00993746">
            <w:pPr>
              <w:spacing w:before="0" w:line="240" w:lineRule="auto"/>
              <w:rPr>
                <w:color w:val="000000"/>
                <w:sz w:val="20"/>
              </w:rPr>
            </w:pPr>
            <w:r w:rsidRPr="634691F6">
              <w:rPr>
                <w:color w:val="000000" w:themeColor="text1"/>
                <w:sz w:val="20"/>
                <w:szCs w:val="20"/>
              </w:rPr>
              <w:t xml:space="preserve">This option </w:t>
            </w:r>
            <w:r w:rsidR="00ED50B0">
              <w:rPr>
                <w:color w:val="000000" w:themeColor="text1"/>
                <w:sz w:val="20"/>
                <w:szCs w:val="20"/>
              </w:rPr>
              <w:t xml:space="preserve">reduces a </w:t>
            </w:r>
            <w:r w:rsidR="001B302D" w:rsidRPr="634691F6">
              <w:rPr>
                <w:color w:val="000000" w:themeColor="text1"/>
                <w:sz w:val="20"/>
                <w:szCs w:val="20"/>
              </w:rPr>
              <w:t>retailer</w:t>
            </w:r>
            <w:r w:rsidR="00ED50B0">
              <w:rPr>
                <w:color w:val="000000" w:themeColor="text1"/>
                <w:sz w:val="20"/>
                <w:szCs w:val="20"/>
              </w:rPr>
              <w:t>’s</w:t>
            </w:r>
            <w:r w:rsidR="001B302D" w:rsidRPr="634691F6">
              <w:rPr>
                <w:color w:val="000000" w:themeColor="text1"/>
                <w:sz w:val="20"/>
                <w:szCs w:val="20"/>
              </w:rPr>
              <w:t xml:space="preserve"> discretion</w:t>
            </w:r>
            <w:r w:rsidR="00E84D8B">
              <w:rPr>
                <w:color w:val="000000" w:themeColor="text1"/>
                <w:sz w:val="20"/>
                <w:szCs w:val="20"/>
              </w:rPr>
              <w:t xml:space="preserve"> in determining what is a reasonable price</w:t>
            </w:r>
            <w:r w:rsidR="001B302D" w:rsidRPr="634691F6">
              <w:rPr>
                <w:color w:val="000000" w:themeColor="text1"/>
                <w:sz w:val="20"/>
                <w:szCs w:val="20"/>
              </w:rPr>
              <w:t xml:space="preserve">. </w:t>
            </w:r>
            <w:r w:rsidR="007D3FFA" w:rsidRPr="0062382B">
              <w:rPr>
                <w:color w:val="000000"/>
                <w:sz w:val="20"/>
              </w:rPr>
              <w:t>This would</w:t>
            </w:r>
            <w:r w:rsidR="007D3FFA">
              <w:rPr>
                <w:color w:val="000000"/>
                <w:sz w:val="20"/>
              </w:rPr>
              <w:t xml:space="preserve"> </w:t>
            </w:r>
            <w:r w:rsidR="007D3FFA" w:rsidRPr="0062382B">
              <w:rPr>
                <w:color w:val="000000"/>
                <w:sz w:val="20"/>
              </w:rPr>
              <w:t xml:space="preserve">result in higher </w:t>
            </w:r>
            <w:r w:rsidR="00CF6BE2">
              <w:rPr>
                <w:color w:val="000000"/>
                <w:sz w:val="20"/>
              </w:rPr>
              <w:t xml:space="preserve">implementation and </w:t>
            </w:r>
            <w:r w:rsidR="007D3FFA" w:rsidRPr="0062382B">
              <w:rPr>
                <w:color w:val="000000"/>
                <w:sz w:val="20"/>
              </w:rPr>
              <w:t xml:space="preserve">compliance costs than </w:t>
            </w:r>
            <w:r w:rsidR="00E84D8B">
              <w:rPr>
                <w:color w:val="000000"/>
                <w:sz w:val="20"/>
              </w:rPr>
              <w:t>O</w:t>
            </w:r>
            <w:r w:rsidR="007D3FFA" w:rsidRPr="0062382B">
              <w:rPr>
                <w:color w:val="000000"/>
                <w:sz w:val="20"/>
              </w:rPr>
              <w:t>ption D.1</w:t>
            </w:r>
            <w:r w:rsidR="00E84D8B">
              <w:rPr>
                <w:color w:val="000000"/>
                <w:sz w:val="20"/>
              </w:rPr>
              <w:t xml:space="preserve"> as retailers would </w:t>
            </w:r>
            <w:r w:rsidR="00297D86">
              <w:rPr>
                <w:color w:val="000000"/>
                <w:sz w:val="20"/>
              </w:rPr>
              <w:t xml:space="preserve">assess specific factors when determining whether customers are paying a reasonable price. </w:t>
            </w:r>
          </w:p>
          <w:p w14:paraId="56B89D4F" w14:textId="77777777" w:rsidR="00ED50B0" w:rsidRDefault="00ED50B0" w:rsidP="00993746">
            <w:pPr>
              <w:spacing w:before="0" w:line="240" w:lineRule="auto"/>
              <w:rPr>
                <w:color w:val="000000"/>
                <w:sz w:val="20"/>
              </w:rPr>
            </w:pPr>
          </w:p>
          <w:p w14:paraId="1A5B9763" w14:textId="420CF5E4" w:rsidR="00297D86" w:rsidRDefault="00127DDD" w:rsidP="00127DDD">
            <w:pPr>
              <w:spacing w:before="0" w:line="240" w:lineRule="auto"/>
              <w:rPr>
                <w:color w:val="000000"/>
                <w:sz w:val="20"/>
              </w:rPr>
            </w:pPr>
            <w:r>
              <w:rPr>
                <w:color w:val="000000"/>
                <w:sz w:val="20"/>
              </w:rPr>
              <w:t xml:space="preserve">Retailers would need to design and update its </w:t>
            </w:r>
            <w:r w:rsidR="00444606">
              <w:rPr>
                <w:color w:val="000000"/>
                <w:sz w:val="20"/>
              </w:rPr>
              <w:t xml:space="preserve">systems to </w:t>
            </w:r>
            <w:r w:rsidR="003E4F68">
              <w:rPr>
                <w:color w:val="000000"/>
                <w:sz w:val="20"/>
              </w:rPr>
              <w:t>assess how much customers on older contracts are paying compared to</w:t>
            </w:r>
            <w:r w:rsidR="00D62627">
              <w:rPr>
                <w:color w:val="000000"/>
                <w:sz w:val="20"/>
              </w:rPr>
              <w:t>:</w:t>
            </w:r>
            <w:r w:rsidR="003746F2">
              <w:rPr>
                <w:color w:val="000000"/>
                <w:sz w:val="20"/>
              </w:rPr>
              <w:t xml:space="preserve"> i)</w:t>
            </w:r>
            <w:r w:rsidR="003E4F68">
              <w:rPr>
                <w:color w:val="000000"/>
                <w:sz w:val="20"/>
              </w:rPr>
              <w:t xml:space="preserve"> the median prices paid by the retailer’s customers</w:t>
            </w:r>
            <w:r w:rsidR="003746F2">
              <w:rPr>
                <w:color w:val="000000"/>
                <w:sz w:val="20"/>
              </w:rPr>
              <w:t xml:space="preserve">; ii) </w:t>
            </w:r>
            <w:r w:rsidR="002042CC">
              <w:rPr>
                <w:color w:val="000000"/>
                <w:sz w:val="20"/>
              </w:rPr>
              <w:t xml:space="preserve">the lowest cost generally available plans </w:t>
            </w:r>
            <w:r w:rsidR="001144E0">
              <w:rPr>
                <w:color w:val="000000"/>
                <w:sz w:val="20"/>
              </w:rPr>
              <w:t>offered by the retailer</w:t>
            </w:r>
            <w:r w:rsidR="003746F2">
              <w:rPr>
                <w:color w:val="000000"/>
                <w:sz w:val="20"/>
              </w:rPr>
              <w:t>;</w:t>
            </w:r>
            <w:r w:rsidR="00450122">
              <w:rPr>
                <w:color w:val="000000"/>
                <w:sz w:val="20"/>
              </w:rPr>
              <w:t xml:space="preserve"> and </w:t>
            </w:r>
            <w:r w:rsidR="003746F2">
              <w:rPr>
                <w:color w:val="000000"/>
                <w:sz w:val="20"/>
              </w:rPr>
              <w:t>iii)</w:t>
            </w:r>
            <w:r w:rsidR="00450122">
              <w:rPr>
                <w:color w:val="000000"/>
                <w:sz w:val="20"/>
              </w:rPr>
              <w:t xml:space="preserve"> the retailer’s standing offers.</w:t>
            </w:r>
            <w:r w:rsidR="009B595F">
              <w:rPr>
                <w:color w:val="000000"/>
                <w:sz w:val="20"/>
              </w:rPr>
              <w:t xml:space="preserve"> Retailers would also need to consider if </w:t>
            </w:r>
            <w:r w:rsidR="00D20F9F">
              <w:rPr>
                <w:color w:val="000000"/>
                <w:sz w:val="20"/>
              </w:rPr>
              <w:t xml:space="preserve">any benefits attached to customers’ plans may justify </w:t>
            </w:r>
            <w:r w:rsidR="00255C8F">
              <w:rPr>
                <w:color w:val="000000"/>
                <w:sz w:val="20"/>
              </w:rPr>
              <w:t>these customers paying prices above what would otherwise be considered unreasonable.</w:t>
            </w:r>
            <w:r w:rsidR="0089407C">
              <w:rPr>
                <w:color w:val="000000"/>
                <w:sz w:val="20"/>
              </w:rPr>
              <w:t xml:space="preserve"> </w:t>
            </w:r>
          </w:p>
          <w:p w14:paraId="150CCEEA" w14:textId="77777777" w:rsidR="00054683" w:rsidRDefault="00054683" w:rsidP="00127DDD">
            <w:pPr>
              <w:spacing w:before="0" w:line="240" w:lineRule="auto"/>
              <w:rPr>
                <w:color w:val="000000"/>
                <w:sz w:val="20"/>
              </w:rPr>
            </w:pPr>
          </w:p>
          <w:p w14:paraId="4EC2B251" w14:textId="77777777" w:rsidR="00531DD3" w:rsidRDefault="00194599" w:rsidP="00B06CF3">
            <w:pPr>
              <w:pStyle w:val="TableBody"/>
              <w:rPr>
                <w:color w:val="000000" w:themeColor="text1"/>
                <w:sz w:val="20"/>
                <w:szCs w:val="20"/>
                <w:lang w:val="en-AU"/>
              </w:rPr>
            </w:pPr>
            <w:r>
              <w:rPr>
                <w:color w:val="000000" w:themeColor="text1"/>
                <w:sz w:val="20"/>
                <w:szCs w:val="20"/>
                <w:lang w:val="en-AU"/>
              </w:rPr>
              <w:t>Unlike option D.1, most retailers would be affected</w:t>
            </w:r>
            <w:r w:rsidR="009D4EFE">
              <w:rPr>
                <w:color w:val="000000" w:themeColor="text1"/>
                <w:sz w:val="20"/>
                <w:szCs w:val="20"/>
                <w:lang w:val="en-AU"/>
              </w:rPr>
              <w:t xml:space="preserve">, and more customers would be affected overall. </w:t>
            </w:r>
          </w:p>
          <w:p w14:paraId="0DD50CCA" w14:textId="77777777" w:rsidR="00531DD3" w:rsidRDefault="00531DD3" w:rsidP="00B06CF3">
            <w:pPr>
              <w:pStyle w:val="TableBody"/>
              <w:rPr>
                <w:color w:val="000000" w:themeColor="text1"/>
                <w:sz w:val="20"/>
                <w:szCs w:val="20"/>
                <w:lang w:val="en-AU"/>
              </w:rPr>
            </w:pPr>
          </w:p>
          <w:p w14:paraId="2BC8C7E6" w14:textId="7F464E44" w:rsidR="003746F2" w:rsidRDefault="009D4EFE" w:rsidP="00B06CF3">
            <w:pPr>
              <w:pStyle w:val="TableBody"/>
              <w:rPr>
                <w:color w:val="000000"/>
                <w:sz w:val="20"/>
              </w:rPr>
            </w:pPr>
            <w:r>
              <w:rPr>
                <w:color w:val="000000" w:themeColor="text1"/>
                <w:sz w:val="20"/>
                <w:szCs w:val="20"/>
                <w:lang w:val="en-AU"/>
              </w:rPr>
              <w:t xml:space="preserve">Based on historical data, </w:t>
            </w:r>
            <w:r w:rsidR="006254AC">
              <w:rPr>
                <w:color w:val="000000" w:themeColor="text1"/>
                <w:sz w:val="20"/>
                <w:szCs w:val="20"/>
                <w:lang w:val="en-AU"/>
              </w:rPr>
              <w:t xml:space="preserve">retailers </w:t>
            </w:r>
            <w:r>
              <w:rPr>
                <w:color w:val="000000" w:themeColor="text1"/>
                <w:sz w:val="20"/>
                <w:szCs w:val="20"/>
                <w:lang w:val="en-AU"/>
              </w:rPr>
              <w:t xml:space="preserve">would </w:t>
            </w:r>
            <w:r w:rsidR="006254AC">
              <w:rPr>
                <w:color w:val="000000" w:themeColor="text1"/>
                <w:sz w:val="20"/>
                <w:szCs w:val="20"/>
                <w:lang w:val="en-AU"/>
              </w:rPr>
              <w:t xml:space="preserve">identify around </w:t>
            </w:r>
            <w:r>
              <w:rPr>
                <w:color w:val="000000" w:themeColor="text1"/>
                <w:sz w:val="20"/>
                <w:szCs w:val="20"/>
                <w:lang w:val="en-AU"/>
              </w:rPr>
              <w:t xml:space="preserve">27 to 53 thousand </w:t>
            </w:r>
            <w:r w:rsidR="006254AC">
              <w:rPr>
                <w:color w:val="000000" w:themeColor="text1"/>
                <w:sz w:val="20"/>
                <w:szCs w:val="20"/>
                <w:lang w:val="en-AU"/>
              </w:rPr>
              <w:t xml:space="preserve">customers under this option. </w:t>
            </w:r>
            <w:r w:rsidR="00B06CF3">
              <w:rPr>
                <w:color w:val="000000" w:themeColor="text1"/>
                <w:sz w:val="20"/>
                <w:szCs w:val="20"/>
                <w:lang w:val="en-AU"/>
              </w:rPr>
              <w:t xml:space="preserve">This would </w:t>
            </w:r>
            <w:r w:rsidR="00071E68">
              <w:rPr>
                <w:color w:val="000000" w:themeColor="text1"/>
                <w:sz w:val="20"/>
                <w:szCs w:val="20"/>
                <w:lang w:val="en-AU"/>
              </w:rPr>
              <w:t>need</w:t>
            </w:r>
            <w:r w:rsidR="00B06CF3">
              <w:rPr>
                <w:color w:val="000000" w:themeColor="text1"/>
                <w:sz w:val="20"/>
                <w:szCs w:val="20"/>
                <w:lang w:val="en-AU"/>
              </w:rPr>
              <w:t xml:space="preserve"> more retailers </w:t>
            </w:r>
            <w:r w:rsidR="00071E68">
              <w:rPr>
                <w:color w:val="000000" w:themeColor="text1"/>
                <w:sz w:val="20"/>
                <w:szCs w:val="20"/>
                <w:lang w:val="en-AU"/>
              </w:rPr>
              <w:t>to switch customers to cheaper plans</w:t>
            </w:r>
            <w:r w:rsidR="00B076B2">
              <w:rPr>
                <w:color w:val="000000" w:themeColor="text1"/>
                <w:sz w:val="20"/>
                <w:szCs w:val="20"/>
                <w:lang w:val="en-AU"/>
              </w:rPr>
              <w:t xml:space="preserve"> or provide them with a financial benefit (such as discounts or credits)</w:t>
            </w:r>
            <w:r w:rsidR="00071E68">
              <w:rPr>
                <w:color w:val="000000" w:themeColor="text1"/>
                <w:sz w:val="20"/>
                <w:szCs w:val="20"/>
                <w:lang w:val="en-AU"/>
              </w:rPr>
              <w:t xml:space="preserve"> to ensure compliance. </w:t>
            </w:r>
          </w:p>
          <w:p w14:paraId="02FBBEAF" w14:textId="77777777" w:rsidR="00297D86" w:rsidRDefault="00297D86" w:rsidP="00993746">
            <w:pPr>
              <w:spacing w:before="0" w:line="240" w:lineRule="auto"/>
              <w:rPr>
                <w:color w:val="000000"/>
                <w:sz w:val="20"/>
              </w:rPr>
            </w:pPr>
          </w:p>
          <w:p w14:paraId="2F84ACD3" w14:textId="0A69347B" w:rsidR="00D3133C" w:rsidRDefault="00D3133C" w:rsidP="00993746">
            <w:pPr>
              <w:spacing w:before="0" w:line="240" w:lineRule="auto"/>
              <w:rPr>
                <w:color w:val="000000"/>
                <w:sz w:val="20"/>
                <w:u w:val="single"/>
              </w:rPr>
            </w:pPr>
            <w:r>
              <w:rPr>
                <w:color w:val="000000"/>
                <w:sz w:val="20"/>
                <w:u w:val="single"/>
              </w:rPr>
              <w:t>Cost transfers</w:t>
            </w:r>
          </w:p>
          <w:p w14:paraId="2E95CAEB" w14:textId="77777777" w:rsidR="00053518" w:rsidRPr="00D3133C" w:rsidRDefault="00053518" w:rsidP="00993746">
            <w:pPr>
              <w:spacing w:before="0" w:line="240" w:lineRule="auto"/>
              <w:rPr>
                <w:color w:val="000000"/>
                <w:sz w:val="20"/>
                <w:u w:val="single"/>
              </w:rPr>
            </w:pPr>
          </w:p>
          <w:p w14:paraId="35CD5A33" w14:textId="42EA40DA" w:rsidR="00297D86" w:rsidRDefault="0082213E" w:rsidP="00993746">
            <w:pPr>
              <w:spacing w:before="0" w:line="240" w:lineRule="auto"/>
              <w:rPr>
                <w:color w:val="000000" w:themeColor="text1"/>
                <w:sz w:val="20"/>
                <w:szCs w:val="20"/>
              </w:rPr>
            </w:pPr>
            <w:r>
              <w:rPr>
                <w:color w:val="000000"/>
                <w:sz w:val="20"/>
                <w:szCs w:val="20"/>
              </w:rPr>
              <w:t xml:space="preserve">This option will also result in potential cost transfers between customers on older and newer contracts, or foregone revenue from energy retailers (depending on whether retailers absorb </w:t>
            </w:r>
            <w:r>
              <w:rPr>
                <w:color w:val="000000"/>
                <w:sz w:val="20"/>
                <w:szCs w:val="20"/>
              </w:rPr>
              <w:lastRenderedPageBreak/>
              <w:t>this cost due to competitive pressures or pass them on to other customers)</w:t>
            </w:r>
            <w:r w:rsidRPr="00CC61F1">
              <w:rPr>
                <w:color w:val="000000"/>
                <w:sz w:val="20"/>
                <w:lang w:val="en-US"/>
              </w:rPr>
              <w:t>.</w:t>
            </w:r>
            <w:r w:rsidRPr="634691F6">
              <w:rPr>
                <w:color w:val="000000" w:themeColor="text1"/>
                <w:sz w:val="20"/>
                <w:szCs w:val="20"/>
              </w:rPr>
              <w:t xml:space="preserve"> </w:t>
            </w:r>
            <w:r>
              <w:rPr>
                <w:color w:val="000000" w:themeColor="text1"/>
                <w:sz w:val="20"/>
                <w:szCs w:val="20"/>
              </w:rPr>
              <w:t>Based on historical data, the estimated potential impact for electricity retailers from this option range from</w:t>
            </w:r>
            <w:r w:rsidR="00D66A4D">
              <w:rPr>
                <w:color w:val="000000" w:themeColor="text1"/>
                <w:sz w:val="20"/>
                <w:szCs w:val="20"/>
              </w:rPr>
              <w:t xml:space="preserve"> around $10.1m to $12.2m per year</w:t>
            </w:r>
            <w:r>
              <w:rPr>
                <w:color w:val="000000" w:themeColor="text1"/>
                <w:sz w:val="20"/>
                <w:szCs w:val="20"/>
              </w:rPr>
              <w:t>. We have no data to make similar estimates for gas retailers. However, we expect that potential cost transfers or foregone revenue for gas retailers would be lower than for electricity retailers.</w:t>
            </w:r>
            <w:r w:rsidDel="005F1097">
              <w:rPr>
                <w:color w:val="000000" w:themeColor="text1"/>
                <w:sz w:val="20"/>
                <w:szCs w:val="20"/>
              </w:rPr>
              <w:t xml:space="preserve"> </w:t>
            </w:r>
          </w:p>
          <w:p w14:paraId="62D9D636" w14:textId="77777777" w:rsidR="00216BFF" w:rsidRDefault="00216BFF" w:rsidP="00993746">
            <w:pPr>
              <w:spacing w:before="0" w:line="240" w:lineRule="auto"/>
              <w:rPr>
                <w:color w:val="000000" w:themeColor="text1"/>
                <w:sz w:val="20"/>
                <w:szCs w:val="20"/>
              </w:rPr>
            </w:pPr>
          </w:p>
          <w:p w14:paraId="780BB5BB" w14:textId="63AFDD27" w:rsidR="00E14B92" w:rsidRDefault="00FD731F" w:rsidP="00993746">
            <w:pPr>
              <w:spacing w:before="0" w:line="240" w:lineRule="auto"/>
              <w:rPr>
                <w:color w:val="000000" w:themeColor="text1"/>
                <w:sz w:val="20"/>
                <w:szCs w:val="20"/>
              </w:rPr>
            </w:pPr>
            <w:r w:rsidRPr="009249D7">
              <w:rPr>
                <w:color w:val="000000" w:themeColor="text1"/>
                <w:sz w:val="20"/>
                <w:szCs w:val="20"/>
              </w:rPr>
              <w:t>While this is recorded as a cost in our assessment, the extent to which retailers can pass on these losses is limited by competitive pressure. Revenue that cannot be recovered reflects the normal operation of effective market competition.</w:t>
            </w:r>
          </w:p>
          <w:p w14:paraId="4E9D6828" w14:textId="77777777" w:rsidR="00FD731F" w:rsidRDefault="00FD731F" w:rsidP="00993746">
            <w:pPr>
              <w:spacing w:before="0" w:line="240" w:lineRule="auto"/>
              <w:rPr>
                <w:color w:val="000000" w:themeColor="text1"/>
                <w:sz w:val="20"/>
                <w:szCs w:val="20"/>
              </w:rPr>
            </w:pPr>
          </w:p>
          <w:p w14:paraId="24663583" w14:textId="77777777" w:rsidR="00E14B92" w:rsidRDefault="00E14B92" w:rsidP="00E14B92">
            <w:pPr>
              <w:pStyle w:val="TableBody"/>
              <w:rPr>
                <w:color w:val="000000" w:themeColor="text1"/>
                <w:sz w:val="20"/>
                <w:szCs w:val="20"/>
                <w:u w:val="single"/>
              </w:rPr>
            </w:pPr>
            <w:r>
              <w:rPr>
                <w:color w:val="000000" w:themeColor="text1"/>
                <w:sz w:val="20"/>
                <w:szCs w:val="20"/>
                <w:u w:val="single"/>
              </w:rPr>
              <w:t>Comparison with other options</w:t>
            </w:r>
          </w:p>
          <w:p w14:paraId="7566E6CD" w14:textId="77777777" w:rsidR="001368D3" w:rsidRPr="006F05C6" w:rsidRDefault="001368D3" w:rsidP="00E14B92">
            <w:pPr>
              <w:pStyle w:val="TableBody"/>
              <w:rPr>
                <w:color w:val="000000" w:themeColor="text1"/>
                <w:sz w:val="20"/>
                <w:szCs w:val="20"/>
                <w:u w:val="single"/>
              </w:rPr>
            </w:pPr>
          </w:p>
          <w:p w14:paraId="6259B776" w14:textId="31790F4F" w:rsidR="00A46E05" w:rsidRPr="00E06991" w:rsidRDefault="00E14B92" w:rsidP="007E1235">
            <w:pPr>
              <w:spacing w:before="0" w:line="240" w:lineRule="auto"/>
              <w:rPr>
                <w:color w:val="000000" w:themeColor="text1"/>
                <w:sz w:val="20"/>
                <w:szCs w:val="20"/>
              </w:rPr>
            </w:pPr>
            <w:r>
              <w:rPr>
                <w:color w:val="000000" w:themeColor="text1"/>
                <w:sz w:val="20"/>
                <w:szCs w:val="20"/>
              </w:rPr>
              <w:t>The compliance costs for this option are higher than for Option D.1</w:t>
            </w:r>
            <w:r w:rsidR="00A979A7">
              <w:rPr>
                <w:color w:val="000000" w:themeColor="text1"/>
                <w:sz w:val="20"/>
                <w:szCs w:val="20"/>
              </w:rPr>
              <w:t xml:space="preserve"> as retailers would not be </w:t>
            </w:r>
            <w:r w:rsidR="008E090E">
              <w:rPr>
                <w:color w:val="000000" w:themeColor="text1"/>
                <w:sz w:val="20"/>
                <w:szCs w:val="20"/>
              </w:rPr>
              <w:t>able to leverage existing systems and practices as easily</w:t>
            </w:r>
            <w:r w:rsidR="000548AB">
              <w:rPr>
                <w:color w:val="000000" w:themeColor="text1"/>
                <w:sz w:val="20"/>
                <w:szCs w:val="20"/>
              </w:rPr>
              <w:t>.</w:t>
            </w:r>
            <w:r w:rsidR="008B4578">
              <w:rPr>
                <w:color w:val="000000" w:themeColor="text1"/>
                <w:sz w:val="20"/>
                <w:szCs w:val="20"/>
              </w:rPr>
              <w:t xml:space="preserve"> </w:t>
            </w:r>
            <w:r w:rsidR="00AF36EE">
              <w:rPr>
                <w:color w:val="000000" w:themeColor="text1"/>
                <w:sz w:val="20"/>
                <w:szCs w:val="20"/>
              </w:rPr>
              <w:t>However, they are lower than for Option D.</w:t>
            </w:r>
            <w:r w:rsidR="007E1235">
              <w:rPr>
                <w:color w:val="000000" w:themeColor="text1"/>
                <w:sz w:val="20"/>
                <w:szCs w:val="20"/>
              </w:rPr>
              <w:t>3</w:t>
            </w:r>
            <w:r w:rsidR="00AF36EE">
              <w:rPr>
                <w:color w:val="000000" w:themeColor="text1"/>
                <w:sz w:val="20"/>
                <w:szCs w:val="20"/>
              </w:rPr>
              <w:t xml:space="preserve">, as explained below. </w:t>
            </w:r>
            <w:r>
              <w:rPr>
                <w:color w:val="000000" w:themeColor="text1"/>
                <w:sz w:val="20"/>
                <w:szCs w:val="20"/>
              </w:rPr>
              <w:t>The estimated potential cost transfers are</w:t>
            </w:r>
            <w:r w:rsidR="00217166">
              <w:rPr>
                <w:color w:val="000000" w:themeColor="text1"/>
                <w:sz w:val="20"/>
                <w:szCs w:val="20"/>
              </w:rPr>
              <w:t xml:space="preserve"> </w:t>
            </w:r>
            <w:r>
              <w:rPr>
                <w:color w:val="000000" w:themeColor="text1"/>
                <w:sz w:val="20"/>
                <w:szCs w:val="20"/>
              </w:rPr>
              <w:t xml:space="preserve">significantly </w:t>
            </w:r>
            <w:r w:rsidR="00195CBB">
              <w:rPr>
                <w:color w:val="000000" w:themeColor="text1"/>
                <w:sz w:val="20"/>
                <w:szCs w:val="20"/>
              </w:rPr>
              <w:t>higher</w:t>
            </w:r>
            <w:r>
              <w:rPr>
                <w:color w:val="000000" w:themeColor="text1"/>
                <w:sz w:val="20"/>
                <w:szCs w:val="20"/>
              </w:rPr>
              <w:t xml:space="preserve"> than for Option D.</w:t>
            </w:r>
            <w:r w:rsidR="00195CBB">
              <w:rPr>
                <w:color w:val="000000" w:themeColor="text1"/>
                <w:sz w:val="20"/>
                <w:szCs w:val="20"/>
              </w:rPr>
              <w:t>1</w:t>
            </w:r>
            <w:r w:rsidR="00217166">
              <w:rPr>
                <w:color w:val="000000" w:themeColor="text1"/>
                <w:sz w:val="20"/>
                <w:szCs w:val="20"/>
              </w:rPr>
              <w:t xml:space="preserve"> and </w:t>
            </w:r>
            <w:r w:rsidR="007E1235">
              <w:rPr>
                <w:color w:val="000000" w:themeColor="text1"/>
                <w:sz w:val="20"/>
                <w:szCs w:val="20"/>
              </w:rPr>
              <w:t>slightly lower than for Option D.3</w:t>
            </w:r>
            <w:r>
              <w:rPr>
                <w:color w:val="000000" w:themeColor="text1"/>
                <w:sz w:val="20"/>
                <w:szCs w:val="20"/>
              </w:rPr>
              <w:t>.</w:t>
            </w:r>
            <w:r w:rsidR="007E1235" w:rsidDel="007E1235">
              <w:rPr>
                <w:color w:val="000000"/>
                <w:sz w:val="20"/>
              </w:rPr>
              <w:t xml:space="preserve"> </w:t>
            </w:r>
          </w:p>
        </w:tc>
        <w:tc>
          <w:tcPr>
            <w:tcW w:w="1275" w:type="dxa"/>
          </w:tcPr>
          <w:p w14:paraId="6693A2A4" w14:textId="0C4D1275" w:rsidR="007D7F1B" w:rsidRPr="003A2A04" w:rsidRDefault="00DE22A3" w:rsidP="003A2A04">
            <w:pPr>
              <w:pStyle w:val="TableBody"/>
              <w:jc w:val="center"/>
              <w:rPr>
                <w:color w:val="000000"/>
                <w:sz w:val="20"/>
                <w:szCs w:val="20"/>
              </w:rPr>
            </w:pPr>
            <w:r>
              <w:rPr>
                <w:color w:val="000000"/>
                <w:sz w:val="20"/>
                <w:szCs w:val="20"/>
              </w:rPr>
              <w:lastRenderedPageBreak/>
              <w:t>-</w:t>
            </w:r>
            <w:r w:rsidR="00A41C53">
              <w:rPr>
                <w:color w:val="000000"/>
                <w:sz w:val="20"/>
                <w:szCs w:val="20"/>
              </w:rPr>
              <w:t>5.5</w:t>
            </w:r>
          </w:p>
        </w:tc>
        <w:tc>
          <w:tcPr>
            <w:tcW w:w="1133" w:type="dxa"/>
            <w:hideMark/>
          </w:tcPr>
          <w:p w14:paraId="26E00E93" w14:textId="70E20727" w:rsidR="00A46E05" w:rsidRPr="003A2A04" w:rsidRDefault="00A46E05" w:rsidP="003A2A04">
            <w:pPr>
              <w:pStyle w:val="TableBody"/>
              <w:jc w:val="center"/>
              <w:rPr>
                <w:color w:val="000000"/>
                <w:sz w:val="20"/>
                <w:szCs w:val="20"/>
              </w:rPr>
            </w:pPr>
            <w:r w:rsidRPr="003A2A04">
              <w:rPr>
                <w:color w:val="000000"/>
                <w:sz w:val="20"/>
                <w:szCs w:val="20"/>
              </w:rPr>
              <w:t>-</w:t>
            </w:r>
            <w:r w:rsidR="00A41C53">
              <w:rPr>
                <w:color w:val="000000"/>
                <w:sz w:val="20"/>
                <w:szCs w:val="20"/>
              </w:rPr>
              <w:t>2</w:t>
            </w:r>
            <w:r w:rsidRPr="003A2A04">
              <w:rPr>
                <w:color w:val="000000"/>
                <w:sz w:val="20"/>
                <w:szCs w:val="20"/>
              </w:rPr>
              <w:t>.</w:t>
            </w:r>
            <w:r w:rsidR="00A41C53">
              <w:rPr>
                <w:color w:val="000000"/>
                <w:sz w:val="20"/>
                <w:szCs w:val="20"/>
              </w:rPr>
              <w:t>2</w:t>
            </w:r>
          </w:p>
        </w:tc>
      </w:tr>
      <w:tr w:rsidR="00A46E05" w:rsidRPr="003A2A04" w14:paraId="2C6C3C74" w14:textId="77777777" w:rsidTr="00763DAE">
        <w:trPr>
          <w:cnfStyle w:val="000000100000" w:firstRow="0" w:lastRow="0" w:firstColumn="0" w:lastColumn="0" w:oddVBand="0" w:evenVBand="0" w:oddHBand="1" w:evenHBand="0" w:firstRowFirstColumn="0" w:firstRowLastColumn="0" w:lastRowFirstColumn="0" w:lastRowLastColumn="0"/>
        </w:trPr>
        <w:tc>
          <w:tcPr>
            <w:tcW w:w="851" w:type="dxa"/>
            <w:hideMark/>
          </w:tcPr>
          <w:p w14:paraId="01611123" w14:textId="77777777" w:rsidR="00A46E05" w:rsidRPr="003A2A04" w:rsidRDefault="00A46E05" w:rsidP="003A2A04">
            <w:pPr>
              <w:pStyle w:val="TableBody"/>
              <w:rPr>
                <w:color w:val="000000"/>
                <w:sz w:val="20"/>
                <w:szCs w:val="20"/>
              </w:rPr>
            </w:pPr>
            <w:r w:rsidRPr="003A2A04">
              <w:rPr>
                <w:color w:val="000000"/>
                <w:sz w:val="20"/>
                <w:szCs w:val="20"/>
              </w:rPr>
              <w:t>D.3</w:t>
            </w:r>
          </w:p>
        </w:tc>
        <w:tc>
          <w:tcPr>
            <w:tcW w:w="1704" w:type="dxa"/>
            <w:hideMark/>
          </w:tcPr>
          <w:p w14:paraId="03DB23B1" w14:textId="77777777" w:rsidR="00A46E05" w:rsidRPr="003A2A04" w:rsidRDefault="00A46E05" w:rsidP="003A2A04">
            <w:pPr>
              <w:pStyle w:val="TableBody"/>
              <w:rPr>
                <w:color w:val="000000"/>
                <w:sz w:val="20"/>
                <w:szCs w:val="20"/>
              </w:rPr>
            </w:pPr>
            <w:r w:rsidRPr="003A2A04">
              <w:rPr>
                <w:color w:val="000000"/>
                <w:sz w:val="20"/>
                <w:szCs w:val="20"/>
              </w:rPr>
              <w:t>Cost to industry</w:t>
            </w:r>
          </w:p>
        </w:tc>
        <w:tc>
          <w:tcPr>
            <w:tcW w:w="4675" w:type="dxa"/>
            <w:hideMark/>
          </w:tcPr>
          <w:p w14:paraId="4CC996D8" w14:textId="3099F2E1" w:rsidR="00E77779" w:rsidRDefault="00E77779" w:rsidP="634691F6">
            <w:pPr>
              <w:pStyle w:val="TableBody"/>
              <w:rPr>
                <w:color w:val="000000" w:themeColor="text1"/>
                <w:sz w:val="20"/>
                <w:szCs w:val="20"/>
                <w:u w:val="single"/>
                <w:lang w:val="en-AU"/>
              </w:rPr>
            </w:pPr>
            <w:r>
              <w:rPr>
                <w:color w:val="000000" w:themeColor="text1"/>
                <w:sz w:val="20"/>
                <w:szCs w:val="20"/>
                <w:u w:val="single"/>
                <w:lang w:val="en-AU"/>
              </w:rPr>
              <w:t>Compliance costs</w:t>
            </w:r>
          </w:p>
          <w:p w14:paraId="58DE4BF3" w14:textId="1013F1DB" w:rsidR="00E77779" w:rsidRDefault="00E77779" w:rsidP="634691F6">
            <w:pPr>
              <w:pStyle w:val="TableBody"/>
              <w:rPr>
                <w:color w:val="000000" w:themeColor="text1"/>
                <w:sz w:val="20"/>
                <w:szCs w:val="20"/>
                <w:lang w:val="en-AU"/>
              </w:rPr>
            </w:pPr>
          </w:p>
          <w:p w14:paraId="4D8CB361" w14:textId="77777777" w:rsidR="00ED53C9" w:rsidRDefault="000B2893" w:rsidP="634691F6">
            <w:pPr>
              <w:pStyle w:val="TableBody"/>
              <w:rPr>
                <w:color w:val="000000" w:themeColor="text1"/>
                <w:sz w:val="20"/>
                <w:szCs w:val="20"/>
                <w:lang w:val="en-AU"/>
              </w:rPr>
            </w:pPr>
            <w:r>
              <w:rPr>
                <w:color w:val="000000" w:themeColor="text1"/>
                <w:sz w:val="20"/>
                <w:szCs w:val="20"/>
                <w:lang w:val="en-AU"/>
              </w:rPr>
              <w:t xml:space="preserve">A prescriptive definition of reasonable price would be easier to follow and </w:t>
            </w:r>
            <w:r w:rsidR="003C0A9B">
              <w:rPr>
                <w:color w:val="000000" w:themeColor="text1"/>
                <w:sz w:val="20"/>
                <w:szCs w:val="20"/>
                <w:lang w:val="en-AU"/>
              </w:rPr>
              <w:t xml:space="preserve">would provide more certainty </w:t>
            </w:r>
            <w:r w:rsidR="00FE164E">
              <w:rPr>
                <w:color w:val="000000" w:themeColor="text1"/>
                <w:sz w:val="20"/>
                <w:szCs w:val="20"/>
                <w:lang w:val="en-AU"/>
              </w:rPr>
              <w:t xml:space="preserve">for retailers to identify affected customers. </w:t>
            </w:r>
            <w:r w:rsidR="001E0EB4">
              <w:rPr>
                <w:color w:val="000000" w:themeColor="text1"/>
                <w:sz w:val="20"/>
                <w:szCs w:val="20"/>
                <w:lang w:val="en-AU"/>
              </w:rPr>
              <w:t>Unlike Option D.2, retailers would not need to consider other factors to</w:t>
            </w:r>
            <w:r w:rsidR="00A35E29">
              <w:rPr>
                <w:color w:val="000000" w:themeColor="text1"/>
                <w:sz w:val="20"/>
                <w:szCs w:val="20"/>
                <w:lang w:val="en-AU"/>
              </w:rPr>
              <w:t xml:space="preserve"> </w:t>
            </w:r>
            <w:r w:rsidR="001E0EB4">
              <w:rPr>
                <w:color w:val="000000" w:themeColor="text1"/>
                <w:sz w:val="20"/>
                <w:szCs w:val="20"/>
                <w:lang w:val="en-AU"/>
              </w:rPr>
              <w:t>determine whether customers are paying a reasonable price</w:t>
            </w:r>
            <w:r w:rsidR="00DE5BC8">
              <w:rPr>
                <w:color w:val="000000" w:themeColor="text1"/>
                <w:sz w:val="20"/>
                <w:szCs w:val="20"/>
                <w:lang w:val="en-AU"/>
              </w:rPr>
              <w:t>. This would be limited to determining whether customers on older contracts are paying above the VDO</w:t>
            </w:r>
            <w:r w:rsidR="00407AC8">
              <w:rPr>
                <w:color w:val="000000" w:themeColor="text1"/>
                <w:sz w:val="20"/>
                <w:szCs w:val="20"/>
                <w:lang w:val="en-AU"/>
              </w:rPr>
              <w:t xml:space="preserve">, for example. </w:t>
            </w:r>
            <w:r w:rsidR="00ED53C9">
              <w:rPr>
                <w:color w:val="000000" w:themeColor="text1"/>
                <w:sz w:val="20"/>
                <w:szCs w:val="20"/>
                <w:lang w:val="en-AU"/>
              </w:rPr>
              <w:t>This means retailers would incur less costs than Option D.2 related to updating systems and practices to identify customers who may be paying unreasonable prices.</w:t>
            </w:r>
          </w:p>
          <w:p w14:paraId="54E717DA" w14:textId="77777777" w:rsidR="00ED53C9" w:rsidRDefault="00ED53C9" w:rsidP="634691F6">
            <w:pPr>
              <w:pStyle w:val="TableBody"/>
              <w:rPr>
                <w:color w:val="000000" w:themeColor="text1"/>
                <w:sz w:val="20"/>
                <w:szCs w:val="20"/>
                <w:lang w:val="en-AU"/>
              </w:rPr>
            </w:pPr>
          </w:p>
          <w:p w14:paraId="2952E69C" w14:textId="2A394F11" w:rsidR="000B2893" w:rsidRDefault="00956B79" w:rsidP="634691F6">
            <w:pPr>
              <w:pStyle w:val="TableBody"/>
              <w:rPr>
                <w:color w:val="000000" w:themeColor="text1"/>
                <w:sz w:val="20"/>
                <w:szCs w:val="20"/>
                <w:lang w:val="en-AU"/>
              </w:rPr>
            </w:pPr>
            <w:r>
              <w:rPr>
                <w:color w:val="000000" w:themeColor="text1"/>
                <w:sz w:val="20"/>
                <w:szCs w:val="20"/>
                <w:lang w:val="en-AU"/>
              </w:rPr>
              <w:t xml:space="preserve">However, </w:t>
            </w:r>
            <w:r w:rsidR="0035446A">
              <w:rPr>
                <w:color w:val="000000" w:themeColor="text1"/>
                <w:sz w:val="20"/>
                <w:szCs w:val="20"/>
                <w:lang w:val="en-AU"/>
              </w:rPr>
              <w:t>this option would in practice establish a cap for customers on older contracts</w:t>
            </w:r>
            <w:r w:rsidR="008B5391">
              <w:rPr>
                <w:color w:val="000000" w:themeColor="text1"/>
                <w:sz w:val="20"/>
                <w:szCs w:val="20"/>
                <w:lang w:val="en-AU"/>
              </w:rPr>
              <w:t xml:space="preserve">. This would require retailers </w:t>
            </w:r>
            <w:r w:rsidR="00CC201F">
              <w:rPr>
                <w:color w:val="000000" w:themeColor="text1"/>
                <w:sz w:val="20"/>
                <w:szCs w:val="20"/>
                <w:lang w:val="en-AU"/>
              </w:rPr>
              <w:t xml:space="preserve">to reconsider </w:t>
            </w:r>
            <w:r w:rsidR="00321CD9">
              <w:rPr>
                <w:color w:val="000000" w:themeColor="text1"/>
                <w:sz w:val="20"/>
                <w:szCs w:val="20"/>
                <w:lang w:val="en-AU"/>
              </w:rPr>
              <w:t>more extensively</w:t>
            </w:r>
            <w:r w:rsidR="008B1DF7">
              <w:rPr>
                <w:color w:val="000000" w:themeColor="text1"/>
                <w:sz w:val="20"/>
                <w:szCs w:val="20"/>
                <w:lang w:val="en-AU"/>
              </w:rPr>
              <w:t xml:space="preserve"> </w:t>
            </w:r>
            <w:r w:rsidR="00CC201F">
              <w:rPr>
                <w:color w:val="000000" w:themeColor="text1"/>
                <w:sz w:val="20"/>
                <w:szCs w:val="20"/>
                <w:lang w:val="en-AU"/>
              </w:rPr>
              <w:t xml:space="preserve">their </w:t>
            </w:r>
            <w:r w:rsidR="001D56ED">
              <w:rPr>
                <w:color w:val="000000" w:themeColor="text1"/>
                <w:sz w:val="20"/>
                <w:szCs w:val="20"/>
                <w:lang w:val="en-AU"/>
              </w:rPr>
              <w:t>offers</w:t>
            </w:r>
            <w:r w:rsidR="00CC201F">
              <w:rPr>
                <w:color w:val="000000" w:themeColor="text1"/>
                <w:sz w:val="20"/>
                <w:szCs w:val="20"/>
                <w:lang w:val="en-AU"/>
              </w:rPr>
              <w:t xml:space="preserve"> and approaches to repricing customers on newer contracts</w:t>
            </w:r>
            <w:r w:rsidR="00321CD9">
              <w:rPr>
                <w:color w:val="000000" w:themeColor="text1"/>
                <w:sz w:val="20"/>
                <w:szCs w:val="20"/>
                <w:lang w:val="en-AU"/>
              </w:rPr>
              <w:t xml:space="preserve">. </w:t>
            </w:r>
            <w:r w:rsidR="00EF2726">
              <w:rPr>
                <w:color w:val="000000" w:themeColor="text1"/>
                <w:sz w:val="20"/>
                <w:szCs w:val="20"/>
                <w:lang w:val="en-AU"/>
              </w:rPr>
              <w:t xml:space="preserve">This would involve reviewing plans that may have additional benefits and would no longer be sustainable under a prescriptive cap for older contracts. For this reason, </w:t>
            </w:r>
            <w:r w:rsidR="00321CD9">
              <w:rPr>
                <w:color w:val="000000" w:themeColor="text1"/>
                <w:sz w:val="20"/>
                <w:szCs w:val="20"/>
                <w:lang w:val="en-AU"/>
              </w:rPr>
              <w:t xml:space="preserve">this option is more likely to </w:t>
            </w:r>
            <w:r w:rsidR="00780BA7">
              <w:rPr>
                <w:color w:val="000000" w:themeColor="text1"/>
                <w:sz w:val="20"/>
                <w:szCs w:val="20"/>
                <w:lang w:val="en-AU"/>
              </w:rPr>
              <w:t xml:space="preserve">require retailers </w:t>
            </w:r>
            <w:r w:rsidR="00D96C04">
              <w:rPr>
                <w:color w:val="000000" w:themeColor="text1"/>
                <w:sz w:val="20"/>
                <w:szCs w:val="20"/>
                <w:lang w:val="en-AU"/>
              </w:rPr>
              <w:t>to</w:t>
            </w:r>
            <w:r w:rsidR="00126A9D">
              <w:rPr>
                <w:color w:val="000000" w:themeColor="text1"/>
                <w:sz w:val="20"/>
                <w:szCs w:val="20"/>
                <w:lang w:val="en-AU"/>
              </w:rPr>
              <w:t xml:space="preserve"> incur additional costs</w:t>
            </w:r>
            <w:r w:rsidR="009653EB">
              <w:rPr>
                <w:color w:val="000000" w:themeColor="text1"/>
                <w:sz w:val="20"/>
                <w:szCs w:val="20"/>
                <w:lang w:val="en-AU"/>
              </w:rPr>
              <w:t xml:space="preserve"> compare</w:t>
            </w:r>
            <w:r w:rsidR="00F1770E">
              <w:rPr>
                <w:color w:val="000000" w:themeColor="text1"/>
                <w:sz w:val="20"/>
                <w:szCs w:val="20"/>
                <w:lang w:val="en-AU"/>
              </w:rPr>
              <w:t>d</w:t>
            </w:r>
            <w:r w:rsidR="009653EB">
              <w:rPr>
                <w:color w:val="000000" w:themeColor="text1"/>
                <w:sz w:val="20"/>
                <w:szCs w:val="20"/>
                <w:lang w:val="en-AU"/>
              </w:rPr>
              <w:t xml:space="preserve"> to Options D.1 and D.2</w:t>
            </w:r>
            <w:r w:rsidR="00126A9D">
              <w:rPr>
                <w:color w:val="000000" w:themeColor="text1"/>
                <w:sz w:val="20"/>
                <w:szCs w:val="20"/>
                <w:lang w:val="en-AU"/>
              </w:rPr>
              <w:t xml:space="preserve"> </w:t>
            </w:r>
            <w:r w:rsidR="00AA1EB5">
              <w:rPr>
                <w:color w:val="000000" w:themeColor="text1"/>
                <w:sz w:val="20"/>
                <w:szCs w:val="20"/>
                <w:lang w:val="en-AU"/>
              </w:rPr>
              <w:t>to reconsider their pricing strategies</w:t>
            </w:r>
            <w:r w:rsidR="00892066">
              <w:rPr>
                <w:color w:val="000000" w:themeColor="text1"/>
                <w:sz w:val="20"/>
                <w:szCs w:val="20"/>
                <w:lang w:val="en-AU"/>
              </w:rPr>
              <w:t>.</w:t>
            </w:r>
            <w:r w:rsidR="00E8726C">
              <w:rPr>
                <w:color w:val="000000" w:themeColor="text1"/>
                <w:sz w:val="20"/>
                <w:szCs w:val="20"/>
                <w:lang w:val="en-AU"/>
              </w:rPr>
              <w:t xml:space="preserve"> This could also result in additional </w:t>
            </w:r>
            <w:r w:rsidR="00DB20E2">
              <w:rPr>
                <w:color w:val="000000" w:themeColor="text1"/>
                <w:sz w:val="20"/>
                <w:szCs w:val="20"/>
                <w:lang w:val="en-AU"/>
              </w:rPr>
              <w:t>cost transfers, beyond those estimated below.</w:t>
            </w:r>
          </w:p>
          <w:p w14:paraId="0F196A3B" w14:textId="77777777" w:rsidR="00BC1393" w:rsidRDefault="00BC1393" w:rsidP="634691F6">
            <w:pPr>
              <w:pStyle w:val="TableBody"/>
              <w:rPr>
                <w:color w:val="000000" w:themeColor="text1"/>
                <w:sz w:val="20"/>
                <w:szCs w:val="20"/>
                <w:lang w:val="en-AU"/>
              </w:rPr>
            </w:pPr>
          </w:p>
          <w:p w14:paraId="7F28510D" w14:textId="089F7500" w:rsidR="00BC1393" w:rsidRDefault="00C51D7C" w:rsidP="00BA4A74">
            <w:pPr>
              <w:pStyle w:val="TableBody"/>
              <w:rPr>
                <w:color w:val="000000"/>
                <w:sz w:val="20"/>
              </w:rPr>
            </w:pPr>
            <w:r>
              <w:rPr>
                <w:color w:val="000000" w:themeColor="text1"/>
                <w:sz w:val="20"/>
                <w:szCs w:val="20"/>
                <w:lang w:val="en-AU"/>
              </w:rPr>
              <w:t>Based on historical data, w</w:t>
            </w:r>
            <w:r w:rsidR="00BC1393">
              <w:rPr>
                <w:color w:val="000000" w:themeColor="text1"/>
                <w:sz w:val="20"/>
                <w:szCs w:val="20"/>
                <w:lang w:val="en-AU"/>
              </w:rPr>
              <w:t xml:space="preserve">e estimate that retailers </w:t>
            </w:r>
            <w:r>
              <w:rPr>
                <w:color w:val="000000" w:themeColor="text1"/>
                <w:sz w:val="20"/>
                <w:szCs w:val="20"/>
                <w:lang w:val="en-AU"/>
              </w:rPr>
              <w:t xml:space="preserve">would </w:t>
            </w:r>
            <w:r w:rsidR="00BC1393">
              <w:rPr>
                <w:color w:val="000000" w:themeColor="text1"/>
                <w:sz w:val="20"/>
                <w:szCs w:val="20"/>
                <w:lang w:val="en-AU"/>
              </w:rPr>
              <w:t xml:space="preserve">identify </w:t>
            </w:r>
            <w:r w:rsidR="0093733D">
              <w:rPr>
                <w:color w:val="000000" w:themeColor="text1"/>
                <w:sz w:val="20"/>
                <w:szCs w:val="20"/>
                <w:lang w:val="en-AU"/>
              </w:rPr>
              <w:t>at least</w:t>
            </w:r>
            <w:r w:rsidR="00BC1393">
              <w:rPr>
                <w:color w:val="000000" w:themeColor="text1"/>
                <w:sz w:val="20"/>
                <w:szCs w:val="20"/>
                <w:lang w:val="en-AU"/>
              </w:rPr>
              <w:t xml:space="preserve"> 53</w:t>
            </w:r>
            <w:r>
              <w:rPr>
                <w:color w:val="000000" w:themeColor="text1"/>
                <w:sz w:val="20"/>
                <w:szCs w:val="20"/>
                <w:lang w:val="en-AU"/>
              </w:rPr>
              <w:t xml:space="preserve"> thousand </w:t>
            </w:r>
            <w:r w:rsidR="00BC1393">
              <w:rPr>
                <w:color w:val="000000" w:themeColor="text1"/>
                <w:sz w:val="20"/>
                <w:szCs w:val="20"/>
                <w:lang w:val="en-AU"/>
              </w:rPr>
              <w:t xml:space="preserve">customers </w:t>
            </w:r>
            <w:r w:rsidR="0093733D">
              <w:rPr>
                <w:color w:val="000000" w:themeColor="text1"/>
                <w:sz w:val="20"/>
                <w:szCs w:val="20"/>
                <w:lang w:val="en-AU"/>
              </w:rPr>
              <w:t xml:space="preserve">(and potentially more) </w:t>
            </w:r>
            <w:r w:rsidR="00BC1393">
              <w:rPr>
                <w:color w:val="000000" w:themeColor="text1"/>
                <w:sz w:val="20"/>
                <w:szCs w:val="20"/>
                <w:lang w:val="en-AU"/>
              </w:rPr>
              <w:t xml:space="preserve">under this option. </w:t>
            </w:r>
            <w:r>
              <w:rPr>
                <w:color w:val="000000" w:themeColor="text1"/>
                <w:sz w:val="20"/>
                <w:szCs w:val="20"/>
                <w:lang w:val="en-AU"/>
              </w:rPr>
              <w:t xml:space="preserve">This option would lead to </w:t>
            </w:r>
            <w:r w:rsidR="00BC065E">
              <w:rPr>
                <w:color w:val="000000" w:themeColor="text1"/>
                <w:sz w:val="20"/>
                <w:szCs w:val="20"/>
                <w:lang w:val="en-AU"/>
              </w:rPr>
              <w:t xml:space="preserve">highest </w:t>
            </w:r>
            <w:r w:rsidR="00BC1393">
              <w:rPr>
                <w:color w:val="000000" w:themeColor="text1"/>
                <w:sz w:val="20"/>
                <w:szCs w:val="20"/>
                <w:lang w:val="en-AU"/>
              </w:rPr>
              <w:t xml:space="preserve">number of customers </w:t>
            </w:r>
            <w:r w:rsidR="00BC1393">
              <w:rPr>
                <w:color w:val="000000" w:themeColor="text1"/>
                <w:sz w:val="20"/>
                <w:szCs w:val="20"/>
                <w:lang w:val="en-AU"/>
              </w:rPr>
              <w:lastRenderedPageBreak/>
              <w:t>affected</w:t>
            </w:r>
            <w:r w:rsidR="003D259D">
              <w:rPr>
                <w:color w:val="000000" w:themeColor="text1"/>
                <w:sz w:val="20"/>
                <w:szCs w:val="20"/>
                <w:lang w:val="en-AU"/>
              </w:rPr>
              <w:t xml:space="preserve"> compared to Options D.1 and D.2</w:t>
            </w:r>
            <w:r w:rsidR="00BC065E">
              <w:rPr>
                <w:color w:val="000000" w:themeColor="text1"/>
                <w:sz w:val="20"/>
                <w:szCs w:val="20"/>
                <w:lang w:val="en-AU"/>
              </w:rPr>
              <w:t xml:space="preserve">, and also requires retailers </w:t>
            </w:r>
            <w:r w:rsidR="00BA4A74">
              <w:rPr>
                <w:color w:val="000000" w:themeColor="text1"/>
                <w:sz w:val="20"/>
                <w:szCs w:val="20"/>
                <w:lang w:val="en-AU"/>
              </w:rPr>
              <w:t xml:space="preserve">to switch more customers or provide them with a </w:t>
            </w:r>
            <w:r w:rsidR="00BC1393">
              <w:rPr>
                <w:color w:val="000000" w:themeColor="text1"/>
                <w:sz w:val="20"/>
                <w:szCs w:val="20"/>
                <w:lang w:val="en-AU"/>
              </w:rPr>
              <w:t>financial benefit to ensure compliance. This would lead to higher compliance costs than Option</w:t>
            </w:r>
            <w:r w:rsidR="00BA4A74">
              <w:rPr>
                <w:color w:val="000000" w:themeColor="text1"/>
                <w:sz w:val="20"/>
                <w:szCs w:val="20"/>
                <w:lang w:val="en-AU"/>
              </w:rPr>
              <w:t>s</w:t>
            </w:r>
            <w:r w:rsidR="00BC1393">
              <w:rPr>
                <w:color w:val="000000" w:themeColor="text1"/>
                <w:sz w:val="20"/>
                <w:szCs w:val="20"/>
                <w:lang w:val="en-AU"/>
              </w:rPr>
              <w:t xml:space="preserve"> D.1</w:t>
            </w:r>
            <w:r w:rsidR="00BA4A74">
              <w:rPr>
                <w:color w:val="000000" w:themeColor="text1"/>
                <w:sz w:val="20"/>
                <w:szCs w:val="20"/>
                <w:lang w:val="en-AU"/>
              </w:rPr>
              <w:t xml:space="preserve"> and D.2.</w:t>
            </w:r>
          </w:p>
          <w:p w14:paraId="0EEDCE6D" w14:textId="77777777" w:rsidR="006F4527" w:rsidRDefault="006F4527" w:rsidP="634691F6">
            <w:pPr>
              <w:pStyle w:val="TableBody"/>
              <w:rPr>
                <w:color w:val="000000" w:themeColor="text1"/>
                <w:sz w:val="20"/>
                <w:szCs w:val="20"/>
                <w:lang w:val="en-AU"/>
              </w:rPr>
            </w:pPr>
          </w:p>
          <w:p w14:paraId="5A20B865" w14:textId="77777777" w:rsidR="00DB20E2" w:rsidRDefault="00DB20E2" w:rsidP="00DB20E2">
            <w:pPr>
              <w:spacing w:before="0" w:line="240" w:lineRule="auto"/>
              <w:rPr>
                <w:color w:val="000000"/>
                <w:sz w:val="20"/>
                <w:u w:val="single"/>
              </w:rPr>
            </w:pPr>
            <w:r>
              <w:rPr>
                <w:color w:val="000000"/>
                <w:sz w:val="20"/>
                <w:u w:val="single"/>
              </w:rPr>
              <w:t>Cost transfers</w:t>
            </w:r>
          </w:p>
          <w:p w14:paraId="344ECE46" w14:textId="77777777" w:rsidR="00DB20E2" w:rsidRPr="00D3133C" w:rsidRDefault="00DB20E2" w:rsidP="00DB20E2">
            <w:pPr>
              <w:spacing w:before="0" w:line="240" w:lineRule="auto"/>
              <w:rPr>
                <w:color w:val="000000"/>
                <w:sz w:val="20"/>
                <w:u w:val="single"/>
              </w:rPr>
            </w:pPr>
          </w:p>
          <w:p w14:paraId="4E4C31D7" w14:textId="2089B66C" w:rsidR="00DB20E2" w:rsidRDefault="00DB20E2" w:rsidP="00016569">
            <w:pPr>
              <w:spacing w:before="0" w:line="240" w:lineRule="auto"/>
              <w:rPr>
                <w:color w:val="000000" w:themeColor="text1"/>
                <w:sz w:val="20"/>
                <w:szCs w:val="20"/>
              </w:rPr>
            </w:pPr>
            <w:r>
              <w:rPr>
                <w:color w:val="000000"/>
                <w:sz w:val="20"/>
                <w:szCs w:val="20"/>
              </w:rPr>
              <w:t>This option will result in potential cost transfers between customers on older and newer contracts, or foregone revenue from energy retailers (depending on whether retailers absorb this cost due to competitive pressures or pass them on to other customers)</w:t>
            </w:r>
            <w:r w:rsidRPr="00CC61F1">
              <w:rPr>
                <w:color w:val="000000"/>
                <w:sz w:val="20"/>
                <w:lang w:val="en-US"/>
              </w:rPr>
              <w:t>.</w:t>
            </w:r>
            <w:r w:rsidRPr="634691F6">
              <w:rPr>
                <w:color w:val="000000" w:themeColor="text1"/>
                <w:sz w:val="20"/>
                <w:szCs w:val="20"/>
              </w:rPr>
              <w:t xml:space="preserve"> </w:t>
            </w:r>
            <w:r w:rsidR="00016569">
              <w:rPr>
                <w:color w:val="000000" w:themeColor="text1"/>
                <w:sz w:val="20"/>
                <w:szCs w:val="20"/>
              </w:rPr>
              <w:t>Based on historical data, the estimated potential impact for electricity retailers from this option would be around $12.2m (and potentially up to $20.2m) per year.</w:t>
            </w:r>
            <w:r>
              <w:rPr>
                <w:color w:val="000000" w:themeColor="text1"/>
                <w:sz w:val="20"/>
                <w:szCs w:val="20"/>
              </w:rPr>
              <w:t xml:space="preserve"> We have no data to make similar estimates for gas retailers. However, we expect that potential cost transfers or foregone revenue for gas retailers would be lower than for electricity retailers.</w:t>
            </w:r>
            <w:r w:rsidDel="005F1097">
              <w:rPr>
                <w:color w:val="000000" w:themeColor="text1"/>
                <w:sz w:val="20"/>
                <w:szCs w:val="20"/>
              </w:rPr>
              <w:t xml:space="preserve"> </w:t>
            </w:r>
          </w:p>
          <w:p w14:paraId="404B873D" w14:textId="77777777" w:rsidR="006F4527" w:rsidRDefault="006F4527" w:rsidP="634691F6">
            <w:pPr>
              <w:pStyle w:val="TableBody"/>
              <w:rPr>
                <w:color w:val="000000" w:themeColor="text1"/>
                <w:sz w:val="20"/>
                <w:szCs w:val="20"/>
                <w:lang w:val="en-AU"/>
              </w:rPr>
            </w:pPr>
          </w:p>
          <w:p w14:paraId="7A14FD7C" w14:textId="5FDBF7A9" w:rsidR="008D1C71" w:rsidRDefault="008D1C71" w:rsidP="634691F6">
            <w:pPr>
              <w:pStyle w:val="TableBody"/>
              <w:rPr>
                <w:color w:val="000000" w:themeColor="text1"/>
                <w:sz w:val="20"/>
                <w:szCs w:val="20"/>
                <w:lang w:val="en-AU"/>
              </w:rPr>
            </w:pPr>
            <w:r>
              <w:rPr>
                <w:color w:val="000000" w:themeColor="text1"/>
                <w:sz w:val="20"/>
                <w:szCs w:val="20"/>
                <w:lang w:val="en-AU"/>
              </w:rPr>
              <w:t xml:space="preserve">As noted above, </w:t>
            </w:r>
            <w:r w:rsidR="003611D3">
              <w:rPr>
                <w:color w:val="000000" w:themeColor="text1"/>
                <w:sz w:val="20"/>
                <w:szCs w:val="20"/>
                <w:lang w:val="en-AU"/>
              </w:rPr>
              <w:t xml:space="preserve">this option would also lead to </w:t>
            </w:r>
            <w:r w:rsidR="00EA4C38">
              <w:rPr>
                <w:color w:val="000000" w:themeColor="text1"/>
                <w:sz w:val="20"/>
                <w:szCs w:val="20"/>
                <w:lang w:val="en-AU"/>
              </w:rPr>
              <w:t xml:space="preserve">more substantial changes in retailers’ pricing strategies, which </w:t>
            </w:r>
            <w:r w:rsidR="00B16D85">
              <w:rPr>
                <w:color w:val="000000" w:themeColor="text1"/>
                <w:sz w:val="20"/>
                <w:szCs w:val="20"/>
                <w:lang w:val="en-AU"/>
              </w:rPr>
              <w:t xml:space="preserve">would increase the cost transfers between customers on older and newer contracts. </w:t>
            </w:r>
            <w:r w:rsidR="001368D3">
              <w:rPr>
                <w:color w:val="000000" w:themeColor="text1"/>
                <w:sz w:val="20"/>
                <w:szCs w:val="20"/>
                <w:lang w:val="en-AU"/>
              </w:rPr>
              <w:t>While we cannot estimate this additional potential cost transfer, it would result in overall higher cost transfers than Option D.2.</w:t>
            </w:r>
          </w:p>
          <w:p w14:paraId="524C847A" w14:textId="77777777" w:rsidR="00650D04" w:rsidRDefault="00650D04" w:rsidP="634691F6">
            <w:pPr>
              <w:pStyle w:val="TableBody"/>
              <w:rPr>
                <w:color w:val="000000" w:themeColor="text1"/>
                <w:sz w:val="20"/>
                <w:szCs w:val="20"/>
                <w:lang w:val="en-AU"/>
              </w:rPr>
            </w:pPr>
          </w:p>
          <w:p w14:paraId="5AE1B126" w14:textId="1F55DBA5" w:rsidR="00650D04" w:rsidRDefault="00650D04" w:rsidP="634691F6">
            <w:pPr>
              <w:pStyle w:val="TableBody"/>
              <w:rPr>
                <w:color w:val="000000" w:themeColor="text1"/>
                <w:sz w:val="20"/>
                <w:szCs w:val="20"/>
                <w:lang w:val="en-AU"/>
              </w:rPr>
            </w:pPr>
            <w:r w:rsidRPr="00433DED">
              <w:rPr>
                <w:color w:val="000000" w:themeColor="text1"/>
                <w:sz w:val="20"/>
                <w:szCs w:val="20"/>
                <w:lang w:val="en-AU"/>
              </w:rPr>
              <w:t>As with the other options, this is treated as a cost in our assessment, but it reflects reduced reliance on disengaged customers for excess margins rather than a fundamental cost increase. Where recovery is constrained by competition, this lost revenue represents a redistribution of value, not an economic inefficiency.</w:t>
            </w:r>
          </w:p>
          <w:p w14:paraId="2B20C8E9" w14:textId="77777777" w:rsidR="006F4527" w:rsidRDefault="006F4527" w:rsidP="634691F6">
            <w:pPr>
              <w:pStyle w:val="TableBody"/>
              <w:rPr>
                <w:color w:val="000000" w:themeColor="text1"/>
                <w:sz w:val="20"/>
                <w:szCs w:val="20"/>
                <w:lang w:val="en-AU"/>
              </w:rPr>
            </w:pPr>
          </w:p>
          <w:p w14:paraId="3AFE4E94" w14:textId="28197548" w:rsidR="001368D3" w:rsidRDefault="001368D3" w:rsidP="634691F6">
            <w:pPr>
              <w:pStyle w:val="TableBody"/>
              <w:rPr>
                <w:color w:val="000000" w:themeColor="text1"/>
                <w:sz w:val="20"/>
                <w:szCs w:val="20"/>
                <w:lang w:val="en-AU"/>
              </w:rPr>
            </w:pPr>
            <w:r>
              <w:rPr>
                <w:color w:val="000000" w:themeColor="text1"/>
                <w:sz w:val="20"/>
                <w:szCs w:val="20"/>
                <w:u w:val="single"/>
                <w:lang w:val="en-AU"/>
              </w:rPr>
              <w:t>Comparison with other options</w:t>
            </w:r>
          </w:p>
          <w:p w14:paraId="0D64B9F7" w14:textId="77777777" w:rsidR="002A69B4" w:rsidRDefault="002A69B4" w:rsidP="634691F6">
            <w:pPr>
              <w:pStyle w:val="TableBody"/>
              <w:rPr>
                <w:color w:val="000000" w:themeColor="text1"/>
                <w:sz w:val="20"/>
                <w:szCs w:val="20"/>
                <w:lang w:val="en-AU"/>
              </w:rPr>
            </w:pPr>
          </w:p>
          <w:p w14:paraId="35F71449" w14:textId="11991377" w:rsidR="00A46E05" w:rsidRPr="003A2A04" w:rsidRDefault="000C34E0" w:rsidP="008D5165">
            <w:pPr>
              <w:pStyle w:val="TableBody"/>
              <w:rPr>
                <w:color w:val="000000"/>
                <w:sz w:val="20"/>
                <w:szCs w:val="20"/>
                <w:lang w:val="en-AU"/>
              </w:rPr>
            </w:pPr>
            <w:r>
              <w:rPr>
                <w:color w:val="000000" w:themeColor="text1"/>
                <w:sz w:val="20"/>
                <w:szCs w:val="20"/>
              </w:rPr>
              <w:t>The compliance costs for this option are higher than for Option D.2 and significantly higher than for Option D.1.</w:t>
            </w:r>
            <w:r w:rsidR="00826130">
              <w:rPr>
                <w:color w:val="000000" w:themeColor="text1"/>
                <w:sz w:val="20"/>
                <w:szCs w:val="20"/>
              </w:rPr>
              <w:t xml:space="preserve"> This is mostly due to the wider effects that a </w:t>
            </w:r>
            <w:r w:rsidR="00557572">
              <w:rPr>
                <w:color w:val="000000" w:themeColor="text1"/>
                <w:sz w:val="20"/>
                <w:szCs w:val="20"/>
              </w:rPr>
              <w:t xml:space="preserve">cap for older contracts would </w:t>
            </w:r>
            <w:r w:rsidR="006D65C6">
              <w:rPr>
                <w:color w:val="000000" w:themeColor="text1"/>
                <w:sz w:val="20"/>
                <w:szCs w:val="20"/>
              </w:rPr>
              <w:t>have</w:t>
            </w:r>
            <w:r w:rsidR="00F43879">
              <w:rPr>
                <w:color w:val="000000" w:themeColor="text1"/>
                <w:sz w:val="20"/>
                <w:szCs w:val="20"/>
              </w:rPr>
              <w:t xml:space="preserve"> – more retailers would be affected</w:t>
            </w:r>
            <w:r w:rsidR="0037283B">
              <w:rPr>
                <w:color w:val="000000" w:themeColor="text1"/>
                <w:sz w:val="20"/>
                <w:szCs w:val="20"/>
              </w:rPr>
              <w:t>,</w:t>
            </w:r>
            <w:r w:rsidR="00F43879">
              <w:rPr>
                <w:color w:val="000000" w:themeColor="text1"/>
                <w:sz w:val="20"/>
                <w:szCs w:val="20"/>
              </w:rPr>
              <w:t xml:space="preserve"> and retailers would incur more costs</w:t>
            </w:r>
            <w:r w:rsidR="006D65C6">
              <w:rPr>
                <w:color w:val="000000" w:themeColor="text1"/>
                <w:sz w:val="20"/>
                <w:szCs w:val="20"/>
              </w:rPr>
              <w:t xml:space="preserve"> in </w:t>
            </w:r>
            <w:r w:rsidR="003473F8">
              <w:rPr>
                <w:color w:val="000000" w:themeColor="text1"/>
                <w:sz w:val="20"/>
                <w:szCs w:val="20"/>
              </w:rPr>
              <w:t>reviewing</w:t>
            </w:r>
            <w:r w:rsidR="006D65C6">
              <w:rPr>
                <w:color w:val="000000" w:themeColor="text1"/>
                <w:sz w:val="20"/>
                <w:szCs w:val="20"/>
              </w:rPr>
              <w:t xml:space="preserve"> pricing strategies</w:t>
            </w:r>
            <w:r w:rsidR="00582D06">
              <w:rPr>
                <w:color w:val="000000" w:themeColor="text1"/>
                <w:sz w:val="20"/>
                <w:szCs w:val="20"/>
              </w:rPr>
              <w:t xml:space="preserve"> an</w:t>
            </w:r>
            <w:r w:rsidR="00116A48">
              <w:rPr>
                <w:color w:val="000000" w:themeColor="text1"/>
                <w:sz w:val="20"/>
                <w:szCs w:val="20"/>
              </w:rPr>
              <w:t xml:space="preserve">d </w:t>
            </w:r>
            <w:r w:rsidR="00846E64">
              <w:rPr>
                <w:color w:val="000000" w:themeColor="text1"/>
                <w:sz w:val="20"/>
                <w:szCs w:val="20"/>
              </w:rPr>
              <w:t xml:space="preserve">moving customers to </w:t>
            </w:r>
            <w:r w:rsidR="00B42D12">
              <w:rPr>
                <w:color w:val="000000" w:themeColor="text1"/>
                <w:sz w:val="20"/>
                <w:szCs w:val="20"/>
              </w:rPr>
              <w:t xml:space="preserve">cheaper plans </w:t>
            </w:r>
            <w:r w:rsidR="0027532C">
              <w:rPr>
                <w:color w:val="000000" w:themeColor="text1"/>
                <w:sz w:val="20"/>
                <w:szCs w:val="20"/>
              </w:rPr>
              <w:t>despite any additional benefits customers may have</w:t>
            </w:r>
            <w:r w:rsidR="00376288">
              <w:rPr>
                <w:color w:val="000000" w:themeColor="text1"/>
                <w:sz w:val="20"/>
                <w:szCs w:val="20"/>
              </w:rPr>
              <w:t xml:space="preserve"> in their contracts.</w:t>
            </w:r>
            <w:r>
              <w:rPr>
                <w:color w:val="000000" w:themeColor="text1"/>
                <w:sz w:val="20"/>
                <w:szCs w:val="20"/>
              </w:rPr>
              <w:t xml:space="preserve"> The estimated potential cost transfers are significantly higher than for Option D.1 and </w:t>
            </w:r>
            <w:r w:rsidR="00BF3D83">
              <w:rPr>
                <w:color w:val="000000" w:themeColor="text1"/>
                <w:sz w:val="20"/>
                <w:szCs w:val="20"/>
              </w:rPr>
              <w:t>higher</w:t>
            </w:r>
            <w:r>
              <w:rPr>
                <w:color w:val="000000" w:themeColor="text1"/>
                <w:sz w:val="20"/>
                <w:szCs w:val="20"/>
              </w:rPr>
              <w:t xml:space="preserve"> than for Option D.</w:t>
            </w:r>
            <w:r w:rsidR="00BF3D83">
              <w:rPr>
                <w:color w:val="000000" w:themeColor="text1"/>
                <w:sz w:val="20"/>
                <w:szCs w:val="20"/>
              </w:rPr>
              <w:t>2</w:t>
            </w:r>
            <w:r w:rsidR="00A15558">
              <w:rPr>
                <w:color w:val="000000" w:themeColor="text1"/>
                <w:sz w:val="20"/>
                <w:szCs w:val="20"/>
              </w:rPr>
              <w:t xml:space="preserve">. </w:t>
            </w:r>
          </w:p>
        </w:tc>
        <w:tc>
          <w:tcPr>
            <w:tcW w:w="1275" w:type="dxa"/>
          </w:tcPr>
          <w:p w14:paraId="1298DD66" w14:textId="388C7567" w:rsidR="007D7F1B" w:rsidRPr="003A2A04" w:rsidRDefault="00BE56DA" w:rsidP="003A2A04">
            <w:pPr>
              <w:pStyle w:val="TableBody"/>
              <w:jc w:val="center"/>
              <w:rPr>
                <w:color w:val="000000"/>
                <w:sz w:val="20"/>
                <w:szCs w:val="20"/>
              </w:rPr>
            </w:pPr>
            <w:r>
              <w:rPr>
                <w:color w:val="000000"/>
                <w:sz w:val="20"/>
                <w:szCs w:val="20"/>
              </w:rPr>
              <w:lastRenderedPageBreak/>
              <w:t>-</w:t>
            </w:r>
            <w:r w:rsidR="000F0BD1">
              <w:rPr>
                <w:color w:val="000000"/>
                <w:sz w:val="20"/>
                <w:szCs w:val="20"/>
              </w:rPr>
              <w:t>7</w:t>
            </w:r>
          </w:p>
        </w:tc>
        <w:tc>
          <w:tcPr>
            <w:tcW w:w="1133" w:type="dxa"/>
            <w:hideMark/>
          </w:tcPr>
          <w:p w14:paraId="62D1F9E2" w14:textId="7F80BA98" w:rsidR="00A46E05" w:rsidRPr="003A2A04" w:rsidRDefault="00A46E05" w:rsidP="003A2A04">
            <w:pPr>
              <w:pStyle w:val="TableBody"/>
              <w:jc w:val="center"/>
              <w:rPr>
                <w:color w:val="000000"/>
                <w:sz w:val="20"/>
                <w:szCs w:val="20"/>
              </w:rPr>
            </w:pPr>
            <w:r w:rsidRPr="003A2A04">
              <w:rPr>
                <w:color w:val="000000"/>
                <w:sz w:val="20"/>
                <w:szCs w:val="20"/>
              </w:rPr>
              <w:t>-2.</w:t>
            </w:r>
            <w:r w:rsidR="000F0BD1">
              <w:rPr>
                <w:color w:val="000000"/>
                <w:sz w:val="20"/>
                <w:szCs w:val="20"/>
              </w:rPr>
              <w:t>8</w:t>
            </w:r>
          </w:p>
        </w:tc>
      </w:tr>
    </w:tbl>
    <w:p w14:paraId="1E2E11FB" w14:textId="77777777" w:rsidR="00CC6B7C" w:rsidRDefault="00CC6B7C" w:rsidP="00973B8A"/>
    <w:p w14:paraId="10E92BF7" w14:textId="4CE7FF8D" w:rsidR="00B64987" w:rsidRDefault="00B64987" w:rsidP="002F7F6E">
      <w:pPr>
        <w:pStyle w:val="Figure-Table-BoxSubtitle"/>
        <w:ind w:left="0"/>
      </w:pPr>
      <w:r w:rsidRPr="000F6481">
        <w:rPr>
          <w:rStyle w:val="Figure-Table-BoxHeadingChar"/>
        </w:rPr>
        <w:t xml:space="preserve">Table </w:t>
      </w:r>
      <w:r w:rsidR="007A77FE" w:rsidRPr="000F6481">
        <w:rPr>
          <w:rStyle w:val="Figure-Table-BoxHeadingChar"/>
        </w:rPr>
        <w:t>2</w:t>
      </w:r>
      <w:r w:rsidR="002E5943" w:rsidRPr="000F6481">
        <w:rPr>
          <w:rStyle w:val="Figure-Table-BoxHeadingChar"/>
        </w:rPr>
        <w:t>5</w:t>
      </w:r>
      <w:r w:rsidRPr="000F6481">
        <w:rPr>
          <w:rStyle w:val="Figure-Table-BoxHeadingChar"/>
        </w:rPr>
        <w:t>:</w:t>
      </w:r>
      <w:r w:rsidRPr="000F6481">
        <w:t xml:space="preserve"> </w:t>
      </w:r>
      <w:r w:rsidRPr="003A49F5">
        <w:t>MCA Assessment of Option</w:t>
      </w:r>
      <w:r w:rsidR="003B1814">
        <w:t>s</w:t>
      </w:r>
      <w:r w:rsidRPr="003A49F5">
        <w:t xml:space="preserve"> D.</w:t>
      </w:r>
      <w:r w:rsidR="00B55BBF">
        <w:t>1, D.2 and D.</w:t>
      </w:r>
      <w:r w:rsidRPr="003A49F5">
        <w:t>3</w:t>
      </w:r>
      <w:r w:rsidR="000A1631">
        <w:t>: Cost to government</w:t>
      </w:r>
    </w:p>
    <w:tbl>
      <w:tblPr>
        <w:tblStyle w:val="TableGrid"/>
        <w:tblW w:w="0" w:type="auto"/>
        <w:tblLook w:val="04A0" w:firstRow="1" w:lastRow="0" w:firstColumn="1" w:lastColumn="0" w:noHBand="0" w:noVBand="1"/>
      </w:tblPr>
      <w:tblGrid>
        <w:gridCol w:w="848"/>
        <w:gridCol w:w="1701"/>
        <w:gridCol w:w="4822"/>
        <w:gridCol w:w="1134"/>
        <w:gridCol w:w="1133"/>
      </w:tblGrid>
      <w:tr w:rsidR="003A2A04" w:rsidRPr="003A2A04" w14:paraId="410AE870" w14:textId="77777777" w:rsidTr="0013287B">
        <w:trPr>
          <w:cnfStyle w:val="100000000000" w:firstRow="1" w:lastRow="0" w:firstColumn="0" w:lastColumn="0" w:oddVBand="0" w:evenVBand="0" w:oddHBand="0" w:evenHBand="0" w:firstRowFirstColumn="0" w:firstRowLastColumn="0" w:lastRowFirstColumn="0" w:lastRowLastColumn="0"/>
        </w:trPr>
        <w:tc>
          <w:tcPr>
            <w:tcW w:w="848" w:type="dxa"/>
            <w:hideMark/>
          </w:tcPr>
          <w:p w14:paraId="58010056" w14:textId="77777777" w:rsidR="000A1631" w:rsidRPr="003A2A04" w:rsidRDefault="000A1631" w:rsidP="002F7F6E">
            <w:pPr>
              <w:pStyle w:val="TableBody"/>
              <w:spacing w:before="60" w:after="60"/>
              <w:jc w:val="center"/>
              <w:rPr>
                <w:color w:val="000000"/>
                <w:sz w:val="20"/>
                <w:szCs w:val="20"/>
                <w:lang w:val="en-AU"/>
              </w:rPr>
            </w:pPr>
            <w:r w:rsidRPr="634691F6">
              <w:rPr>
                <w:sz w:val="20"/>
                <w:szCs w:val="20"/>
                <w:lang w:val="en-AU"/>
              </w:rPr>
              <w:lastRenderedPageBreak/>
              <w:t>Option</w:t>
            </w:r>
          </w:p>
        </w:tc>
        <w:tc>
          <w:tcPr>
            <w:tcW w:w="1701" w:type="dxa"/>
            <w:hideMark/>
          </w:tcPr>
          <w:p w14:paraId="3976B870" w14:textId="77777777" w:rsidR="000A1631" w:rsidRPr="003A2A04" w:rsidRDefault="000A1631" w:rsidP="002F7F6E">
            <w:pPr>
              <w:pStyle w:val="TableBody"/>
              <w:spacing w:before="60" w:after="60"/>
              <w:jc w:val="center"/>
              <w:rPr>
                <w:color w:val="000000"/>
                <w:sz w:val="20"/>
                <w:szCs w:val="20"/>
              </w:rPr>
            </w:pPr>
            <w:r w:rsidRPr="003A2A04">
              <w:rPr>
                <w:sz w:val="20"/>
                <w:szCs w:val="20"/>
              </w:rPr>
              <w:t>Criteria</w:t>
            </w:r>
            <w:r w:rsidRPr="003A2A04">
              <w:rPr>
                <w:color w:val="000000"/>
                <w:sz w:val="20"/>
                <w:szCs w:val="20"/>
              </w:rPr>
              <w:br/>
            </w:r>
            <w:r w:rsidRPr="003A2A04">
              <w:rPr>
                <w:sz w:val="20"/>
                <w:szCs w:val="20"/>
              </w:rPr>
              <w:t>(weighting 10%)</w:t>
            </w:r>
          </w:p>
        </w:tc>
        <w:tc>
          <w:tcPr>
            <w:tcW w:w="4822" w:type="dxa"/>
            <w:hideMark/>
          </w:tcPr>
          <w:p w14:paraId="1A8E6852" w14:textId="77777777" w:rsidR="000A1631" w:rsidRPr="003A2A04" w:rsidRDefault="000A1631" w:rsidP="002F7F6E">
            <w:pPr>
              <w:pStyle w:val="TableBody"/>
              <w:spacing w:before="60" w:after="60"/>
              <w:jc w:val="center"/>
              <w:rPr>
                <w:color w:val="000000"/>
                <w:sz w:val="20"/>
                <w:szCs w:val="20"/>
              </w:rPr>
            </w:pPr>
            <w:r w:rsidRPr="003A2A04">
              <w:rPr>
                <w:sz w:val="20"/>
                <w:szCs w:val="20"/>
              </w:rPr>
              <w:t>Assessment</w:t>
            </w:r>
          </w:p>
        </w:tc>
        <w:tc>
          <w:tcPr>
            <w:tcW w:w="1134" w:type="dxa"/>
          </w:tcPr>
          <w:p w14:paraId="67614A81" w14:textId="77777777" w:rsidR="00BE56DA" w:rsidRDefault="00BE56DA" w:rsidP="002F7F6E">
            <w:pPr>
              <w:pStyle w:val="TableBody"/>
              <w:spacing w:before="60" w:after="60"/>
              <w:jc w:val="center"/>
              <w:rPr>
                <w:b w:val="0"/>
                <w:sz w:val="20"/>
                <w:szCs w:val="20"/>
              </w:rPr>
            </w:pPr>
            <w:r>
              <w:rPr>
                <w:sz w:val="20"/>
                <w:szCs w:val="20"/>
              </w:rPr>
              <w:t>Score</w:t>
            </w:r>
          </w:p>
          <w:p w14:paraId="3556CB63" w14:textId="6C290327" w:rsidR="00BE56DA" w:rsidRDefault="0013287B" w:rsidP="002F7F6E">
            <w:pPr>
              <w:pStyle w:val="TableBody"/>
              <w:spacing w:before="60" w:after="60"/>
              <w:jc w:val="center"/>
              <w:rPr>
                <w:sz w:val="20"/>
                <w:szCs w:val="20"/>
              </w:rPr>
            </w:pPr>
            <w:r>
              <w:rPr>
                <w:sz w:val="20"/>
                <w:szCs w:val="20"/>
              </w:rPr>
              <w:t>(-10 to 10)</w:t>
            </w:r>
          </w:p>
        </w:tc>
        <w:tc>
          <w:tcPr>
            <w:tcW w:w="1133" w:type="dxa"/>
            <w:hideMark/>
          </w:tcPr>
          <w:p w14:paraId="6444DE24" w14:textId="77777777" w:rsidR="000A1631" w:rsidRPr="003A2A04" w:rsidRDefault="000A1631" w:rsidP="002F7F6E">
            <w:pPr>
              <w:pStyle w:val="TableBody"/>
              <w:spacing w:before="60" w:after="60"/>
              <w:jc w:val="center"/>
              <w:rPr>
                <w:color w:val="000000"/>
                <w:sz w:val="20"/>
                <w:szCs w:val="20"/>
              </w:rPr>
            </w:pPr>
            <w:r w:rsidRPr="003A2A04">
              <w:rPr>
                <w:sz w:val="20"/>
                <w:szCs w:val="20"/>
              </w:rPr>
              <w:t>Weighted score</w:t>
            </w:r>
          </w:p>
        </w:tc>
      </w:tr>
      <w:tr w:rsidR="003A2A04" w:rsidRPr="003A2A04" w14:paraId="220EBF51" w14:textId="77777777" w:rsidTr="0013287B">
        <w:trPr>
          <w:cnfStyle w:val="000000100000" w:firstRow="0" w:lastRow="0" w:firstColumn="0" w:lastColumn="0" w:oddVBand="0" w:evenVBand="0" w:oddHBand="1" w:evenHBand="0" w:firstRowFirstColumn="0" w:firstRowLastColumn="0" w:lastRowFirstColumn="0" w:lastRowLastColumn="0"/>
          <w:trHeight w:val="333"/>
        </w:trPr>
        <w:tc>
          <w:tcPr>
            <w:tcW w:w="848" w:type="dxa"/>
            <w:hideMark/>
          </w:tcPr>
          <w:p w14:paraId="5A83F6F7" w14:textId="77777777" w:rsidR="000A1631" w:rsidRPr="003A2A04" w:rsidRDefault="000A1631" w:rsidP="002F7F6E">
            <w:pPr>
              <w:pStyle w:val="TableBody"/>
              <w:rPr>
                <w:color w:val="000000"/>
                <w:sz w:val="20"/>
                <w:szCs w:val="20"/>
              </w:rPr>
            </w:pPr>
            <w:r w:rsidRPr="003A2A04">
              <w:rPr>
                <w:color w:val="000000"/>
                <w:sz w:val="20"/>
                <w:szCs w:val="20"/>
              </w:rPr>
              <w:t>D.1</w:t>
            </w:r>
          </w:p>
        </w:tc>
        <w:tc>
          <w:tcPr>
            <w:tcW w:w="1701" w:type="dxa"/>
            <w:hideMark/>
          </w:tcPr>
          <w:p w14:paraId="13A63940" w14:textId="77777777" w:rsidR="000A1631" w:rsidRPr="003A2A04" w:rsidRDefault="000A1631" w:rsidP="002F7F6E">
            <w:pPr>
              <w:pStyle w:val="TableBody"/>
              <w:rPr>
                <w:color w:val="000000"/>
                <w:sz w:val="20"/>
                <w:szCs w:val="20"/>
              </w:rPr>
            </w:pPr>
            <w:r w:rsidRPr="003A2A04">
              <w:rPr>
                <w:color w:val="000000"/>
                <w:sz w:val="20"/>
                <w:szCs w:val="20"/>
              </w:rPr>
              <w:t>Cost to government</w:t>
            </w:r>
          </w:p>
        </w:tc>
        <w:tc>
          <w:tcPr>
            <w:tcW w:w="4822" w:type="dxa"/>
            <w:hideMark/>
          </w:tcPr>
          <w:p w14:paraId="203F9C0F" w14:textId="088352AE" w:rsidR="00D274AB" w:rsidRDefault="005A1346" w:rsidP="002F7F6E">
            <w:pPr>
              <w:pStyle w:val="TableBody"/>
              <w:rPr>
                <w:color w:val="000000" w:themeColor="text1"/>
                <w:sz w:val="20"/>
                <w:szCs w:val="20"/>
                <w:lang w:val="en-AU"/>
              </w:rPr>
            </w:pPr>
            <w:r w:rsidRPr="634691F6">
              <w:rPr>
                <w:color w:val="000000" w:themeColor="text1"/>
                <w:sz w:val="20"/>
                <w:szCs w:val="20"/>
                <w:lang w:val="en-AU"/>
              </w:rPr>
              <w:t xml:space="preserve">This option </w:t>
            </w:r>
            <w:r>
              <w:rPr>
                <w:color w:val="000000" w:themeColor="text1"/>
                <w:sz w:val="20"/>
                <w:szCs w:val="20"/>
                <w:lang w:val="en-AU"/>
              </w:rPr>
              <w:t>would</w:t>
            </w:r>
            <w:r w:rsidRPr="634691F6">
              <w:rPr>
                <w:color w:val="000000" w:themeColor="text1"/>
                <w:sz w:val="20"/>
                <w:szCs w:val="20"/>
                <w:lang w:val="en-AU"/>
              </w:rPr>
              <w:t xml:space="preserve"> require the commission to actively monitor retailers’ pricing behaviours. </w:t>
            </w:r>
            <w:r w:rsidR="005331A1">
              <w:rPr>
                <w:color w:val="000000" w:themeColor="text1"/>
                <w:sz w:val="20"/>
                <w:szCs w:val="20"/>
                <w:lang w:val="en-AU"/>
              </w:rPr>
              <w:t>However, it</w:t>
            </w:r>
            <w:r w:rsidR="000A1631" w:rsidRPr="634691F6">
              <w:rPr>
                <w:color w:val="000000" w:themeColor="text1"/>
                <w:sz w:val="20"/>
                <w:szCs w:val="20"/>
                <w:lang w:val="en-AU"/>
              </w:rPr>
              <w:t xml:space="preserve"> would </w:t>
            </w:r>
            <w:r w:rsidR="00E661ED" w:rsidRPr="634691F6">
              <w:rPr>
                <w:color w:val="000000" w:themeColor="text1"/>
                <w:sz w:val="20"/>
                <w:szCs w:val="20"/>
                <w:lang w:val="en-AU"/>
              </w:rPr>
              <w:t xml:space="preserve">not </w:t>
            </w:r>
            <w:r w:rsidR="00FD166F" w:rsidRPr="634691F6">
              <w:rPr>
                <w:color w:val="000000" w:themeColor="text1"/>
                <w:sz w:val="20"/>
                <w:szCs w:val="20"/>
                <w:lang w:val="en-AU"/>
              </w:rPr>
              <w:t>involve the commission prescribing standards or giving guidance for retailers.</w:t>
            </w:r>
          </w:p>
          <w:p w14:paraId="1451E6F6" w14:textId="77777777" w:rsidR="00D274AB" w:rsidRDefault="00D274AB" w:rsidP="002F7F6E">
            <w:pPr>
              <w:pStyle w:val="TableBody"/>
              <w:rPr>
                <w:color w:val="000000" w:themeColor="text1"/>
                <w:sz w:val="20"/>
                <w:szCs w:val="20"/>
                <w:lang w:val="en-AU"/>
              </w:rPr>
            </w:pPr>
          </w:p>
          <w:p w14:paraId="6AEF05B8" w14:textId="418538CC" w:rsidR="000A1631" w:rsidRPr="003A2A04" w:rsidRDefault="00FD166F" w:rsidP="002F7F6E">
            <w:pPr>
              <w:pStyle w:val="TableBody"/>
              <w:rPr>
                <w:color w:val="000000"/>
                <w:sz w:val="20"/>
                <w:szCs w:val="20"/>
                <w:lang w:val="en-AU"/>
              </w:rPr>
            </w:pPr>
            <w:r w:rsidRPr="634691F6">
              <w:rPr>
                <w:color w:val="000000" w:themeColor="text1"/>
                <w:sz w:val="20"/>
                <w:szCs w:val="20"/>
                <w:lang w:val="en-AU"/>
              </w:rPr>
              <w:t xml:space="preserve">Given the flexibility for retailers, compliance and enforcement action </w:t>
            </w:r>
            <w:r w:rsidR="00785C74">
              <w:rPr>
                <w:color w:val="000000" w:themeColor="text1"/>
                <w:sz w:val="20"/>
                <w:szCs w:val="20"/>
                <w:lang w:val="en-AU"/>
              </w:rPr>
              <w:t>w</w:t>
            </w:r>
            <w:r w:rsidR="00CC59DB">
              <w:rPr>
                <w:color w:val="000000" w:themeColor="text1"/>
                <w:sz w:val="20"/>
                <w:szCs w:val="20"/>
                <w:lang w:val="en-AU"/>
              </w:rPr>
              <w:t>ould be more complex.</w:t>
            </w:r>
            <w:r w:rsidR="00F80C2F">
              <w:rPr>
                <w:color w:val="000000" w:themeColor="text1"/>
                <w:sz w:val="20"/>
                <w:szCs w:val="20"/>
                <w:lang w:val="en-AU"/>
              </w:rPr>
              <w:t xml:space="preserve"> It would involve comparing the approaches of different retailers, considering various factors that retailers</w:t>
            </w:r>
            <w:r w:rsidR="00AC04DC">
              <w:rPr>
                <w:color w:val="000000" w:themeColor="text1"/>
                <w:sz w:val="20"/>
                <w:szCs w:val="20"/>
                <w:lang w:val="en-AU"/>
              </w:rPr>
              <w:t xml:space="preserve"> may </w:t>
            </w:r>
            <w:r w:rsidR="00B55A96">
              <w:rPr>
                <w:color w:val="000000" w:themeColor="text1"/>
                <w:sz w:val="20"/>
                <w:szCs w:val="20"/>
                <w:lang w:val="en-AU"/>
              </w:rPr>
              <w:t>refer to when determining prices</w:t>
            </w:r>
            <w:r w:rsidR="002F7051">
              <w:rPr>
                <w:color w:val="000000" w:themeColor="text1"/>
                <w:sz w:val="20"/>
                <w:szCs w:val="20"/>
                <w:lang w:val="en-AU"/>
              </w:rPr>
              <w:t xml:space="preserve">, </w:t>
            </w:r>
            <w:r w:rsidR="00F80C2F">
              <w:rPr>
                <w:color w:val="000000" w:themeColor="text1"/>
                <w:sz w:val="20"/>
                <w:szCs w:val="20"/>
                <w:lang w:val="en-AU"/>
              </w:rPr>
              <w:t xml:space="preserve">and the commission </w:t>
            </w:r>
            <w:r w:rsidR="002F7051">
              <w:rPr>
                <w:color w:val="000000" w:themeColor="text1"/>
                <w:sz w:val="20"/>
                <w:szCs w:val="20"/>
                <w:lang w:val="en-AU"/>
              </w:rPr>
              <w:t>forming</w:t>
            </w:r>
            <w:r w:rsidR="00F80C2F">
              <w:rPr>
                <w:color w:val="000000" w:themeColor="text1"/>
                <w:sz w:val="20"/>
                <w:szCs w:val="20"/>
                <w:lang w:val="en-AU"/>
              </w:rPr>
              <w:t xml:space="preserve"> its own view</w:t>
            </w:r>
            <w:r w:rsidR="005312CC">
              <w:rPr>
                <w:color w:val="000000" w:themeColor="text1"/>
                <w:sz w:val="20"/>
                <w:szCs w:val="20"/>
                <w:lang w:val="en-AU"/>
              </w:rPr>
              <w:t>s</w:t>
            </w:r>
            <w:r w:rsidR="00F80C2F">
              <w:rPr>
                <w:color w:val="000000" w:themeColor="text1"/>
                <w:sz w:val="20"/>
                <w:szCs w:val="20"/>
                <w:lang w:val="en-AU"/>
              </w:rPr>
              <w:t xml:space="preserve"> as to which </w:t>
            </w:r>
            <w:r w:rsidR="00DC4558">
              <w:rPr>
                <w:color w:val="000000" w:themeColor="text1"/>
                <w:sz w:val="20"/>
                <w:szCs w:val="20"/>
                <w:lang w:val="en-AU"/>
              </w:rPr>
              <w:t>retailers</w:t>
            </w:r>
            <w:r w:rsidR="007536E8">
              <w:rPr>
                <w:color w:val="000000" w:themeColor="text1"/>
                <w:sz w:val="20"/>
                <w:szCs w:val="20"/>
                <w:lang w:val="en-AU"/>
              </w:rPr>
              <w:t xml:space="preserve"> may be at risk of non-compliance.</w:t>
            </w:r>
            <w:r w:rsidR="003C5BF4">
              <w:rPr>
                <w:color w:val="000000" w:themeColor="text1"/>
                <w:sz w:val="20"/>
                <w:szCs w:val="20"/>
                <w:lang w:val="en-AU"/>
              </w:rPr>
              <w:t xml:space="preserve"> This would require more time and effort than would be necessary with a prescribed list of factors that retailers must have regard to (Option D.2) or a prescriptive definition of reasonable prices (Option D.3).</w:t>
            </w:r>
            <w:r w:rsidRPr="634691F6">
              <w:rPr>
                <w:color w:val="000000" w:themeColor="text1"/>
                <w:sz w:val="20"/>
                <w:szCs w:val="20"/>
                <w:lang w:val="en-AU"/>
              </w:rPr>
              <w:t>.</w:t>
            </w:r>
          </w:p>
        </w:tc>
        <w:tc>
          <w:tcPr>
            <w:tcW w:w="1134" w:type="dxa"/>
          </w:tcPr>
          <w:p w14:paraId="74753E4E" w14:textId="47FDDF57" w:rsidR="00BE56DA" w:rsidRDefault="00BE56DA" w:rsidP="002F7F6E">
            <w:pPr>
              <w:pStyle w:val="TableBody"/>
              <w:jc w:val="center"/>
              <w:rPr>
                <w:color w:val="000000"/>
                <w:sz w:val="20"/>
                <w:szCs w:val="20"/>
              </w:rPr>
            </w:pPr>
            <w:r>
              <w:rPr>
                <w:color w:val="000000"/>
                <w:sz w:val="20"/>
                <w:szCs w:val="20"/>
              </w:rPr>
              <w:t>-0.5</w:t>
            </w:r>
          </w:p>
        </w:tc>
        <w:tc>
          <w:tcPr>
            <w:tcW w:w="1133" w:type="dxa"/>
            <w:hideMark/>
          </w:tcPr>
          <w:p w14:paraId="6EBB49E5" w14:textId="77777777" w:rsidR="000A1631" w:rsidRPr="003A2A04" w:rsidRDefault="000A1631" w:rsidP="002F7F6E">
            <w:pPr>
              <w:pStyle w:val="TableBody"/>
              <w:jc w:val="center"/>
              <w:rPr>
                <w:color w:val="000000"/>
                <w:sz w:val="20"/>
                <w:szCs w:val="20"/>
              </w:rPr>
            </w:pPr>
            <w:r w:rsidRPr="003A2A04">
              <w:rPr>
                <w:color w:val="000000"/>
                <w:sz w:val="20"/>
                <w:szCs w:val="20"/>
              </w:rPr>
              <w:t>-0.05</w:t>
            </w:r>
          </w:p>
        </w:tc>
      </w:tr>
      <w:tr w:rsidR="003A2A04" w:rsidRPr="003A2A04" w14:paraId="13C8F4B2" w14:textId="77777777" w:rsidTr="0013287B">
        <w:trPr>
          <w:cnfStyle w:val="000000010000" w:firstRow="0" w:lastRow="0" w:firstColumn="0" w:lastColumn="0" w:oddVBand="0" w:evenVBand="0" w:oddHBand="0" w:evenHBand="1" w:firstRowFirstColumn="0" w:firstRowLastColumn="0" w:lastRowFirstColumn="0" w:lastRowLastColumn="0"/>
        </w:trPr>
        <w:tc>
          <w:tcPr>
            <w:tcW w:w="848" w:type="dxa"/>
            <w:hideMark/>
          </w:tcPr>
          <w:p w14:paraId="2ACE5A46" w14:textId="77777777" w:rsidR="000A1631" w:rsidRPr="003A2A04" w:rsidRDefault="000A1631" w:rsidP="002F7F6E">
            <w:pPr>
              <w:pStyle w:val="TableBody"/>
              <w:rPr>
                <w:color w:val="000000"/>
                <w:sz w:val="20"/>
                <w:szCs w:val="20"/>
              </w:rPr>
            </w:pPr>
            <w:r w:rsidRPr="003A2A04">
              <w:rPr>
                <w:color w:val="000000"/>
                <w:sz w:val="20"/>
                <w:szCs w:val="20"/>
              </w:rPr>
              <w:t>D.2</w:t>
            </w:r>
          </w:p>
        </w:tc>
        <w:tc>
          <w:tcPr>
            <w:tcW w:w="1701" w:type="dxa"/>
            <w:hideMark/>
          </w:tcPr>
          <w:p w14:paraId="4969ECB9" w14:textId="77777777" w:rsidR="000A1631" w:rsidRPr="003A2A04" w:rsidRDefault="000A1631" w:rsidP="002F7F6E">
            <w:pPr>
              <w:pStyle w:val="TableBody"/>
              <w:rPr>
                <w:color w:val="000000"/>
                <w:sz w:val="20"/>
                <w:szCs w:val="20"/>
              </w:rPr>
            </w:pPr>
            <w:r w:rsidRPr="003A2A04">
              <w:rPr>
                <w:color w:val="000000"/>
                <w:sz w:val="20"/>
                <w:szCs w:val="20"/>
              </w:rPr>
              <w:t>Cost to government</w:t>
            </w:r>
          </w:p>
        </w:tc>
        <w:tc>
          <w:tcPr>
            <w:tcW w:w="4822" w:type="dxa"/>
            <w:hideMark/>
          </w:tcPr>
          <w:p w14:paraId="7FAB3F02" w14:textId="3EED2E39" w:rsidR="000A1631" w:rsidRPr="003A2A04" w:rsidRDefault="00881736" w:rsidP="00E4683A">
            <w:pPr>
              <w:pStyle w:val="TableBody"/>
              <w:rPr>
                <w:color w:val="000000"/>
                <w:sz w:val="20"/>
                <w:szCs w:val="20"/>
                <w:lang w:val="en-AU"/>
              </w:rPr>
            </w:pPr>
            <w:r>
              <w:rPr>
                <w:color w:val="000000" w:themeColor="text1"/>
                <w:sz w:val="20"/>
                <w:szCs w:val="20"/>
                <w:lang w:val="en-AU"/>
              </w:rPr>
              <w:t>Similarly to Option D.1, t</w:t>
            </w:r>
            <w:r w:rsidR="00FD166F" w:rsidRPr="634691F6">
              <w:rPr>
                <w:color w:val="000000" w:themeColor="text1"/>
                <w:sz w:val="20"/>
                <w:szCs w:val="20"/>
                <w:lang w:val="en-AU"/>
              </w:rPr>
              <w:t xml:space="preserve">his option </w:t>
            </w:r>
            <w:r w:rsidR="00BE5E19">
              <w:rPr>
                <w:color w:val="000000" w:themeColor="text1"/>
                <w:sz w:val="20"/>
                <w:szCs w:val="20"/>
                <w:lang w:val="en-AU"/>
              </w:rPr>
              <w:t>would</w:t>
            </w:r>
            <w:r w:rsidR="00FD166F" w:rsidRPr="634691F6">
              <w:rPr>
                <w:color w:val="000000" w:themeColor="text1"/>
                <w:sz w:val="20"/>
                <w:szCs w:val="20"/>
                <w:lang w:val="en-AU"/>
              </w:rPr>
              <w:t xml:space="preserve"> require the commission to actively monitor retailers’ pricing behaviours.</w:t>
            </w:r>
            <w:r w:rsidR="007023FD">
              <w:rPr>
                <w:color w:val="000000" w:themeColor="text1"/>
                <w:sz w:val="20"/>
                <w:szCs w:val="20"/>
                <w:lang w:val="en-AU"/>
              </w:rPr>
              <w:t xml:space="preserve"> </w:t>
            </w:r>
            <w:r w:rsidR="00F90BDD">
              <w:rPr>
                <w:color w:val="000000" w:themeColor="text1"/>
                <w:sz w:val="20"/>
                <w:szCs w:val="20"/>
                <w:lang w:val="en-AU"/>
              </w:rPr>
              <w:t>However, c</w:t>
            </w:r>
            <w:r w:rsidR="007023FD">
              <w:rPr>
                <w:color w:val="000000" w:themeColor="text1"/>
                <w:sz w:val="20"/>
                <w:szCs w:val="20"/>
                <w:lang w:val="en-AU"/>
              </w:rPr>
              <w:t xml:space="preserve">ompliance and enforcement action </w:t>
            </w:r>
            <w:r w:rsidR="002F7F6E">
              <w:rPr>
                <w:color w:val="000000" w:themeColor="text1"/>
                <w:sz w:val="20"/>
                <w:szCs w:val="20"/>
                <w:lang w:val="en-AU"/>
              </w:rPr>
              <w:t>would be</w:t>
            </w:r>
            <w:r w:rsidR="002136CD">
              <w:rPr>
                <w:color w:val="000000" w:themeColor="text1"/>
                <w:sz w:val="20"/>
                <w:szCs w:val="20"/>
                <w:lang w:val="en-AU"/>
              </w:rPr>
              <w:t xml:space="preserve"> </w:t>
            </w:r>
            <w:r w:rsidR="005369AF">
              <w:rPr>
                <w:color w:val="000000" w:themeColor="text1"/>
                <w:sz w:val="20"/>
                <w:szCs w:val="20"/>
                <w:lang w:val="en-AU"/>
              </w:rPr>
              <w:t xml:space="preserve">less demanding </w:t>
            </w:r>
            <w:r w:rsidR="00F90BDD">
              <w:rPr>
                <w:color w:val="000000" w:themeColor="text1"/>
                <w:sz w:val="20"/>
                <w:szCs w:val="20"/>
                <w:lang w:val="en-AU"/>
              </w:rPr>
              <w:t xml:space="preserve">as retailers would be required to have regard to a prescribed list of factors when justifying their pricing behaviour. This would facilitate </w:t>
            </w:r>
            <w:r w:rsidR="00E04729">
              <w:rPr>
                <w:color w:val="000000" w:themeColor="text1"/>
                <w:sz w:val="20"/>
                <w:szCs w:val="20"/>
                <w:lang w:val="en-AU"/>
              </w:rPr>
              <w:t>comparisons between retailers and the commission’s assessment of any potential non-compliance.</w:t>
            </w:r>
            <w:r w:rsidR="00020C98">
              <w:rPr>
                <w:color w:val="000000" w:themeColor="text1"/>
                <w:sz w:val="20"/>
                <w:szCs w:val="20"/>
                <w:lang w:val="en-AU"/>
              </w:rPr>
              <w:t xml:space="preserve"> </w:t>
            </w:r>
            <w:r w:rsidR="0070725E">
              <w:rPr>
                <w:color w:val="000000" w:themeColor="text1"/>
                <w:sz w:val="20"/>
                <w:szCs w:val="20"/>
                <w:lang w:val="en-AU"/>
              </w:rPr>
              <w:t xml:space="preserve">The commission would be able to leverage </w:t>
            </w:r>
            <w:r w:rsidR="00097715">
              <w:rPr>
                <w:color w:val="000000" w:themeColor="text1"/>
                <w:sz w:val="20"/>
                <w:szCs w:val="20"/>
                <w:lang w:val="en-AU"/>
              </w:rPr>
              <w:t xml:space="preserve">existing data reporting requirements to </w:t>
            </w:r>
            <w:r w:rsidR="00A56588">
              <w:rPr>
                <w:color w:val="000000" w:themeColor="text1"/>
                <w:sz w:val="20"/>
                <w:szCs w:val="20"/>
                <w:lang w:val="en-AU"/>
              </w:rPr>
              <w:t>assess pricing behaviour,</w:t>
            </w:r>
            <w:r w:rsidR="00623A0D">
              <w:rPr>
                <w:color w:val="000000" w:themeColor="text1"/>
                <w:sz w:val="20"/>
                <w:szCs w:val="20"/>
                <w:lang w:val="en-AU"/>
              </w:rPr>
              <w:t xml:space="preserve"> including </w:t>
            </w:r>
            <w:r w:rsidR="005371F8">
              <w:rPr>
                <w:color w:val="000000" w:themeColor="text1"/>
                <w:sz w:val="20"/>
                <w:szCs w:val="20"/>
                <w:lang w:val="en-AU"/>
              </w:rPr>
              <w:t>by analysing prices that are paid by samples of each retailers’ customers</w:t>
            </w:r>
            <w:r w:rsidR="000A1631" w:rsidRPr="634691F6">
              <w:rPr>
                <w:color w:val="000000" w:themeColor="text1"/>
                <w:sz w:val="20"/>
                <w:szCs w:val="20"/>
                <w:lang w:val="en-AU"/>
              </w:rPr>
              <w:t>.</w:t>
            </w:r>
          </w:p>
        </w:tc>
        <w:tc>
          <w:tcPr>
            <w:tcW w:w="1134" w:type="dxa"/>
          </w:tcPr>
          <w:p w14:paraId="418B1485" w14:textId="3674B4DF" w:rsidR="00BE56DA" w:rsidRDefault="00BE56DA" w:rsidP="002F7F6E">
            <w:pPr>
              <w:pStyle w:val="TableBody"/>
              <w:jc w:val="center"/>
              <w:rPr>
                <w:color w:val="000000"/>
                <w:sz w:val="20"/>
                <w:szCs w:val="20"/>
              </w:rPr>
            </w:pPr>
            <w:r>
              <w:rPr>
                <w:color w:val="000000"/>
                <w:sz w:val="20"/>
                <w:szCs w:val="20"/>
              </w:rPr>
              <w:t>-0.3</w:t>
            </w:r>
          </w:p>
        </w:tc>
        <w:tc>
          <w:tcPr>
            <w:tcW w:w="1133" w:type="dxa"/>
            <w:hideMark/>
          </w:tcPr>
          <w:p w14:paraId="679D2CB4" w14:textId="77777777" w:rsidR="000A1631" w:rsidRPr="003A2A04" w:rsidRDefault="000A1631" w:rsidP="002F7F6E">
            <w:pPr>
              <w:pStyle w:val="TableBody"/>
              <w:jc w:val="center"/>
              <w:rPr>
                <w:color w:val="000000"/>
                <w:sz w:val="20"/>
                <w:szCs w:val="20"/>
              </w:rPr>
            </w:pPr>
            <w:r w:rsidRPr="003A2A04">
              <w:rPr>
                <w:color w:val="000000"/>
                <w:sz w:val="20"/>
                <w:szCs w:val="20"/>
              </w:rPr>
              <w:t>-0.03</w:t>
            </w:r>
          </w:p>
        </w:tc>
      </w:tr>
      <w:tr w:rsidR="003A2A04" w:rsidRPr="003A2A04" w14:paraId="6347CFD8" w14:textId="77777777" w:rsidTr="0013287B">
        <w:trPr>
          <w:cnfStyle w:val="000000100000" w:firstRow="0" w:lastRow="0" w:firstColumn="0" w:lastColumn="0" w:oddVBand="0" w:evenVBand="0" w:oddHBand="1" w:evenHBand="0" w:firstRowFirstColumn="0" w:firstRowLastColumn="0" w:lastRowFirstColumn="0" w:lastRowLastColumn="0"/>
        </w:trPr>
        <w:tc>
          <w:tcPr>
            <w:tcW w:w="848" w:type="dxa"/>
            <w:hideMark/>
          </w:tcPr>
          <w:p w14:paraId="1F601B72" w14:textId="77777777" w:rsidR="000A1631" w:rsidRPr="003A2A04" w:rsidRDefault="000A1631" w:rsidP="003A2A04">
            <w:pPr>
              <w:pStyle w:val="TableBody"/>
              <w:rPr>
                <w:color w:val="000000"/>
                <w:sz w:val="20"/>
                <w:szCs w:val="20"/>
              </w:rPr>
            </w:pPr>
            <w:r w:rsidRPr="003A2A04">
              <w:rPr>
                <w:color w:val="000000"/>
                <w:sz w:val="20"/>
                <w:szCs w:val="20"/>
              </w:rPr>
              <w:t>D.3</w:t>
            </w:r>
          </w:p>
        </w:tc>
        <w:tc>
          <w:tcPr>
            <w:tcW w:w="1701" w:type="dxa"/>
            <w:hideMark/>
          </w:tcPr>
          <w:p w14:paraId="4509A288" w14:textId="77777777" w:rsidR="000A1631" w:rsidRPr="003A2A04" w:rsidRDefault="000A1631" w:rsidP="003A2A04">
            <w:pPr>
              <w:pStyle w:val="TableBody"/>
              <w:rPr>
                <w:color w:val="000000"/>
                <w:sz w:val="20"/>
                <w:szCs w:val="20"/>
              </w:rPr>
            </w:pPr>
            <w:r w:rsidRPr="003A2A04">
              <w:rPr>
                <w:color w:val="000000"/>
                <w:sz w:val="20"/>
                <w:szCs w:val="20"/>
              </w:rPr>
              <w:t>Cost to government</w:t>
            </w:r>
          </w:p>
        </w:tc>
        <w:tc>
          <w:tcPr>
            <w:tcW w:w="4822" w:type="dxa"/>
            <w:hideMark/>
          </w:tcPr>
          <w:p w14:paraId="1DAD0523" w14:textId="78809816" w:rsidR="000A1631" w:rsidRPr="003A2A04" w:rsidRDefault="003A2A04" w:rsidP="00A6612E">
            <w:pPr>
              <w:pStyle w:val="TableBody"/>
              <w:rPr>
                <w:color w:val="000000"/>
                <w:sz w:val="20"/>
                <w:szCs w:val="20"/>
                <w:lang w:val="en-AU"/>
              </w:rPr>
            </w:pPr>
            <w:r w:rsidRPr="634691F6">
              <w:rPr>
                <w:color w:val="000000" w:themeColor="text1"/>
                <w:sz w:val="20"/>
                <w:szCs w:val="20"/>
                <w:lang w:val="en-AU"/>
              </w:rPr>
              <w:t xml:space="preserve">The prescriptive nature of this option </w:t>
            </w:r>
            <w:r w:rsidR="005371F8">
              <w:rPr>
                <w:color w:val="000000" w:themeColor="text1"/>
                <w:sz w:val="20"/>
                <w:szCs w:val="20"/>
                <w:lang w:val="en-AU"/>
              </w:rPr>
              <w:t>w</w:t>
            </w:r>
            <w:r w:rsidRPr="634691F6">
              <w:rPr>
                <w:color w:val="000000" w:themeColor="text1"/>
                <w:sz w:val="20"/>
                <w:szCs w:val="20"/>
                <w:lang w:val="en-AU"/>
              </w:rPr>
              <w:t xml:space="preserve">ould provide greater certainty for compliance and enforcement activities. </w:t>
            </w:r>
            <w:r w:rsidR="00373EE3">
              <w:rPr>
                <w:color w:val="000000" w:themeColor="text1"/>
                <w:sz w:val="20"/>
                <w:szCs w:val="20"/>
                <w:lang w:val="en-AU"/>
              </w:rPr>
              <w:t xml:space="preserve">The commission would be </w:t>
            </w:r>
            <w:r w:rsidR="002A6B01">
              <w:rPr>
                <w:color w:val="000000" w:themeColor="text1"/>
                <w:sz w:val="20"/>
                <w:szCs w:val="20"/>
                <w:lang w:val="en-AU"/>
              </w:rPr>
              <w:t>able to assess potential non-compliance m</w:t>
            </w:r>
            <w:r w:rsidR="00E6254F">
              <w:rPr>
                <w:color w:val="000000" w:themeColor="text1"/>
                <w:sz w:val="20"/>
                <w:szCs w:val="20"/>
                <w:lang w:val="en-AU"/>
              </w:rPr>
              <w:t xml:space="preserve">ore easily </w:t>
            </w:r>
            <w:r w:rsidR="00A6612E">
              <w:rPr>
                <w:color w:val="000000" w:themeColor="text1"/>
                <w:sz w:val="20"/>
                <w:szCs w:val="20"/>
                <w:lang w:val="en-AU"/>
              </w:rPr>
              <w:t xml:space="preserve">by referring to only one factor (the prescribed reasonable price – for example, the VDO). </w:t>
            </w:r>
            <w:r w:rsidRPr="634691F6">
              <w:rPr>
                <w:color w:val="000000" w:themeColor="text1"/>
                <w:sz w:val="20"/>
                <w:szCs w:val="20"/>
                <w:lang w:val="en-AU"/>
              </w:rPr>
              <w:t xml:space="preserve">This </w:t>
            </w:r>
            <w:r w:rsidR="00A6612E">
              <w:rPr>
                <w:color w:val="000000" w:themeColor="text1"/>
                <w:sz w:val="20"/>
                <w:szCs w:val="20"/>
                <w:lang w:val="en-AU"/>
              </w:rPr>
              <w:t>w</w:t>
            </w:r>
            <w:r w:rsidR="00A6612E" w:rsidRPr="634691F6">
              <w:rPr>
                <w:color w:val="000000" w:themeColor="text1"/>
                <w:sz w:val="20"/>
                <w:szCs w:val="20"/>
                <w:lang w:val="en-AU"/>
              </w:rPr>
              <w:t xml:space="preserve">ould </w:t>
            </w:r>
            <w:r w:rsidRPr="634691F6">
              <w:rPr>
                <w:color w:val="000000" w:themeColor="text1"/>
                <w:sz w:val="20"/>
                <w:szCs w:val="20"/>
                <w:lang w:val="en-AU"/>
              </w:rPr>
              <w:t xml:space="preserve">lead to slightly lower costs compared to </w:t>
            </w:r>
            <w:r w:rsidR="00A6612E">
              <w:rPr>
                <w:color w:val="000000" w:themeColor="text1"/>
                <w:sz w:val="20"/>
                <w:szCs w:val="20"/>
                <w:lang w:val="en-AU"/>
              </w:rPr>
              <w:t>O</w:t>
            </w:r>
            <w:r w:rsidRPr="634691F6">
              <w:rPr>
                <w:color w:val="000000" w:themeColor="text1"/>
                <w:sz w:val="20"/>
                <w:szCs w:val="20"/>
                <w:lang w:val="en-AU"/>
              </w:rPr>
              <w:t>ption D.2.</w:t>
            </w:r>
            <w:r w:rsidR="005064E3">
              <w:rPr>
                <w:color w:val="000000" w:themeColor="text1"/>
                <w:sz w:val="20"/>
                <w:szCs w:val="20"/>
                <w:lang w:val="en-AU"/>
              </w:rPr>
              <w:t xml:space="preserve"> Similarly to Option D.2, the commission would be able to leverage existing data reporting requirements to assess pricing behaviour.</w:t>
            </w:r>
          </w:p>
        </w:tc>
        <w:tc>
          <w:tcPr>
            <w:tcW w:w="1134" w:type="dxa"/>
          </w:tcPr>
          <w:p w14:paraId="08293C6C" w14:textId="544F588F" w:rsidR="00BE56DA" w:rsidRDefault="00BE56DA" w:rsidP="0027111A">
            <w:pPr>
              <w:pStyle w:val="TableBody"/>
              <w:jc w:val="center"/>
              <w:rPr>
                <w:color w:val="000000"/>
                <w:sz w:val="20"/>
                <w:szCs w:val="20"/>
              </w:rPr>
            </w:pPr>
            <w:r>
              <w:rPr>
                <w:color w:val="000000"/>
                <w:sz w:val="20"/>
                <w:szCs w:val="20"/>
              </w:rPr>
              <w:t>-0.25</w:t>
            </w:r>
          </w:p>
        </w:tc>
        <w:tc>
          <w:tcPr>
            <w:tcW w:w="1133" w:type="dxa"/>
            <w:hideMark/>
          </w:tcPr>
          <w:p w14:paraId="11AADF5E" w14:textId="77777777" w:rsidR="000A1631" w:rsidRPr="003A2A04" w:rsidRDefault="000A1631" w:rsidP="0027111A">
            <w:pPr>
              <w:pStyle w:val="TableBody"/>
              <w:jc w:val="center"/>
              <w:rPr>
                <w:color w:val="000000"/>
                <w:sz w:val="20"/>
                <w:szCs w:val="20"/>
              </w:rPr>
            </w:pPr>
            <w:r w:rsidRPr="003A2A04">
              <w:rPr>
                <w:color w:val="000000"/>
                <w:sz w:val="20"/>
                <w:szCs w:val="20"/>
              </w:rPr>
              <w:t>-0.025</w:t>
            </w:r>
          </w:p>
        </w:tc>
      </w:tr>
    </w:tbl>
    <w:p w14:paraId="0CBFCC57" w14:textId="77777777" w:rsidR="004F532B" w:rsidRDefault="004F532B" w:rsidP="006E33E7">
      <w:bookmarkStart w:id="248" w:name="_Toc195692601"/>
      <w:bookmarkStart w:id="249" w:name="_Toc195701896"/>
      <w:bookmarkStart w:id="250" w:name="_Toc195617203"/>
      <w:bookmarkStart w:id="251" w:name="_Toc195642889"/>
      <w:bookmarkStart w:id="252" w:name="_Toc195692602"/>
      <w:bookmarkStart w:id="253" w:name="_Toc195701897"/>
      <w:bookmarkStart w:id="254" w:name="_Toc195617204"/>
      <w:bookmarkStart w:id="255" w:name="_Toc195642890"/>
      <w:bookmarkStart w:id="256" w:name="_Toc195692603"/>
      <w:bookmarkStart w:id="257" w:name="_Toc195701898"/>
      <w:bookmarkEnd w:id="248"/>
      <w:bookmarkEnd w:id="249"/>
      <w:bookmarkEnd w:id="250"/>
      <w:bookmarkEnd w:id="251"/>
      <w:bookmarkEnd w:id="252"/>
      <w:bookmarkEnd w:id="253"/>
      <w:bookmarkEnd w:id="254"/>
      <w:bookmarkEnd w:id="255"/>
      <w:bookmarkEnd w:id="256"/>
      <w:bookmarkEnd w:id="257"/>
    </w:p>
    <w:p w14:paraId="1FD125BC" w14:textId="2F19D2FC" w:rsidR="00C460A1" w:rsidRDefault="00C460A1" w:rsidP="00C460A1">
      <w:pPr>
        <w:pStyle w:val="Heading2numbered"/>
      </w:pPr>
      <w:bookmarkStart w:id="258" w:name="_Toc197959456"/>
      <w:r>
        <w:t>Summary and preferred option</w:t>
      </w:r>
      <w:bookmarkEnd w:id="258"/>
    </w:p>
    <w:p w14:paraId="644B0C15" w14:textId="6809CE60" w:rsidR="0027111A" w:rsidRDefault="00AD2F86" w:rsidP="00044DCC">
      <w:r>
        <w:t>A</w:t>
      </w:r>
      <w:r w:rsidR="00044DCC">
        <w:t xml:space="preserve">ll </w:t>
      </w:r>
      <w:r w:rsidR="007F4434">
        <w:t xml:space="preserve">options </w:t>
      </w:r>
      <w:r>
        <w:t xml:space="preserve">are likely to provide benefits for consumers compared to </w:t>
      </w:r>
      <w:r w:rsidR="00044DCC">
        <w:t>the base case</w:t>
      </w:r>
      <w:r w:rsidR="00064798">
        <w:t>, but also lead to increased compliance costs for retailers (and the commission in enforcing the rules).</w:t>
      </w:r>
    </w:p>
    <w:p w14:paraId="2521D603" w14:textId="5CBAEF7E" w:rsidR="00EF34E7" w:rsidRDefault="00B563FC" w:rsidP="00800122">
      <w:r>
        <w:t>O</w:t>
      </w:r>
      <w:r w:rsidR="00044DCC">
        <w:t xml:space="preserve">ption D.1 </w:t>
      </w:r>
      <w:r>
        <w:t xml:space="preserve">provides the greatest flexibility for retailers, and may be the least effective option. It will lead to the lowest benefits to consumers, despite lower regulatory costs. Option D.3 </w:t>
      </w:r>
      <w:r w:rsidR="00044DCC">
        <w:t xml:space="preserve">would remove </w:t>
      </w:r>
      <w:r w:rsidR="00044DCC">
        <w:lastRenderedPageBreak/>
        <w:t xml:space="preserve">uncertainty </w:t>
      </w:r>
      <w:r w:rsidR="00262F3A">
        <w:t xml:space="preserve">for compliance – resulting in the </w:t>
      </w:r>
      <w:r w:rsidR="002556E4">
        <w:t xml:space="preserve">highest benefits for consumers, at the risk of higher costs to </w:t>
      </w:r>
      <w:r w:rsidR="00EF34E7">
        <w:t>retailers (in the form of foregone revenue).</w:t>
      </w:r>
      <w:r w:rsidR="00044DCC">
        <w:t xml:space="preserve"> </w:t>
      </w:r>
    </w:p>
    <w:p w14:paraId="1834AECC" w14:textId="4735960A" w:rsidR="002C6D51" w:rsidRPr="002C6D51" w:rsidRDefault="00044DCC" w:rsidP="00800122">
      <w:r>
        <w:t>Option D.2 strike</w:t>
      </w:r>
      <w:r w:rsidDel="0078128C">
        <w:t>s</w:t>
      </w:r>
      <w:r>
        <w:t xml:space="preserve"> a balance</w:t>
      </w:r>
      <w:r w:rsidR="00EF34E7">
        <w:t xml:space="preserve"> in terms of consumer benefits and industry costs. </w:t>
      </w:r>
      <w:r w:rsidR="005D5CBE">
        <w:t>However, i</w:t>
      </w:r>
      <w:r>
        <w:t xml:space="preserve">f </w:t>
      </w:r>
      <w:r w:rsidR="005D5CBE">
        <w:t>o</w:t>
      </w:r>
      <w:r>
        <w:t xml:space="preserve">ption D.2 does not achieve </w:t>
      </w:r>
      <w:r w:rsidR="00841C4A">
        <w:t xml:space="preserve">its </w:t>
      </w:r>
      <w:r w:rsidR="00CD0D5D">
        <w:t>objective</w:t>
      </w:r>
      <w:r>
        <w:t xml:space="preserve">, </w:t>
      </w:r>
      <w:r w:rsidR="00285F96">
        <w:t>the commission</w:t>
      </w:r>
      <w:r>
        <w:t xml:space="preserve"> could consider a more prescriptive approach in the future.</w:t>
      </w:r>
    </w:p>
    <w:p w14:paraId="490D19F2" w14:textId="1CDE1C37" w:rsidR="00767520" w:rsidRPr="003A49F5" w:rsidRDefault="00767520" w:rsidP="000F6481">
      <w:pPr>
        <w:pStyle w:val="Figure-Table-BoxSubtitle"/>
        <w:ind w:left="0"/>
        <w:rPr>
          <w:highlight w:val="yellow"/>
        </w:rPr>
      </w:pPr>
      <w:r w:rsidRPr="000F6481">
        <w:rPr>
          <w:rStyle w:val="Figure-Table-BoxHeadingChar"/>
        </w:rPr>
        <w:t xml:space="preserve">Table </w:t>
      </w:r>
      <w:r w:rsidRPr="000F6481">
        <w:rPr>
          <w:rStyle w:val="Figure-Table-BoxHeadingChar"/>
        </w:rPr>
        <w:fldChar w:fldCharType="begin"/>
      </w:r>
      <w:r w:rsidRPr="000F6481">
        <w:rPr>
          <w:rStyle w:val="Figure-Table-BoxHeadingChar"/>
        </w:rPr>
        <w:instrText xml:space="preserve"> SEQ Table \* ARABIC </w:instrText>
      </w:r>
      <w:r w:rsidRPr="000F6481">
        <w:rPr>
          <w:rStyle w:val="Figure-Table-BoxHeadingChar"/>
        </w:rPr>
        <w:fldChar w:fldCharType="separate"/>
      </w:r>
      <w:r w:rsidR="009A244B">
        <w:rPr>
          <w:rStyle w:val="Figure-Table-BoxHeadingChar"/>
          <w:noProof/>
        </w:rPr>
        <w:t>6</w:t>
      </w:r>
      <w:r w:rsidRPr="000F6481">
        <w:rPr>
          <w:rStyle w:val="Figure-Table-BoxHeadingChar"/>
        </w:rPr>
        <w:fldChar w:fldCharType="end"/>
      </w:r>
      <w:r w:rsidR="002E5943" w:rsidRPr="000F6481">
        <w:rPr>
          <w:rStyle w:val="Figure-Table-BoxHeadingChar"/>
        </w:rPr>
        <w:t>6</w:t>
      </w:r>
      <w:r w:rsidRPr="000F6481">
        <w:rPr>
          <w:rStyle w:val="Figure-Table-BoxHeadingChar"/>
        </w:rPr>
        <w:t>:</w:t>
      </w:r>
      <w:r w:rsidRPr="000F6481">
        <w:t xml:space="preserve"> </w:t>
      </w:r>
      <w:r w:rsidRPr="003A49F5">
        <w:t>Summary of MCA assessment ‒ Protections for customers</w:t>
      </w:r>
    </w:p>
    <w:tbl>
      <w:tblPr>
        <w:tblW w:w="0" w:type="auto"/>
        <w:tblBorders>
          <w:insideH w:val="single" w:sz="8" w:space="0" w:color="FFFFFF"/>
        </w:tblBorders>
        <w:tblCellMar>
          <w:left w:w="0" w:type="dxa"/>
          <w:right w:w="0" w:type="dxa"/>
        </w:tblCellMar>
        <w:tblLook w:val="04A0" w:firstRow="1" w:lastRow="0" w:firstColumn="1" w:lastColumn="0" w:noHBand="0" w:noVBand="1"/>
      </w:tblPr>
      <w:tblGrid>
        <w:gridCol w:w="1160"/>
        <w:gridCol w:w="6617"/>
        <w:gridCol w:w="1861"/>
      </w:tblGrid>
      <w:tr w:rsidR="002C28E0" w:rsidRPr="00C90F47" w14:paraId="32C8F91C" w14:textId="77777777" w:rsidTr="634691F6">
        <w:tc>
          <w:tcPr>
            <w:tcW w:w="1164" w:type="dxa"/>
            <w:tcBorders>
              <w:bottom w:val="single" w:sz="8" w:space="0" w:color="FFFFFF" w:themeColor="background1"/>
            </w:tcBorders>
            <w:shd w:val="clear" w:color="auto" w:fill="4986A0" w:themeFill="accent3"/>
            <w:tcMar>
              <w:top w:w="85" w:type="dxa"/>
              <w:left w:w="100" w:type="dxa"/>
              <w:bottom w:w="85" w:type="dxa"/>
              <w:right w:w="72" w:type="dxa"/>
            </w:tcMar>
            <w:hideMark/>
          </w:tcPr>
          <w:p w14:paraId="7F2D0718" w14:textId="77777777" w:rsidR="002C28E0" w:rsidRPr="00CF4011" w:rsidRDefault="002C28E0" w:rsidP="634691F6">
            <w:pPr>
              <w:pStyle w:val="TableHeading"/>
              <w:rPr>
                <w:b/>
                <w:bCs/>
                <w:color w:val="000000"/>
                <w:sz w:val="20"/>
                <w:szCs w:val="20"/>
                <w:lang w:val="en-AU"/>
              </w:rPr>
            </w:pPr>
            <w:r w:rsidRPr="634691F6">
              <w:rPr>
                <w:b/>
                <w:bCs/>
                <w:sz w:val="20"/>
                <w:szCs w:val="20"/>
                <w:lang w:val="en-AU"/>
              </w:rPr>
              <w:t>Option</w:t>
            </w:r>
          </w:p>
        </w:tc>
        <w:tc>
          <w:tcPr>
            <w:tcW w:w="6693" w:type="dxa"/>
            <w:tcBorders>
              <w:bottom w:val="single" w:sz="8" w:space="0" w:color="FFFFFF" w:themeColor="background1"/>
            </w:tcBorders>
            <w:shd w:val="clear" w:color="auto" w:fill="4986A0" w:themeFill="accent3"/>
            <w:tcMar>
              <w:top w:w="85" w:type="dxa"/>
              <w:left w:w="100" w:type="dxa"/>
              <w:bottom w:w="85" w:type="dxa"/>
              <w:right w:w="72" w:type="dxa"/>
            </w:tcMar>
            <w:hideMark/>
          </w:tcPr>
          <w:p w14:paraId="7D7610BC" w14:textId="77777777" w:rsidR="002C28E0" w:rsidRPr="00CF4011" w:rsidRDefault="002C28E0" w:rsidP="00C90F47">
            <w:pPr>
              <w:pStyle w:val="TableHeading"/>
              <w:rPr>
                <w:b/>
                <w:bCs/>
                <w:color w:val="000000"/>
                <w:sz w:val="20"/>
                <w:szCs w:val="20"/>
              </w:rPr>
            </w:pPr>
            <w:r w:rsidRPr="00CF4011">
              <w:rPr>
                <w:b/>
                <w:bCs/>
                <w:sz w:val="20"/>
                <w:szCs w:val="20"/>
              </w:rPr>
              <w:t>Description</w:t>
            </w:r>
          </w:p>
        </w:tc>
        <w:tc>
          <w:tcPr>
            <w:tcW w:w="1871" w:type="dxa"/>
            <w:tcBorders>
              <w:bottom w:val="single" w:sz="8" w:space="0" w:color="FFFFFF" w:themeColor="background1"/>
            </w:tcBorders>
            <w:shd w:val="clear" w:color="auto" w:fill="4986A0" w:themeFill="accent3"/>
            <w:tcMar>
              <w:top w:w="85" w:type="dxa"/>
              <w:left w:w="100" w:type="dxa"/>
              <w:bottom w:w="85" w:type="dxa"/>
              <w:right w:w="72" w:type="dxa"/>
            </w:tcMar>
            <w:hideMark/>
          </w:tcPr>
          <w:p w14:paraId="356D0797" w14:textId="77777777" w:rsidR="002C28E0" w:rsidRPr="00CF4011" w:rsidRDefault="002C28E0" w:rsidP="00C90F47">
            <w:pPr>
              <w:pStyle w:val="TableHeading"/>
              <w:rPr>
                <w:b/>
                <w:bCs/>
                <w:color w:val="000000"/>
                <w:sz w:val="20"/>
                <w:szCs w:val="20"/>
              </w:rPr>
            </w:pPr>
            <w:r w:rsidRPr="00CF4011">
              <w:rPr>
                <w:b/>
                <w:bCs/>
                <w:sz w:val="20"/>
                <w:szCs w:val="20"/>
              </w:rPr>
              <w:t>Weighted score</w:t>
            </w:r>
          </w:p>
        </w:tc>
      </w:tr>
      <w:tr w:rsidR="002C28E0" w14:paraId="5D6F3D06" w14:textId="77777777" w:rsidTr="634691F6">
        <w:tc>
          <w:tcPr>
            <w:tcW w:w="1164" w:type="dxa"/>
            <w:tcBorders>
              <w:top w:val="single" w:sz="8" w:space="0" w:color="FFFFFF" w:themeColor="background1"/>
              <w:bottom w:val="single" w:sz="8" w:space="0" w:color="FFFFFF" w:themeColor="background1"/>
            </w:tcBorders>
            <w:shd w:val="clear" w:color="auto" w:fill="F2F2F2" w:themeFill="background1" w:themeFillShade="F2"/>
            <w:tcMar>
              <w:top w:w="85" w:type="dxa"/>
              <w:left w:w="100" w:type="dxa"/>
              <w:bottom w:w="85" w:type="dxa"/>
              <w:right w:w="72" w:type="dxa"/>
            </w:tcMar>
            <w:hideMark/>
          </w:tcPr>
          <w:p w14:paraId="63096510" w14:textId="77777777" w:rsidR="002C28E0" w:rsidRPr="00CF4011" w:rsidRDefault="002C28E0" w:rsidP="00C90F47">
            <w:pPr>
              <w:pStyle w:val="TableBody"/>
              <w:rPr>
                <w:color w:val="000000"/>
                <w:sz w:val="20"/>
                <w:szCs w:val="20"/>
              </w:rPr>
            </w:pPr>
            <w:r w:rsidRPr="00CF4011">
              <w:rPr>
                <w:color w:val="000000"/>
                <w:sz w:val="20"/>
                <w:szCs w:val="20"/>
              </w:rPr>
              <w:t>D.1</w:t>
            </w:r>
          </w:p>
        </w:tc>
        <w:tc>
          <w:tcPr>
            <w:tcW w:w="6693" w:type="dxa"/>
            <w:tcBorders>
              <w:top w:val="single" w:sz="8" w:space="0" w:color="FFFFFF" w:themeColor="background1"/>
              <w:bottom w:val="single" w:sz="8" w:space="0" w:color="FFFFFF" w:themeColor="background1"/>
            </w:tcBorders>
            <w:shd w:val="clear" w:color="auto" w:fill="F2F2F2" w:themeFill="background1" w:themeFillShade="F2"/>
            <w:tcMar>
              <w:top w:w="85" w:type="dxa"/>
              <w:left w:w="100" w:type="dxa"/>
              <w:bottom w:w="85" w:type="dxa"/>
              <w:right w:w="72" w:type="dxa"/>
            </w:tcMar>
            <w:hideMark/>
          </w:tcPr>
          <w:p w14:paraId="7A76F1FF" w14:textId="77777777" w:rsidR="002C28E0" w:rsidRPr="00CF4011" w:rsidRDefault="002C28E0" w:rsidP="00C90F47">
            <w:pPr>
              <w:pStyle w:val="TableBody"/>
              <w:rPr>
                <w:color w:val="000000"/>
                <w:sz w:val="20"/>
                <w:szCs w:val="20"/>
              </w:rPr>
            </w:pPr>
            <w:r w:rsidRPr="00CF4011">
              <w:rPr>
                <w:color w:val="000000"/>
                <w:sz w:val="20"/>
                <w:szCs w:val="20"/>
              </w:rPr>
              <w:t>Mandating retailers to ensure all customers on older contracts pay a ‘reasonable price’ without defining what a ‘reasonable price’ is</w:t>
            </w:r>
          </w:p>
        </w:tc>
        <w:tc>
          <w:tcPr>
            <w:tcW w:w="1871" w:type="dxa"/>
            <w:tcBorders>
              <w:top w:val="single" w:sz="8" w:space="0" w:color="FFFFFF" w:themeColor="background1"/>
              <w:bottom w:val="single" w:sz="8" w:space="0" w:color="FFFFFF" w:themeColor="background1"/>
            </w:tcBorders>
            <w:shd w:val="clear" w:color="auto" w:fill="F2F2F2" w:themeFill="background1" w:themeFillShade="F2"/>
            <w:tcMar>
              <w:top w:w="85" w:type="dxa"/>
              <w:left w:w="100" w:type="dxa"/>
              <w:bottom w:w="85" w:type="dxa"/>
              <w:right w:w="72" w:type="dxa"/>
            </w:tcMar>
            <w:hideMark/>
          </w:tcPr>
          <w:p w14:paraId="402EC603" w14:textId="0A0C3A65" w:rsidR="002C28E0" w:rsidRPr="00CF4011" w:rsidRDefault="002C28E0" w:rsidP="00BE56DA">
            <w:pPr>
              <w:pStyle w:val="TableBody"/>
              <w:jc w:val="center"/>
              <w:rPr>
                <w:color w:val="000000"/>
                <w:sz w:val="20"/>
                <w:szCs w:val="20"/>
              </w:rPr>
            </w:pPr>
            <w:r w:rsidRPr="00CF4011">
              <w:rPr>
                <w:color w:val="000000"/>
                <w:sz w:val="20"/>
                <w:szCs w:val="20"/>
              </w:rPr>
              <w:t>0.</w:t>
            </w:r>
            <w:r w:rsidR="00E9677A">
              <w:rPr>
                <w:color w:val="000000"/>
                <w:sz w:val="20"/>
                <w:szCs w:val="20"/>
              </w:rPr>
              <w:t>3</w:t>
            </w:r>
            <w:r w:rsidRPr="00CF4011">
              <w:rPr>
                <w:color w:val="000000"/>
                <w:sz w:val="20"/>
                <w:szCs w:val="20"/>
              </w:rPr>
              <w:t>5</w:t>
            </w:r>
          </w:p>
        </w:tc>
      </w:tr>
      <w:tr w:rsidR="002C28E0" w14:paraId="0730BB57" w14:textId="77777777" w:rsidTr="634691F6">
        <w:trPr>
          <w:trHeight w:val="604"/>
        </w:trPr>
        <w:tc>
          <w:tcPr>
            <w:tcW w:w="1164" w:type="dxa"/>
            <w:tcBorders>
              <w:top w:val="single" w:sz="8" w:space="0" w:color="FFFFFF" w:themeColor="background1"/>
              <w:bottom w:val="single" w:sz="8" w:space="0" w:color="FFFFFF" w:themeColor="background1"/>
            </w:tcBorders>
            <w:shd w:val="clear" w:color="auto" w:fill="FFE8C8" w:themeFill="accent4" w:themeFillTint="33"/>
            <w:tcMar>
              <w:top w:w="85" w:type="dxa"/>
              <w:left w:w="100" w:type="dxa"/>
              <w:bottom w:w="85" w:type="dxa"/>
              <w:right w:w="72" w:type="dxa"/>
            </w:tcMar>
            <w:hideMark/>
          </w:tcPr>
          <w:p w14:paraId="0F850A84" w14:textId="77777777" w:rsidR="002C28E0" w:rsidRPr="00CF4011" w:rsidRDefault="002C28E0" w:rsidP="00C90F47">
            <w:pPr>
              <w:pStyle w:val="TableBody"/>
              <w:rPr>
                <w:color w:val="000000"/>
                <w:sz w:val="20"/>
                <w:szCs w:val="20"/>
              </w:rPr>
            </w:pPr>
            <w:r w:rsidRPr="00CF4011">
              <w:rPr>
                <w:color w:val="000000"/>
                <w:sz w:val="20"/>
                <w:szCs w:val="20"/>
              </w:rPr>
              <w:t>D.2</w:t>
            </w:r>
          </w:p>
        </w:tc>
        <w:tc>
          <w:tcPr>
            <w:tcW w:w="6693" w:type="dxa"/>
            <w:tcBorders>
              <w:top w:val="single" w:sz="8" w:space="0" w:color="FFFFFF" w:themeColor="background1"/>
              <w:bottom w:val="single" w:sz="8" w:space="0" w:color="FFFFFF" w:themeColor="background1"/>
            </w:tcBorders>
            <w:shd w:val="clear" w:color="auto" w:fill="FFE8C8" w:themeFill="accent4" w:themeFillTint="33"/>
            <w:tcMar>
              <w:top w:w="85" w:type="dxa"/>
              <w:left w:w="100" w:type="dxa"/>
              <w:bottom w:w="85" w:type="dxa"/>
              <w:right w:w="72" w:type="dxa"/>
            </w:tcMar>
            <w:hideMark/>
          </w:tcPr>
          <w:p w14:paraId="7DF11CAD" w14:textId="77777777" w:rsidR="002C28E0" w:rsidRPr="00CF4011" w:rsidRDefault="002C28E0" w:rsidP="634691F6">
            <w:pPr>
              <w:pStyle w:val="TableBody"/>
              <w:rPr>
                <w:color w:val="000000"/>
                <w:sz w:val="20"/>
                <w:szCs w:val="20"/>
                <w:lang w:val="en-AU"/>
              </w:rPr>
            </w:pPr>
            <w:r w:rsidRPr="634691F6">
              <w:rPr>
                <w:color w:val="000000" w:themeColor="text1"/>
                <w:sz w:val="20"/>
                <w:szCs w:val="20"/>
                <w:lang w:val="en-AU"/>
              </w:rPr>
              <w:t>Mandating retailers to ensure all customers on older contracts pay a ‘reasonable price’, including a flexible definition of ‘reasonable price’</w:t>
            </w:r>
          </w:p>
        </w:tc>
        <w:tc>
          <w:tcPr>
            <w:tcW w:w="1871" w:type="dxa"/>
            <w:tcBorders>
              <w:top w:val="single" w:sz="8" w:space="0" w:color="FFFFFF" w:themeColor="background1"/>
              <w:bottom w:val="single" w:sz="8" w:space="0" w:color="FFFFFF" w:themeColor="background1"/>
            </w:tcBorders>
            <w:shd w:val="clear" w:color="auto" w:fill="FFE8C8" w:themeFill="accent4" w:themeFillTint="33"/>
            <w:tcMar>
              <w:top w:w="85" w:type="dxa"/>
              <w:left w:w="100" w:type="dxa"/>
              <w:bottom w:w="85" w:type="dxa"/>
              <w:right w:w="72" w:type="dxa"/>
            </w:tcMar>
            <w:hideMark/>
          </w:tcPr>
          <w:p w14:paraId="15F03152" w14:textId="1228EA58" w:rsidR="00CF4011" w:rsidRDefault="002C28E0" w:rsidP="00BE56DA">
            <w:pPr>
              <w:pStyle w:val="TableBody"/>
              <w:jc w:val="center"/>
              <w:rPr>
                <w:b/>
                <w:bCs/>
                <w:color w:val="000000"/>
                <w:sz w:val="20"/>
                <w:szCs w:val="20"/>
              </w:rPr>
            </w:pPr>
            <w:r w:rsidRPr="00CF4011">
              <w:rPr>
                <w:b/>
                <w:bCs/>
                <w:color w:val="000000"/>
                <w:sz w:val="20"/>
                <w:szCs w:val="20"/>
              </w:rPr>
              <w:t>1.</w:t>
            </w:r>
            <w:r w:rsidR="00122B66">
              <w:rPr>
                <w:b/>
                <w:bCs/>
                <w:color w:val="000000"/>
                <w:sz w:val="20"/>
                <w:szCs w:val="20"/>
              </w:rPr>
              <w:t>0</w:t>
            </w:r>
            <w:r w:rsidRPr="00CF4011">
              <w:rPr>
                <w:b/>
                <w:bCs/>
                <w:color w:val="000000"/>
                <w:sz w:val="20"/>
                <w:szCs w:val="20"/>
              </w:rPr>
              <w:t xml:space="preserve">2 </w:t>
            </w:r>
          </w:p>
          <w:p w14:paraId="25E617EE" w14:textId="603615D3" w:rsidR="002C28E0" w:rsidRPr="00CF4011" w:rsidRDefault="002C28E0" w:rsidP="00BE56DA">
            <w:pPr>
              <w:pStyle w:val="TableBody"/>
              <w:jc w:val="center"/>
              <w:rPr>
                <w:b/>
                <w:bCs/>
                <w:color w:val="000000"/>
                <w:sz w:val="20"/>
                <w:szCs w:val="20"/>
              </w:rPr>
            </w:pPr>
            <w:r w:rsidRPr="00CF4011">
              <w:rPr>
                <w:b/>
                <w:bCs/>
                <w:color w:val="000000"/>
                <w:sz w:val="20"/>
                <w:szCs w:val="20"/>
              </w:rPr>
              <w:t>(preferred)</w:t>
            </w:r>
          </w:p>
        </w:tc>
      </w:tr>
      <w:tr w:rsidR="002C28E0" w14:paraId="03A1A651" w14:textId="77777777" w:rsidTr="634691F6">
        <w:tc>
          <w:tcPr>
            <w:tcW w:w="1164" w:type="dxa"/>
            <w:tcBorders>
              <w:top w:val="single" w:sz="8" w:space="0" w:color="FFFFFF" w:themeColor="background1"/>
            </w:tcBorders>
            <w:shd w:val="clear" w:color="auto" w:fill="F2F2F2" w:themeFill="background1" w:themeFillShade="F2"/>
            <w:tcMar>
              <w:top w:w="85" w:type="dxa"/>
              <w:left w:w="100" w:type="dxa"/>
              <w:bottom w:w="85" w:type="dxa"/>
              <w:right w:w="72" w:type="dxa"/>
            </w:tcMar>
            <w:hideMark/>
          </w:tcPr>
          <w:p w14:paraId="738F9CB8" w14:textId="77777777" w:rsidR="002C28E0" w:rsidRPr="00CF4011" w:rsidRDefault="002C28E0" w:rsidP="00C90F47">
            <w:pPr>
              <w:pStyle w:val="TableBody"/>
              <w:rPr>
                <w:color w:val="000000"/>
                <w:sz w:val="20"/>
                <w:szCs w:val="20"/>
              </w:rPr>
            </w:pPr>
            <w:r w:rsidRPr="00CF4011">
              <w:rPr>
                <w:color w:val="000000"/>
                <w:sz w:val="20"/>
                <w:szCs w:val="20"/>
              </w:rPr>
              <w:t>D.3</w:t>
            </w:r>
          </w:p>
        </w:tc>
        <w:tc>
          <w:tcPr>
            <w:tcW w:w="6693" w:type="dxa"/>
            <w:tcBorders>
              <w:top w:val="single" w:sz="8" w:space="0" w:color="FFFFFF" w:themeColor="background1"/>
            </w:tcBorders>
            <w:shd w:val="clear" w:color="auto" w:fill="F2F2F2" w:themeFill="background1" w:themeFillShade="F2"/>
            <w:tcMar>
              <w:top w:w="85" w:type="dxa"/>
              <w:left w:w="100" w:type="dxa"/>
              <w:bottom w:w="85" w:type="dxa"/>
              <w:right w:w="72" w:type="dxa"/>
            </w:tcMar>
            <w:hideMark/>
          </w:tcPr>
          <w:p w14:paraId="677C2DCF" w14:textId="77777777" w:rsidR="002C28E0" w:rsidRPr="00CF4011" w:rsidRDefault="002C28E0" w:rsidP="634691F6">
            <w:pPr>
              <w:pStyle w:val="TableBody"/>
              <w:rPr>
                <w:color w:val="000000"/>
                <w:sz w:val="20"/>
                <w:szCs w:val="20"/>
                <w:lang w:val="en-AU"/>
              </w:rPr>
            </w:pPr>
            <w:r w:rsidRPr="634691F6">
              <w:rPr>
                <w:color w:val="000000" w:themeColor="text1"/>
                <w:sz w:val="20"/>
                <w:szCs w:val="20"/>
                <w:lang w:val="en-AU"/>
              </w:rPr>
              <w:t>Mandating retailers to ensure all customers on older contracts pay a ‘reasonable price’, including a prescriptive definition of ‘reasonable price’</w:t>
            </w:r>
          </w:p>
        </w:tc>
        <w:tc>
          <w:tcPr>
            <w:tcW w:w="1871" w:type="dxa"/>
            <w:tcBorders>
              <w:top w:val="single" w:sz="8" w:space="0" w:color="FFFFFF" w:themeColor="background1"/>
            </w:tcBorders>
            <w:shd w:val="clear" w:color="auto" w:fill="F2F2F2" w:themeFill="background1" w:themeFillShade="F2"/>
            <w:tcMar>
              <w:top w:w="85" w:type="dxa"/>
              <w:left w:w="100" w:type="dxa"/>
              <w:bottom w:w="85" w:type="dxa"/>
              <w:right w:w="72" w:type="dxa"/>
            </w:tcMar>
            <w:hideMark/>
          </w:tcPr>
          <w:p w14:paraId="21F65EDA" w14:textId="46B2E78B" w:rsidR="002C28E0" w:rsidRPr="00CF4011" w:rsidRDefault="002C28E0" w:rsidP="00BE56DA">
            <w:pPr>
              <w:pStyle w:val="TableBody"/>
              <w:jc w:val="center"/>
              <w:rPr>
                <w:color w:val="000000"/>
                <w:sz w:val="20"/>
                <w:szCs w:val="20"/>
              </w:rPr>
            </w:pPr>
            <w:r w:rsidRPr="00CF4011">
              <w:rPr>
                <w:color w:val="000000"/>
                <w:sz w:val="20"/>
                <w:szCs w:val="20"/>
              </w:rPr>
              <w:t>0.</w:t>
            </w:r>
            <w:r w:rsidR="006605A2">
              <w:rPr>
                <w:color w:val="000000"/>
                <w:sz w:val="20"/>
                <w:szCs w:val="20"/>
              </w:rPr>
              <w:t>1</w:t>
            </w:r>
            <w:r w:rsidRPr="00CF4011">
              <w:rPr>
                <w:color w:val="000000"/>
                <w:sz w:val="20"/>
                <w:szCs w:val="20"/>
              </w:rPr>
              <w:t>75</w:t>
            </w:r>
          </w:p>
        </w:tc>
      </w:tr>
    </w:tbl>
    <w:p w14:paraId="4FDA9FFA" w14:textId="73AB0FE3" w:rsidR="000601B4" w:rsidRPr="000601B4" w:rsidRDefault="00DA4D5C" w:rsidP="00C43094">
      <w:pPr>
        <w:pStyle w:val="Heading2numbered"/>
      </w:pPr>
      <w:bookmarkStart w:id="259" w:name="_Toc195692605"/>
      <w:bookmarkStart w:id="260" w:name="_Toc195701900"/>
      <w:bookmarkEnd w:id="259"/>
      <w:bookmarkEnd w:id="260"/>
      <w:r>
        <w:t xml:space="preserve"> </w:t>
      </w:r>
      <w:bookmarkStart w:id="261" w:name="_Toc197959457"/>
      <w:r w:rsidR="000601B4">
        <w:t xml:space="preserve">Question </w:t>
      </w:r>
      <w:r w:rsidR="00C43094">
        <w:t>for stakeholders</w:t>
      </w:r>
      <w:bookmarkEnd w:id="261"/>
    </w:p>
    <w:p w14:paraId="26082026" w14:textId="77777777" w:rsidR="004309BF" w:rsidRDefault="001745E8" w:rsidP="00F16111">
      <w:pPr>
        <w:pStyle w:val="Pull-outBullet1"/>
        <w:numPr>
          <w:ilvl w:val="0"/>
          <w:numId w:val="44"/>
        </w:numPr>
      </w:pPr>
      <w:r>
        <w:t xml:space="preserve">What would you consider to be a suitable benchmark </w:t>
      </w:r>
      <w:r w:rsidR="00C363B3">
        <w:t xml:space="preserve">to determine a reasonable price </w:t>
      </w:r>
      <w:r>
        <w:t>for gas?</w:t>
      </w:r>
    </w:p>
    <w:p w14:paraId="56A2C4BC" w14:textId="4528F625" w:rsidR="004309BF" w:rsidRDefault="004309BF" w:rsidP="008207F5">
      <w:pPr>
        <w:sectPr w:rsidR="004309BF" w:rsidSect="005E5FCE">
          <w:footerReference w:type="default" r:id="rId54"/>
          <w:type w:val="continuous"/>
          <w:pgSz w:w="11906" w:h="16838" w:code="9"/>
          <w:pgMar w:top="1134" w:right="1134" w:bottom="1134" w:left="1134" w:header="709" w:footer="692" w:gutter="0"/>
          <w:cols w:space="708"/>
          <w:docGrid w:linePitch="360"/>
        </w:sectPr>
      </w:pPr>
    </w:p>
    <w:p w14:paraId="770E473A" w14:textId="5A5DF5B5" w:rsidR="002A2AFF" w:rsidRPr="00710792" w:rsidRDefault="002A2AFF" w:rsidP="002A2AFF">
      <w:pPr>
        <w:pStyle w:val="Heading1numbered"/>
        <w:rPr>
          <w:rFonts w:eastAsiaTheme="minorHAnsi"/>
        </w:rPr>
      </w:pPr>
      <w:bookmarkStart w:id="262" w:name="_Toc197959458"/>
      <w:r>
        <w:lastRenderedPageBreak/>
        <w:t>Improving the application of concessions on bills</w:t>
      </w:r>
      <w:bookmarkEnd w:id="262"/>
    </w:p>
    <w:p w14:paraId="6645DE99" w14:textId="3AF7D2C9" w:rsidR="00EB6C61" w:rsidRDefault="00EB6C61" w:rsidP="00A0649A">
      <w:pPr>
        <w:pStyle w:val="Pull-outHeading"/>
        <w:ind w:left="0"/>
      </w:pPr>
      <w:r>
        <w:t>Preferred option</w:t>
      </w:r>
    </w:p>
    <w:p w14:paraId="4DCE6A13" w14:textId="1FC7FFF2" w:rsidR="00EB6C61" w:rsidRPr="00EB6C61" w:rsidRDefault="00ED3A6C" w:rsidP="00A0649A">
      <w:pPr>
        <w:pStyle w:val="Pull-outHeading"/>
        <w:ind w:left="0"/>
        <w:rPr>
          <w:b w:val="0"/>
          <w:bCs w:val="0"/>
        </w:rPr>
      </w:pPr>
      <w:r>
        <w:rPr>
          <w:b w:val="0"/>
          <w:bCs w:val="0"/>
        </w:rPr>
        <w:t xml:space="preserve">A retailer would be </w:t>
      </w:r>
      <w:r w:rsidR="00F849E3">
        <w:rPr>
          <w:b w:val="0"/>
          <w:bCs w:val="0"/>
        </w:rPr>
        <w:t xml:space="preserve">required to request concession eligibility information from residential customers </w:t>
      </w:r>
      <w:r w:rsidR="00FC19DB">
        <w:rPr>
          <w:b w:val="0"/>
          <w:bCs w:val="0"/>
        </w:rPr>
        <w:t>at all times when a retailer considers it relevant to do so. In addition, a retailer would be required to request this information</w:t>
      </w:r>
      <w:r w:rsidR="00A909B1">
        <w:rPr>
          <w:b w:val="0"/>
          <w:bCs w:val="0"/>
        </w:rPr>
        <w:t>:</w:t>
      </w:r>
    </w:p>
    <w:p w14:paraId="107AC31C" w14:textId="1729D64E" w:rsidR="00A909B1" w:rsidRDefault="00A909B1" w:rsidP="00A909B1">
      <w:pPr>
        <w:pStyle w:val="Pull-outBullet1"/>
      </w:pPr>
      <w:r>
        <w:t>when entering into a new contract with a customer</w:t>
      </w:r>
    </w:p>
    <w:p w14:paraId="67AAD185" w14:textId="6DC9E9E7" w:rsidR="00A909B1" w:rsidRPr="00EB6C61" w:rsidRDefault="00A909B1" w:rsidP="00A909B1">
      <w:pPr>
        <w:pStyle w:val="Pull-outBullet1"/>
      </w:pPr>
      <w:r>
        <w:t>when a customer requests to switch to another plan</w:t>
      </w:r>
    </w:p>
    <w:p w14:paraId="40EA9CF5" w14:textId="686EB417" w:rsidR="005E601A" w:rsidRDefault="005E601A" w:rsidP="00A909B1">
      <w:pPr>
        <w:pStyle w:val="Pull-outBullet1"/>
      </w:pPr>
      <w:r>
        <w:t>when a customer contacts the retailer requesting payment difficulty assistance</w:t>
      </w:r>
    </w:p>
    <w:p w14:paraId="210548F4" w14:textId="68414332" w:rsidR="005E601A" w:rsidRPr="00EB6C61" w:rsidRDefault="00896C49" w:rsidP="00A909B1">
      <w:pPr>
        <w:pStyle w:val="Pull-outBullet1"/>
      </w:pPr>
      <w:r>
        <w:t xml:space="preserve">as soon as practicable, </w:t>
      </w:r>
      <w:r w:rsidR="00FB18F3">
        <w:t xml:space="preserve">if a customer </w:t>
      </w:r>
      <w:r w:rsidR="00D05834">
        <w:t>may be affect</w:t>
      </w:r>
      <w:r w:rsidR="00E449B8">
        <w:t>ed</w:t>
      </w:r>
      <w:r w:rsidR="00D05834">
        <w:t xml:space="preserve"> by family violence.</w:t>
      </w:r>
    </w:p>
    <w:p w14:paraId="79CF784C" w14:textId="3CA8A3F5" w:rsidR="008B35E0" w:rsidRDefault="002A2AFF" w:rsidP="00C36F3A">
      <w:pPr>
        <w:pStyle w:val="Heading2numbered"/>
      </w:pPr>
      <w:bookmarkStart w:id="263" w:name="_Toc197959459"/>
      <w:r>
        <w:t>Scope of reform</w:t>
      </w:r>
      <w:bookmarkEnd w:id="263"/>
    </w:p>
    <w:p w14:paraId="72DB28CC" w14:textId="6B9D3873" w:rsidR="0077445B" w:rsidRPr="0077445B" w:rsidRDefault="00CF412F" w:rsidP="00FC2E32">
      <w:pPr>
        <w:pStyle w:val="Heading3"/>
      </w:pPr>
      <w:r>
        <w:t>Purpose of reform</w:t>
      </w:r>
    </w:p>
    <w:p w14:paraId="7E98DE7C" w14:textId="10C21EC9" w:rsidR="002F1F9B" w:rsidRDefault="00FE4F37" w:rsidP="00E24A33">
      <w:r>
        <w:t xml:space="preserve">The purpose of this </w:t>
      </w:r>
      <w:r w:rsidR="00C0136E">
        <w:t xml:space="preserve">proposed </w:t>
      </w:r>
      <w:r>
        <w:t xml:space="preserve">reform is to </w:t>
      </w:r>
      <w:r w:rsidR="002F1F9B">
        <w:t>increase the proportion of</w:t>
      </w:r>
      <w:r>
        <w:t xml:space="preserve"> </w:t>
      </w:r>
      <w:r w:rsidR="00264208">
        <w:t xml:space="preserve">eligible </w:t>
      </w:r>
      <w:r>
        <w:t>Victorian</w:t>
      </w:r>
      <w:r w:rsidR="00264208">
        <w:t xml:space="preserve"> households</w:t>
      </w:r>
      <w:r>
        <w:t xml:space="preserve"> </w:t>
      </w:r>
      <w:r w:rsidR="002F1F9B">
        <w:t>having</w:t>
      </w:r>
      <w:r w:rsidR="00F176F3">
        <w:t xml:space="preserve"> </w:t>
      </w:r>
      <w:r w:rsidR="00267FAC">
        <w:t>energy concessions applied to</w:t>
      </w:r>
      <w:r>
        <w:t xml:space="preserve"> their </w:t>
      </w:r>
      <w:r w:rsidR="00267FAC">
        <w:t>bills.</w:t>
      </w:r>
    </w:p>
    <w:p w14:paraId="5FDD19E2" w14:textId="691BF6CF" w:rsidR="00852D2C" w:rsidRDefault="00852D2C" w:rsidP="00852D2C">
      <w:r>
        <w:t>The Victorian Council of Social Service</w:t>
      </w:r>
      <w:r w:rsidR="00FE6584">
        <w:t xml:space="preserve">’s 2023 </w:t>
      </w:r>
      <w:r>
        <w:t>research that suggested that 14 per cent of eligible Victorian households were missing out o</w:t>
      </w:r>
      <w:r w:rsidR="00E011F1">
        <w:t>n</w:t>
      </w:r>
      <w:r>
        <w:t xml:space="preserve"> government energy concessions.</w:t>
      </w:r>
      <w:r>
        <w:rPr>
          <w:rStyle w:val="FootnoteReference"/>
        </w:rPr>
        <w:footnoteReference w:id="210"/>
      </w:r>
    </w:p>
    <w:p w14:paraId="4036DA6E" w14:textId="022568EE" w:rsidR="00852D2C" w:rsidRDefault="00852D2C" w:rsidP="00852D2C">
      <w:r>
        <w:t xml:space="preserve">A more conservative estimate by the Consumer Policy Research Centre indicated that 7 per cent of eligible Victorians did not </w:t>
      </w:r>
      <w:r w:rsidR="00A164C4">
        <w:t>receive</w:t>
      </w:r>
      <w:r>
        <w:t xml:space="preserve"> a concession on their electricity bill and 12 per cent d</w:t>
      </w:r>
      <w:r w:rsidR="00E011F1">
        <w:t>id</w:t>
      </w:r>
      <w:r>
        <w:t xml:space="preserve"> not receive </w:t>
      </w:r>
      <w:r w:rsidR="00E011F1">
        <w:t xml:space="preserve">a </w:t>
      </w:r>
      <w:r>
        <w:t>concession on their gas bill.</w:t>
      </w:r>
      <w:r w:rsidR="0027766F">
        <w:t xml:space="preserve"> </w:t>
      </w:r>
      <w:r w:rsidR="00E53E5C">
        <w:t xml:space="preserve">This represents </w:t>
      </w:r>
      <w:r w:rsidR="00F76530">
        <w:t xml:space="preserve">around 69,000 </w:t>
      </w:r>
      <w:r w:rsidR="00A4051F">
        <w:t xml:space="preserve">households missing concessions on electricity bills and around </w:t>
      </w:r>
      <w:r w:rsidR="000D3530">
        <w:t>90,000 households missing concessions on gas bills.</w:t>
      </w:r>
      <w:r w:rsidR="00AA28E0">
        <w:rPr>
          <w:rStyle w:val="FootnoteReference"/>
        </w:rPr>
        <w:footnoteReference w:id="211"/>
      </w:r>
    </w:p>
    <w:p w14:paraId="136673F2" w14:textId="75CB2FA1" w:rsidR="00852D2C" w:rsidRDefault="00B86D1E" w:rsidP="00852D2C">
      <w:r>
        <w:t xml:space="preserve">Although </w:t>
      </w:r>
      <w:r w:rsidR="00852D2C">
        <w:t xml:space="preserve">Victoria </w:t>
      </w:r>
      <w:r>
        <w:t xml:space="preserve">has </w:t>
      </w:r>
      <w:r w:rsidR="00852D2C">
        <w:t xml:space="preserve">the lowest rate of </w:t>
      </w:r>
      <w:r w:rsidR="00E011F1">
        <w:t xml:space="preserve">eligible </w:t>
      </w:r>
      <w:r w:rsidR="00852D2C">
        <w:t xml:space="preserve">households </w:t>
      </w:r>
      <w:r w:rsidR="00E011F1">
        <w:t>not receiving</w:t>
      </w:r>
      <w:r w:rsidR="00852D2C">
        <w:t xml:space="preserve"> concessions in the National Electricity Market</w:t>
      </w:r>
      <w:r w:rsidR="00E011F1">
        <w:t xml:space="preserve">, a significant number of Victorians are still missing out. </w:t>
      </w:r>
    </w:p>
    <w:p w14:paraId="51917E4D" w14:textId="56733868" w:rsidR="0078470F" w:rsidRDefault="00282CF4" w:rsidP="00E24A33">
      <w:r>
        <w:lastRenderedPageBreak/>
        <w:t>Concession entitlements are designed to</w:t>
      </w:r>
      <w:r w:rsidR="00904911">
        <w:t xml:space="preserve"> reduce the </w:t>
      </w:r>
      <w:r w:rsidR="00D35819">
        <w:t xml:space="preserve">financial burden of energy bills </w:t>
      </w:r>
      <w:r w:rsidR="000617C6">
        <w:t>for</w:t>
      </w:r>
      <w:r w:rsidR="00D35819">
        <w:t xml:space="preserve"> </w:t>
      </w:r>
      <w:r w:rsidR="00D9456C">
        <w:t>eligible</w:t>
      </w:r>
      <w:r w:rsidR="00D35819">
        <w:t xml:space="preserve"> households</w:t>
      </w:r>
      <w:r w:rsidR="000617C6">
        <w:t>.</w:t>
      </w:r>
      <w:r w:rsidR="00D35819">
        <w:t xml:space="preserve"> </w:t>
      </w:r>
      <w:r w:rsidR="00C54B78">
        <w:t xml:space="preserve">Lack of awareness of </w:t>
      </w:r>
      <w:r w:rsidR="00AB4544">
        <w:t xml:space="preserve">concession entitlements </w:t>
      </w:r>
      <w:r w:rsidR="00313E07">
        <w:t>is</w:t>
      </w:r>
      <w:r w:rsidR="00523CB8">
        <w:t xml:space="preserve"> a </w:t>
      </w:r>
      <w:r w:rsidR="00242FA6" w:rsidRPr="00242FA6">
        <w:t xml:space="preserve">particularly </w:t>
      </w:r>
      <w:r w:rsidR="005D3B2F">
        <w:t>significant</w:t>
      </w:r>
      <w:r w:rsidR="00242FA6" w:rsidRPr="00242FA6">
        <w:t xml:space="preserve"> </w:t>
      </w:r>
      <w:r w:rsidR="00AC44EE">
        <w:t>reason</w:t>
      </w:r>
      <w:r w:rsidR="008210C0">
        <w:t xml:space="preserve"> </w:t>
      </w:r>
      <w:r w:rsidR="0021663B">
        <w:t xml:space="preserve">some </w:t>
      </w:r>
      <w:r w:rsidR="008210C0">
        <w:t>households</w:t>
      </w:r>
      <w:r w:rsidR="00242FA6">
        <w:t xml:space="preserve"> </w:t>
      </w:r>
      <w:r w:rsidR="0021663B">
        <w:t>do</w:t>
      </w:r>
      <w:r w:rsidR="00AC44EE">
        <w:t xml:space="preserve"> not</w:t>
      </w:r>
      <w:r w:rsidR="00242FA6" w:rsidRPr="00242FA6">
        <w:t xml:space="preserve"> </w:t>
      </w:r>
      <w:r w:rsidR="003852B3">
        <w:t>have</w:t>
      </w:r>
      <w:r w:rsidR="00242FA6" w:rsidRPr="00242FA6">
        <w:t xml:space="preserve"> </w:t>
      </w:r>
      <w:r w:rsidR="00242FA6" w:rsidRPr="00C51B15">
        <w:t>concessions</w:t>
      </w:r>
      <w:r w:rsidR="00C42A18">
        <w:t xml:space="preserve"> </w:t>
      </w:r>
      <w:r w:rsidR="003852B3">
        <w:t>applied to their</w:t>
      </w:r>
      <w:r w:rsidR="00C42A18">
        <w:t xml:space="preserve"> energy bills</w:t>
      </w:r>
      <w:r w:rsidR="00C51B15" w:rsidRPr="00C51B15">
        <w:t>.</w:t>
      </w:r>
      <w:r w:rsidR="00C51B15">
        <w:rPr>
          <w:rStyle w:val="FootnoteReference"/>
        </w:rPr>
        <w:footnoteReference w:id="212"/>
      </w:r>
    </w:p>
    <w:p w14:paraId="1B76D3B3" w14:textId="0AC44C11" w:rsidR="00067B09" w:rsidRDefault="0016262D" w:rsidP="00E24A33">
      <w:r>
        <w:t>Currently, r</w:t>
      </w:r>
      <w:r w:rsidR="00067B09">
        <w:t xml:space="preserve">etailers are required to provide customers </w:t>
      </w:r>
      <w:r w:rsidR="00000028">
        <w:t xml:space="preserve">information about concessions, including eligibility criteria </w:t>
      </w:r>
      <w:r w:rsidR="006A66D7">
        <w:t xml:space="preserve">and how to claim </w:t>
      </w:r>
      <w:r w:rsidR="00A716D1">
        <w:t>them</w:t>
      </w:r>
      <w:r w:rsidR="006A66D7">
        <w:t>.</w:t>
      </w:r>
      <w:r w:rsidR="00BD4F22">
        <w:rPr>
          <w:rStyle w:val="FootnoteReference"/>
        </w:rPr>
        <w:footnoteReference w:id="213"/>
      </w:r>
      <w:r w:rsidR="00A229CF">
        <w:t xml:space="preserve"> </w:t>
      </w:r>
      <w:r w:rsidR="00206F84">
        <w:t xml:space="preserve">However, </w:t>
      </w:r>
      <w:r w:rsidR="00F604F0">
        <w:t xml:space="preserve">customers </w:t>
      </w:r>
      <w:r w:rsidR="00964C15">
        <w:t xml:space="preserve">may not always </w:t>
      </w:r>
      <w:r w:rsidR="008962B1">
        <w:t xml:space="preserve">understand or act on </w:t>
      </w:r>
      <w:r w:rsidR="00002A71">
        <w:t>this information.</w:t>
      </w:r>
      <w:r w:rsidR="00205C4A">
        <w:rPr>
          <w:rStyle w:val="FootnoteReference"/>
        </w:rPr>
        <w:footnoteReference w:id="214"/>
      </w:r>
      <w:r w:rsidR="00002A71">
        <w:t xml:space="preserve"> </w:t>
      </w:r>
    </w:p>
    <w:p w14:paraId="0655EFF0" w14:textId="0B08520D" w:rsidR="00BC77DA" w:rsidRDefault="00272355" w:rsidP="00F43D47">
      <w:r>
        <w:t>We are</w:t>
      </w:r>
      <w:r w:rsidR="00F56290">
        <w:t xml:space="preserve"> considering </w:t>
      </w:r>
      <w:r w:rsidR="00D71F75">
        <w:t xml:space="preserve">options that require retailers to proactively seek </w:t>
      </w:r>
      <w:r w:rsidR="006C498E">
        <w:t>and obtain</w:t>
      </w:r>
      <w:r w:rsidR="00D71F75">
        <w:t xml:space="preserve"> information </w:t>
      </w:r>
      <w:r w:rsidR="008F2113">
        <w:t>about customer</w:t>
      </w:r>
      <w:r w:rsidR="00952928">
        <w:t>s’ concession el</w:t>
      </w:r>
      <w:r w:rsidR="008D4785">
        <w:t xml:space="preserve">igibility when they </w:t>
      </w:r>
      <w:r w:rsidR="009706C6">
        <w:t>interact</w:t>
      </w:r>
      <w:r w:rsidR="008D4785">
        <w:t xml:space="preserve"> with </w:t>
      </w:r>
      <w:r w:rsidR="008F2699">
        <w:t>them</w:t>
      </w:r>
      <w:r w:rsidR="009706C6">
        <w:t xml:space="preserve">. </w:t>
      </w:r>
      <w:r w:rsidR="00E632A2">
        <w:t xml:space="preserve">The goal is to </w:t>
      </w:r>
      <w:r w:rsidR="00615B9A">
        <w:t>increase consumer awarenes</w:t>
      </w:r>
      <w:r w:rsidR="002C4F5A">
        <w:t>s of their entitlements and</w:t>
      </w:r>
      <w:r w:rsidR="00E632A2">
        <w:t xml:space="preserve"> reduce</w:t>
      </w:r>
      <w:r w:rsidR="00BE5C46">
        <w:t xml:space="preserve"> the burden </w:t>
      </w:r>
      <w:r w:rsidR="00EA3796">
        <w:t xml:space="preserve">placed on customers to </w:t>
      </w:r>
      <w:r w:rsidR="00496784">
        <w:t xml:space="preserve">take the initiative to provide </w:t>
      </w:r>
      <w:r w:rsidR="000B5CE1">
        <w:t>this information to retailers.</w:t>
      </w:r>
    </w:p>
    <w:p w14:paraId="6DD9CAE6" w14:textId="2AFFFE36" w:rsidR="00D13BB3" w:rsidRDefault="00A43E36" w:rsidP="00E24A33">
      <w:r>
        <w:t xml:space="preserve">We consider this </w:t>
      </w:r>
      <w:r w:rsidR="00A46907">
        <w:t>c</w:t>
      </w:r>
      <w:r>
        <w:t>ould</w:t>
      </w:r>
      <w:r w:rsidR="00A9386D">
        <w:t xml:space="preserve"> also reduce </w:t>
      </w:r>
      <w:r w:rsidR="00014BFA">
        <w:t>the perceived stigma related to concessions</w:t>
      </w:r>
      <w:r w:rsidR="00B356FC">
        <w:t xml:space="preserve"> by </w:t>
      </w:r>
      <w:r w:rsidR="00913B5F">
        <w:t xml:space="preserve">normalising </w:t>
      </w:r>
      <w:r w:rsidR="00725D2F">
        <w:t>the application process</w:t>
      </w:r>
      <w:r w:rsidR="0027615D">
        <w:t xml:space="preserve"> as part of </w:t>
      </w:r>
      <w:r w:rsidR="00265A3B">
        <w:t xml:space="preserve">everyday retailer and customer interactions. </w:t>
      </w:r>
      <w:r w:rsidR="00D13BB3">
        <w:t xml:space="preserve">Retailers </w:t>
      </w:r>
      <w:r w:rsidR="009B12E9">
        <w:t xml:space="preserve">proactively seeking concession information </w:t>
      </w:r>
      <w:r w:rsidR="003F08A7">
        <w:t>c</w:t>
      </w:r>
      <w:r w:rsidR="009B12E9">
        <w:t xml:space="preserve">ould </w:t>
      </w:r>
      <w:r w:rsidR="00716D9F">
        <w:t xml:space="preserve">additionally </w:t>
      </w:r>
      <w:r w:rsidR="009B12E9">
        <w:t xml:space="preserve">reduce </w:t>
      </w:r>
      <w:r w:rsidR="00FB3D6C">
        <w:t xml:space="preserve">concession entitlement </w:t>
      </w:r>
      <w:r w:rsidR="0066178F">
        <w:t xml:space="preserve">barriers related to language and </w:t>
      </w:r>
      <w:r w:rsidR="000B0D5A">
        <w:t>complexity of forms and procedures</w:t>
      </w:r>
      <w:r w:rsidR="00370BF9">
        <w:t>. This is because retailers</w:t>
      </w:r>
      <w:r w:rsidR="002641EF">
        <w:t xml:space="preserve"> </w:t>
      </w:r>
      <w:r w:rsidR="000B0D5A">
        <w:t xml:space="preserve">have </w:t>
      </w:r>
      <w:r w:rsidR="003F1DAE">
        <w:t xml:space="preserve">access to </w:t>
      </w:r>
      <w:r w:rsidR="00671ECC">
        <w:t xml:space="preserve">interpreters </w:t>
      </w:r>
      <w:r w:rsidR="006C0D90">
        <w:t xml:space="preserve">and knowledge of </w:t>
      </w:r>
      <w:r w:rsidR="00DE1B59">
        <w:t xml:space="preserve">their own </w:t>
      </w:r>
      <w:r w:rsidR="006C0D90">
        <w:t>concession forms and procedures.</w:t>
      </w:r>
      <w:r w:rsidR="00F12547">
        <w:t xml:space="preserve"> </w:t>
      </w:r>
    </w:p>
    <w:p w14:paraId="1158C3E7" w14:textId="35C2D8B2" w:rsidR="00A3038B" w:rsidRDefault="008534DD" w:rsidP="001F3BCD">
      <w:pPr>
        <w:pStyle w:val="Heading3"/>
        <w:keepNext w:val="0"/>
      </w:pPr>
      <w:r>
        <w:t>What we heard from stakeholders</w:t>
      </w:r>
    </w:p>
    <w:p w14:paraId="68245304" w14:textId="4B3AB21B" w:rsidR="002C2C60" w:rsidRDefault="0045231E" w:rsidP="00ED0896">
      <w:r>
        <w:t>Retailers</w:t>
      </w:r>
      <w:r w:rsidR="00024586">
        <w:t xml:space="preserve"> </w:t>
      </w:r>
      <w:r w:rsidR="007732EB">
        <w:t xml:space="preserve">mostly opposed new requirements to check customers’ eligibility information. </w:t>
      </w:r>
      <w:r w:rsidR="00F94082">
        <w:t>M</w:t>
      </w:r>
      <w:r w:rsidR="002C2C60">
        <w:t xml:space="preserve">any retailers stated that they already </w:t>
      </w:r>
      <w:r w:rsidR="00F94082">
        <w:t xml:space="preserve">have processes for </w:t>
      </w:r>
      <w:r w:rsidR="002C2C60">
        <w:t>request</w:t>
      </w:r>
      <w:r w:rsidR="00F94082">
        <w:t>ing</w:t>
      </w:r>
      <w:r w:rsidR="002C2C60">
        <w:t xml:space="preserve"> concession information from customers:</w:t>
      </w:r>
    </w:p>
    <w:p w14:paraId="20528E78" w14:textId="56EA5A3E" w:rsidR="00B2210A" w:rsidRDefault="00F94082" w:rsidP="00A92E17">
      <w:pPr>
        <w:pStyle w:val="TableBullet"/>
      </w:pPr>
      <w:r>
        <w:t>w</w:t>
      </w:r>
      <w:r w:rsidR="00525C8E">
        <w:t xml:space="preserve">hen </w:t>
      </w:r>
      <w:r w:rsidR="000A344E">
        <w:t xml:space="preserve">signing </w:t>
      </w:r>
      <w:r>
        <w:t xml:space="preserve">up </w:t>
      </w:r>
      <w:r w:rsidR="000A344E">
        <w:t>a cu</w:t>
      </w:r>
      <w:r w:rsidR="00B2210A">
        <w:t xml:space="preserve">stomer for their services </w:t>
      </w:r>
    </w:p>
    <w:p w14:paraId="333422DB" w14:textId="69D58FA7" w:rsidR="002C59EC" w:rsidRDefault="00F94082" w:rsidP="00A92E17">
      <w:pPr>
        <w:pStyle w:val="TableBullet"/>
      </w:pPr>
      <w:r>
        <w:t>w</w:t>
      </w:r>
      <w:r w:rsidR="00B2210A">
        <w:t xml:space="preserve">hen </w:t>
      </w:r>
      <w:r w:rsidR="002C59EC">
        <w:t xml:space="preserve">a customer moves house </w:t>
      </w:r>
    </w:p>
    <w:p w14:paraId="2DD437EB" w14:textId="58F5A2B2" w:rsidR="00755AF8" w:rsidRDefault="00F94082" w:rsidP="00A92E17">
      <w:pPr>
        <w:pStyle w:val="TableBullet"/>
      </w:pPr>
      <w:r>
        <w:t>w</w:t>
      </w:r>
      <w:r w:rsidR="00EE4437">
        <w:t xml:space="preserve">hen a customer </w:t>
      </w:r>
      <w:r w:rsidR="00567DD6">
        <w:t xml:space="preserve">accesses their hardship </w:t>
      </w:r>
      <w:r w:rsidR="00547797">
        <w:t xml:space="preserve">assistance </w:t>
      </w:r>
      <w:r w:rsidR="00E67001">
        <w:t>programs</w:t>
      </w:r>
      <w:r w:rsidR="00355A5B">
        <w:t>.</w:t>
      </w:r>
      <w:r w:rsidR="002324CB">
        <w:rPr>
          <w:rStyle w:val="FootnoteReference"/>
        </w:rPr>
        <w:footnoteReference w:id="215"/>
      </w:r>
    </w:p>
    <w:p w14:paraId="5994FE38" w14:textId="6A2E33C8" w:rsidR="000F20F0" w:rsidRDefault="00236CF8" w:rsidP="0081338A">
      <w:r>
        <w:t>Some</w:t>
      </w:r>
      <w:r w:rsidR="00FA366B">
        <w:t xml:space="preserve"> r</w:t>
      </w:r>
      <w:r w:rsidR="00181B14">
        <w:t xml:space="preserve">etailers </w:t>
      </w:r>
      <w:r w:rsidR="00EA2C3F">
        <w:t>preferred</w:t>
      </w:r>
      <w:r w:rsidR="00CE0352">
        <w:t xml:space="preserve"> a </w:t>
      </w:r>
      <w:r w:rsidR="00E84179">
        <w:t>flexible</w:t>
      </w:r>
      <w:r w:rsidR="00D704E6">
        <w:t>,</w:t>
      </w:r>
      <w:r w:rsidR="00E84179">
        <w:t xml:space="preserve"> non-prescriptive approach</w:t>
      </w:r>
      <w:r w:rsidR="00D704E6">
        <w:t xml:space="preserve"> </w:t>
      </w:r>
      <w:r w:rsidR="00EA2C3F">
        <w:t xml:space="preserve">to improve the application of concessions </w:t>
      </w:r>
      <w:r w:rsidR="0062256C">
        <w:t>to</w:t>
      </w:r>
      <w:r w:rsidR="00EA2C3F">
        <w:t xml:space="preserve"> bills.</w:t>
      </w:r>
      <w:r w:rsidR="0075393F">
        <w:t xml:space="preserve"> </w:t>
      </w:r>
      <w:r w:rsidR="00026A05">
        <w:t>For example. s</w:t>
      </w:r>
      <w:r w:rsidR="007F4590">
        <w:t>ome r</w:t>
      </w:r>
      <w:r w:rsidR="00272D96">
        <w:t>etailers considered that</w:t>
      </w:r>
      <w:r w:rsidR="00D757E4">
        <w:t xml:space="preserve"> </w:t>
      </w:r>
      <w:r w:rsidR="00640AFB">
        <w:t xml:space="preserve">a non-prescriptive approach </w:t>
      </w:r>
      <w:r w:rsidR="00354BC0">
        <w:lastRenderedPageBreak/>
        <w:t>could</w:t>
      </w:r>
      <w:r w:rsidR="00D757E4">
        <w:t xml:space="preserve"> </w:t>
      </w:r>
      <w:r w:rsidR="002427E5">
        <w:t>allow them to balance</w:t>
      </w:r>
      <w:r w:rsidR="009E54D2">
        <w:t xml:space="preserve"> requesting concession</w:t>
      </w:r>
      <w:r w:rsidR="00FA366B">
        <w:t xml:space="preserve"> information</w:t>
      </w:r>
      <w:r w:rsidR="009E54D2">
        <w:t xml:space="preserve"> with operational needs </w:t>
      </w:r>
      <w:r w:rsidR="0044163A">
        <w:t>or</w:t>
      </w:r>
      <w:r w:rsidR="009E54D2">
        <w:t xml:space="preserve"> </w:t>
      </w:r>
      <w:r w:rsidR="007F4590">
        <w:t xml:space="preserve">better </w:t>
      </w:r>
      <w:r w:rsidR="00C84E84">
        <w:t>support</w:t>
      </w:r>
      <w:r w:rsidR="00291483">
        <w:t xml:space="preserve"> </w:t>
      </w:r>
      <w:r w:rsidR="008E1741">
        <w:t xml:space="preserve">information </w:t>
      </w:r>
      <w:r w:rsidR="001F7767">
        <w:t>sharing between</w:t>
      </w:r>
      <w:r w:rsidR="00521764">
        <w:t xml:space="preserve"> government and retailers.</w:t>
      </w:r>
      <w:r w:rsidR="00D6503F">
        <w:rPr>
          <w:rStyle w:val="FootnoteReference"/>
        </w:rPr>
        <w:footnoteReference w:id="216"/>
      </w:r>
    </w:p>
    <w:p w14:paraId="59603DBC" w14:textId="77777777" w:rsidR="0081338A" w:rsidRDefault="00AA02BD" w:rsidP="0081338A">
      <w:r>
        <w:t>We heard that requiring retailers to request concession information from customers on every contact would be</w:t>
      </w:r>
      <w:r w:rsidR="00BF21E5">
        <w:t xml:space="preserve"> too</w:t>
      </w:r>
      <w:r>
        <w:t xml:space="preserve"> b</w:t>
      </w:r>
      <w:r w:rsidRPr="008B190A">
        <w:t>urdens</w:t>
      </w:r>
      <w:r>
        <w:t>ome for retailers and frustrating for customers and frontline customer service staff.</w:t>
      </w:r>
      <w:r w:rsidR="008B215B">
        <w:rPr>
          <w:rStyle w:val="FootnoteReference"/>
        </w:rPr>
        <w:footnoteReference w:id="217"/>
      </w:r>
    </w:p>
    <w:p w14:paraId="76CB656A" w14:textId="607A92D7" w:rsidR="00AA02BD" w:rsidRPr="00B82773" w:rsidRDefault="00AA02BD" w:rsidP="00AA02BD">
      <w:r>
        <w:t xml:space="preserve">We also heard that initiatives such as bulk mailouts and bill inserts are ineffective and costly. </w:t>
      </w:r>
      <w:r w:rsidR="00052582">
        <w:t>Similarly,</w:t>
      </w:r>
      <w:r>
        <w:t xml:space="preserve"> initiatives such as bulk text messages </w:t>
      </w:r>
      <w:r w:rsidR="00052582">
        <w:t xml:space="preserve">could </w:t>
      </w:r>
      <w:r>
        <w:t>frustrate customers that are ineligible and add pressure to frontline customer service staff.</w:t>
      </w:r>
      <w:r>
        <w:rPr>
          <w:rStyle w:val="FootnoteReference"/>
        </w:rPr>
        <w:footnoteReference w:id="218"/>
      </w:r>
    </w:p>
    <w:p w14:paraId="4E0997F3" w14:textId="4F254EA2" w:rsidR="00E009B0" w:rsidRPr="00ED0896" w:rsidRDefault="004471A1" w:rsidP="00ED0896">
      <w:r>
        <w:t>C</w:t>
      </w:r>
      <w:r w:rsidR="003A3168">
        <w:t xml:space="preserve">onsumer groups supported requiring retailers to proactively seek concession information when registering a </w:t>
      </w:r>
      <w:r w:rsidR="00F9336C">
        <w:t xml:space="preserve">new </w:t>
      </w:r>
      <w:r w:rsidR="003A3168">
        <w:t>customer.</w:t>
      </w:r>
      <w:r w:rsidR="003F704E">
        <w:t xml:space="preserve"> </w:t>
      </w:r>
      <w:r w:rsidR="00961302">
        <w:t xml:space="preserve">They </w:t>
      </w:r>
      <w:r w:rsidR="00756DB8">
        <w:t>preferred</w:t>
      </w:r>
      <w:r w:rsidR="0072592F">
        <w:t xml:space="preserve"> more prescriptive </w:t>
      </w:r>
      <w:r w:rsidR="00756DB8">
        <w:t xml:space="preserve">regulations in relation to improving the application of concessions </w:t>
      </w:r>
      <w:r w:rsidR="00756DB8" w:rsidRPr="006A51C8">
        <w:t>on bills.</w:t>
      </w:r>
      <w:r w:rsidR="00C403ED" w:rsidRPr="00664836">
        <w:rPr>
          <w:rStyle w:val="FootnoteReference"/>
        </w:rPr>
        <w:footnoteReference w:id="219"/>
      </w:r>
    </w:p>
    <w:p w14:paraId="073AB495" w14:textId="6A2F67AE" w:rsidR="00D845A9" w:rsidRDefault="00D845A9" w:rsidP="00D845A9">
      <w:pPr>
        <w:pStyle w:val="Heading3"/>
      </w:pPr>
      <w:r>
        <w:t>Approach to options development</w:t>
      </w:r>
    </w:p>
    <w:p w14:paraId="105033EF" w14:textId="77F09104" w:rsidR="000A4EC0" w:rsidRDefault="00BD68A2" w:rsidP="00D845A9">
      <w:r>
        <w:t>We</w:t>
      </w:r>
      <w:r w:rsidR="00D845A9">
        <w:t xml:space="preserve"> </w:t>
      </w:r>
      <w:r w:rsidR="00991FCC">
        <w:t xml:space="preserve">considered </w:t>
      </w:r>
      <w:r w:rsidR="00BC0066">
        <w:t xml:space="preserve">the benefits of prescriptive </w:t>
      </w:r>
      <w:r w:rsidR="00AF220C">
        <w:t>regulation</w:t>
      </w:r>
      <w:r w:rsidR="009B2866">
        <w:t xml:space="preserve"> and </w:t>
      </w:r>
      <w:r w:rsidR="006C5CF9">
        <w:t>principles-based</w:t>
      </w:r>
      <w:r w:rsidR="009B2866">
        <w:t xml:space="preserve"> </w:t>
      </w:r>
      <w:r w:rsidR="00AF220C">
        <w:t>regulation</w:t>
      </w:r>
      <w:r w:rsidR="00A141A7">
        <w:t xml:space="preserve"> and the benefits of each </w:t>
      </w:r>
      <w:r w:rsidR="00597511">
        <w:t xml:space="preserve">in </w:t>
      </w:r>
      <w:r w:rsidR="008309C6">
        <w:t xml:space="preserve">helping </w:t>
      </w:r>
      <w:r w:rsidR="00666DC3">
        <w:t xml:space="preserve">improve the </w:t>
      </w:r>
      <w:r w:rsidR="00335EC5">
        <w:t xml:space="preserve">percentage of </w:t>
      </w:r>
      <w:r w:rsidR="00B253FD">
        <w:t xml:space="preserve">Victorians </w:t>
      </w:r>
      <w:r w:rsidR="00082B2C">
        <w:t xml:space="preserve">having </w:t>
      </w:r>
      <w:r w:rsidR="00B253FD">
        <w:t>their concession entitlement</w:t>
      </w:r>
      <w:r w:rsidR="00082B2C">
        <w:t>s applied to bills.</w:t>
      </w:r>
    </w:p>
    <w:p w14:paraId="68749958" w14:textId="5C3A99E2" w:rsidR="008D20FD" w:rsidRDefault="006C5CF9" w:rsidP="00D845A9">
      <w:r>
        <w:t xml:space="preserve">We researched what other </w:t>
      </w:r>
      <w:r w:rsidR="0072228B">
        <w:t>jurisdictions</w:t>
      </w:r>
      <w:r>
        <w:t xml:space="preserve"> are doing to improve their </w:t>
      </w:r>
      <w:r w:rsidR="0072228B">
        <w:t xml:space="preserve">concession entitlement </w:t>
      </w:r>
      <w:r w:rsidR="00344D24">
        <w:t>application</w:t>
      </w:r>
      <w:r w:rsidR="007C2454">
        <w:t xml:space="preserve"> rate. </w:t>
      </w:r>
      <w:r w:rsidR="00344D24">
        <w:t xml:space="preserve">We liaised with the </w:t>
      </w:r>
      <w:r w:rsidR="009C065A">
        <w:t xml:space="preserve">Department of Fairness, Families and Housing </w:t>
      </w:r>
      <w:r w:rsidR="007C676E">
        <w:t>about</w:t>
      </w:r>
      <w:r w:rsidR="00AE5CDB">
        <w:t xml:space="preserve"> retailers’ current obligations</w:t>
      </w:r>
      <w:r w:rsidR="00C858C1">
        <w:t xml:space="preserve"> to provide information to customers about concession</w:t>
      </w:r>
      <w:r w:rsidR="000417BD">
        <w:t xml:space="preserve"> eligibility and how to claim concessions</w:t>
      </w:r>
      <w:r w:rsidR="000149C8">
        <w:t xml:space="preserve">. </w:t>
      </w:r>
    </w:p>
    <w:p w14:paraId="6E051D92" w14:textId="703714B3" w:rsidR="00A9618A" w:rsidRDefault="008D20FD" w:rsidP="00570FA6">
      <w:r>
        <w:t xml:space="preserve">We also </w:t>
      </w:r>
      <w:r w:rsidR="00801728">
        <w:t>engaged</w:t>
      </w:r>
      <w:r>
        <w:t xml:space="preserve"> with </w:t>
      </w:r>
      <w:r w:rsidR="00CE3126">
        <w:t xml:space="preserve">the </w:t>
      </w:r>
      <w:r w:rsidR="00E219BF">
        <w:t>AEMC</w:t>
      </w:r>
      <w:r w:rsidR="00CE3126">
        <w:t xml:space="preserve"> </w:t>
      </w:r>
      <w:r w:rsidR="00E6531C">
        <w:t>on</w:t>
      </w:r>
      <w:r w:rsidR="00570FA6">
        <w:t xml:space="preserve"> its </w:t>
      </w:r>
      <w:r w:rsidR="00B134CE">
        <w:t>‘</w:t>
      </w:r>
      <w:hyperlink r:id="rId55" w:history="1">
        <w:r w:rsidR="002A016C" w:rsidRPr="003D66B8">
          <w:rPr>
            <w:rStyle w:val="Hyperlink"/>
          </w:rPr>
          <w:t>Improving the application of concessions on bills</w:t>
        </w:r>
      </w:hyperlink>
      <w:r w:rsidR="00B134CE">
        <w:t>’</w:t>
      </w:r>
      <w:r w:rsidR="002A016C">
        <w:t xml:space="preserve"> consultation</w:t>
      </w:r>
      <w:r w:rsidR="00E219BF">
        <w:t xml:space="preserve">. We </w:t>
      </w:r>
      <w:r w:rsidR="005541ED">
        <w:t>discussed the value and</w:t>
      </w:r>
      <w:r w:rsidR="00E219BF">
        <w:t xml:space="preserve"> </w:t>
      </w:r>
      <w:r w:rsidR="00E63DD5">
        <w:t xml:space="preserve">potential benefits of adopting similar approaches in Victoria and in </w:t>
      </w:r>
      <w:r w:rsidR="00E6531C">
        <w:t>N</w:t>
      </w:r>
      <w:r w:rsidR="003D063E">
        <w:t xml:space="preserve">ational </w:t>
      </w:r>
      <w:r w:rsidR="00E6531C">
        <w:t>E</w:t>
      </w:r>
      <w:r w:rsidR="003D063E">
        <w:t xml:space="preserve">nergy </w:t>
      </w:r>
      <w:r w:rsidR="00E6531C">
        <w:t>C</w:t>
      </w:r>
      <w:r w:rsidR="003D063E">
        <w:t xml:space="preserve">ustomer </w:t>
      </w:r>
      <w:r w:rsidR="00E6531C">
        <w:t>F</w:t>
      </w:r>
      <w:r w:rsidR="003D063E">
        <w:t>ramework</w:t>
      </w:r>
      <w:r w:rsidR="00E63DD5">
        <w:t xml:space="preserve"> jurisdictions</w:t>
      </w:r>
      <w:r w:rsidR="00B134CE">
        <w:t>, noting the differences between energy concessions in each jurisdiction</w:t>
      </w:r>
      <w:r w:rsidR="002A016C">
        <w:t>.</w:t>
      </w:r>
      <w:r w:rsidR="00AC7749">
        <w:rPr>
          <w:rStyle w:val="FootnoteReference"/>
        </w:rPr>
        <w:footnoteReference w:id="220"/>
      </w:r>
      <w:r w:rsidR="00FD2B75">
        <w:t xml:space="preserve"> </w:t>
      </w:r>
    </w:p>
    <w:p w14:paraId="27865C28" w14:textId="77777777" w:rsidR="00B63077" w:rsidRDefault="00B63077" w:rsidP="00B63077">
      <w:pPr>
        <w:pStyle w:val="Heading2numbered"/>
      </w:pPr>
      <w:bookmarkStart w:id="264" w:name="_Toc197959460"/>
      <w:r>
        <w:lastRenderedPageBreak/>
        <w:t>Options considered but not progressed to assessment</w:t>
      </w:r>
      <w:bookmarkEnd w:id="264"/>
    </w:p>
    <w:p w14:paraId="447494CB" w14:textId="77777777" w:rsidR="003D7AEB" w:rsidRDefault="00485643" w:rsidP="003D7AEB">
      <w:r>
        <w:t>The</w:t>
      </w:r>
      <w:r w:rsidR="008348C6" w:rsidRPr="008348C6">
        <w:t xml:space="preserve"> options</w:t>
      </w:r>
      <w:r>
        <w:t xml:space="preserve"> we are considering</w:t>
      </w:r>
      <w:r w:rsidR="008348C6" w:rsidRPr="008348C6">
        <w:t xml:space="preserve"> to increase the application of concessions </w:t>
      </w:r>
      <w:r>
        <w:t>to</w:t>
      </w:r>
      <w:r w:rsidR="008348C6" w:rsidRPr="008348C6">
        <w:t xml:space="preserve"> bills in</w:t>
      </w:r>
      <w:r>
        <w:t>volve actions in</w:t>
      </w:r>
      <w:r w:rsidR="008348C6" w:rsidRPr="008348C6">
        <w:t xml:space="preserve"> the short to medium term</w:t>
      </w:r>
      <w:r w:rsidR="000971EA">
        <w:t>.</w:t>
      </w:r>
      <w:r w:rsidR="00680370">
        <w:rPr>
          <w:rStyle w:val="FootnoteReference"/>
        </w:rPr>
        <w:footnoteReference w:id="221"/>
      </w:r>
    </w:p>
    <w:p w14:paraId="1C986D28" w14:textId="1B16CD35" w:rsidR="00D4388A" w:rsidRDefault="00B9186B" w:rsidP="00EF0448">
      <w:r>
        <w:t>W</w:t>
      </w:r>
      <w:r w:rsidR="005C0A9F">
        <w:t xml:space="preserve">e agree with stakeholders </w:t>
      </w:r>
      <w:r w:rsidR="0059496B">
        <w:t>that</w:t>
      </w:r>
      <w:r w:rsidR="005C0A9F">
        <w:t xml:space="preserve"> </w:t>
      </w:r>
      <w:r w:rsidR="003E12E1">
        <w:t xml:space="preserve">the automation </w:t>
      </w:r>
      <w:r w:rsidR="006F53BB">
        <w:t xml:space="preserve">and portability </w:t>
      </w:r>
      <w:r w:rsidR="003E12E1">
        <w:t xml:space="preserve">of </w:t>
      </w:r>
      <w:r w:rsidR="006C37DC">
        <w:t>concession in</w:t>
      </w:r>
      <w:r w:rsidR="00011573">
        <w:t xml:space="preserve">formation </w:t>
      </w:r>
      <w:r w:rsidR="000A42E7">
        <w:t>regarding</w:t>
      </w:r>
      <w:r w:rsidR="00011573">
        <w:t xml:space="preserve"> initial and ongoing </w:t>
      </w:r>
      <w:r w:rsidR="00583078">
        <w:t>eligibility</w:t>
      </w:r>
      <w:r w:rsidR="00011573">
        <w:t xml:space="preserve"> </w:t>
      </w:r>
      <w:r w:rsidR="007A556F">
        <w:t>is the best solution to this problem</w:t>
      </w:r>
      <w:r w:rsidR="004B485E">
        <w:t xml:space="preserve"> in the long term</w:t>
      </w:r>
      <w:r w:rsidR="000A42E7" w:rsidRPr="00344A25">
        <w:t>.</w:t>
      </w:r>
      <w:r w:rsidR="00EC17F3" w:rsidRPr="00344A25">
        <w:rPr>
          <w:rStyle w:val="FootnoteReference"/>
        </w:rPr>
        <w:footnoteReference w:id="222"/>
      </w:r>
      <w:r w:rsidR="00EC17F3" w:rsidRPr="00344A25">
        <w:t xml:space="preserve"> </w:t>
      </w:r>
    </w:p>
    <w:p w14:paraId="1D657E4B" w14:textId="6340E46B" w:rsidR="00AD3C51" w:rsidRDefault="00524EDB" w:rsidP="00EF0448">
      <w:r>
        <w:t>R</w:t>
      </w:r>
      <w:r w:rsidR="003113DE">
        <w:t>ef</w:t>
      </w:r>
      <w:r w:rsidR="00166A9B">
        <w:t xml:space="preserve">orms </w:t>
      </w:r>
      <w:r w:rsidR="00993FC4">
        <w:t xml:space="preserve">relating to </w:t>
      </w:r>
      <w:r w:rsidR="0061124C">
        <w:t xml:space="preserve">the </w:t>
      </w:r>
      <w:r w:rsidR="00107C6E">
        <w:t xml:space="preserve">automation </w:t>
      </w:r>
      <w:r w:rsidR="006F53BB">
        <w:t xml:space="preserve">and portability of concession eligibility information </w:t>
      </w:r>
      <w:r>
        <w:t xml:space="preserve">depend </w:t>
      </w:r>
      <w:r w:rsidR="00E7781A">
        <w:t xml:space="preserve">on </w:t>
      </w:r>
      <w:r w:rsidR="0030025C">
        <w:t xml:space="preserve">information </w:t>
      </w:r>
      <w:r w:rsidR="0061124C">
        <w:t xml:space="preserve">systems </w:t>
      </w:r>
      <w:r w:rsidR="0030025C">
        <w:t>and agreements between Services Australia</w:t>
      </w:r>
      <w:r w:rsidR="009C1E3F">
        <w:t xml:space="preserve">, </w:t>
      </w:r>
      <w:r w:rsidR="009809B3">
        <w:t xml:space="preserve">state </w:t>
      </w:r>
      <w:r w:rsidR="00C242B5">
        <w:t>governments</w:t>
      </w:r>
      <w:r w:rsidR="0030025C">
        <w:t xml:space="preserve"> and energy retailers</w:t>
      </w:r>
      <w:r w:rsidR="00544D71">
        <w:t>. They are outside the</w:t>
      </w:r>
      <w:r w:rsidR="00375F12">
        <w:t xml:space="preserve"> scope </w:t>
      </w:r>
      <w:r w:rsidR="00544D71">
        <w:t>of</w:t>
      </w:r>
      <w:r w:rsidR="00205A9E">
        <w:t xml:space="preserve"> this review</w:t>
      </w:r>
      <w:r w:rsidR="004D2407">
        <w:t xml:space="preserve">. </w:t>
      </w:r>
    </w:p>
    <w:p w14:paraId="742BA23E" w14:textId="5365D39C" w:rsidR="005C0A9F" w:rsidRDefault="00D24B95" w:rsidP="00EF0448">
      <w:r>
        <w:t xml:space="preserve">We note that </w:t>
      </w:r>
      <w:r w:rsidR="00483A4E">
        <w:t>the Energy and Climate Change Ministerial Council</w:t>
      </w:r>
      <w:r w:rsidR="00627965" w:rsidRPr="00627965">
        <w:t xml:space="preserve"> </w:t>
      </w:r>
      <w:r w:rsidR="00D2309A" w:rsidRPr="00627965">
        <w:t>ha</w:t>
      </w:r>
      <w:r w:rsidR="00D2309A">
        <w:t>s</w:t>
      </w:r>
      <w:r w:rsidR="00D2309A" w:rsidRPr="00627965">
        <w:t xml:space="preserve"> </w:t>
      </w:r>
      <w:r w:rsidR="00627965" w:rsidRPr="00627965">
        <w:t xml:space="preserve">asked </w:t>
      </w:r>
      <w:r w:rsidR="00FC6779">
        <w:t>o</w:t>
      </w:r>
      <w:r w:rsidR="00627965" w:rsidRPr="00627965">
        <w:t>fficials</w:t>
      </w:r>
      <w:r w:rsidR="00FC6779">
        <w:t xml:space="preserve"> from the Commonwealth, states and territories </w:t>
      </w:r>
      <w:r w:rsidR="00627965" w:rsidRPr="00627965">
        <w:t>to work with Services Australia on options for supporting Commonwealth concession card holders to access state-based energy rebates.</w:t>
      </w:r>
      <w:r w:rsidR="00FC6779" w:rsidRPr="00FC6779">
        <w:rPr>
          <w:vertAlign w:val="superscript"/>
        </w:rPr>
        <w:t xml:space="preserve"> </w:t>
      </w:r>
      <w:r w:rsidR="00FC6779">
        <w:rPr>
          <w:rStyle w:val="FootnoteReference"/>
        </w:rPr>
        <w:footnoteReference w:id="223"/>
      </w:r>
      <w:r w:rsidR="00FC6779">
        <w:t xml:space="preserve"> </w:t>
      </w:r>
      <w:r w:rsidR="00B87679">
        <w:t>We support this work</w:t>
      </w:r>
      <w:r w:rsidR="00312E7A">
        <w:t xml:space="preserve"> a</w:t>
      </w:r>
      <w:r w:rsidR="004A1634">
        <w:t xml:space="preserve">s it will </w:t>
      </w:r>
      <w:r w:rsidR="00091FC8">
        <w:t>improve access to concessions for Victorian energy customers</w:t>
      </w:r>
      <w:r w:rsidR="00F501E2">
        <w:t xml:space="preserve"> in the long term</w:t>
      </w:r>
      <w:r w:rsidR="00091FC8">
        <w:t>.</w:t>
      </w:r>
      <w:r w:rsidR="00911402" w:rsidRPr="00627965">
        <w:t xml:space="preserve"> </w:t>
      </w:r>
    </w:p>
    <w:p w14:paraId="237254F3" w14:textId="098574B3" w:rsidR="00A011B3" w:rsidRPr="00922C1A" w:rsidRDefault="00A011B3" w:rsidP="003D7AEB">
      <w:r>
        <w:t xml:space="preserve">We </w:t>
      </w:r>
      <w:r w:rsidR="00E75F48">
        <w:t>also agree with r</w:t>
      </w:r>
      <w:r>
        <w:t>etailers</w:t>
      </w:r>
      <w:r w:rsidR="00E75F48">
        <w:t xml:space="preserve">’ views </w:t>
      </w:r>
      <w:r>
        <w:t xml:space="preserve">that bulk mail outs or texts </w:t>
      </w:r>
      <w:r w:rsidR="00E75F48">
        <w:t>would be</w:t>
      </w:r>
      <w:r>
        <w:t xml:space="preserve"> ineffective when engaging with customers. As such, prescriptive rules that </w:t>
      </w:r>
      <w:r w:rsidR="007B4A9F">
        <w:t>would</w:t>
      </w:r>
      <w:r>
        <w:t xml:space="preserve"> mandate retailers </w:t>
      </w:r>
      <w:r w:rsidR="00EF0A67">
        <w:t>to issue</w:t>
      </w:r>
      <w:r>
        <w:t xml:space="preserve"> regular messages to</w:t>
      </w:r>
      <w:r w:rsidRPr="0055422A">
        <w:t xml:space="preserve"> current customers who </w:t>
      </w:r>
      <w:r>
        <w:t xml:space="preserve">may </w:t>
      </w:r>
      <w:r w:rsidRPr="0055422A">
        <w:t xml:space="preserve">become eligible for concession entitlements while holding an energy account </w:t>
      </w:r>
      <w:r w:rsidR="00EF0A67">
        <w:t>are</w:t>
      </w:r>
      <w:r>
        <w:t xml:space="preserve"> </w:t>
      </w:r>
      <w:r w:rsidR="00402533">
        <w:t>not considered viable option</w:t>
      </w:r>
      <w:r w:rsidR="00F43B99">
        <w:t>s</w:t>
      </w:r>
      <w:r>
        <w:t>.</w:t>
      </w:r>
      <w:r w:rsidRPr="009D46D1">
        <w:rPr>
          <w:rStyle w:val="FootnoteReference"/>
        </w:rPr>
        <w:footnoteReference w:id="224"/>
      </w:r>
    </w:p>
    <w:p w14:paraId="6A28A172" w14:textId="0879DD40" w:rsidR="002A2AFF" w:rsidRDefault="002A2AFF" w:rsidP="002A2AFF">
      <w:pPr>
        <w:pStyle w:val="Heading2numbered"/>
      </w:pPr>
      <w:bookmarkStart w:id="267" w:name="_Toc197959461"/>
      <w:r>
        <w:t>Options</w:t>
      </w:r>
      <w:bookmarkEnd w:id="267"/>
    </w:p>
    <w:p w14:paraId="56FB679B" w14:textId="77D7467C" w:rsidR="00023617" w:rsidRPr="00023617" w:rsidRDefault="00101DED" w:rsidP="00E86A1C">
      <w:pPr>
        <w:pStyle w:val="Heading3numbered"/>
      </w:pPr>
      <w:r>
        <w:t>Base case</w:t>
      </w:r>
    </w:p>
    <w:p w14:paraId="6E6DBFEF" w14:textId="1895ECB0" w:rsidR="00C87AF1" w:rsidRPr="00C87AF1" w:rsidRDefault="00566F1B" w:rsidP="00C87AF1">
      <w:r>
        <w:t>The base cas</w:t>
      </w:r>
      <w:r w:rsidR="00702F22">
        <w:t xml:space="preserve">e for </w:t>
      </w:r>
      <w:r w:rsidR="00663364">
        <w:t xml:space="preserve">improving the </w:t>
      </w:r>
      <w:r w:rsidR="0070421D">
        <w:t xml:space="preserve">application </w:t>
      </w:r>
      <w:r w:rsidR="00467E15">
        <w:t>of</w:t>
      </w:r>
      <w:r w:rsidR="004A2D0C">
        <w:t xml:space="preserve"> concessions </w:t>
      </w:r>
      <w:r w:rsidR="00467E15">
        <w:t>to</w:t>
      </w:r>
      <w:r w:rsidR="004A2D0C">
        <w:t xml:space="preserve"> bills would </w:t>
      </w:r>
      <w:r w:rsidR="002F3683">
        <w:t>mean that we ma</w:t>
      </w:r>
      <w:r w:rsidR="00361D7D">
        <w:t>ke</w:t>
      </w:r>
      <w:r w:rsidR="002F3683">
        <w:t xml:space="preserve"> no change</w:t>
      </w:r>
      <w:r w:rsidR="00843E50">
        <w:t>s</w:t>
      </w:r>
      <w:r w:rsidR="002F3683">
        <w:t xml:space="preserve"> </w:t>
      </w:r>
      <w:r w:rsidR="008655D3">
        <w:t>to the current requirement</w:t>
      </w:r>
      <w:r w:rsidR="006F7A23">
        <w:t xml:space="preserve">s </w:t>
      </w:r>
      <w:r w:rsidR="00936416">
        <w:t>in</w:t>
      </w:r>
      <w:r w:rsidR="006F7A23">
        <w:t xml:space="preserve"> the </w:t>
      </w:r>
      <w:r w:rsidR="00936416">
        <w:t>c</w:t>
      </w:r>
      <w:r w:rsidR="006F7A23">
        <w:t>ode.</w:t>
      </w:r>
      <w:r w:rsidR="001C0AEC">
        <w:t xml:space="preserve"> </w:t>
      </w:r>
      <w:r w:rsidR="00843E50">
        <w:t xml:space="preserve">The code currently requires </w:t>
      </w:r>
      <w:r w:rsidR="00150DAA">
        <w:t xml:space="preserve">a </w:t>
      </w:r>
      <w:r w:rsidR="00843E50">
        <w:t xml:space="preserve">retailer to provide </w:t>
      </w:r>
      <w:r w:rsidR="00FD3D1C">
        <w:t>customer</w:t>
      </w:r>
      <w:r w:rsidR="00C76624">
        <w:t>s</w:t>
      </w:r>
      <w:r w:rsidR="00FD3D1C">
        <w:t xml:space="preserve"> with information about concessions or rebate</w:t>
      </w:r>
      <w:r w:rsidR="002E7CC2">
        <w:t>s</w:t>
      </w:r>
      <w:r w:rsidR="00EF3750">
        <w:t xml:space="preserve">. </w:t>
      </w:r>
      <w:r w:rsidR="002045E0">
        <w:t>This invol</w:t>
      </w:r>
      <w:r w:rsidR="00874B84">
        <w:t>ves informing a customer about the existence of concessions</w:t>
      </w:r>
      <w:r w:rsidR="00841C57">
        <w:t>.</w:t>
      </w:r>
      <w:r w:rsidR="00874B84">
        <w:t xml:space="preserve"> </w:t>
      </w:r>
      <w:r w:rsidR="00841C57">
        <w:t>I</w:t>
      </w:r>
      <w:r w:rsidR="00D70680">
        <w:t xml:space="preserve">t does not require the retailer to </w:t>
      </w:r>
      <w:r w:rsidR="00532B2F">
        <w:t xml:space="preserve">specifically </w:t>
      </w:r>
      <w:r w:rsidR="00D70680">
        <w:t xml:space="preserve">ask the customer </w:t>
      </w:r>
      <w:r w:rsidR="004A3F2C">
        <w:t xml:space="preserve">about whether they are eligible for </w:t>
      </w:r>
      <w:r w:rsidR="00874B84">
        <w:t xml:space="preserve">these </w:t>
      </w:r>
      <w:r w:rsidR="004A3F2C">
        <w:t>concession</w:t>
      </w:r>
      <w:r w:rsidR="00874B84">
        <w:t xml:space="preserve">s. </w:t>
      </w:r>
      <w:r w:rsidR="00B54E36">
        <w:t>Currently, r</w:t>
      </w:r>
      <w:r w:rsidR="006074E5">
        <w:t xml:space="preserve">etailers must provide </w:t>
      </w:r>
      <w:r w:rsidR="00532B2F">
        <w:t>customer</w:t>
      </w:r>
      <w:r w:rsidR="008A7CF9">
        <w:t>s</w:t>
      </w:r>
      <w:r w:rsidR="00532B2F">
        <w:t xml:space="preserve"> with information about concessions</w:t>
      </w:r>
      <w:r w:rsidR="00E479C2">
        <w:t xml:space="preserve">: </w:t>
      </w:r>
    </w:p>
    <w:p w14:paraId="73398F42" w14:textId="6674E905" w:rsidR="00087854" w:rsidRDefault="002E7CC2" w:rsidP="00A92E17">
      <w:pPr>
        <w:pStyle w:val="TableBullet"/>
      </w:pPr>
      <w:r>
        <w:t xml:space="preserve">before </w:t>
      </w:r>
      <w:r w:rsidR="00B6737E">
        <w:t xml:space="preserve">the formation of a </w:t>
      </w:r>
      <w:r w:rsidR="00A10031">
        <w:t>contract</w:t>
      </w:r>
    </w:p>
    <w:p w14:paraId="10009DA6" w14:textId="51DE9282" w:rsidR="00A10031" w:rsidRDefault="006644C4" w:rsidP="00A92E17">
      <w:pPr>
        <w:pStyle w:val="TableBullet"/>
      </w:pPr>
      <w:r>
        <w:t>as soon as practicable after the formation of a contract</w:t>
      </w:r>
    </w:p>
    <w:p w14:paraId="4D8EB776" w14:textId="301D04EE" w:rsidR="006644C4" w:rsidRDefault="005A5CA4" w:rsidP="00A92E17">
      <w:pPr>
        <w:pStyle w:val="TableBullet"/>
      </w:pPr>
      <w:r>
        <w:lastRenderedPageBreak/>
        <w:t xml:space="preserve">when a customer in arrears </w:t>
      </w:r>
      <w:r w:rsidR="005D26E8">
        <w:t>requests tailored assistance</w:t>
      </w:r>
    </w:p>
    <w:p w14:paraId="3C45568B" w14:textId="7C467E6F" w:rsidR="008A64FA" w:rsidRDefault="00CC257C" w:rsidP="00A92E17">
      <w:pPr>
        <w:pStyle w:val="TableBullet"/>
      </w:pPr>
      <w:r>
        <w:t>when a customer requests to be registered as a life support customer.</w:t>
      </w:r>
      <w:r>
        <w:rPr>
          <w:rStyle w:val="FootnoteReference"/>
        </w:rPr>
        <w:footnoteReference w:id="225"/>
      </w:r>
    </w:p>
    <w:p w14:paraId="0040790E" w14:textId="07E6CCA4" w:rsidR="00F36600" w:rsidRDefault="00915D92" w:rsidP="00F36600">
      <w:r>
        <w:t xml:space="preserve">The base case also considers the continuation of retailers’ current obligations under agreements with the Victorian Government </w:t>
      </w:r>
      <w:r w:rsidR="004E7856">
        <w:t>on energy concessions. We understand these agreements include requirements for retailers to:</w:t>
      </w:r>
    </w:p>
    <w:p w14:paraId="76E5BA8A" w14:textId="67136052" w:rsidR="004E7856" w:rsidRDefault="004E7856" w:rsidP="00A92E17">
      <w:pPr>
        <w:pStyle w:val="TableBullet"/>
      </w:pPr>
      <w:r>
        <w:t xml:space="preserve">provide </w:t>
      </w:r>
      <w:r w:rsidR="006C0F52">
        <w:t>information to customers upon request on eligibility criteria and how to claim concessions</w:t>
      </w:r>
    </w:p>
    <w:p w14:paraId="4A7BFA5B" w14:textId="376D65E8" w:rsidR="006C0F52" w:rsidRDefault="004A2AE0" w:rsidP="00A92E17">
      <w:pPr>
        <w:pStyle w:val="TableBullet"/>
      </w:pPr>
      <w:r>
        <w:t xml:space="preserve">include a link </w:t>
      </w:r>
      <w:r w:rsidR="000E2077">
        <w:t>on</w:t>
      </w:r>
      <w:r>
        <w:t xml:space="preserve"> its website to the </w:t>
      </w:r>
      <w:r w:rsidR="0022328F">
        <w:t>government’s website that contains information about concessions</w:t>
      </w:r>
    </w:p>
    <w:p w14:paraId="5BF3019E" w14:textId="77777777" w:rsidR="0022328F" w:rsidRDefault="0022328F" w:rsidP="00A92E17">
      <w:pPr>
        <w:pStyle w:val="TableBullet"/>
      </w:pPr>
      <w:r>
        <w:t>provide customers with concession</w:t>
      </w:r>
      <w:r w:rsidR="00CB5E87">
        <w:t>s application forms w</w:t>
      </w:r>
      <w:r w:rsidR="0008348E">
        <w:t>ithin a reasonable time of receiving a request.</w:t>
      </w:r>
    </w:p>
    <w:p w14:paraId="2BF8D104" w14:textId="24D4EBD2" w:rsidR="003C48C8" w:rsidRDefault="003C48C8" w:rsidP="003B0DF9">
      <w:r>
        <w:t xml:space="preserve">Finally, the base case also considers </w:t>
      </w:r>
      <w:r w:rsidR="00D358B0">
        <w:t xml:space="preserve">the </w:t>
      </w:r>
      <w:r w:rsidR="004E5EC0">
        <w:t xml:space="preserve">feedback </w:t>
      </w:r>
      <w:r w:rsidR="00E24C8D">
        <w:t xml:space="preserve">received </w:t>
      </w:r>
      <w:r w:rsidR="004E5EC0">
        <w:t xml:space="preserve">from </w:t>
      </w:r>
      <w:r w:rsidR="008A4CCE">
        <w:t xml:space="preserve">retailers </w:t>
      </w:r>
      <w:r w:rsidR="00D358B0">
        <w:t xml:space="preserve">in workshops and through submissions </w:t>
      </w:r>
      <w:r>
        <w:t xml:space="preserve">that </w:t>
      </w:r>
      <w:r w:rsidR="008A4CCE">
        <w:t>many</w:t>
      </w:r>
      <w:r>
        <w:t xml:space="preserve"> retailers already seek concession information from </w:t>
      </w:r>
      <w:r w:rsidR="003B0DF9">
        <w:t>customers at certain points</w:t>
      </w:r>
      <w:r w:rsidR="00E24C8D">
        <w:t xml:space="preserve">. </w:t>
      </w:r>
      <w:r w:rsidR="00BA672A">
        <w:t>These points can include at sign-up, when customers contact them</w:t>
      </w:r>
      <w:r w:rsidR="00D358B0">
        <w:t xml:space="preserve"> with assistance requests or queries and when customers change products.</w:t>
      </w:r>
      <w:r w:rsidR="00BA672A">
        <w:t xml:space="preserve"> </w:t>
      </w:r>
      <w:r>
        <w:t xml:space="preserve"> </w:t>
      </w:r>
    </w:p>
    <w:p w14:paraId="4ED719D1" w14:textId="6BF6C04B" w:rsidR="002C0654" w:rsidRDefault="007008E2" w:rsidP="005346D9">
      <w:pPr>
        <w:pStyle w:val="Heading3numbered"/>
      </w:pPr>
      <w:r>
        <w:t xml:space="preserve">Option </w:t>
      </w:r>
      <w:r w:rsidR="00591E4A">
        <w:t>E.</w:t>
      </w:r>
      <w:r w:rsidR="008638EA">
        <w:t>1</w:t>
      </w:r>
      <w:r w:rsidR="000C7E9C">
        <w:t xml:space="preserve"> </w:t>
      </w:r>
      <w:r w:rsidR="006B4644">
        <w:t>–</w:t>
      </w:r>
      <w:r w:rsidR="000C7E9C">
        <w:t xml:space="preserve"> </w:t>
      </w:r>
      <w:r w:rsidR="00664836">
        <w:t>P</w:t>
      </w:r>
      <w:r w:rsidR="004D3519">
        <w:t>rinciples-based</w:t>
      </w:r>
      <w:r w:rsidR="006E2690">
        <w:t xml:space="preserve"> </w:t>
      </w:r>
      <w:r w:rsidR="00D10C6E">
        <w:t xml:space="preserve">regulation to improve </w:t>
      </w:r>
      <w:r w:rsidR="004E41D9">
        <w:t xml:space="preserve">the application of </w:t>
      </w:r>
      <w:r w:rsidR="006E2690">
        <w:t>concession</w:t>
      </w:r>
      <w:r w:rsidR="005E5FB1">
        <w:t>s on bills</w:t>
      </w:r>
    </w:p>
    <w:p w14:paraId="774575F4" w14:textId="3CCDBD9E" w:rsidR="002A0281" w:rsidRDefault="005E3EA4" w:rsidP="002A0281">
      <w:r>
        <w:t xml:space="preserve">This option would </w:t>
      </w:r>
      <w:r w:rsidR="00911E3C">
        <w:t xml:space="preserve">take the form of a principles-based obligation for a retailer to request concessions eligibility information from </w:t>
      </w:r>
      <w:r w:rsidR="002A0281">
        <w:t xml:space="preserve">a </w:t>
      </w:r>
      <w:r w:rsidR="00911E3C">
        <w:t xml:space="preserve">customer </w:t>
      </w:r>
      <w:r w:rsidR="002A0281">
        <w:t>at all times when a retailer considers it relevant to do so.</w:t>
      </w:r>
    </w:p>
    <w:p w14:paraId="597C373D" w14:textId="244C690B" w:rsidR="002B3D58" w:rsidDel="00BC4AF4" w:rsidRDefault="002A0281" w:rsidP="0080787D">
      <w:r>
        <w:t>R</w:t>
      </w:r>
      <w:r w:rsidR="00252640">
        <w:t xml:space="preserve">etailers </w:t>
      </w:r>
      <w:r w:rsidR="00EF0D17">
        <w:t xml:space="preserve">would be required to </w:t>
      </w:r>
      <w:r w:rsidR="00240C10">
        <w:t xml:space="preserve">use their discretion to </w:t>
      </w:r>
      <w:r w:rsidR="00434A7B">
        <w:t xml:space="preserve">decide when it </w:t>
      </w:r>
      <w:r>
        <w:t>may be</w:t>
      </w:r>
      <w:r w:rsidR="00434A7B">
        <w:t xml:space="preserve"> relevant to </w:t>
      </w:r>
      <w:r>
        <w:t>seek such information from a customer</w:t>
      </w:r>
      <w:r w:rsidR="00434A7B">
        <w:t>.</w:t>
      </w:r>
      <w:r w:rsidR="007F5334">
        <w:t xml:space="preserve"> </w:t>
      </w:r>
      <w:r w:rsidR="002B3D58">
        <w:t xml:space="preserve">For example, </w:t>
      </w:r>
      <w:r w:rsidR="005E1123">
        <w:t xml:space="preserve">if a customer </w:t>
      </w:r>
      <w:r w:rsidR="001C32B2">
        <w:t>contacts the</w:t>
      </w:r>
      <w:r w:rsidR="005E1123">
        <w:t xml:space="preserve"> retailer</w:t>
      </w:r>
      <w:r w:rsidR="007B7E83">
        <w:t xml:space="preserve"> </w:t>
      </w:r>
      <w:r w:rsidR="00CD0A6C">
        <w:t xml:space="preserve">to </w:t>
      </w:r>
      <w:r w:rsidR="00C94CF3">
        <w:t xml:space="preserve">discuss </w:t>
      </w:r>
      <w:r w:rsidR="00EC4AEE">
        <w:t>their</w:t>
      </w:r>
      <w:r w:rsidR="001417A7">
        <w:t xml:space="preserve"> services</w:t>
      </w:r>
      <w:r w:rsidR="00162ACC">
        <w:t>,</w:t>
      </w:r>
      <w:r w:rsidR="001417A7">
        <w:t xml:space="preserve"> a </w:t>
      </w:r>
      <w:r w:rsidR="00245A6B">
        <w:t xml:space="preserve">customer service agent </w:t>
      </w:r>
      <w:r w:rsidR="00C2719A">
        <w:t>could</w:t>
      </w:r>
      <w:r w:rsidR="00245A6B">
        <w:t xml:space="preserve"> </w:t>
      </w:r>
      <w:r w:rsidR="007162BC">
        <w:t>check the customer</w:t>
      </w:r>
      <w:r w:rsidR="00C2719A">
        <w:t>’</w:t>
      </w:r>
      <w:r w:rsidR="007162BC">
        <w:t xml:space="preserve">s </w:t>
      </w:r>
      <w:r w:rsidR="00C2719A">
        <w:t xml:space="preserve">concession </w:t>
      </w:r>
      <w:r w:rsidR="007162BC">
        <w:t xml:space="preserve">eligibility </w:t>
      </w:r>
      <w:r w:rsidR="00C2719A">
        <w:t>status</w:t>
      </w:r>
      <w:r w:rsidR="005B3488">
        <w:t xml:space="preserve"> if the customer </w:t>
      </w:r>
      <w:r w:rsidR="001230E7">
        <w:t xml:space="preserve">does not contact the retailer regularly. </w:t>
      </w:r>
      <w:r w:rsidR="00305E66">
        <w:t xml:space="preserve">In contrast, it may not be </w:t>
      </w:r>
      <w:r w:rsidR="001575B9">
        <w:t xml:space="preserve">appropriate for a customer service agent to </w:t>
      </w:r>
      <w:r w:rsidR="00050B0C">
        <w:t xml:space="preserve">ask about concession eligibility if </w:t>
      </w:r>
      <w:r w:rsidR="00AA145A">
        <w:t>t</w:t>
      </w:r>
      <w:r w:rsidR="00565F7B">
        <w:t>he</w:t>
      </w:r>
      <w:r w:rsidR="00050B0C">
        <w:t xml:space="preserve"> customer </w:t>
      </w:r>
      <w:r w:rsidR="00565F7B">
        <w:t>ha</w:t>
      </w:r>
      <w:r w:rsidR="00AA145A">
        <w:t>s</w:t>
      </w:r>
      <w:r w:rsidR="00565F7B">
        <w:t xml:space="preserve"> been asked </w:t>
      </w:r>
      <w:r w:rsidR="00AA145A">
        <w:t xml:space="preserve">about it </w:t>
      </w:r>
      <w:r w:rsidR="00BC263C">
        <w:t xml:space="preserve">on </w:t>
      </w:r>
      <w:r w:rsidR="00140BE2">
        <w:t xml:space="preserve">recent </w:t>
      </w:r>
      <w:r w:rsidR="00BC263C">
        <w:t>previous contacts.</w:t>
      </w:r>
    </w:p>
    <w:p w14:paraId="3559E291" w14:textId="05FF1158" w:rsidR="00AA145A" w:rsidDel="00BC4AF4" w:rsidRDefault="00820247" w:rsidP="0080787D">
      <w:r>
        <w:t xml:space="preserve">This option would allow flexibility for retailers to </w:t>
      </w:r>
      <w:r w:rsidR="00A01A1F">
        <w:t xml:space="preserve">consider how to best adapt </w:t>
      </w:r>
      <w:r w:rsidR="00437915">
        <w:t xml:space="preserve">the obligation with their existing operational systems and procedures. It </w:t>
      </w:r>
      <w:r w:rsidR="00D25ACD">
        <w:t xml:space="preserve">could also be supported by the identification of best practices or by guidelines </w:t>
      </w:r>
      <w:r w:rsidR="006A4D0E">
        <w:t xml:space="preserve">to support </w:t>
      </w:r>
      <w:r w:rsidR="00A141D2">
        <w:t>implementation and compliance.</w:t>
      </w:r>
    </w:p>
    <w:p w14:paraId="2BC3AA26" w14:textId="42BC8947" w:rsidR="002827E7" w:rsidRPr="002475B5" w:rsidRDefault="009714CF" w:rsidP="00C127F2">
      <w:pPr>
        <w:pStyle w:val="Heading3numbered"/>
      </w:pPr>
      <w:r w:rsidRPr="002475B5">
        <w:lastRenderedPageBreak/>
        <w:t xml:space="preserve">Option </w:t>
      </w:r>
      <w:r w:rsidR="00CB3EAD">
        <w:t>E.</w:t>
      </w:r>
      <w:r w:rsidR="00052FDB">
        <w:t>2</w:t>
      </w:r>
      <w:r w:rsidRPr="002475B5">
        <w:t xml:space="preserve"> </w:t>
      </w:r>
      <w:r w:rsidR="00CB6BB1" w:rsidRPr="002475B5">
        <w:t>–</w:t>
      </w:r>
      <w:r w:rsidR="006E50BB">
        <w:t xml:space="preserve"> P</w:t>
      </w:r>
      <w:r w:rsidR="00B75DAE" w:rsidRPr="002475B5">
        <w:t xml:space="preserve">rinciples-based and prescriptive </w:t>
      </w:r>
      <w:r w:rsidR="0056741C" w:rsidRPr="002475B5">
        <w:t xml:space="preserve">regulation to </w:t>
      </w:r>
      <w:r w:rsidR="008932EA" w:rsidRPr="002475B5">
        <w:t xml:space="preserve">improve the application of concessions on </w:t>
      </w:r>
      <w:r w:rsidR="008932EA" w:rsidRPr="00FC2E32">
        <w:rPr>
          <w:rStyle w:val="Heading3Char"/>
          <w:b/>
        </w:rPr>
        <w:t>bills</w:t>
      </w:r>
    </w:p>
    <w:p w14:paraId="3EFC875A" w14:textId="5D924617" w:rsidR="00782D22" w:rsidRDefault="00987408" w:rsidP="00A141D2">
      <w:r w:rsidRPr="00FE6DEB">
        <w:t xml:space="preserve">The </w:t>
      </w:r>
      <w:r w:rsidR="00627328">
        <w:t>second</w:t>
      </w:r>
      <w:r w:rsidR="00627328" w:rsidRPr="00FE6DEB">
        <w:t xml:space="preserve"> </w:t>
      </w:r>
      <w:r w:rsidR="00E64255" w:rsidRPr="00FE6DEB">
        <w:t xml:space="preserve">option </w:t>
      </w:r>
      <w:r w:rsidR="00CB3A08" w:rsidRPr="00FE6DEB">
        <w:t xml:space="preserve">is a combination of </w:t>
      </w:r>
      <w:r w:rsidR="00A141D2">
        <w:t xml:space="preserve">a </w:t>
      </w:r>
      <w:r w:rsidR="00676256" w:rsidRPr="00FE6DEB">
        <w:t>principles</w:t>
      </w:r>
      <w:r w:rsidR="00A141D2">
        <w:t>-</w:t>
      </w:r>
      <w:r w:rsidR="00676256" w:rsidRPr="00FE6DEB">
        <w:t xml:space="preserve">based </w:t>
      </w:r>
      <w:r w:rsidR="00A141D2">
        <w:t xml:space="preserve">obligation </w:t>
      </w:r>
      <w:r w:rsidR="006F39DD">
        <w:t xml:space="preserve">as described in Option 1 </w:t>
      </w:r>
      <w:r w:rsidR="00676256" w:rsidRPr="00FE6DEB">
        <w:t>and prescripti</w:t>
      </w:r>
      <w:r w:rsidR="002D34D0" w:rsidRPr="00FE6DEB">
        <w:t>ve</w:t>
      </w:r>
      <w:r w:rsidR="00676256" w:rsidRPr="00FE6DEB">
        <w:t xml:space="preserve"> </w:t>
      </w:r>
      <w:r w:rsidR="00DE4B99">
        <w:t xml:space="preserve">minimum requirements for when a retailer must request concessions eligibility information </w:t>
      </w:r>
      <w:r w:rsidR="00091088">
        <w:t>from a customer</w:t>
      </w:r>
      <w:r w:rsidR="00CB3533">
        <w:t xml:space="preserve">. </w:t>
      </w:r>
      <w:r w:rsidR="00AD0FB2">
        <w:t>A retailer w</w:t>
      </w:r>
      <w:r w:rsidR="006131BB">
        <w:t xml:space="preserve">ould be obligated to request concessions eligibility information from a customer at all times when relevant to do so and would also be required to comply with the prescribed minimum requirements. </w:t>
      </w:r>
    </w:p>
    <w:p w14:paraId="553B94DC" w14:textId="02765612" w:rsidR="000C08C2" w:rsidRDefault="00CB3533" w:rsidP="00A141D2">
      <w:r>
        <w:t xml:space="preserve">The prescriptive </w:t>
      </w:r>
      <w:r w:rsidR="00091088">
        <w:t>minimum requirements are</w:t>
      </w:r>
      <w:r w:rsidR="009E70FB">
        <w:t xml:space="preserve"> </w:t>
      </w:r>
      <w:r w:rsidR="00E02F19" w:rsidRPr="00FE6DEB">
        <w:t xml:space="preserve">designed to ensure that </w:t>
      </w:r>
      <w:r w:rsidR="00110EA8">
        <w:t xml:space="preserve">all </w:t>
      </w:r>
      <w:r w:rsidR="00C41708">
        <w:t xml:space="preserve">retailers have </w:t>
      </w:r>
      <w:r w:rsidR="00110EA8">
        <w:t xml:space="preserve">the same </w:t>
      </w:r>
      <w:r w:rsidR="00091088">
        <w:t xml:space="preserve">baseline </w:t>
      </w:r>
      <w:r w:rsidR="008251B3">
        <w:t xml:space="preserve">framework </w:t>
      </w:r>
      <w:r w:rsidR="00A02B37">
        <w:t xml:space="preserve">for </w:t>
      </w:r>
      <w:r w:rsidR="00091088">
        <w:t>when to</w:t>
      </w:r>
      <w:r w:rsidR="00C01E2B">
        <w:t xml:space="preserve"> </w:t>
      </w:r>
      <w:r w:rsidR="00A02B37">
        <w:t xml:space="preserve">request concession </w:t>
      </w:r>
      <w:r w:rsidR="00091088">
        <w:t xml:space="preserve">eligibility </w:t>
      </w:r>
      <w:r w:rsidR="00A02B37">
        <w:t xml:space="preserve">information </w:t>
      </w:r>
      <w:r w:rsidR="00091088">
        <w:t>from customers</w:t>
      </w:r>
      <w:r w:rsidR="00484401">
        <w:t xml:space="preserve">. </w:t>
      </w:r>
      <w:r w:rsidR="001E0356">
        <w:t>These minimum requirements w</w:t>
      </w:r>
      <w:r w:rsidR="00EA3FA4">
        <w:t>ould</w:t>
      </w:r>
      <w:r w:rsidR="005B2D18">
        <w:t xml:space="preserve"> </w:t>
      </w:r>
      <w:r w:rsidR="001E0356">
        <w:t xml:space="preserve">involve obligations for a retailer to request </w:t>
      </w:r>
      <w:r w:rsidR="006D4A77">
        <w:t>concessions eligibility information from a customer</w:t>
      </w:r>
      <w:r w:rsidR="004948AA">
        <w:t xml:space="preserve"> when</w:t>
      </w:r>
      <w:r w:rsidR="000C08C2">
        <w:t xml:space="preserve">: </w:t>
      </w:r>
    </w:p>
    <w:p w14:paraId="39661780" w14:textId="13446519" w:rsidR="00C959AE" w:rsidRDefault="000C08C2" w:rsidP="00A92E17">
      <w:pPr>
        <w:pStyle w:val="TableBullet"/>
      </w:pPr>
      <w:r>
        <w:t>they register a new customer</w:t>
      </w:r>
    </w:p>
    <w:p w14:paraId="78AF8204" w14:textId="7AEB393D" w:rsidR="000C08C2" w:rsidRDefault="000C08C2" w:rsidP="00A92E17">
      <w:pPr>
        <w:pStyle w:val="TableBullet"/>
      </w:pPr>
      <w:r>
        <w:t xml:space="preserve">a customer </w:t>
      </w:r>
      <w:r w:rsidR="00F61A4B">
        <w:t xml:space="preserve">requests to change </w:t>
      </w:r>
      <w:r>
        <w:t xml:space="preserve">plans with the same retailer </w:t>
      </w:r>
    </w:p>
    <w:p w14:paraId="6858B9EF" w14:textId="72013397" w:rsidR="004948AA" w:rsidRDefault="004948AA" w:rsidP="00A92E17">
      <w:pPr>
        <w:pStyle w:val="TableBullet"/>
      </w:pPr>
      <w:r>
        <w:t xml:space="preserve">a customer </w:t>
      </w:r>
      <w:r w:rsidR="00E97DB7">
        <w:t>contacts the retailer requesting payment difficulty assistance</w:t>
      </w:r>
    </w:p>
    <w:p w14:paraId="0F2CD60E" w14:textId="2503C46E" w:rsidR="00E97DB7" w:rsidRDefault="00F047CC" w:rsidP="00A92E17">
      <w:pPr>
        <w:pStyle w:val="TableBullet"/>
      </w:pPr>
      <w:r>
        <w:t xml:space="preserve">a customer is identified as </w:t>
      </w:r>
      <w:r w:rsidR="00BB6109">
        <w:t xml:space="preserve">being </w:t>
      </w:r>
      <w:r w:rsidR="00F06CE5">
        <w:t>affected by family violence</w:t>
      </w:r>
      <w:r w:rsidR="00072EB7">
        <w:t>.</w:t>
      </w:r>
    </w:p>
    <w:p w14:paraId="1F47F881" w14:textId="09446AAE" w:rsidR="00072EB7" w:rsidRDefault="007A2C86" w:rsidP="007A2C86">
      <w:r>
        <w:t xml:space="preserve">In addition, a retailer would be required to </w:t>
      </w:r>
      <w:r w:rsidR="003C0453">
        <w:t>contact</w:t>
      </w:r>
      <w:r w:rsidR="00A838ED">
        <w:t xml:space="preserve"> </w:t>
      </w:r>
      <w:r w:rsidR="008D1875">
        <w:t xml:space="preserve">a </w:t>
      </w:r>
      <w:r w:rsidR="007E7BE1">
        <w:t>customer when the retailer becomes aware that t</w:t>
      </w:r>
      <w:r w:rsidR="00CF6C82">
        <w:t xml:space="preserve">he customer is no longer eligible for an energy concession. </w:t>
      </w:r>
      <w:r w:rsidR="00B62B6A">
        <w:t>The retailer would need to explain to the customer t</w:t>
      </w:r>
      <w:r w:rsidR="00EE51BE">
        <w:t xml:space="preserve">hat </w:t>
      </w:r>
      <w:r w:rsidR="00B62B6A">
        <w:t>they will no longer have a concession applied to their bills</w:t>
      </w:r>
      <w:r w:rsidR="00EE51BE">
        <w:t>,</w:t>
      </w:r>
      <w:r w:rsidR="00B62B6A">
        <w:t xml:space="preserve"> and </w:t>
      </w:r>
      <w:r w:rsidR="003704DF">
        <w:t xml:space="preserve">how </w:t>
      </w:r>
      <w:r w:rsidR="00EE51BE">
        <w:t>they can update their concessions eligibility information.</w:t>
      </w:r>
      <w:r w:rsidR="00F60EDA">
        <w:t xml:space="preserve"> A retailer would be required to </w:t>
      </w:r>
      <w:r w:rsidR="001C1FE3">
        <w:t>attempt to contact the customer a second time, if the first attempt is unsuccessful.</w:t>
      </w:r>
    </w:p>
    <w:p w14:paraId="33C671E0" w14:textId="77777777" w:rsidR="002A2AFF" w:rsidRDefault="002A2AFF" w:rsidP="002A2AFF">
      <w:pPr>
        <w:pStyle w:val="Heading2numbered"/>
      </w:pPr>
      <w:bookmarkStart w:id="270" w:name="_Toc197959462"/>
      <w:r>
        <w:t>Analysis</w:t>
      </w:r>
      <w:bookmarkEnd w:id="270"/>
    </w:p>
    <w:p w14:paraId="775F6FCC" w14:textId="0A4552EE" w:rsidR="00CA7C40" w:rsidRDefault="00CA7C40" w:rsidP="00800122">
      <w:pPr>
        <w:pStyle w:val="Heading3numbered"/>
      </w:pPr>
      <w:r>
        <w:t>MCA assessment – Options E.1 and E.2</w:t>
      </w:r>
    </w:p>
    <w:p w14:paraId="7309A422" w14:textId="4E38E8E9" w:rsidR="00556A91" w:rsidRDefault="008D59AF" w:rsidP="008D59AF">
      <w:r>
        <w:t>Current</w:t>
      </w:r>
      <w:r w:rsidR="0046462F">
        <w:t xml:space="preserve"> data </w:t>
      </w:r>
      <w:r>
        <w:t xml:space="preserve">estimates </w:t>
      </w:r>
      <w:r w:rsidR="0046462F">
        <w:t>that</w:t>
      </w:r>
      <w:r>
        <w:t xml:space="preserve"> between 7–1</w:t>
      </w:r>
      <w:r w:rsidR="00824978">
        <w:t>4</w:t>
      </w:r>
      <w:r>
        <w:t xml:space="preserve"> per cent of eligible Victorians did not receive a concession on their energy bill.</w:t>
      </w:r>
      <w:r w:rsidRPr="007002FD">
        <w:t xml:space="preserve"> </w:t>
      </w:r>
      <w:r w:rsidR="0041144C">
        <w:t>I</w:t>
      </w:r>
      <w:r>
        <w:t>f a</w:t>
      </w:r>
      <w:r w:rsidR="00824978">
        <w:t xml:space="preserve"> retailer checks whether a customer is</w:t>
      </w:r>
      <w:r>
        <w:t xml:space="preserve"> eligible </w:t>
      </w:r>
      <w:r w:rsidR="00824978">
        <w:t xml:space="preserve">to receive a concession, </w:t>
      </w:r>
      <w:r w:rsidR="0041144C">
        <w:t xml:space="preserve">we expect this would </w:t>
      </w:r>
      <w:r w:rsidR="00970F99">
        <w:t>lead some of those cus</w:t>
      </w:r>
      <w:r w:rsidR="00556A91">
        <w:t xml:space="preserve">tomers to provide their retailer with the information </w:t>
      </w:r>
      <w:r w:rsidR="007674EA">
        <w:t>needed</w:t>
      </w:r>
      <w:r w:rsidR="00556A91">
        <w:t xml:space="preserve"> to apply the concession to bills. However, </w:t>
      </w:r>
      <w:r>
        <w:t xml:space="preserve">there is still a behavioural aspect to this proposal, </w:t>
      </w:r>
      <w:r w:rsidR="00556A91">
        <w:t>as</w:t>
      </w:r>
      <w:r>
        <w:t xml:space="preserve"> customers </w:t>
      </w:r>
      <w:r w:rsidR="00556A91">
        <w:t>would still need to apply for a concession</w:t>
      </w:r>
      <w:r>
        <w:t>.</w:t>
      </w:r>
      <w:r w:rsidR="001B6B89">
        <w:t xml:space="preserve"> </w:t>
      </w:r>
      <w:r w:rsidR="009F2499">
        <w:t xml:space="preserve">Customers who apply for a concession following an eligibility check from their retailer </w:t>
      </w:r>
      <w:r w:rsidR="00547DE5">
        <w:t>c</w:t>
      </w:r>
      <w:r w:rsidR="009F2499">
        <w:t xml:space="preserve">ould </w:t>
      </w:r>
      <w:r w:rsidR="00547DE5">
        <w:t>save around $</w:t>
      </w:r>
      <w:r w:rsidR="0078213D">
        <w:t>260 per year on electricity bills.</w:t>
      </w:r>
      <w:r w:rsidR="0078213D">
        <w:rPr>
          <w:rStyle w:val="FootnoteReference"/>
        </w:rPr>
        <w:footnoteReference w:id="226"/>
      </w:r>
    </w:p>
    <w:p w14:paraId="51C05CE3" w14:textId="46BFBEB0" w:rsidR="008D59AF" w:rsidRDefault="008D59AF" w:rsidP="008D59AF">
      <w:r>
        <w:lastRenderedPageBreak/>
        <w:t xml:space="preserve">Placing a greater onus on </w:t>
      </w:r>
      <w:r w:rsidR="00E15D7F">
        <w:t>retailer</w:t>
      </w:r>
      <w:r>
        <w:t xml:space="preserve">s to check </w:t>
      </w:r>
      <w:r w:rsidR="00E15D7F">
        <w:t xml:space="preserve">concession </w:t>
      </w:r>
      <w:r>
        <w:t>eligibility will increase business costs. Industry stakeholders did not provide estimates of this cost during consultation</w:t>
      </w:r>
      <w:r w:rsidR="00E15D7F">
        <w:t>. H</w:t>
      </w:r>
      <w:r>
        <w:t xml:space="preserve">owever, </w:t>
      </w:r>
      <w:r w:rsidR="00E15D7F">
        <w:t xml:space="preserve">we expect new obligations </w:t>
      </w:r>
      <w:r>
        <w:t xml:space="preserve">would </w:t>
      </w:r>
      <w:r w:rsidR="00E15D7F">
        <w:t xml:space="preserve">lead to </w:t>
      </w:r>
      <w:r>
        <w:t>a higher number of eligibility checks.</w:t>
      </w:r>
    </w:p>
    <w:p w14:paraId="3938F8D1" w14:textId="728A6B4D" w:rsidR="00EF6627" w:rsidRDefault="008D59AF" w:rsidP="003A66E5">
      <w:pPr>
        <w:rPr>
          <w:rFonts w:ascii="Times New Roman" w:eastAsia="Times New Roman" w:hAnsi="Times New Roman" w:cs="Times New Roman"/>
        </w:rPr>
      </w:pPr>
      <w:r>
        <w:t>An MCA assessment was undertaken to compare the</w:t>
      </w:r>
      <w:r w:rsidR="008E031E">
        <w:t xml:space="preserve"> two</w:t>
      </w:r>
      <w:r>
        <w:t xml:space="preserve"> options. The tables below show these results, broken down by assessment criteria.</w:t>
      </w:r>
    </w:p>
    <w:p w14:paraId="67D6238C" w14:textId="1ED14586" w:rsidR="00866DFB" w:rsidRDefault="00866DFB" w:rsidP="000F6481">
      <w:pPr>
        <w:pStyle w:val="Figure-Table-BoxSubtitle"/>
        <w:ind w:left="0"/>
      </w:pPr>
      <w:r w:rsidRPr="000F6481">
        <w:rPr>
          <w:rStyle w:val="Figure-Table-BoxHeadingChar"/>
        </w:rPr>
        <w:t xml:space="preserve">Table </w:t>
      </w:r>
      <w:r w:rsidRPr="000F6481">
        <w:rPr>
          <w:rStyle w:val="Figure-Table-BoxHeadingChar"/>
        </w:rPr>
        <w:fldChar w:fldCharType="begin"/>
      </w:r>
      <w:r w:rsidRPr="000F6481">
        <w:rPr>
          <w:rStyle w:val="Figure-Table-BoxHeadingChar"/>
        </w:rPr>
        <w:instrText xml:space="preserve"> SEQ Table \* ARABIC </w:instrText>
      </w:r>
      <w:r w:rsidRPr="000F6481">
        <w:rPr>
          <w:rStyle w:val="Figure-Table-BoxHeadingChar"/>
        </w:rPr>
        <w:fldChar w:fldCharType="separate"/>
      </w:r>
      <w:r w:rsidR="009A244B">
        <w:rPr>
          <w:rStyle w:val="Figure-Table-BoxHeadingChar"/>
          <w:noProof/>
        </w:rPr>
        <w:t>7</w:t>
      </w:r>
      <w:r w:rsidRPr="000F6481">
        <w:rPr>
          <w:rStyle w:val="Figure-Table-BoxHeadingChar"/>
        </w:rPr>
        <w:fldChar w:fldCharType="end"/>
      </w:r>
      <w:r w:rsidR="005F731C" w:rsidRPr="000F6481">
        <w:rPr>
          <w:rStyle w:val="Figure-Table-BoxHeadingChar"/>
        </w:rPr>
        <w:t>7</w:t>
      </w:r>
      <w:r w:rsidRPr="000F6481">
        <w:rPr>
          <w:rStyle w:val="Figure-Table-BoxHeadingChar"/>
        </w:rPr>
        <w:t>:</w:t>
      </w:r>
      <w:r w:rsidRPr="000F6481">
        <w:t xml:space="preserve"> </w:t>
      </w:r>
      <w:r w:rsidRPr="003A49F5">
        <w:t xml:space="preserve">MCA Assessment of Options E.1 </w:t>
      </w:r>
      <w:r w:rsidR="00A75AB4">
        <w:t>and E.2: Effectiveness</w:t>
      </w:r>
    </w:p>
    <w:tbl>
      <w:tblPr>
        <w:tblW w:w="0" w:type="auto"/>
        <w:tblLayout w:type="fixed"/>
        <w:tblCellMar>
          <w:left w:w="0" w:type="dxa"/>
          <w:right w:w="0" w:type="dxa"/>
        </w:tblCellMar>
        <w:tblLook w:val="04A0" w:firstRow="1" w:lastRow="0" w:firstColumn="1" w:lastColumn="0" w:noHBand="0" w:noVBand="1"/>
      </w:tblPr>
      <w:tblGrid>
        <w:gridCol w:w="731"/>
        <w:gridCol w:w="2246"/>
        <w:gridCol w:w="4465"/>
        <w:gridCol w:w="864"/>
        <w:gridCol w:w="1332"/>
      </w:tblGrid>
      <w:tr w:rsidR="006566A6" w14:paraId="015CFD7D" w14:textId="77777777" w:rsidTr="004C2AA3">
        <w:tc>
          <w:tcPr>
            <w:tcW w:w="731" w:type="dxa"/>
            <w:tcBorders>
              <w:top w:val="single" w:sz="4" w:space="0" w:color="4986A0"/>
              <w:bottom w:val="single" w:sz="4" w:space="0" w:color="4986A0"/>
            </w:tcBorders>
            <w:shd w:val="clear" w:color="auto" w:fill="4986A0"/>
            <w:tcMar>
              <w:top w:w="0" w:type="dxa"/>
              <w:left w:w="0" w:type="dxa"/>
              <w:bottom w:w="0" w:type="dxa"/>
              <w:right w:w="0" w:type="dxa"/>
            </w:tcMar>
            <w:hideMark/>
          </w:tcPr>
          <w:p w14:paraId="2206F33E" w14:textId="77777777" w:rsidR="006566A6" w:rsidRPr="006566A6" w:rsidRDefault="006566A6" w:rsidP="007B4B35">
            <w:pPr>
              <w:spacing w:before="60" w:after="60" w:line="240" w:lineRule="auto"/>
              <w:jc w:val="center"/>
              <w:rPr>
                <w:color w:val="000000"/>
                <w:sz w:val="20"/>
                <w:szCs w:val="20"/>
              </w:rPr>
            </w:pPr>
            <w:r w:rsidRPr="006566A6">
              <w:rPr>
                <w:b/>
                <w:bCs/>
                <w:color w:val="FFFFFF"/>
                <w:sz w:val="20"/>
                <w:szCs w:val="20"/>
              </w:rPr>
              <w:t>Option</w:t>
            </w:r>
          </w:p>
        </w:tc>
        <w:tc>
          <w:tcPr>
            <w:tcW w:w="2246"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7FAE65E4" w14:textId="77777777" w:rsidR="006566A6" w:rsidRPr="006566A6" w:rsidRDefault="006566A6" w:rsidP="007B4B35">
            <w:pPr>
              <w:spacing w:before="60" w:after="60" w:line="240" w:lineRule="auto"/>
              <w:jc w:val="center"/>
              <w:rPr>
                <w:color w:val="000000"/>
                <w:sz w:val="20"/>
                <w:szCs w:val="20"/>
              </w:rPr>
            </w:pPr>
            <w:r w:rsidRPr="006566A6">
              <w:rPr>
                <w:b/>
                <w:bCs/>
                <w:color w:val="FFFFFF"/>
                <w:sz w:val="20"/>
                <w:szCs w:val="20"/>
              </w:rPr>
              <w:t>Criteria</w:t>
            </w:r>
            <w:r w:rsidRPr="006566A6">
              <w:rPr>
                <w:color w:val="000000"/>
                <w:sz w:val="20"/>
                <w:szCs w:val="20"/>
              </w:rPr>
              <w:br/>
            </w:r>
            <w:r w:rsidRPr="006566A6">
              <w:rPr>
                <w:b/>
                <w:bCs/>
                <w:color w:val="FFFFFF"/>
                <w:sz w:val="20"/>
                <w:szCs w:val="20"/>
              </w:rPr>
              <w:t>(weighting 50%)</w:t>
            </w:r>
          </w:p>
        </w:tc>
        <w:tc>
          <w:tcPr>
            <w:tcW w:w="4465"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6087C9E5" w14:textId="77777777" w:rsidR="006566A6" w:rsidRPr="006566A6" w:rsidRDefault="006566A6" w:rsidP="007B4B35">
            <w:pPr>
              <w:spacing w:before="60" w:after="60" w:line="240" w:lineRule="auto"/>
              <w:jc w:val="center"/>
              <w:rPr>
                <w:color w:val="000000"/>
                <w:sz w:val="20"/>
                <w:szCs w:val="20"/>
              </w:rPr>
            </w:pPr>
            <w:r w:rsidRPr="006566A6">
              <w:rPr>
                <w:b/>
                <w:bCs/>
                <w:color w:val="FFFFFF"/>
                <w:sz w:val="20"/>
                <w:szCs w:val="20"/>
              </w:rPr>
              <w:t>Assessment</w:t>
            </w:r>
          </w:p>
        </w:tc>
        <w:tc>
          <w:tcPr>
            <w:tcW w:w="864" w:type="dxa"/>
            <w:tcBorders>
              <w:top w:val="single" w:sz="4" w:space="0" w:color="4986A0"/>
              <w:bottom w:val="single" w:sz="4" w:space="0" w:color="4986A0"/>
            </w:tcBorders>
            <w:shd w:val="clear" w:color="auto" w:fill="4986A0"/>
          </w:tcPr>
          <w:p w14:paraId="1D7B487C" w14:textId="77777777" w:rsidR="006C7024" w:rsidRDefault="006C7024" w:rsidP="007B4B35">
            <w:pPr>
              <w:spacing w:before="60" w:after="60" w:line="240" w:lineRule="auto"/>
              <w:jc w:val="center"/>
              <w:rPr>
                <w:b/>
                <w:bCs/>
                <w:color w:val="FFFFFF"/>
                <w:sz w:val="20"/>
                <w:szCs w:val="20"/>
              </w:rPr>
            </w:pPr>
            <w:r>
              <w:rPr>
                <w:b/>
                <w:bCs/>
                <w:color w:val="FFFFFF"/>
                <w:sz w:val="20"/>
                <w:szCs w:val="20"/>
              </w:rPr>
              <w:t>Score</w:t>
            </w:r>
          </w:p>
          <w:p w14:paraId="6AF80731" w14:textId="74D1D791" w:rsidR="006C7024" w:rsidRDefault="007B4B35" w:rsidP="007B4B35">
            <w:pPr>
              <w:spacing w:before="60" w:after="60" w:line="240" w:lineRule="auto"/>
              <w:jc w:val="center"/>
              <w:rPr>
                <w:b/>
                <w:bCs/>
                <w:color w:val="FFFFFF"/>
                <w:sz w:val="20"/>
                <w:szCs w:val="20"/>
              </w:rPr>
            </w:pPr>
            <w:r>
              <w:rPr>
                <w:b/>
                <w:bCs/>
                <w:color w:val="FFFFFF"/>
                <w:sz w:val="20"/>
                <w:szCs w:val="20"/>
              </w:rPr>
              <w:t>(-10 to 10)</w:t>
            </w:r>
          </w:p>
        </w:tc>
        <w:tc>
          <w:tcPr>
            <w:tcW w:w="1332"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54594FF3" w14:textId="53346318" w:rsidR="006566A6" w:rsidRPr="006566A6" w:rsidRDefault="006566A6" w:rsidP="007B4B35">
            <w:pPr>
              <w:spacing w:before="60" w:after="60" w:line="240" w:lineRule="auto"/>
              <w:jc w:val="center"/>
              <w:rPr>
                <w:color w:val="000000"/>
                <w:sz w:val="20"/>
                <w:szCs w:val="20"/>
              </w:rPr>
            </w:pPr>
            <w:r w:rsidRPr="006566A6">
              <w:rPr>
                <w:b/>
                <w:bCs/>
                <w:color w:val="FFFFFF"/>
                <w:sz w:val="20"/>
                <w:szCs w:val="20"/>
              </w:rPr>
              <w:t>Weighted score</w:t>
            </w:r>
          </w:p>
        </w:tc>
      </w:tr>
      <w:tr w:rsidR="006566A6" w14:paraId="77C54653" w14:textId="77777777" w:rsidTr="004C2AA3">
        <w:trPr>
          <w:trHeight w:val="333"/>
        </w:trPr>
        <w:tc>
          <w:tcPr>
            <w:tcW w:w="731" w:type="dxa"/>
            <w:tcMar>
              <w:top w:w="0" w:type="dxa"/>
              <w:left w:w="0" w:type="dxa"/>
              <w:bottom w:w="0" w:type="dxa"/>
              <w:right w:w="0" w:type="dxa"/>
            </w:tcMar>
            <w:hideMark/>
          </w:tcPr>
          <w:p w14:paraId="67756093" w14:textId="77777777" w:rsidR="006566A6" w:rsidRPr="006566A6" w:rsidRDefault="006566A6">
            <w:pPr>
              <w:spacing w:after="120" w:line="240" w:lineRule="auto"/>
              <w:rPr>
                <w:color w:val="000000"/>
                <w:sz w:val="20"/>
                <w:szCs w:val="20"/>
              </w:rPr>
            </w:pPr>
            <w:r w:rsidRPr="006566A6">
              <w:rPr>
                <w:color w:val="000000"/>
                <w:sz w:val="20"/>
                <w:szCs w:val="20"/>
              </w:rPr>
              <w:t>E.1</w:t>
            </w:r>
          </w:p>
        </w:tc>
        <w:tc>
          <w:tcPr>
            <w:tcW w:w="2246" w:type="dxa"/>
            <w:tcMar>
              <w:top w:w="0" w:type="dxa"/>
              <w:left w:w="123" w:type="dxa"/>
              <w:bottom w:w="0" w:type="dxa"/>
              <w:right w:w="123" w:type="dxa"/>
            </w:tcMar>
            <w:hideMark/>
          </w:tcPr>
          <w:p w14:paraId="6CF197DF" w14:textId="77777777" w:rsidR="006566A6" w:rsidRDefault="006566A6">
            <w:pPr>
              <w:spacing w:after="120" w:line="240" w:lineRule="auto"/>
              <w:rPr>
                <w:color w:val="000000"/>
                <w:sz w:val="20"/>
                <w:szCs w:val="20"/>
              </w:rPr>
            </w:pPr>
            <w:r w:rsidRPr="006566A6">
              <w:rPr>
                <w:color w:val="000000"/>
                <w:sz w:val="20"/>
                <w:szCs w:val="20"/>
              </w:rPr>
              <w:t xml:space="preserve">Effectiveness </w:t>
            </w:r>
          </w:p>
          <w:p w14:paraId="19AAECB3" w14:textId="77777777" w:rsidR="00E05B90" w:rsidRDefault="00E05B90" w:rsidP="00E05B90">
            <w:pPr>
              <w:spacing w:after="120" w:line="240" w:lineRule="auto"/>
              <w:rPr>
                <w:color w:val="000000"/>
                <w:sz w:val="20"/>
                <w:szCs w:val="20"/>
              </w:rPr>
            </w:pPr>
            <w:r>
              <w:rPr>
                <w:color w:val="000000"/>
                <w:sz w:val="20"/>
                <w:szCs w:val="20"/>
              </w:rPr>
              <w:t>Reform objectives:</w:t>
            </w:r>
          </w:p>
          <w:p w14:paraId="4D475F20" w14:textId="77777777" w:rsidR="00E05B90" w:rsidRDefault="00E05B90" w:rsidP="00B43F3C">
            <w:pPr>
              <w:numPr>
                <w:ilvl w:val="0"/>
                <w:numId w:val="28"/>
              </w:numPr>
              <w:spacing w:after="0" w:line="240" w:lineRule="auto"/>
              <w:ind w:left="204" w:hanging="268"/>
              <w:rPr>
                <w:rFonts w:ascii="Times New Roman" w:eastAsia="Times New Roman" w:hAnsi="Times New Roman" w:cs="Times New Roman"/>
                <w:color w:val="000000"/>
                <w:sz w:val="20"/>
                <w:szCs w:val="20"/>
              </w:rPr>
            </w:pPr>
            <w:r>
              <w:rPr>
                <w:color w:val="000000"/>
                <w:sz w:val="20"/>
                <w:szCs w:val="20"/>
              </w:rPr>
              <w:t>help households pay less for energy</w:t>
            </w:r>
          </w:p>
          <w:p w14:paraId="46192F22" w14:textId="77777777" w:rsidR="00E05B90" w:rsidRDefault="00E05B90" w:rsidP="00B43F3C">
            <w:pPr>
              <w:numPr>
                <w:ilvl w:val="0"/>
                <w:numId w:val="28"/>
              </w:numPr>
              <w:spacing w:before="0" w:after="120" w:line="240" w:lineRule="auto"/>
              <w:ind w:left="204" w:hanging="268"/>
              <w:rPr>
                <w:rFonts w:ascii="Times New Roman" w:eastAsia="Times New Roman" w:hAnsi="Times New Roman" w:cs="Times New Roman"/>
                <w:color w:val="000000"/>
                <w:sz w:val="20"/>
                <w:szCs w:val="20"/>
              </w:rPr>
            </w:pPr>
            <w:r>
              <w:rPr>
                <w:color w:val="000000"/>
                <w:sz w:val="20"/>
                <w:szCs w:val="20"/>
              </w:rPr>
              <w:t>support eligible people to access concessions.</w:t>
            </w:r>
          </w:p>
          <w:p w14:paraId="1D06E223" w14:textId="77777777" w:rsidR="00E05B90" w:rsidRPr="006566A6" w:rsidRDefault="00E05B90">
            <w:pPr>
              <w:spacing w:after="120" w:line="240" w:lineRule="auto"/>
              <w:rPr>
                <w:color w:val="000000"/>
                <w:sz w:val="20"/>
                <w:szCs w:val="20"/>
              </w:rPr>
            </w:pPr>
          </w:p>
        </w:tc>
        <w:tc>
          <w:tcPr>
            <w:tcW w:w="4465" w:type="dxa"/>
            <w:tcMar>
              <w:top w:w="0" w:type="dxa"/>
              <w:left w:w="123" w:type="dxa"/>
              <w:bottom w:w="0" w:type="dxa"/>
              <w:right w:w="123" w:type="dxa"/>
            </w:tcMar>
            <w:hideMark/>
          </w:tcPr>
          <w:p w14:paraId="6DEF0454" w14:textId="387E1CC9" w:rsidR="00C45D16" w:rsidRDefault="00084A70" w:rsidP="00D71BA8">
            <w:pPr>
              <w:spacing w:after="120" w:line="240" w:lineRule="auto"/>
              <w:rPr>
                <w:color w:val="000000"/>
                <w:sz w:val="20"/>
                <w:szCs w:val="20"/>
              </w:rPr>
            </w:pPr>
            <w:r>
              <w:rPr>
                <w:color w:val="000000"/>
                <w:sz w:val="20"/>
                <w:szCs w:val="20"/>
              </w:rPr>
              <w:t>Compared to the base case, this option would requir</w:t>
            </w:r>
            <w:r w:rsidR="00AC06B6">
              <w:rPr>
                <w:color w:val="000000"/>
                <w:sz w:val="20"/>
                <w:szCs w:val="20"/>
              </w:rPr>
              <w:t xml:space="preserve">e additional action from retailers to actively seek customer concession </w:t>
            </w:r>
            <w:r w:rsidR="00482661">
              <w:rPr>
                <w:color w:val="000000"/>
                <w:sz w:val="20"/>
                <w:szCs w:val="20"/>
              </w:rPr>
              <w:t xml:space="preserve">eligibility information, rather than simply provide information about the availability of concessions. </w:t>
            </w:r>
            <w:r w:rsidR="0053241B">
              <w:rPr>
                <w:color w:val="000000"/>
                <w:sz w:val="20"/>
                <w:szCs w:val="20"/>
              </w:rPr>
              <w:t xml:space="preserve">This </w:t>
            </w:r>
            <w:r w:rsidR="00776005">
              <w:rPr>
                <w:color w:val="000000"/>
                <w:sz w:val="20"/>
                <w:szCs w:val="20"/>
              </w:rPr>
              <w:t>is expected to</w:t>
            </w:r>
            <w:r w:rsidR="001B4396">
              <w:rPr>
                <w:color w:val="000000"/>
                <w:sz w:val="20"/>
                <w:szCs w:val="20"/>
              </w:rPr>
              <w:t xml:space="preserve"> </w:t>
            </w:r>
            <w:r w:rsidR="0053241B">
              <w:rPr>
                <w:color w:val="000000"/>
                <w:sz w:val="20"/>
                <w:szCs w:val="20"/>
              </w:rPr>
              <w:t xml:space="preserve">improve individual </w:t>
            </w:r>
            <w:r w:rsidR="008B3538">
              <w:rPr>
                <w:color w:val="000000"/>
                <w:sz w:val="20"/>
                <w:szCs w:val="20"/>
              </w:rPr>
              <w:t xml:space="preserve">customer </w:t>
            </w:r>
            <w:r w:rsidR="0053241B">
              <w:rPr>
                <w:color w:val="000000"/>
                <w:sz w:val="20"/>
                <w:szCs w:val="20"/>
              </w:rPr>
              <w:t>engagement with</w:t>
            </w:r>
            <w:r w:rsidR="00166786">
              <w:rPr>
                <w:color w:val="000000"/>
                <w:sz w:val="20"/>
                <w:szCs w:val="20"/>
              </w:rPr>
              <w:t>,</w:t>
            </w:r>
            <w:r w:rsidR="0053241B">
              <w:rPr>
                <w:color w:val="000000"/>
                <w:sz w:val="20"/>
                <w:szCs w:val="20"/>
              </w:rPr>
              <w:t xml:space="preserve"> and </w:t>
            </w:r>
            <w:r w:rsidR="008B3538">
              <w:rPr>
                <w:color w:val="000000"/>
                <w:sz w:val="20"/>
                <w:szCs w:val="20"/>
              </w:rPr>
              <w:t xml:space="preserve">awareness </w:t>
            </w:r>
            <w:r w:rsidR="00314C96">
              <w:rPr>
                <w:color w:val="000000"/>
                <w:sz w:val="20"/>
                <w:szCs w:val="20"/>
              </w:rPr>
              <w:t xml:space="preserve">of </w:t>
            </w:r>
            <w:r w:rsidR="00433722">
              <w:rPr>
                <w:color w:val="000000"/>
                <w:sz w:val="20"/>
                <w:szCs w:val="20"/>
              </w:rPr>
              <w:t>energy concessions</w:t>
            </w:r>
            <w:r w:rsidR="0053241B">
              <w:rPr>
                <w:color w:val="000000"/>
                <w:sz w:val="20"/>
                <w:szCs w:val="20"/>
              </w:rPr>
              <w:t xml:space="preserve"> </w:t>
            </w:r>
            <w:r w:rsidR="00BC71F9">
              <w:rPr>
                <w:color w:val="000000"/>
                <w:sz w:val="20"/>
                <w:szCs w:val="20"/>
              </w:rPr>
              <w:t>compared to providing non-individualised general information.</w:t>
            </w:r>
            <w:r w:rsidR="0053241B">
              <w:rPr>
                <w:color w:val="000000"/>
                <w:sz w:val="20"/>
                <w:szCs w:val="20"/>
              </w:rPr>
              <w:t xml:space="preserve"> </w:t>
            </w:r>
          </w:p>
          <w:p w14:paraId="5FB042CF" w14:textId="6209C0E8" w:rsidR="008F4F72" w:rsidRDefault="00725C00" w:rsidP="001A1BF3">
            <w:pPr>
              <w:spacing w:after="120" w:line="240" w:lineRule="auto"/>
              <w:rPr>
                <w:color w:val="000000"/>
                <w:sz w:val="20"/>
                <w:szCs w:val="20"/>
              </w:rPr>
            </w:pPr>
            <w:r>
              <w:rPr>
                <w:color w:val="000000"/>
                <w:sz w:val="20"/>
                <w:szCs w:val="20"/>
              </w:rPr>
              <w:t>Under this</w:t>
            </w:r>
            <w:r w:rsidR="00482661">
              <w:rPr>
                <w:color w:val="000000"/>
                <w:sz w:val="20"/>
                <w:szCs w:val="20"/>
              </w:rPr>
              <w:t xml:space="preserve"> </w:t>
            </w:r>
            <w:r w:rsidR="001A1BF3">
              <w:rPr>
                <w:color w:val="000000"/>
                <w:sz w:val="20"/>
                <w:szCs w:val="20"/>
              </w:rPr>
              <w:t>option</w:t>
            </w:r>
            <w:r>
              <w:rPr>
                <w:color w:val="000000"/>
                <w:sz w:val="20"/>
                <w:szCs w:val="20"/>
              </w:rPr>
              <w:t xml:space="preserve">, </w:t>
            </w:r>
            <w:r w:rsidR="00741FBD">
              <w:rPr>
                <w:color w:val="000000"/>
                <w:sz w:val="20"/>
                <w:szCs w:val="20"/>
              </w:rPr>
              <w:t xml:space="preserve">there are no prescribed circumstances when </w:t>
            </w:r>
            <w:r w:rsidR="005429CA">
              <w:rPr>
                <w:color w:val="000000"/>
                <w:sz w:val="20"/>
                <w:szCs w:val="20"/>
              </w:rPr>
              <w:t>customer concession eligibility</w:t>
            </w:r>
            <w:r w:rsidR="00741FBD">
              <w:rPr>
                <w:color w:val="000000"/>
                <w:sz w:val="20"/>
                <w:szCs w:val="20"/>
              </w:rPr>
              <w:t xml:space="preserve"> information must be sought</w:t>
            </w:r>
            <w:r w:rsidR="005429CA">
              <w:rPr>
                <w:color w:val="000000"/>
                <w:sz w:val="20"/>
                <w:szCs w:val="20"/>
              </w:rPr>
              <w:t xml:space="preserve"> (it is left to the retailer to determine when it is relevant to do so</w:t>
            </w:r>
            <w:r w:rsidR="00741FBD">
              <w:rPr>
                <w:color w:val="000000"/>
                <w:sz w:val="20"/>
                <w:szCs w:val="20"/>
              </w:rPr>
              <w:t>)</w:t>
            </w:r>
            <w:r w:rsidR="00E35AE1">
              <w:rPr>
                <w:color w:val="000000"/>
                <w:sz w:val="20"/>
                <w:szCs w:val="20"/>
              </w:rPr>
              <w:t>.</w:t>
            </w:r>
            <w:r w:rsidR="001A1BF3">
              <w:rPr>
                <w:color w:val="000000"/>
                <w:sz w:val="20"/>
                <w:szCs w:val="20"/>
              </w:rPr>
              <w:t xml:space="preserve"> </w:t>
            </w:r>
            <w:r w:rsidR="00741FBD">
              <w:rPr>
                <w:color w:val="000000"/>
                <w:sz w:val="20"/>
                <w:szCs w:val="20"/>
              </w:rPr>
              <w:t>A</w:t>
            </w:r>
            <w:r w:rsidR="00305FA4">
              <w:rPr>
                <w:color w:val="000000"/>
                <w:sz w:val="20"/>
                <w:szCs w:val="20"/>
              </w:rPr>
              <w:t xml:space="preserve"> purely </w:t>
            </w:r>
            <w:r w:rsidR="006566A6" w:rsidRPr="006566A6">
              <w:rPr>
                <w:color w:val="000000"/>
                <w:sz w:val="20"/>
                <w:szCs w:val="20"/>
              </w:rPr>
              <w:t xml:space="preserve">principles-based approach </w:t>
            </w:r>
            <w:r w:rsidR="00305FA4">
              <w:rPr>
                <w:color w:val="000000"/>
                <w:sz w:val="20"/>
                <w:szCs w:val="20"/>
              </w:rPr>
              <w:t xml:space="preserve">in this context may have reduced effectiveness </w:t>
            </w:r>
            <w:r w:rsidR="006566A6" w:rsidRPr="006566A6">
              <w:rPr>
                <w:color w:val="000000"/>
                <w:sz w:val="20"/>
                <w:szCs w:val="20"/>
              </w:rPr>
              <w:t>owing to a lack of specificity</w:t>
            </w:r>
            <w:r w:rsidR="00766071">
              <w:rPr>
                <w:color w:val="000000"/>
                <w:sz w:val="20"/>
                <w:szCs w:val="20"/>
              </w:rPr>
              <w:t xml:space="preserve"> </w:t>
            </w:r>
            <w:r w:rsidR="006566A6" w:rsidRPr="006566A6">
              <w:rPr>
                <w:color w:val="000000"/>
                <w:sz w:val="20"/>
                <w:szCs w:val="20"/>
              </w:rPr>
              <w:t xml:space="preserve">and </w:t>
            </w:r>
            <w:r w:rsidR="00766071">
              <w:rPr>
                <w:color w:val="000000"/>
                <w:sz w:val="20"/>
                <w:szCs w:val="20"/>
              </w:rPr>
              <w:t>openness to</w:t>
            </w:r>
            <w:r w:rsidR="006566A6" w:rsidRPr="006566A6">
              <w:rPr>
                <w:color w:val="000000"/>
                <w:sz w:val="20"/>
                <w:szCs w:val="20"/>
              </w:rPr>
              <w:t xml:space="preserve"> interpretation. </w:t>
            </w:r>
            <w:r w:rsidR="00830E09">
              <w:rPr>
                <w:color w:val="000000"/>
                <w:sz w:val="20"/>
                <w:szCs w:val="20"/>
              </w:rPr>
              <w:t>In the absence of any prescribed circumstances, i</w:t>
            </w:r>
            <w:r w:rsidR="006321D9">
              <w:rPr>
                <w:color w:val="000000"/>
                <w:sz w:val="20"/>
                <w:szCs w:val="20"/>
              </w:rPr>
              <w:t xml:space="preserve">t may also be more difficult to </w:t>
            </w:r>
            <w:r w:rsidR="003B4367">
              <w:rPr>
                <w:color w:val="000000"/>
                <w:sz w:val="20"/>
                <w:szCs w:val="20"/>
              </w:rPr>
              <w:t xml:space="preserve">take compliance action where </w:t>
            </w:r>
            <w:r w:rsidR="00C81596">
              <w:rPr>
                <w:color w:val="000000"/>
                <w:sz w:val="20"/>
                <w:szCs w:val="20"/>
              </w:rPr>
              <w:t xml:space="preserve">retailers </w:t>
            </w:r>
            <w:r w:rsidR="00582116">
              <w:rPr>
                <w:color w:val="000000"/>
                <w:sz w:val="20"/>
                <w:szCs w:val="20"/>
              </w:rPr>
              <w:t xml:space="preserve">are not </w:t>
            </w:r>
            <w:r w:rsidR="009C1980">
              <w:rPr>
                <w:color w:val="000000"/>
                <w:sz w:val="20"/>
                <w:szCs w:val="20"/>
              </w:rPr>
              <w:t xml:space="preserve">appropriately </w:t>
            </w:r>
            <w:r w:rsidR="00582116">
              <w:rPr>
                <w:color w:val="000000"/>
                <w:sz w:val="20"/>
                <w:szCs w:val="20"/>
              </w:rPr>
              <w:t xml:space="preserve">seeking </w:t>
            </w:r>
            <w:r w:rsidR="00830E09">
              <w:rPr>
                <w:color w:val="000000"/>
                <w:sz w:val="20"/>
                <w:szCs w:val="20"/>
              </w:rPr>
              <w:t>concession information</w:t>
            </w:r>
            <w:r w:rsidR="008A1FD6">
              <w:rPr>
                <w:color w:val="000000"/>
                <w:sz w:val="20"/>
                <w:szCs w:val="20"/>
              </w:rPr>
              <w:t>,</w:t>
            </w:r>
            <w:r w:rsidR="005B138F">
              <w:rPr>
                <w:color w:val="000000"/>
                <w:sz w:val="20"/>
                <w:szCs w:val="20"/>
              </w:rPr>
              <w:t xml:space="preserve"> as this will</w:t>
            </w:r>
            <w:r w:rsidR="00F56660">
              <w:rPr>
                <w:color w:val="000000"/>
                <w:sz w:val="20"/>
                <w:szCs w:val="20"/>
              </w:rPr>
              <w:t xml:space="preserve"> </w:t>
            </w:r>
            <w:r w:rsidR="008A1FD6">
              <w:rPr>
                <w:color w:val="000000"/>
                <w:sz w:val="20"/>
                <w:szCs w:val="20"/>
              </w:rPr>
              <w:t xml:space="preserve">require case-by-case consideration of whether it was relevant to do so in the given situation. </w:t>
            </w:r>
          </w:p>
          <w:p w14:paraId="11A7EC74" w14:textId="4949DCD8" w:rsidR="00F42D0C" w:rsidRDefault="00766071" w:rsidP="001A1BF3">
            <w:pPr>
              <w:spacing w:after="120" w:line="240" w:lineRule="auto"/>
              <w:rPr>
                <w:color w:val="000000"/>
                <w:sz w:val="20"/>
                <w:szCs w:val="20"/>
              </w:rPr>
            </w:pPr>
            <w:r>
              <w:rPr>
                <w:color w:val="000000"/>
                <w:sz w:val="20"/>
                <w:szCs w:val="20"/>
              </w:rPr>
              <w:t>We anticipate that retailers would seek concession el</w:t>
            </w:r>
            <w:r w:rsidR="00E83941">
              <w:rPr>
                <w:color w:val="000000"/>
                <w:sz w:val="20"/>
                <w:szCs w:val="20"/>
              </w:rPr>
              <w:t>igibility information from customers less often under this option compared to Option E.2</w:t>
            </w:r>
            <w:r w:rsidR="00FD134C">
              <w:rPr>
                <w:color w:val="000000"/>
                <w:sz w:val="20"/>
                <w:szCs w:val="20"/>
              </w:rPr>
              <w:t xml:space="preserve"> (and that this would be more inconsistent across retailers)</w:t>
            </w:r>
            <w:r w:rsidR="005429CA">
              <w:rPr>
                <w:color w:val="000000"/>
                <w:sz w:val="20"/>
                <w:szCs w:val="20"/>
              </w:rPr>
              <w:t xml:space="preserve">. This </w:t>
            </w:r>
            <w:r w:rsidR="007F1262">
              <w:rPr>
                <w:color w:val="000000"/>
                <w:sz w:val="20"/>
                <w:szCs w:val="20"/>
              </w:rPr>
              <w:t>is</w:t>
            </w:r>
            <w:r w:rsidR="00B2209D">
              <w:rPr>
                <w:color w:val="000000"/>
                <w:sz w:val="20"/>
                <w:szCs w:val="20"/>
              </w:rPr>
              <w:t xml:space="preserve"> </w:t>
            </w:r>
            <w:r w:rsidR="005429CA">
              <w:rPr>
                <w:color w:val="000000"/>
                <w:sz w:val="20"/>
                <w:szCs w:val="20"/>
              </w:rPr>
              <w:t xml:space="preserve">because some retailers may come to the conclusion </w:t>
            </w:r>
            <w:r w:rsidR="0039590F">
              <w:rPr>
                <w:color w:val="000000"/>
                <w:sz w:val="20"/>
                <w:szCs w:val="20"/>
              </w:rPr>
              <w:t>that</w:t>
            </w:r>
            <w:r w:rsidR="005429CA">
              <w:rPr>
                <w:color w:val="000000"/>
                <w:sz w:val="20"/>
                <w:szCs w:val="20"/>
              </w:rPr>
              <w:t xml:space="preserve"> it is not relevant to seek this information </w:t>
            </w:r>
            <w:r w:rsidR="00206D9A">
              <w:rPr>
                <w:color w:val="000000"/>
                <w:sz w:val="20"/>
                <w:szCs w:val="20"/>
              </w:rPr>
              <w:t xml:space="preserve">at </w:t>
            </w:r>
            <w:r w:rsidR="009E51B6">
              <w:rPr>
                <w:color w:val="000000"/>
                <w:sz w:val="20"/>
                <w:szCs w:val="20"/>
              </w:rPr>
              <w:t>certain</w:t>
            </w:r>
            <w:r w:rsidR="00206D9A">
              <w:rPr>
                <w:color w:val="000000"/>
                <w:sz w:val="20"/>
                <w:szCs w:val="20"/>
              </w:rPr>
              <w:t xml:space="preserve"> points </w:t>
            </w:r>
            <w:r w:rsidR="00F748A2">
              <w:rPr>
                <w:color w:val="000000"/>
                <w:sz w:val="20"/>
                <w:szCs w:val="20"/>
              </w:rPr>
              <w:t>and</w:t>
            </w:r>
            <w:r w:rsidR="00206D9A">
              <w:rPr>
                <w:color w:val="000000"/>
                <w:sz w:val="20"/>
                <w:szCs w:val="20"/>
              </w:rPr>
              <w:t xml:space="preserve"> </w:t>
            </w:r>
            <w:r w:rsidR="00F748A2">
              <w:rPr>
                <w:color w:val="000000"/>
                <w:sz w:val="20"/>
                <w:szCs w:val="20"/>
              </w:rPr>
              <w:t>different retailers may come to separate determin</w:t>
            </w:r>
            <w:r w:rsidR="00846221">
              <w:rPr>
                <w:color w:val="000000"/>
                <w:sz w:val="20"/>
                <w:szCs w:val="20"/>
              </w:rPr>
              <w:t>ations.</w:t>
            </w:r>
            <w:r w:rsidR="007F1262">
              <w:rPr>
                <w:color w:val="000000"/>
                <w:sz w:val="20"/>
                <w:szCs w:val="20"/>
              </w:rPr>
              <w:t xml:space="preserve"> </w:t>
            </w:r>
            <w:r w:rsidR="006043D8">
              <w:rPr>
                <w:color w:val="000000"/>
                <w:sz w:val="20"/>
                <w:szCs w:val="20"/>
              </w:rPr>
              <w:t>As a result, we expect this option to be less effective in increasing the number of eligible customers receiving concessions compared to Option E.2.</w:t>
            </w:r>
            <w:r w:rsidR="007F1262">
              <w:rPr>
                <w:color w:val="000000"/>
                <w:sz w:val="20"/>
                <w:szCs w:val="20"/>
              </w:rPr>
              <w:t xml:space="preserve"> </w:t>
            </w:r>
          </w:p>
          <w:p w14:paraId="3B274DB6" w14:textId="35BB53C1" w:rsidR="00DC061A" w:rsidRPr="006566A6" w:rsidRDefault="00DC061A" w:rsidP="00DC061A">
            <w:pPr>
              <w:spacing w:after="120" w:line="240" w:lineRule="auto"/>
              <w:rPr>
                <w:color w:val="000000"/>
                <w:sz w:val="20"/>
                <w:szCs w:val="20"/>
              </w:rPr>
            </w:pPr>
            <w:r>
              <w:rPr>
                <w:color w:val="000000"/>
                <w:sz w:val="20"/>
                <w:szCs w:val="20"/>
              </w:rPr>
              <w:t>It</w:t>
            </w:r>
            <w:r w:rsidRPr="006566A6">
              <w:rPr>
                <w:color w:val="000000"/>
                <w:sz w:val="20"/>
                <w:szCs w:val="20"/>
              </w:rPr>
              <w:t xml:space="preserve"> is expected that this </w:t>
            </w:r>
            <w:r>
              <w:rPr>
                <w:color w:val="000000"/>
                <w:sz w:val="20"/>
                <w:szCs w:val="20"/>
              </w:rPr>
              <w:t>option</w:t>
            </w:r>
            <w:r w:rsidRPr="006566A6">
              <w:rPr>
                <w:color w:val="000000"/>
                <w:sz w:val="20"/>
                <w:szCs w:val="20"/>
              </w:rPr>
              <w:t xml:space="preserve"> would </w:t>
            </w:r>
            <w:r>
              <w:rPr>
                <w:color w:val="000000"/>
                <w:sz w:val="20"/>
                <w:szCs w:val="20"/>
              </w:rPr>
              <w:t>increase</w:t>
            </w:r>
            <w:r w:rsidRPr="006566A6">
              <w:rPr>
                <w:color w:val="000000"/>
                <w:sz w:val="20"/>
                <w:szCs w:val="20"/>
              </w:rPr>
              <w:t xml:space="preserve"> the number of </w:t>
            </w:r>
            <w:r>
              <w:rPr>
                <w:color w:val="000000"/>
                <w:sz w:val="20"/>
                <w:szCs w:val="20"/>
              </w:rPr>
              <w:t>eligible households</w:t>
            </w:r>
            <w:r w:rsidRPr="006566A6">
              <w:rPr>
                <w:color w:val="000000"/>
                <w:sz w:val="20"/>
                <w:szCs w:val="20"/>
              </w:rPr>
              <w:t xml:space="preserve"> accessing concessions</w:t>
            </w:r>
            <w:r>
              <w:rPr>
                <w:color w:val="000000"/>
                <w:sz w:val="20"/>
                <w:szCs w:val="20"/>
              </w:rPr>
              <w:t xml:space="preserve"> compared to the base case</w:t>
            </w:r>
            <w:r w:rsidRPr="006566A6">
              <w:rPr>
                <w:color w:val="000000"/>
                <w:sz w:val="20"/>
                <w:szCs w:val="20"/>
              </w:rPr>
              <w:t xml:space="preserve">. </w:t>
            </w:r>
            <w:r>
              <w:rPr>
                <w:color w:val="000000"/>
                <w:sz w:val="20"/>
                <w:szCs w:val="20"/>
              </w:rPr>
              <w:t>We know that between 7-14</w:t>
            </w:r>
            <w:r w:rsidR="00396954">
              <w:rPr>
                <w:color w:val="000000"/>
                <w:sz w:val="20"/>
                <w:szCs w:val="20"/>
              </w:rPr>
              <w:t xml:space="preserve"> per cent</w:t>
            </w:r>
            <w:r>
              <w:rPr>
                <w:color w:val="000000"/>
                <w:sz w:val="20"/>
                <w:szCs w:val="20"/>
              </w:rPr>
              <w:t xml:space="preserve"> of Victorians </w:t>
            </w:r>
            <w:r>
              <w:rPr>
                <w:color w:val="000000"/>
                <w:sz w:val="20"/>
                <w:szCs w:val="20"/>
              </w:rPr>
              <w:lastRenderedPageBreak/>
              <w:t>eligible for concessions are not receiving them. While we do not expect this option to full</w:t>
            </w:r>
            <w:r w:rsidR="00F50272">
              <w:rPr>
                <w:color w:val="000000"/>
                <w:sz w:val="20"/>
                <w:szCs w:val="20"/>
              </w:rPr>
              <w:t>y</w:t>
            </w:r>
            <w:r>
              <w:rPr>
                <w:color w:val="000000"/>
                <w:sz w:val="20"/>
                <w:szCs w:val="20"/>
              </w:rPr>
              <w:t xml:space="preserve"> close this gap, we consider a noticeable reduction of this gap is likely. As c</w:t>
            </w:r>
            <w:r w:rsidRPr="00CD64D4">
              <w:rPr>
                <w:color w:val="000000"/>
                <w:sz w:val="20"/>
                <w:szCs w:val="20"/>
              </w:rPr>
              <w:t>oncession entitlements are designed to</w:t>
            </w:r>
            <w:r w:rsidRPr="006566A6">
              <w:rPr>
                <w:color w:val="000000"/>
                <w:sz w:val="20"/>
                <w:szCs w:val="20"/>
              </w:rPr>
              <w:t xml:space="preserve"> reduce the </w:t>
            </w:r>
            <w:r w:rsidRPr="00CD64D4">
              <w:rPr>
                <w:color w:val="000000"/>
                <w:sz w:val="20"/>
                <w:szCs w:val="20"/>
              </w:rPr>
              <w:t>financial burden of energy bills for eligible households</w:t>
            </w:r>
            <w:r>
              <w:rPr>
                <w:color w:val="000000"/>
                <w:sz w:val="20"/>
                <w:szCs w:val="20"/>
              </w:rPr>
              <w:t xml:space="preserve"> by reducing the price paid for energy, an increase in the number of eligible households receiving concessions will therefore result in increased savings for eligible consumers. </w:t>
            </w:r>
            <w:r w:rsidRPr="006566A6">
              <w:rPr>
                <w:color w:val="000000"/>
                <w:sz w:val="20"/>
                <w:szCs w:val="20"/>
              </w:rPr>
              <w:t xml:space="preserve"> </w:t>
            </w:r>
          </w:p>
          <w:p w14:paraId="41DA07D3" w14:textId="5BBEA632" w:rsidR="003C013E" w:rsidRDefault="003C013E" w:rsidP="001A1BF3">
            <w:pPr>
              <w:spacing w:after="120" w:line="240" w:lineRule="auto"/>
              <w:rPr>
                <w:color w:val="000000"/>
                <w:sz w:val="20"/>
                <w:szCs w:val="20"/>
              </w:rPr>
            </w:pPr>
            <w:r>
              <w:rPr>
                <w:color w:val="000000"/>
                <w:sz w:val="20"/>
                <w:szCs w:val="20"/>
              </w:rPr>
              <w:t xml:space="preserve">It is also </w:t>
            </w:r>
            <w:r w:rsidR="00BF22C3">
              <w:rPr>
                <w:color w:val="000000"/>
                <w:sz w:val="20"/>
                <w:szCs w:val="20"/>
              </w:rPr>
              <w:t xml:space="preserve">possible that this option will result in some disbenefits for wider consumers. </w:t>
            </w:r>
            <w:r w:rsidR="00746D2E">
              <w:rPr>
                <w:color w:val="000000"/>
                <w:sz w:val="20"/>
                <w:szCs w:val="20"/>
              </w:rPr>
              <w:t>For e</w:t>
            </w:r>
            <w:r w:rsidR="00E35363">
              <w:rPr>
                <w:color w:val="000000"/>
                <w:sz w:val="20"/>
                <w:szCs w:val="20"/>
              </w:rPr>
              <w:t>xample, consumers (</w:t>
            </w:r>
            <w:r w:rsidR="00D34C8E">
              <w:rPr>
                <w:color w:val="000000"/>
                <w:sz w:val="20"/>
                <w:szCs w:val="20"/>
              </w:rPr>
              <w:t>including ineligible consumers) may become frustrated by being frequently queried about the</w:t>
            </w:r>
            <w:r w:rsidR="00F03A38">
              <w:rPr>
                <w:color w:val="000000"/>
                <w:sz w:val="20"/>
                <w:szCs w:val="20"/>
              </w:rPr>
              <w:t>ir</w:t>
            </w:r>
            <w:r w:rsidR="00D34C8E">
              <w:rPr>
                <w:color w:val="000000"/>
                <w:sz w:val="20"/>
                <w:szCs w:val="20"/>
              </w:rPr>
              <w:t xml:space="preserve"> concession eligibility status. This is not </w:t>
            </w:r>
            <w:r w:rsidR="00F9037D">
              <w:rPr>
                <w:color w:val="000000"/>
                <w:sz w:val="20"/>
                <w:szCs w:val="20"/>
              </w:rPr>
              <w:t>expected to be a significant disbenefit though as it would occur only at relevant touch points w</w:t>
            </w:r>
            <w:r w:rsidR="00020944">
              <w:rPr>
                <w:color w:val="000000"/>
                <w:sz w:val="20"/>
                <w:szCs w:val="20"/>
              </w:rPr>
              <w:t xml:space="preserve">here there is already expected to be contact </w:t>
            </w:r>
            <w:r w:rsidR="00F9037D">
              <w:rPr>
                <w:color w:val="000000"/>
                <w:sz w:val="20"/>
                <w:szCs w:val="20"/>
              </w:rPr>
              <w:t>with the retailer</w:t>
            </w:r>
            <w:r w:rsidR="00020944">
              <w:rPr>
                <w:color w:val="000000"/>
                <w:sz w:val="20"/>
                <w:szCs w:val="20"/>
              </w:rPr>
              <w:t xml:space="preserve"> (</w:t>
            </w:r>
            <w:r w:rsidR="00F9037D">
              <w:rPr>
                <w:color w:val="000000"/>
                <w:sz w:val="20"/>
                <w:szCs w:val="20"/>
              </w:rPr>
              <w:t>as opposed to</w:t>
            </w:r>
            <w:r w:rsidR="00020944">
              <w:rPr>
                <w:color w:val="000000"/>
                <w:sz w:val="20"/>
                <w:szCs w:val="20"/>
              </w:rPr>
              <w:t xml:space="preserve">, for example, bulk messages or mail outs). </w:t>
            </w:r>
            <w:r w:rsidR="00AD52FD">
              <w:rPr>
                <w:color w:val="000000"/>
                <w:sz w:val="20"/>
                <w:szCs w:val="20"/>
              </w:rPr>
              <w:t xml:space="preserve"> </w:t>
            </w:r>
          </w:p>
          <w:p w14:paraId="1C866EC5" w14:textId="3E148DA6" w:rsidR="006566A6" w:rsidRPr="006566A6" w:rsidRDefault="006566A6">
            <w:pPr>
              <w:spacing w:after="120" w:line="240" w:lineRule="auto"/>
              <w:rPr>
                <w:color w:val="000000"/>
                <w:sz w:val="20"/>
                <w:szCs w:val="20"/>
              </w:rPr>
            </w:pPr>
          </w:p>
        </w:tc>
        <w:tc>
          <w:tcPr>
            <w:tcW w:w="864" w:type="dxa"/>
          </w:tcPr>
          <w:p w14:paraId="75EAC8F8" w14:textId="7E4FC258" w:rsidR="006C7024" w:rsidRDefault="007C2371">
            <w:pPr>
              <w:spacing w:after="120" w:line="240" w:lineRule="auto"/>
              <w:ind w:right="311"/>
              <w:jc w:val="right"/>
              <w:rPr>
                <w:color w:val="000000"/>
                <w:sz w:val="20"/>
                <w:szCs w:val="20"/>
              </w:rPr>
            </w:pPr>
            <w:r>
              <w:rPr>
                <w:color w:val="000000"/>
                <w:sz w:val="20"/>
                <w:szCs w:val="20"/>
              </w:rPr>
              <w:lastRenderedPageBreak/>
              <w:t>1.5</w:t>
            </w:r>
          </w:p>
        </w:tc>
        <w:tc>
          <w:tcPr>
            <w:tcW w:w="1332" w:type="dxa"/>
            <w:tcMar>
              <w:top w:w="0" w:type="dxa"/>
              <w:left w:w="123" w:type="dxa"/>
              <w:bottom w:w="0" w:type="dxa"/>
              <w:right w:w="123" w:type="dxa"/>
            </w:tcMar>
            <w:hideMark/>
          </w:tcPr>
          <w:p w14:paraId="6C544418" w14:textId="25703636" w:rsidR="006566A6" w:rsidRPr="006566A6" w:rsidRDefault="007C2371">
            <w:pPr>
              <w:spacing w:after="120" w:line="240" w:lineRule="auto"/>
              <w:ind w:right="311"/>
              <w:jc w:val="right"/>
              <w:rPr>
                <w:color w:val="000000"/>
                <w:sz w:val="20"/>
                <w:szCs w:val="20"/>
              </w:rPr>
            </w:pPr>
            <w:r>
              <w:rPr>
                <w:color w:val="000000"/>
                <w:sz w:val="20"/>
                <w:szCs w:val="20"/>
              </w:rPr>
              <w:t>0</w:t>
            </w:r>
            <w:r w:rsidR="00F01605">
              <w:rPr>
                <w:color w:val="000000"/>
                <w:sz w:val="20"/>
                <w:szCs w:val="20"/>
              </w:rPr>
              <w:t>.</w:t>
            </w:r>
            <w:r>
              <w:rPr>
                <w:color w:val="000000"/>
                <w:sz w:val="20"/>
                <w:szCs w:val="20"/>
              </w:rPr>
              <w:t>75</w:t>
            </w:r>
          </w:p>
        </w:tc>
      </w:tr>
      <w:tr w:rsidR="006566A6" w14:paraId="724B9395" w14:textId="77777777" w:rsidTr="004C2AA3">
        <w:tc>
          <w:tcPr>
            <w:tcW w:w="731" w:type="dxa"/>
            <w:tcBorders>
              <w:bottom w:val="single" w:sz="4" w:space="0" w:color="4986A0"/>
            </w:tcBorders>
            <w:shd w:val="clear" w:color="auto" w:fill="F2F2F2"/>
            <w:tcMar>
              <w:top w:w="0" w:type="dxa"/>
              <w:left w:w="0" w:type="dxa"/>
              <w:bottom w:w="0" w:type="dxa"/>
              <w:right w:w="0" w:type="dxa"/>
            </w:tcMar>
            <w:hideMark/>
          </w:tcPr>
          <w:p w14:paraId="6627D6DC" w14:textId="77777777" w:rsidR="006566A6" w:rsidRPr="006566A6" w:rsidRDefault="006566A6">
            <w:pPr>
              <w:spacing w:after="120" w:line="240" w:lineRule="auto"/>
              <w:rPr>
                <w:color w:val="000000"/>
                <w:sz w:val="20"/>
                <w:szCs w:val="20"/>
              </w:rPr>
            </w:pPr>
            <w:r w:rsidRPr="006566A6">
              <w:rPr>
                <w:color w:val="000000"/>
                <w:sz w:val="20"/>
                <w:szCs w:val="20"/>
              </w:rPr>
              <w:t>E.2</w:t>
            </w:r>
          </w:p>
        </w:tc>
        <w:tc>
          <w:tcPr>
            <w:tcW w:w="2246" w:type="dxa"/>
            <w:tcBorders>
              <w:bottom w:val="single" w:sz="4" w:space="0" w:color="4986A0"/>
            </w:tcBorders>
            <w:shd w:val="clear" w:color="auto" w:fill="F2F2F2"/>
            <w:tcMar>
              <w:top w:w="0" w:type="dxa"/>
              <w:left w:w="123" w:type="dxa"/>
              <w:bottom w:w="0" w:type="dxa"/>
              <w:right w:w="123" w:type="dxa"/>
            </w:tcMar>
            <w:hideMark/>
          </w:tcPr>
          <w:p w14:paraId="2D2185AD" w14:textId="27FCB85C" w:rsidR="006566A6" w:rsidRDefault="006566A6">
            <w:pPr>
              <w:spacing w:after="120" w:line="240" w:lineRule="auto"/>
              <w:rPr>
                <w:color w:val="000000"/>
                <w:sz w:val="20"/>
                <w:szCs w:val="20"/>
              </w:rPr>
            </w:pPr>
            <w:r w:rsidRPr="006566A6">
              <w:rPr>
                <w:color w:val="000000"/>
                <w:sz w:val="20"/>
                <w:szCs w:val="20"/>
              </w:rPr>
              <w:t>Effectiveness</w:t>
            </w:r>
          </w:p>
          <w:p w14:paraId="7BC64315" w14:textId="77777777" w:rsidR="00E05B90" w:rsidRDefault="00E05B90" w:rsidP="00E05B90">
            <w:pPr>
              <w:spacing w:after="120" w:line="240" w:lineRule="auto"/>
              <w:rPr>
                <w:color w:val="000000"/>
                <w:sz w:val="20"/>
                <w:szCs w:val="20"/>
              </w:rPr>
            </w:pPr>
            <w:r>
              <w:rPr>
                <w:color w:val="000000"/>
                <w:sz w:val="20"/>
                <w:szCs w:val="20"/>
              </w:rPr>
              <w:t>Reform objectives:</w:t>
            </w:r>
          </w:p>
          <w:p w14:paraId="00086D66" w14:textId="77777777" w:rsidR="00E05B90" w:rsidRDefault="00E05B90" w:rsidP="00B43F3C">
            <w:pPr>
              <w:numPr>
                <w:ilvl w:val="0"/>
                <w:numId w:val="28"/>
              </w:numPr>
              <w:spacing w:after="0" w:line="240" w:lineRule="auto"/>
              <w:ind w:left="204" w:hanging="268"/>
              <w:rPr>
                <w:rFonts w:ascii="Times New Roman" w:eastAsia="Times New Roman" w:hAnsi="Times New Roman" w:cs="Times New Roman"/>
                <w:color w:val="000000"/>
                <w:sz w:val="20"/>
                <w:szCs w:val="20"/>
              </w:rPr>
            </w:pPr>
            <w:r>
              <w:rPr>
                <w:color w:val="000000"/>
                <w:sz w:val="20"/>
                <w:szCs w:val="20"/>
              </w:rPr>
              <w:t>help households pay less for energy</w:t>
            </w:r>
          </w:p>
          <w:p w14:paraId="5E59A3C4" w14:textId="77777777" w:rsidR="00E05B90" w:rsidRDefault="00E05B90" w:rsidP="00B43F3C">
            <w:pPr>
              <w:numPr>
                <w:ilvl w:val="0"/>
                <w:numId w:val="28"/>
              </w:numPr>
              <w:spacing w:before="0" w:after="120" w:line="240" w:lineRule="auto"/>
              <w:ind w:left="204" w:hanging="268"/>
              <w:rPr>
                <w:rFonts w:ascii="Times New Roman" w:eastAsia="Times New Roman" w:hAnsi="Times New Roman" w:cs="Times New Roman"/>
                <w:color w:val="000000"/>
                <w:sz w:val="20"/>
                <w:szCs w:val="20"/>
              </w:rPr>
            </w:pPr>
            <w:r>
              <w:rPr>
                <w:color w:val="000000"/>
                <w:sz w:val="20"/>
                <w:szCs w:val="20"/>
              </w:rPr>
              <w:t>support eligible people to access concessions.</w:t>
            </w:r>
          </w:p>
          <w:p w14:paraId="216AA7BD" w14:textId="77777777" w:rsidR="00E05B90" w:rsidRPr="006566A6" w:rsidRDefault="00E05B90">
            <w:pPr>
              <w:spacing w:after="120" w:line="240" w:lineRule="auto"/>
              <w:rPr>
                <w:color w:val="000000"/>
                <w:sz w:val="20"/>
                <w:szCs w:val="20"/>
              </w:rPr>
            </w:pPr>
          </w:p>
        </w:tc>
        <w:tc>
          <w:tcPr>
            <w:tcW w:w="4465" w:type="dxa"/>
            <w:tcBorders>
              <w:bottom w:val="single" w:sz="4" w:space="0" w:color="4986A0"/>
            </w:tcBorders>
            <w:shd w:val="clear" w:color="auto" w:fill="F2F2F2"/>
            <w:tcMar>
              <w:top w:w="0" w:type="dxa"/>
              <w:left w:w="123" w:type="dxa"/>
              <w:bottom w:w="0" w:type="dxa"/>
              <w:right w:w="123" w:type="dxa"/>
            </w:tcMar>
            <w:hideMark/>
          </w:tcPr>
          <w:p w14:paraId="2E35B206" w14:textId="3D6B0FA6" w:rsidR="0005554B" w:rsidRDefault="006566A6">
            <w:pPr>
              <w:spacing w:after="120" w:line="240" w:lineRule="auto"/>
              <w:rPr>
                <w:color w:val="000000"/>
                <w:sz w:val="20"/>
                <w:szCs w:val="20"/>
              </w:rPr>
            </w:pPr>
            <w:r w:rsidRPr="006566A6">
              <w:rPr>
                <w:color w:val="000000"/>
                <w:sz w:val="20"/>
                <w:szCs w:val="20"/>
              </w:rPr>
              <w:t xml:space="preserve">This option would include a principles-based approach while also </w:t>
            </w:r>
            <w:r w:rsidR="00BF0263">
              <w:rPr>
                <w:color w:val="000000"/>
                <w:sz w:val="20"/>
                <w:szCs w:val="20"/>
              </w:rPr>
              <w:t>prescribing</w:t>
            </w:r>
            <w:r w:rsidRPr="006566A6">
              <w:rPr>
                <w:color w:val="000000"/>
                <w:sz w:val="20"/>
                <w:szCs w:val="20"/>
              </w:rPr>
              <w:t xml:space="preserve"> several new trigger points </w:t>
            </w:r>
            <w:r w:rsidR="00BF0263">
              <w:rPr>
                <w:color w:val="000000"/>
                <w:sz w:val="20"/>
                <w:szCs w:val="20"/>
              </w:rPr>
              <w:t>where customer concession information must be sought.</w:t>
            </w:r>
            <w:r w:rsidR="009129C1">
              <w:rPr>
                <w:color w:val="000000"/>
                <w:sz w:val="20"/>
                <w:szCs w:val="20"/>
              </w:rPr>
              <w:t xml:space="preserve"> Similar to Option E.1, </w:t>
            </w:r>
            <w:r w:rsidR="00D65028">
              <w:rPr>
                <w:color w:val="000000"/>
                <w:sz w:val="20"/>
                <w:szCs w:val="20"/>
              </w:rPr>
              <w:t>actively seeking this information from individual customers rather than simply providing general concession information is expected to improve awareness of and engagement with concessions</w:t>
            </w:r>
            <w:r w:rsidR="00BB67FC">
              <w:rPr>
                <w:color w:val="000000"/>
                <w:sz w:val="20"/>
                <w:szCs w:val="20"/>
              </w:rPr>
              <w:t>.</w:t>
            </w:r>
            <w:r w:rsidR="001A46E3">
              <w:rPr>
                <w:color w:val="000000"/>
                <w:sz w:val="20"/>
                <w:szCs w:val="20"/>
              </w:rPr>
              <w:t xml:space="preserve"> </w:t>
            </w:r>
            <w:r w:rsidR="00AC3B5E">
              <w:rPr>
                <w:color w:val="000000"/>
                <w:sz w:val="20"/>
                <w:szCs w:val="20"/>
              </w:rPr>
              <w:t>T</w:t>
            </w:r>
            <w:r w:rsidR="00A47049">
              <w:rPr>
                <w:color w:val="000000"/>
                <w:sz w:val="20"/>
                <w:szCs w:val="20"/>
              </w:rPr>
              <w:t xml:space="preserve">his should </w:t>
            </w:r>
            <w:r w:rsidR="00E202BA">
              <w:rPr>
                <w:color w:val="000000"/>
                <w:sz w:val="20"/>
                <w:szCs w:val="20"/>
              </w:rPr>
              <w:t>help to increase the number of eligible household</w:t>
            </w:r>
            <w:r w:rsidR="00F03432">
              <w:rPr>
                <w:color w:val="000000"/>
                <w:sz w:val="20"/>
                <w:szCs w:val="20"/>
              </w:rPr>
              <w:t>s</w:t>
            </w:r>
            <w:r w:rsidR="00E202BA">
              <w:rPr>
                <w:color w:val="000000"/>
                <w:sz w:val="20"/>
                <w:szCs w:val="20"/>
              </w:rPr>
              <w:t xml:space="preserve"> becoming aware of </w:t>
            </w:r>
            <w:r w:rsidR="001F155C">
              <w:rPr>
                <w:color w:val="000000"/>
                <w:sz w:val="20"/>
                <w:szCs w:val="20"/>
              </w:rPr>
              <w:t xml:space="preserve">the concessions they are entitled to and accessing them. </w:t>
            </w:r>
          </w:p>
          <w:p w14:paraId="13B1D421" w14:textId="7E4F2C2D" w:rsidR="006566A6" w:rsidRPr="006566A6" w:rsidRDefault="0005554B">
            <w:pPr>
              <w:spacing w:after="120" w:line="240" w:lineRule="auto"/>
              <w:rPr>
                <w:color w:val="000000"/>
                <w:sz w:val="20"/>
                <w:szCs w:val="20"/>
              </w:rPr>
            </w:pPr>
            <w:r>
              <w:rPr>
                <w:color w:val="000000"/>
                <w:sz w:val="20"/>
                <w:szCs w:val="20"/>
              </w:rPr>
              <w:t xml:space="preserve">To comply with these requirements, retailers will be required to both </w:t>
            </w:r>
            <w:r w:rsidR="00775C9F">
              <w:rPr>
                <w:color w:val="000000"/>
                <w:sz w:val="20"/>
                <w:szCs w:val="20"/>
              </w:rPr>
              <w:t xml:space="preserve">consider </w:t>
            </w:r>
            <w:r w:rsidR="002D2332">
              <w:rPr>
                <w:color w:val="000000"/>
                <w:sz w:val="20"/>
                <w:szCs w:val="20"/>
              </w:rPr>
              <w:t xml:space="preserve">under </w:t>
            </w:r>
            <w:r w:rsidR="00775C9F">
              <w:rPr>
                <w:color w:val="000000"/>
                <w:sz w:val="20"/>
                <w:szCs w:val="20"/>
              </w:rPr>
              <w:t xml:space="preserve">what circumstances it is </w:t>
            </w:r>
            <w:r w:rsidR="00E707B5">
              <w:rPr>
                <w:color w:val="000000"/>
                <w:sz w:val="20"/>
                <w:szCs w:val="20"/>
              </w:rPr>
              <w:t>relevant to seek concession information and</w:t>
            </w:r>
            <w:r w:rsidR="002D2332">
              <w:rPr>
                <w:color w:val="000000"/>
                <w:sz w:val="20"/>
                <w:szCs w:val="20"/>
              </w:rPr>
              <w:t xml:space="preserve"> (at minimum) seek this information at the prescribed</w:t>
            </w:r>
            <w:r w:rsidR="00F03432">
              <w:rPr>
                <w:color w:val="000000"/>
                <w:sz w:val="20"/>
                <w:szCs w:val="20"/>
              </w:rPr>
              <w:t xml:space="preserve"> trigger points. </w:t>
            </w:r>
            <w:r w:rsidR="007C11A5">
              <w:rPr>
                <w:color w:val="000000"/>
                <w:sz w:val="20"/>
                <w:szCs w:val="20"/>
              </w:rPr>
              <w:t>While we understand many retailers already check if customers are eligible for concessions at different contact points, there may be inconsistency in practice</w:t>
            </w:r>
            <w:r w:rsidR="00DD39FE">
              <w:rPr>
                <w:color w:val="000000"/>
                <w:sz w:val="20"/>
                <w:szCs w:val="20"/>
              </w:rPr>
              <w:t>. This option would establish a clear minimum baseline of when a retailer would be required to seek concession eligibility information from customers</w:t>
            </w:r>
            <w:r w:rsidR="001B6747">
              <w:rPr>
                <w:color w:val="000000"/>
                <w:sz w:val="20"/>
                <w:szCs w:val="20"/>
              </w:rPr>
              <w:t xml:space="preserve"> a</w:t>
            </w:r>
            <w:r w:rsidR="003253E2">
              <w:rPr>
                <w:color w:val="000000"/>
                <w:sz w:val="20"/>
                <w:szCs w:val="20"/>
              </w:rPr>
              <w:t xml:space="preserve">t key points. </w:t>
            </w:r>
          </w:p>
          <w:p w14:paraId="2823C0FE" w14:textId="6B2D6D1F" w:rsidR="006566A6" w:rsidRPr="006566A6" w:rsidRDefault="00FC0BC9">
            <w:pPr>
              <w:spacing w:after="120" w:line="240" w:lineRule="auto"/>
              <w:rPr>
                <w:color w:val="000000"/>
                <w:sz w:val="20"/>
                <w:szCs w:val="20"/>
              </w:rPr>
            </w:pPr>
            <w:r>
              <w:rPr>
                <w:color w:val="000000"/>
                <w:sz w:val="20"/>
                <w:szCs w:val="20"/>
              </w:rPr>
              <w:t xml:space="preserve">This should reduce the variability between retailers that could arise </w:t>
            </w:r>
            <w:r w:rsidR="00F40F2C">
              <w:rPr>
                <w:color w:val="000000"/>
                <w:sz w:val="20"/>
                <w:szCs w:val="20"/>
              </w:rPr>
              <w:t xml:space="preserve">from different retailers making different determinations of whether it is relevant to seek concession eligibility information at different points. It </w:t>
            </w:r>
            <w:r w:rsidR="007D0129">
              <w:rPr>
                <w:color w:val="000000"/>
                <w:sz w:val="20"/>
                <w:szCs w:val="20"/>
              </w:rPr>
              <w:t xml:space="preserve">is </w:t>
            </w:r>
            <w:r w:rsidR="00F40F2C">
              <w:rPr>
                <w:color w:val="000000"/>
                <w:sz w:val="20"/>
                <w:szCs w:val="20"/>
              </w:rPr>
              <w:t>also</w:t>
            </w:r>
            <w:r w:rsidR="007D0129">
              <w:rPr>
                <w:color w:val="000000"/>
                <w:sz w:val="20"/>
                <w:szCs w:val="20"/>
              </w:rPr>
              <w:t xml:space="preserve"> likely to support compliance activities</w:t>
            </w:r>
            <w:r w:rsidR="00F40F2C">
              <w:rPr>
                <w:color w:val="000000"/>
                <w:sz w:val="20"/>
                <w:szCs w:val="20"/>
              </w:rPr>
              <w:t xml:space="preserve"> </w:t>
            </w:r>
            <w:r w:rsidR="004B7086">
              <w:rPr>
                <w:color w:val="000000"/>
                <w:sz w:val="20"/>
                <w:szCs w:val="20"/>
              </w:rPr>
              <w:t xml:space="preserve">as it </w:t>
            </w:r>
            <w:r w:rsidR="00656F08">
              <w:rPr>
                <w:color w:val="000000"/>
                <w:sz w:val="20"/>
                <w:szCs w:val="20"/>
              </w:rPr>
              <w:t xml:space="preserve">will be simpler to determine if </w:t>
            </w:r>
            <w:r w:rsidR="00AA3B22">
              <w:rPr>
                <w:color w:val="000000"/>
                <w:sz w:val="20"/>
                <w:szCs w:val="20"/>
              </w:rPr>
              <w:t xml:space="preserve">this information was not sought at the prescribed </w:t>
            </w:r>
            <w:r w:rsidR="00C857CF">
              <w:rPr>
                <w:color w:val="000000"/>
                <w:sz w:val="20"/>
                <w:szCs w:val="20"/>
              </w:rPr>
              <w:t xml:space="preserve">trigger points, rather than each action requiring a case-by-case </w:t>
            </w:r>
            <w:r w:rsidR="00C857CF">
              <w:rPr>
                <w:color w:val="000000"/>
                <w:sz w:val="20"/>
                <w:szCs w:val="20"/>
              </w:rPr>
              <w:lastRenderedPageBreak/>
              <w:t>determination of whether it was relevant to seek the information at that point.</w:t>
            </w:r>
          </w:p>
          <w:p w14:paraId="6605B127" w14:textId="7151424E" w:rsidR="00DA438A" w:rsidRDefault="006F7751">
            <w:pPr>
              <w:spacing w:after="120" w:line="240" w:lineRule="auto"/>
              <w:rPr>
                <w:color w:val="000000"/>
                <w:sz w:val="20"/>
                <w:szCs w:val="20"/>
              </w:rPr>
            </w:pPr>
            <w:r>
              <w:rPr>
                <w:color w:val="000000"/>
                <w:sz w:val="20"/>
                <w:szCs w:val="20"/>
              </w:rPr>
              <w:t xml:space="preserve">Compared to Option E.1, this option will provide greater certainty that customer concession eligibility will be </w:t>
            </w:r>
            <w:r w:rsidR="00366FBF">
              <w:rPr>
                <w:color w:val="000000"/>
                <w:sz w:val="20"/>
                <w:szCs w:val="20"/>
              </w:rPr>
              <w:t xml:space="preserve">checked at key points. </w:t>
            </w:r>
            <w:r w:rsidR="006566A6" w:rsidRPr="006566A6">
              <w:rPr>
                <w:color w:val="000000"/>
                <w:sz w:val="20"/>
                <w:szCs w:val="20"/>
              </w:rPr>
              <w:t xml:space="preserve">While a principles-based approach is likely to be effective up to a point, </w:t>
            </w:r>
            <w:r w:rsidR="00FD134C">
              <w:rPr>
                <w:color w:val="000000"/>
                <w:sz w:val="20"/>
                <w:szCs w:val="20"/>
              </w:rPr>
              <w:t xml:space="preserve">incorporating </w:t>
            </w:r>
            <w:r w:rsidR="006566A6" w:rsidRPr="006566A6">
              <w:rPr>
                <w:color w:val="000000"/>
                <w:sz w:val="20"/>
                <w:szCs w:val="20"/>
              </w:rPr>
              <w:t>mandatory minimum requirements is likely to be more effective</w:t>
            </w:r>
            <w:r w:rsidR="001F244C">
              <w:rPr>
                <w:color w:val="000000"/>
                <w:sz w:val="20"/>
                <w:szCs w:val="20"/>
              </w:rPr>
              <w:t xml:space="preserve"> </w:t>
            </w:r>
            <w:r w:rsidR="00CD7028">
              <w:rPr>
                <w:color w:val="000000"/>
                <w:sz w:val="20"/>
                <w:szCs w:val="20"/>
              </w:rPr>
              <w:t>in increasing the amount of eligibility checks retailers conduct</w:t>
            </w:r>
            <w:r w:rsidR="001F244C">
              <w:rPr>
                <w:color w:val="000000"/>
                <w:sz w:val="20"/>
                <w:szCs w:val="20"/>
              </w:rPr>
              <w:t xml:space="preserve"> and </w:t>
            </w:r>
            <w:r w:rsidR="00CD7028">
              <w:rPr>
                <w:color w:val="000000"/>
                <w:sz w:val="20"/>
                <w:szCs w:val="20"/>
              </w:rPr>
              <w:t>will also</w:t>
            </w:r>
            <w:r w:rsidR="001F244C">
              <w:rPr>
                <w:color w:val="000000"/>
                <w:sz w:val="20"/>
                <w:szCs w:val="20"/>
              </w:rPr>
              <w:t xml:space="preserve"> result in greater consistency across all retailers</w:t>
            </w:r>
            <w:r w:rsidR="006566A6" w:rsidRPr="006566A6">
              <w:rPr>
                <w:color w:val="000000"/>
                <w:sz w:val="20"/>
                <w:szCs w:val="20"/>
              </w:rPr>
              <w:t>.</w:t>
            </w:r>
            <w:r w:rsidR="00FD134C">
              <w:rPr>
                <w:color w:val="000000"/>
                <w:sz w:val="20"/>
                <w:szCs w:val="20"/>
              </w:rPr>
              <w:t xml:space="preserve"> </w:t>
            </w:r>
            <w:r w:rsidR="00FA037A">
              <w:rPr>
                <w:color w:val="000000"/>
                <w:sz w:val="20"/>
                <w:szCs w:val="20"/>
              </w:rPr>
              <w:t xml:space="preserve">Compared to Option E.1, this option also includes a requirement for </w:t>
            </w:r>
            <w:r w:rsidR="00166E3A">
              <w:rPr>
                <w:color w:val="000000"/>
                <w:sz w:val="20"/>
                <w:szCs w:val="20"/>
              </w:rPr>
              <w:t xml:space="preserve">a </w:t>
            </w:r>
            <w:r w:rsidR="00FA037A">
              <w:rPr>
                <w:color w:val="000000"/>
                <w:sz w:val="20"/>
                <w:szCs w:val="20"/>
              </w:rPr>
              <w:t>retailer to contact c</w:t>
            </w:r>
            <w:r w:rsidR="00A21A00">
              <w:rPr>
                <w:color w:val="000000"/>
                <w:sz w:val="20"/>
                <w:szCs w:val="20"/>
              </w:rPr>
              <w:t xml:space="preserve">ustomers when </w:t>
            </w:r>
            <w:r w:rsidR="006C469F">
              <w:rPr>
                <w:color w:val="000000"/>
                <w:sz w:val="20"/>
                <w:szCs w:val="20"/>
              </w:rPr>
              <w:t>the retailer</w:t>
            </w:r>
            <w:r w:rsidR="00166E3A">
              <w:rPr>
                <w:color w:val="000000"/>
                <w:sz w:val="20"/>
                <w:szCs w:val="20"/>
              </w:rPr>
              <w:t xml:space="preserve"> becomes aware the customer is no</w:t>
            </w:r>
            <w:r w:rsidR="00576D75">
              <w:rPr>
                <w:color w:val="000000"/>
                <w:sz w:val="20"/>
                <w:szCs w:val="20"/>
              </w:rPr>
              <w:t xml:space="preserve"> longer eligible for a concession. This should help to reduce the number of customers </w:t>
            </w:r>
            <w:r w:rsidR="00497C22">
              <w:rPr>
                <w:color w:val="000000"/>
                <w:sz w:val="20"/>
                <w:szCs w:val="20"/>
              </w:rPr>
              <w:t xml:space="preserve">not receiving concessions by </w:t>
            </w:r>
            <w:r w:rsidR="008C0653">
              <w:rPr>
                <w:color w:val="000000"/>
                <w:sz w:val="20"/>
                <w:szCs w:val="20"/>
              </w:rPr>
              <w:t xml:space="preserve">improving customer awareness of the </w:t>
            </w:r>
            <w:r w:rsidR="005249CD">
              <w:rPr>
                <w:color w:val="000000"/>
                <w:sz w:val="20"/>
                <w:szCs w:val="20"/>
              </w:rPr>
              <w:t xml:space="preserve">fact their eligibility has expired </w:t>
            </w:r>
            <w:r w:rsidR="00351EC5">
              <w:rPr>
                <w:color w:val="000000"/>
                <w:sz w:val="20"/>
                <w:szCs w:val="20"/>
              </w:rPr>
              <w:t xml:space="preserve">(which they may be otherwise unaware of) </w:t>
            </w:r>
            <w:r w:rsidR="005249CD">
              <w:rPr>
                <w:color w:val="000000"/>
                <w:sz w:val="20"/>
                <w:szCs w:val="20"/>
              </w:rPr>
              <w:t xml:space="preserve">and </w:t>
            </w:r>
            <w:r w:rsidR="00A419E5">
              <w:rPr>
                <w:color w:val="000000"/>
                <w:sz w:val="20"/>
                <w:szCs w:val="20"/>
              </w:rPr>
              <w:t xml:space="preserve">the actions they must take to </w:t>
            </w:r>
            <w:r w:rsidR="004B442F">
              <w:rPr>
                <w:color w:val="000000"/>
                <w:sz w:val="20"/>
                <w:szCs w:val="20"/>
              </w:rPr>
              <w:t xml:space="preserve">rectify this. </w:t>
            </w:r>
          </w:p>
          <w:p w14:paraId="6A478837" w14:textId="55699ED9" w:rsidR="006566A6" w:rsidRDefault="00E93867">
            <w:pPr>
              <w:spacing w:after="120" w:line="240" w:lineRule="auto"/>
              <w:rPr>
                <w:color w:val="000000"/>
                <w:sz w:val="20"/>
                <w:szCs w:val="20"/>
              </w:rPr>
            </w:pPr>
            <w:r>
              <w:rPr>
                <w:color w:val="000000"/>
                <w:sz w:val="20"/>
                <w:szCs w:val="20"/>
              </w:rPr>
              <w:t>As for Option E.1, we expect that this option would result in a noticeable closing of the gap between total customers eligible for energy bill concessions and those receiving them. While we do not expect that th</w:t>
            </w:r>
            <w:r w:rsidR="00396954">
              <w:rPr>
                <w:color w:val="000000"/>
                <w:sz w:val="20"/>
                <w:szCs w:val="20"/>
              </w:rPr>
              <w:t>is reform will completely close</w:t>
            </w:r>
            <w:r w:rsidR="00356799">
              <w:rPr>
                <w:color w:val="000000"/>
                <w:sz w:val="20"/>
                <w:szCs w:val="20"/>
              </w:rPr>
              <w:t xml:space="preserve"> the</w:t>
            </w:r>
            <w:r w:rsidR="007A3464">
              <w:rPr>
                <w:color w:val="000000"/>
                <w:sz w:val="20"/>
                <w:szCs w:val="20"/>
              </w:rPr>
              <w:t xml:space="preserve"> </w:t>
            </w:r>
            <w:r w:rsidR="00396954">
              <w:rPr>
                <w:color w:val="000000"/>
                <w:sz w:val="20"/>
                <w:szCs w:val="20"/>
              </w:rPr>
              <w:t>7-14 per cent gap</w:t>
            </w:r>
            <w:r w:rsidR="00356799">
              <w:rPr>
                <w:color w:val="000000"/>
                <w:sz w:val="20"/>
                <w:szCs w:val="20"/>
              </w:rPr>
              <w:t>, w</w:t>
            </w:r>
            <w:r w:rsidR="001F244C">
              <w:rPr>
                <w:color w:val="000000"/>
                <w:sz w:val="20"/>
                <w:szCs w:val="20"/>
              </w:rPr>
              <w:t xml:space="preserve">e anticipate this </w:t>
            </w:r>
            <w:r w:rsidR="00EE2A03">
              <w:rPr>
                <w:color w:val="000000"/>
                <w:sz w:val="20"/>
                <w:szCs w:val="20"/>
              </w:rPr>
              <w:t xml:space="preserve">option </w:t>
            </w:r>
            <w:r w:rsidR="001F244C">
              <w:rPr>
                <w:color w:val="000000"/>
                <w:sz w:val="20"/>
                <w:szCs w:val="20"/>
              </w:rPr>
              <w:t xml:space="preserve">would result in </w:t>
            </w:r>
            <w:r w:rsidR="00B902E2">
              <w:rPr>
                <w:color w:val="000000"/>
                <w:sz w:val="20"/>
                <w:szCs w:val="20"/>
              </w:rPr>
              <w:t>a greater increase in the percentage of eligible customers receiving concessions compared to Option E.1</w:t>
            </w:r>
            <w:r w:rsidR="00396954">
              <w:rPr>
                <w:color w:val="000000"/>
                <w:sz w:val="20"/>
                <w:szCs w:val="20"/>
              </w:rPr>
              <w:t xml:space="preserve">. This is largely due to the </w:t>
            </w:r>
            <w:r w:rsidR="0005057B">
              <w:rPr>
                <w:color w:val="000000"/>
                <w:sz w:val="20"/>
                <w:szCs w:val="20"/>
              </w:rPr>
              <w:t xml:space="preserve">expected </w:t>
            </w:r>
            <w:r w:rsidR="00396954">
              <w:rPr>
                <w:color w:val="000000"/>
                <w:sz w:val="20"/>
                <w:szCs w:val="20"/>
              </w:rPr>
              <w:t xml:space="preserve">increase </w:t>
            </w:r>
            <w:r w:rsidR="0005057B">
              <w:rPr>
                <w:color w:val="000000"/>
                <w:sz w:val="20"/>
                <w:szCs w:val="20"/>
              </w:rPr>
              <w:t xml:space="preserve">in retailer checks, greater consistency across retailers in when checks will occur and the additional requirement to </w:t>
            </w:r>
            <w:r w:rsidR="00A3596F">
              <w:rPr>
                <w:color w:val="000000"/>
                <w:sz w:val="20"/>
                <w:szCs w:val="20"/>
              </w:rPr>
              <w:t xml:space="preserve">contact and </w:t>
            </w:r>
            <w:r w:rsidR="0070632B">
              <w:rPr>
                <w:color w:val="000000"/>
                <w:sz w:val="20"/>
                <w:szCs w:val="20"/>
              </w:rPr>
              <w:t>support</w:t>
            </w:r>
            <w:r w:rsidR="0005057B">
              <w:rPr>
                <w:color w:val="000000"/>
                <w:sz w:val="20"/>
                <w:szCs w:val="20"/>
              </w:rPr>
              <w:t xml:space="preserve"> customers </w:t>
            </w:r>
            <w:r w:rsidR="00A3596F">
              <w:rPr>
                <w:color w:val="000000"/>
                <w:sz w:val="20"/>
                <w:szCs w:val="20"/>
              </w:rPr>
              <w:t>who</w:t>
            </w:r>
            <w:r w:rsidR="0070632B">
              <w:rPr>
                <w:color w:val="000000"/>
                <w:sz w:val="20"/>
                <w:szCs w:val="20"/>
              </w:rPr>
              <w:t xml:space="preserve"> have had their</w:t>
            </w:r>
            <w:r w:rsidR="00A3596F">
              <w:rPr>
                <w:color w:val="000000"/>
                <w:sz w:val="20"/>
                <w:szCs w:val="20"/>
              </w:rPr>
              <w:t xml:space="preserve"> concession eligibility expire.</w:t>
            </w:r>
            <w:r w:rsidR="00B902E2">
              <w:rPr>
                <w:color w:val="000000"/>
                <w:sz w:val="20"/>
                <w:szCs w:val="20"/>
              </w:rPr>
              <w:t xml:space="preserve"> </w:t>
            </w:r>
          </w:p>
          <w:p w14:paraId="331857FA" w14:textId="3CBF4E47" w:rsidR="006566A6" w:rsidRPr="006566A6" w:rsidRDefault="00020944">
            <w:pPr>
              <w:spacing w:after="120" w:line="240" w:lineRule="auto"/>
              <w:rPr>
                <w:color w:val="000000"/>
                <w:sz w:val="20"/>
                <w:szCs w:val="20"/>
              </w:rPr>
            </w:pPr>
            <w:r>
              <w:rPr>
                <w:color w:val="000000"/>
                <w:sz w:val="20"/>
                <w:szCs w:val="20"/>
              </w:rPr>
              <w:t>Similar to Option E.2, it is also possible that this option will result in some disbenefits for wider consumers such as frustration arising from being frequently queried about their concession eligibility status. While this may be slightly more likely for this option due to the increased retailer and customer touch points, this is still not expected to be a significant disbenefit.</w:t>
            </w:r>
          </w:p>
        </w:tc>
        <w:tc>
          <w:tcPr>
            <w:tcW w:w="864" w:type="dxa"/>
            <w:tcBorders>
              <w:bottom w:val="single" w:sz="4" w:space="0" w:color="4986A0"/>
            </w:tcBorders>
            <w:shd w:val="clear" w:color="auto" w:fill="F2F2F2"/>
          </w:tcPr>
          <w:p w14:paraId="1D95496B" w14:textId="6A5A8EE0" w:rsidR="006C7024" w:rsidRDefault="007C2371">
            <w:pPr>
              <w:spacing w:after="120" w:line="240" w:lineRule="auto"/>
              <w:ind w:right="311"/>
              <w:jc w:val="right"/>
              <w:rPr>
                <w:color w:val="000000"/>
                <w:sz w:val="20"/>
                <w:szCs w:val="20"/>
              </w:rPr>
            </w:pPr>
            <w:r>
              <w:rPr>
                <w:color w:val="000000"/>
                <w:sz w:val="20"/>
                <w:szCs w:val="20"/>
              </w:rPr>
              <w:lastRenderedPageBreak/>
              <w:t>3</w:t>
            </w:r>
          </w:p>
        </w:tc>
        <w:tc>
          <w:tcPr>
            <w:tcW w:w="1332" w:type="dxa"/>
            <w:tcBorders>
              <w:bottom w:val="single" w:sz="4" w:space="0" w:color="4986A0"/>
            </w:tcBorders>
            <w:shd w:val="clear" w:color="auto" w:fill="F2F2F2"/>
            <w:tcMar>
              <w:top w:w="0" w:type="dxa"/>
              <w:left w:w="123" w:type="dxa"/>
              <w:bottom w:w="0" w:type="dxa"/>
              <w:right w:w="123" w:type="dxa"/>
            </w:tcMar>
            <w:hideMark/>
          </w:tcPr>
          <w:p w14:paraId="47F3E2AB" w14:textId="2F280603" w:rsidR="006566A6" w:rsidRPr="006566A6" w:rsidRDefault="007C2371">
            <w:pPr>
              <w:spacing w:after="120" w:line="240" w:lineRule="auto"/>
              <w:ind w:right="311"/>
              <w:jc w:val="right"/>
              <w:rPr>
                <w:color w:val="000000"/>
                <w:sz w:val="20"/>
                <w:szCs w:val="20"/>
              </w:rPr>
            </w:pPr>
            <w:r>
              <w:rPr>
                <w:color w:val="000000"/>
                <w:sz w:val="20"/>
                <w:szCs w:val="20"/>
              </w:rPr>
              <w:t>1.5</w:t>
            </w:r>
          </w:p>
        </w:tc>
      </w:tr>
    </w:tbl>
    <w:p w14:paraId="0C8BC855" w14:textId="77777777" w:rsidR="00131C57" w:rsidRDefault="00131C57" w:rsidP="003A3918"/>
    <w:p w14:paraId="2CF293F7" w14:textId="3C100F51" w:rsidR="006E50BB" w:rsidRPr="003A49F5" w:rsidRDefault="006E50BB" w:rsidP="00394085">
      <w:pPr>
        <w:pStyle w:val="Figure-Table-BoxSubtitle"/>
        <w:ind w:left="0"/>
        <w:rPr>
          <w:highlight w:val="yellow"/>
        </w:rPr>
      </w:pPr>
      <w:r w:rsidRPr="00394085">
        <w:rPr>
          <w:rStyle w:val="Figure-Table-BoxHeadingChar"/>
        </w:rPr>
        <w:t xml:space="preserve">Table </w:t>
      </w:r>
      <w:r w:rsidRPr="00394085">
        <w:rPr>
          <w:rStyle w:val="Figure-Table-BoxHeadingChar"/>
        </w:rPr>
        <w:fldChar w:fldCharType="begin"/>
      </w:r>
      <w:r w:rsidRPr="00394085">
        <w:rPr>
          <w:rStyle w:val="Figure-Table-BoxHeadingChar"/>
        </w:rPr>
        <w:instrText xml:space="preserve"> SEQ Table \* ARABIC </w:instrText>
      </w:r>
      <w:r w:rsidRPr="00394085">
        <w:rPr>
          <w:rStyle w:val="Figure-Table-BoxHeadingChar"/>
        </w:rPr>
        <w:fldChar w:fldCharType="separate"/>
      </w:r>
      <w:r w:rsidR="009A244B">
        <w:rPr>
          <w:rStyle w:val="Figure-Table-BoxHeadingChar"/>
          <w:noProof/>
        </w:rPr>
        <w:t>8</w:t>
      </w:r>
      <w:r w:rsidRPr="00394085">
        <w:rPr>
          <w:rStyle w:val="Figure-Table-BoxHeadingChar"/>
        </w:rPr>
        <w:fldChar w:fldCharType="end"/>
      </w:r>
      <w:r w:rsidR="005F731C" w:rsidRPr="00394085">
        <w:rPr>
          <w:rStyle w:val="Figure-Table-BoxHeadingChar"/>
        </w:rPr>
        <w:t>8</w:t>
      </w:r>
      <w:r w:rsidRPr="00394085">
        <w:rPr>
          <w:rStyle w:val="Figure-Table-BoxHeadingChar"/>
        </w:rPr>
        <w:t>:</w:t>
      </w:r>
      <w:r w:rsidRPr="00394085">
        <w:t xml:space="preserve"> </w:t>
      </w:r>
      <w:r w:rsidRPr="003A49F5">
        <w:t>MCA Assessment of Options E.</w:t>
      </w:r>
      <w:r w:rsidR="00612B75">
        <w:t>1 and E.2: Cost to industry</w:t>
      </w:r>
    </w:p>
    <w:tbl>
      <w:tblPr>
        <w:tblW w:w="0" w:type="auto"/>
        <w:tblCellMar>
          <w:left w:w="0" w:type="dxa"/>
          <w:right w:w="0" w:type="dxa"/>
        </w:tblCellMar>
        <w:tblLook w:val="04A0" w:firstRow="1" w:lastRow="0" w:firstColumn="1" w:lastColumn="0" w:noHBand="0" w:noVBand="1"/>
      </w:tblPr>
      <w:tblGrid>
        <w:gridCol w:w="806"/>
        <w:gridCol w:w="1886"/>
        <w:gridCol w:w="4668"/>
        <w:gridCol w:w="1132"/>
        <w:gridCol w:w="1146"/>
      </w:tblGrid>
      <w:tr w:rsidR="00552564" w14:paraId="6F7FC5FB" w14:textId="77777777" w:rsidTr="190F3055">
        <w:tc>
          <w:tcPr>
            <w:tcW w:w="806" w:type="dxa"/>
            <w:tcBorders>
              <w:top w:val="single" w:sz="4" w:space="0" w:color="4986A0" w:themeColor="accent3"/>
              <w:bottom w:val="single" w:sz="4" w:space="0" w:color="4986A0" w:themeColor="accent3"/>
            </w:tcBorders>
            <w:shd w:val="clear" w:color="auto" w:fill="4986A0" w:themeFill="accent3"/>
            <w:tcMar>
              <w:top w:w="0" w:type="dxa"/>
              <w:left w:w="0" w:type="dxa"/>
              <w:bottom w:w="0" w:type="dxa"/>
              <w:right w:w="0" w:type="dxa"/>
            </w:tcMar>
            <w:hideMark/>
          </w:tcPr>
          <w:p w14:paraId="1DFD0610" w14:textId="77777777" w:rsidR="00552564" w:rsidRPr="00552564" w:rsidRDefault="00552564" w:rsidP="00FD5D7D">
            <w:pPr>
              <w:spacing w:before="60" w:after="60" w:line="240" w:lineRule="auto"/>
              <w:jc w:val="center"/>
              <w:rPr>
                <w:color w:val="000000"/>
                <w:sz w:val="20"/>
                <w:szCs w:val="20"/>
              </w:rPr>
            </w:pPr>
            <w:r w:rsidRPr="00552564">
              <w:rPr>
                <w:b/>
                <w:bCs/>
                <w:color w:val="FFFFFF"/>
                <w:sz w:val="20"/>
                <w:szCs w:val="20"/>
              </w:rPr>
              <w:t>Option</w:t>
            </w:r>
          </w:p>
        </w:tc>
        <w:tc>
          <w:tcPr>
            <w:tcW w:w="1888" w:type="dxa"/>
            <w:tcBorders>
              <w:top w:val="single" w:sz="4" w:space="0" w:color="4986A0" w:themeColor="accent3"/>
              <w:bottom w:val="single" w:sz="4" w:space="0" w:color="4986A0" w:themeColor="accent3"/>
            </w:tcBorders>
            <w:shd w:val="clear" w:color="auto" w:fill="4986A0" w:themeFill="accent3"/>
            <w:tcMar>
              <w:top w:w="0" w:type="dxa"/>
              <w:left w:w="123" w:type="dxa"/>
              <w:bottom w:w="0" w:type="dxa"/>
              <w:right w:w="123" w:type="dxa"/>
            </w:tcMar>
            <w:hideMark/>
          </w:tcPr>
          <w:p w14:paraId="0EDE5B39" w14:textId="77777777" w:rsidR="00552564" w:rsidRPr="00552564" w:rsidRDefault="00552564" w:rsidP="00FD5D7D">
            <w:pPr>
              <w:spacing w:before="60" w:after="60" w:line="240" w:lineRule="auto"/>
              <w:jc w:val="center"/>
              <w:rPr>
                <w:color w:val="000000"/>
                <w:sz w:val="20"/>
                <w:szCs w:val="20"/>
              </w:rPr>
            </w:pPr>
            <w:r w:rsidRPr="00552564">
              <w:rPr>
                <w:b/>
                <w:bCs/>
                <w:color w:val="FFFFFF"/>
                <w:sz w:val="20"/>
                <w:szCs w:val="20"/>
              </w:rPr>
              <w:t>Criteria</w:t>
            </w:r>
            <w:r w:rsidRPr="00552564">
              <w:rPr>
                <w:color w:val="000000"/>
                <w:sz w:val="20"/>
                <w:szCs w:val="20"/>
              </w:rPr>
              <w:br/>
            </w:r>
            <w:r w:rsidRPr="00552564">
              <w:rPr>
                <w:b/>
                <w:bCs/>
                <w:color w:val="FFFFFF"/>
                <w:sz w:val="20"/>
                <w:szCs w:val="20"/>
              </w:rPr>
              <w:t>(weighting 40%)</w:t>
            </w:r>
          </w:p>
        </w:tc>
        <w:tc>
          <w:tcPr>
            <w:tcW w:w="4677" w:type="dxa"/>
            <w:tcBorders>
              <w:top w:val="single" w:sz="4" w:space="0" w:color="4986A0" w:themeColor="accent3"/>
              <w:bottom w:val="single" w:sz="4" w:space="0" w:color="4986A0" w:themeColor="accent3"/>
            </w:tcBorders>
            <w:shd w:val="clear" w:color="auto" w:fill="4986A0" w:themeFill="accent3"/>
            <w:tcMar>
              <w:top w:w="0" w:type="dxa"/>
              <w:left w:w="123" w:type="dxa"/>
              <w:bottom w:w="0" w:type="dxa"/>
              <w:right w:w="123" w:type="dxa"/>
            </w:tcMar>
            <w:hideMark/>
          </w:tcPr>
          <w:p w14:paraId="035E5128" w14:textId="77777777" w:rsidR="00552564" w:rsidRPr="00552564" w:rsidRDefault="00552564" w:rsidP="00FD5D7D">
            <w:pPr>
              <w:spacing w:before="60" w:after="60" w:line="240" w:lineRule="auto"/>
              <w:jc w:val="center"/>
              <w:rPr>
                <w:color w:val="000000"/>
                <w:sz w:val="20"/>
                <w:szCs w:val="20"/>
              </w:rPr>
            </w:pPr>
            <w:r w:rsidRPr="00552564">
              <w:rPr>
                <w:b/>
                <w:bCs/>
                <w:color w:val="FFFFFF"/>
                <w:sz w:val="20"/>
                <w:szCs w:val="20"/>
              </w:rPr>
              <w:t>Assessment</w:t>
            </w:r>
          </w:p>
        </w:tc>
        <w:tc>
          <w:tcPr>
            <w:tcW w:w="1134" w:type="dxa"/>
            <w:tcBorders>
              <w:top w:val="single" w:sz="4" w:space="0" w:color="4986A0" w:themeColor="accent3"/>
              <w:bottom w:val="single" w:sz="4" w:space="0" w:color="4986A0" w:themeColor="accent3"/>
            </w:tcBorders>
            <w:shd w:val="clear" w:color="auto" w:fill="4986A0" w:themeFill="accent3"/>
          </w:tcPr>
          <w:p w14:paraId="3E93E525" w14:textId="77777777" w:rsidR="00FD5D7D" w:rsidRDefault="006C7024" w:rsidP="00FD5D7D">
            <w:pPr>
              <w:spacing w:before="60" w:after="60" w:line="240" w:lineRule="auto"/>
              <w:jc w:val="center"/>
              <w:rPr>
                <w:b/>
                <w:bCs/>
                <w:color w:val="FFFFFF"/>
                <w:sz w:val="20"/>
                <w:szCs w:val="20"/>
              </w:rPr>
            </w:pPr>
            <w:r>
              <w:rPr>
                <w:b/>
                <w:bCs/>
                <w:color w:val="FFFFFF"/>
                <w:sz w:val="20"/>
                <w:szCs w:val="20"/>
              </w:rPr>
              <w:t>Score</w:t>
            </w:r>
          </w:p>
          <w:p w14:paraId="5C8C6369" w14:textId="1007E4B7" w:rsidR="006C7024" w:rsidRDefault="00FD5D7D" w:rsidP="00FD5D7D">
            <w:pPr>
              <w:spacing w:before="60" w:after="60" w:line="240" w:lineRule="auto"/>
              <w:jc w:val="center"/>
              <w:rPr>
                <w:b/>
                <w:bCs/>
                <w:color w:val="FFFFFF"/>
                <w:sz w:val="20"/>
                <w:szCs w:val="20"/>
              </w:rPr>
            </w:pPr>
            <w:r>
              <w:rPr>
                <w:b/>
                <w:bCs/>
                <w:color w:val="FFFFFF"/>
                <w:sz w:val="20"/>
                <w:szCs w:val="20"/>
              </w:rPr>
              <w:t>(-10 to 10)</w:t>
            </w:r>
          </w:p>
        </w:tc>
        <w:tc>
          <w:tcPr>
            <w:tcW w:w="1133" w:type="dxa"/>
            <w:tcBorders>
              <w:top w:val="single" w:sz="4" w:space="0" w:color="4986A0" w:themeColor="accent3"/>
              <w:bottom w:val="single" w:sz="4" w:space="0" w:color="4986A0" w:themeColor="accent3"/>
            </w:tcBorders>
            <w:shd w:val="clear" w:color="auto" w:fill="4986A0" w:themeFill="accent3"/>
            <w:tcMar>
              <w:top w:w="0" w:type="dxa"/>
              <w:left w:w="123" w:type="dxa"/>
              <w:bottom w:w="0" w:type="dxa"/>
              <w:right w:w="123" w:type="dxa"/>
            </w:tcMar>
            <w:hideMark/>
          </w:tcPr>
          <w:p w14:paraId="545C2EE4" w14:textId="45D3317E" w:rsidR="00552564" w:rsidRPr="00552564" w:rsidRDefault="00552564" w:rsidP="00FD5D7D">
            <w:pPr>
              <w:spacing w:before="60" w:after="60" w:line="240" w:lineRule="auto"/>
              <w:jc w:val="center"/>
              <w:rPr>
                <w:color w:val="000000"/>
                <w:sz w:val="20"/>
                <w:szCs w:val="20"/>
              </w:rPr>
            </w:pPr>
            <w:r w:rsidRPr="00552564">
              <w:rPr>
                <w:b/>
                <w:bCs/>
                <w:color w:val="FFFFFF"/>
                <w:sz w:val="20"/>
                <w:szCs w:val="20"/>
              </w:rPr>
              <w:t>Weighted score</w:t>
            </w:r>
          </w:p>
        </w:tc>
      </w:tr>
      <w:tr w:rsidR="00552564" w14:paraId="312A84BB" w14:textId="77777777" w:rsidTr="00FD5D7D">
        <w:trPr>
          <w:trHeight w:val="333"/>
        </w:trPr>
        <w:tc>
          <w:tcPr>
            <w:tcW w:w="806" w:type="dxa"/>
            <w:tcMar>
              <w:top w:w="0" w:type="dxa"/>
              <w:left w:w="0" w:type="dxa"/>
              <w:bottom w:w="0" w:type="dxa"/>
              <w:right w:w="0" w:type="dxa"/>
            </w:tcMar>
            <w:hideMark/>
          </w:tcPr>
          <w:p w14:paraId="13DB1045" w14:textId="77777777" w:rsidR="00552564" w:rsidRPr="00552564" w:rsidRDefault="00552564">
            <w:pPr>
              <w:spacing w:after="120" w:line="240" w:lineRule="auto"/>
              <w:rPr>
                <w:color w:val="000000"/>
                <w:sz w:val="20"/>
                <w:szCs w:val="20"/>
              </w:rPr>
            </w:pPr>
            <w:r w:rsidRPr="00552564">
              <w:rPr>
                <w:color w:val="000000"/>
                <w:sz w:val="20"/>
                <w:szCs w:val="20"/>
              </w:rPr>
              <w:t>E.1</w:t>
            </w:r>
          </w:p>
        </w:tc>
        <w:tc>
          <w:tcPr>
            <w:tcW w:w="1888" w:type="dxa"/>
            <w:tcMar>
              <w:top w:w="0" w:type="dxa"/>
              <w:left w:w="123" w:type="dxa"/>
              <w:bottom w:w="0" w:type="dxa"/>
              <w:right w:w="123" w:type="dxa"/>
            </w:tcMar>
            <w:hideMark/>
          </w:tcPr>
          <w:p w14:paraId="560BD1B3" w14:textId="77777777" w:rsidR="00552564" w:rsidRPr="00552564" w:rsidRDefault="00552564">
            <w:pPr>
              <w:spacing w:after="120" w:line="240" w:lineRule="auto"/>
              <w:rPr>
                <w:color w:val="000000"/>
                <w:sz w:val="20"/>
                <w:szCs w:val="20"/>
              </w:rPr>
            </w:pPr>
            <w:r w:rsidRPr="00552564">
              <w:rPr>
                <w:color w:val="000000"/>
                <w:sz w:val="20"/>
                <w:szCs w:val="20"/>
              </w:rPr>
              <w:t>Cost to industry</w:t>
            </w:r>
          </w:p>
        </w:tc>
        <w:tc>
          <w:tcPr>
            <w:tcW w:w="4677" w:type="dxa"/>
            <w:tcMar>
              <w:top w:w="0" w:type="dxa"/>
              <w:left w:w="123" w:type="dxa"/>
              <w:bottom w:w="0" w:type="dxa"/>
              <w:right w:w="123" w:type="dxa"/>
            </w:tcMar>
            <w:hideMark/>
          </w:tcPr>
          <w:p w14:paraId="2F33A363" w14:textId="71C6950F" w:rsidR="0018041D" w:rsidRDefault="00552564">
            <w:pPr>
              <w:spacing w:after="120" w:line="240" w:lineRule="auto"/>
              <w:rPr>
                <w:color w:val="000000"/>
                <w:sz w:val="20"/>
                <w:szCs w:val="20"/>
              </w:rPr>
            </w:pPr>
            <w:r w:rsidRPr="00552564">
              <w:rPr>
                <w:color w:val="000000"/>
                <w:sz w:val="20"/>
                <w:szCs w:val="20"/>
              </w:rPr>
              <w:t xml:space="preserve">The onus of </w:t>
            </w:r>
            <w:r w:rsidR="0007575B">
              <w:rPr>
                <w:color w:val="000000"/>
                <w:sz w:val="20"/>
                <w:szCs w:val="20"/>
              </w:rPr>
              <w:t>implementing</w:t>
            </w:r>
            <w:r w:rsidRPr="00552564">
              <w:rPr>
                <w:color w:val="000000"/>
                <w:sz w:val="20"/>
                <w:szCs w:val="20"/>
              </w:rPr>
              <w:t xml:space="preserve"> a principles-based approach would be on industry and this entails costs</w:t>
            </w:r>
            <w:r w:rsidR="0007575B">
              <w:rPr>
                <w:color w:val="000000"/>
                <w:sz w:val="20"/>
                <w:szCs w:val="20"/>
              </w:rPr>
              <w:t>. Retailers</w:t>
            </w:r>
            <w:r w:rsidRPr="00552564">
              <w:rPr>
                <w:color w:val="000000"/>
                <w:sz w:val="20"/>
                <w:szCs w:val="20"/>
              </w:rPr>
              <w:t xml:space="preserve"> </w:t>
            </w:r>
            <w:r w:rsidR="00B927EC">
              <w:rPr>
                <w:color w:val="000000"/>
                <w:sz w:val="20"/>
                <w:szCs w:val="20"/>
              </w:rPr>
              <w:t>would</w:t>
            </w:r>
            <w:r w:rsidRPr="00552564">
              <w:rPr>
                <w:color w:val="000000"/>
                <w:sz w:val="20"/>
                <w:szCs w:val="20"/>
              </w:rPr>
              <w:t xml:space="preserve"> </w:t>
            </w:r>
            <w:r w:rsidR="0070608B">
              <w:rPr>
                <w:color w:val="000000"/>
                <w:sz w:val="20"/>
                <w:szCs w:val="20"/>
              </w:rPr>
              <w:t xml:space="preserve">be required to </w:t>
            </w:r>
            <w:r w:rsidR="004A23E5">
              <w:rPr>
                <w:color w:val="000000"/>
                <w:sz w:val="20"/>
                <w:szCs w:val="20"/>
              </w:rPr>
              <w:t xml:space="preserve">assess their </w:t>
            </w:r>
            <w:r w:rsidR="004A23E5">
              <w:rPr>
                <w:color w:val="000000"/>
                <w:sz w:val="20"/>
                <w:szCs w:val="20"/>
              </w:rPr>
              <w:lastRenderedPageBreak/>
              <w:t xml:space="preserve">existing systems and process and </w:t>
            </w:r>
            <w:r w:rsidR="005F01C6">
              <w:rPr>
                <w:color w:val="000000"/>
                <w:sz w:val="20"/>
                <w:szCs w:val="20"/>
              </w:rPr>
              <w:t xml:space="preserve">determine at what points it </w:t>
            </w:r>
            <w:r w:rsidR="00851822">
              <w:rPr>
                <w:color w:val="000000"/>
                <w:sz w:val="20"/>
                <w:szCs w:val="20"/>
              </w:rPr>
              <w:t>is relevant to seek customer concession eligibility information.</w:t>
            </w:r>
            <w:r w:rsidR="00D41706">
              <w:rPr>
                <w:color w:val="000000"/>
                <w:sz w:val="20"/>
                <w:szCs w:val="20"/>
              </w:rPr>
              <w:t xml:space="preserve"> </w:t>
            </w:r>
            <w:r w:rsidR="00851822">
              <w:rPr>
                <w:color w:val="000000"/>
                <w:sz w:val="20"/>
                <w:szCs w:val="20"/>
              </w:rPr>
              <w:t xml:space="preserve">They may also be required to update </w:t>
            </w:r>
            <w:r w:rsidR="00CE5338">
              <w:rPr>
                <w:color w:val="000000"/>
                <w:sz w:val="20"/>
                <w:szCs w:val="20"/>
              </w:rPr>
              <w:t xml:space="preserve">existing processes and systems (including training) if changes need to be made as a result of this </w:t>
            </w:r>
            <w:r w:rsidR="0018041D">
              <w:rPr>
                <w:color w:val="000000"/>
                <w:sz w:val="20"/>
                <w:szCs w:val="20"/>
              </w:rPr>
              <w:t xml:space="preserve">assessment. </w:t>
            </w:r>
          </w:p>
          <w:p w14:paraId="0A2604A2" w14:textId="03926315" w:rsidR="00315C53" w:rsidRDefault="006D6516">
            <w:pPr>
              <w:spacing w:after="120" w:line="240" w:lineRule="auto"/>
              <w:rPr>
                <w:color w:val="000000"/>
                <w:sz w:val="20"/>
                <w:szCs w:val="20"/>
              </w:rPr>
            </w:pPr>
            <w:r>
              <w:rPr>
                <w:color w:val="000000"/>
                <w:sz w:val="20"/>
                <w:szCs w:val="20"/>
              </w:rPr>
              <w:t>Many Victorian retailers already have systems in place to provide information to customers on concessions and check customer eligibility</w:t>
            </w:r>
            <w:r w:rsidR="00CD1C33">
              <w:rPr>
                <w:color w:val="000000"/>
                <w:sz w:val="20"/>
                <w:szCs w:val="20"/>
              </w:rPr>
              <w:t xml:space="preserve"> at points where they have determined it appropriate to do so</w:t>
            </w:r>
            <w:r>
              <w:rPr>
                <w:color w:val="000000"/>
                <w:sz w:val="20"/>
                <w:szCs w:val="20"/>
              </w:rPr>
              <w:t xml:space="preserve">. </w:t>
            </w:r>
            <w:r w:rsidR="002E1C5C">
              <w:rPr>
                <w:color w:val="000000"/>
                <w:sz w:val="20"/>
                <w:szCs w:val="20"/>
              </w:rPr>
              <w:t>Many</w:t>
            </w:r>
            <w:r w:rsidR="0036162F">
              <w:rPr>
                <w:color w:val="000000"/>
                <w:sz w:val="20"/>
                <w:szCs w:val="20"/>
              </w:rPr>
              <w:t xml:space="preserve"> retailers also</w:t>
            </w:r>
            <w:r w:rsidR="002E1C5C">
              <w:rPr>
                <w:color w:val="000000"/>
                <w:sz w:val="20"/>
                <w:szCs w:val="20"/>
              </w:rPr>
              <w:t xml:space="preserve"> expressed that they</w:t>
            </w:r>
            <w:r w:rsidR="0036162F">
              <w:rPr>
                <w:color w:val="000000"/>
                <w:sz w:val="20"/>
                <w:szCs w:val="20"/>
              </w:rPr>
              <w:t xml:space="preserve"> already have systems in place to proactively seek customer </w:t>
            </w:r>
            <w:r w:rsidR="002E1C5C">
              <w:rPr>
                <w:color w:val="000000"/>
                <w:sz w:val="20"/>
                <w:szCs w:val="20"/>
              </w:rPr>
              <w:t>concession eligibility information at certain points</w:t>
            </w:r>
            <w:r w:rsidR="00CB2F44">
              <w:rPr>
                <w:color w:val="000000"/>
                <w:sz w:val="20"/>
                <w:szCs w:val="20"/>
              </w:rPr>
              <w:t>.</w:t>
            </w:r>
            <w:r w:rsidR="0036162F">
              <w:rPr>
                <w:color w:val="000000"/>
                <w:sz w:val="20"/>
                <w:szCs w:val="20"/>
              </w:rPr>
              <w:t xml:space="preserve"> </w:t>
            </w:r>
          </w:p>
          <w:p w14:paraId="756CB5AA" w14:textId="4FFFD60E" w:rsidR="00267998" w:rsidRDefault="006D6516">
            <w:pPr>
              <w:spacing w:after="120" w:line="240" w:lineRule="auto"/>
              <w:rPr>
                <w:color w:val="000000"/>
                <w:sz w:val="20"/>
                <w:szCs w:val="20"/>
              </w:rPr>
            </w:pPr>
            <w:r>
              <w:rPr>
                <w:color w:val="000000"/>
                <w:sz w:val="20"/>
                <w:szCs w:val="20"/>
              </w:rPr>
              <w:t xml:space="preserve">Under a solely principles-based approach </w:t>
            </w:r>
            <w:r w:rsidR="00CD1C33">
              <w:rPr>
                <w:color w:val="000000"/>
                <w:sz w:val="20"/>
                <w:szCs w:val="20"/>
              </w:rPr>
              <w:t xml:space="preserve">we would therefore anticipate </w:t>
            </w:r>
            <w:r w:rsidR="00635E9D">
              <w:rPr>
                <w:color w:val="000000"/>
                <w:sz w:val="20"/>
                <w:szCs w:val="20"/>
              </w:rPr>
              <w:t xml:space="preserve">that </w:t>
            </w:r>
            <w:r w:rsidR="00CD1C33">
              <w:rPr>
                <w:color w:val="000000"/>
                <w:sz w:val="20"/>
                <w:szCs w:val="20"/>
              </w:rPr>
              <w:t>cost to industry would be low</w:t>
            </w:r>
            <w:r w:rsidR="005A450C">
              <w:rPr>
                <w:color w:val="000000"/>
                <w:sz w:val="20"/>
                <w:szCs w:val="20"/>
              </w:rPr>
              <w:t xml:space="preserve">, as </w:t>
            </w:r>
            <w:r w:rsidR="00C86FB8">
              <w:rPr>
                <w:color w:val="000000"/>
                <w:sz w:val="20"/>
                <w:szCs w:val="20"/>
              </w:rPr>
              <w:t xml:space="preserve">many retailers will have already </w:t>
            </w:r>
            <w:r w:rsidR="00B64CD4">
              <w:rPr>
                <w:color w:val="000000"/>
                <w:sz w:val="20"/>
                <w:szCs w:val="20"/>
              </w:rPr>
              <w:t>determined</w:t>
            </w:r>
            <w:r w:rsidR="009977B0">
              <w:rPr>
                <w:color w:val="000000"/>
                <w:sz w:val="20"/>
                <w:szCs w:val="20"/>
              </w:rPr>
              <w:t xml:space="preserve"> what circumstances </w:t>
            </w:r>
            <w:r w:rsidR="00774277">
              <w:rPr>
                <w:color w:val="000000"/>
                <w:sz w:val="20"/>
                <w:szCs w:val="20"/>
              </w:rPr>
              <w:t>the</w:t>
            </w:r>
            <w:r w:rsidR="00300778">
              <w:rPr>
                <w:color w:val="000000"/>
                <w:sz w:val="20"/>
                <w:szCs w:val="20"/>
              </w:rPr>
              <w:t>y</w:t>
            </w:r>
            <w:r w:rsidR="00774277">
              <w:rPr>
                <w:color w:val="000000"/>
                <w:sz w:val="20"/>
                <w:szCs w:val="20"/>
              </w:rPr>
              <w:t xml:space="preserve"> consider it relevant to seek this information and</w:t>
            </w:r>
            <w:r w:rsidR="00777F0A">
              <w:rPr>
                <w:color w:val="000000"/>
                <w:sz w:val="20"/>
                <w:szCs w:val="20"/>
              </w:rPr>
              <w:t xml:space="preserve"> already have systems in place that can be </w:t>
            </w:r>
            <w:r w:rsidR="00315C53">
              <w:rPr>
                <w:color w:val="000000"/>
                <w:sz w:val="20"/>
                <w:szCs w:val="20"/>
              </w:rPr>
              <w:t xml:space="preserve">adjusted to respond to </w:t>
            </w:r>
            <w:r w:rsidR="00FF5F41">
              <w:rPr>
                <w:color w:val="000000"/>
                <w:sz w:val="20"/>
                <w:szCs w:val="20"/>
              </w:rPr>
              <w:t xml:space="preserve">and </w:t>
            </w:r>
            <w:r w:rsidR="00315C53">
              <w:rPr>
                <w:color w:val="000000"/>
                <w:sz w:val="20"/>
                <w:szCs w:val="20"/>
              </w:rPr>
              <w:t xml:space="preserve">incorporate these reforms. Compared to option E.2, this option also does not require retailers to </w:t>
            </w:r>
            <w:r w:rsidR="00CD7660">
              <w:rPr>
                <w:color w:val="000000"/>
                <w:sz w:val="20"/>
                <w:szCs w:val="20"/>
              </w:rPr>
              <w:t xml:space="preserve">spend additional time and resources to contact and support customers who have had their concession eligibility </w:t>
            </w:r>
            <w:r w:rsidR="004039ED">
              <w:rPr>
                <w:color w:val="000000"/>
                <w:sz w:val="20"/>
                <w:szCs w:val="20"/>
              </w:rPr>
              <w:t xml:space="preserve">expire. </w:t>
            </w:r>
            <w:r w:rsidR="00315C53">
              <w:rPr>
                <w:color w:val="000000"/>
                <w:sz w:val="20"/>
                <w:szCs w:val="20"/>
              </w:rPr>
              <w:t xml:space="preserve"> </w:t>
            </w:r>
          </w:p>
          <w:p w14:paraId="66892063" w14:textId="5AAC2AD5" w:rsidR="00552564" w:rsidRPr="00552564" w:rsidRDefault="00552564">
            <w:pPr>
              <w:spacing w:after="120" w:line="240" w:lineRule="auto"/>
              <w:rPr>
                <w:color w:val="000000"/>
                <w:sz w:val="20"/>
                <w:szCs w:val="20"/>
              </w:rPr>
            </w:pPr>
            <w:r w:rsidRPr="00ED6498">
              <w:rPr>
                <w:color w:val="000000"/>
                <w:sz w:val="20"/>
                <w:szCs w:val="20"/>
              </w:rPr>
              <w:t xml:space="preserve">More customers accessing concessions would </w:t>
            </w:r>
            <w:r w:rsidR="00267998">
              <w:rPr>
                <w:color w:val="000000"/>
                <w:sz w:val="20"/>
                <w:szCs w:val="20"/>
              </w:rPr>
              <w:t>not result</w:t>
            </w:r>
            <w:r w:rsidRPr="00ED6498">
              <w:rPr>
                <w:color w:val="000000"/>
                <w:sz w:val="20"/>
                <w:szCs w:val="20"/>
              </w:rPr>
              <w:t xml:space="preserve"> in </w:t>
            </w:r>
            <w:r w:rsidR="00267998">
              <w:rPr>
                <w:color w:val="000000"/>
                <w:sz w:val="20"/>
                <w:szCs w:val="20"/>
              </w:rPr>
              <w:t xml:space="preserve">changes to </w:t>
            </w:r>
            <w:r w:rsidRPr="00ED6498">
              <w:rPr>
                <w:color w:val="000000"/>
                <w:sz w:val="20"/>
                <w:szCs w:val="20"/>
              </w:rPr>
              <w:t>income for energy retailers</w:t>
            </w:r>
            <w:r w:rsidR="00267998">
              <w:rPr>
                <w:color w:val="000000"/>
                <w:sz w:val="20"/>
                <w:szCs w:val="20"/>
              </w:rPr>
              <w:t>, as concessions are funded by the Victorian Government.</w:t>
            </w:r>
          </w:p>
        </w:tc>
        <w:tc>
          <w:tcPr>
            <w:tcW w:w="1134" w:type="dxa"/>
          </w:tcPr>
          <w:p w14:paraId="04AACB8D" w14:textId="0059F60B" w:rsidR="006C7024" w:rsidRDefault="006C7024">
            <w:pPr>
              <w:spacing w:after="120" w:line="240" w:lineRule="auto"/>
              <w:ind w:right="311"/>
              <w:jc w:val="right"/>
              <w:rPr>
                <w:color w:val="000000"/>
                <w:sz w:val="20"/>
                <w:szCs w:val="20"/>
              </w:rPr>
            </w:pPr>
            <w:r>
              <w:rPr>
                <w:color w:val="000000"/>
                <w:sz w:val="20"/>
                <w:szCs w:val="20"/>
              </w:rPr>
              <w:lastRenderedPageBreak/>
              <w:t>-</w:t>
            </w:r>
            <w:r w:rsidR="003F24C7">
              <w:rPr>
                <w:color w:val="000000"/>
                <w:sz w:val="20"/>
                <w:szCs w:val="20"/>
              </w:rPr>
              <w:t>0.5</w:t>
            </w:r>
          </w:p>
        </w:tc>
        <w:tc>
          <w:tcPr>
            <w:tcW w:w="1133" w:type="dxa"/>
            <w:tcMar>
              <w:top w:w="0" w:type="dxa"/>
              <w:left w:w="123" w:type="dxa"/>
              <w:bottom w:w="0" w:type="dxa"/>
              <w:right w:w="123" w:type="dxa"/>
            </w:tcMar>
            <w:hideMark/>
          </w:tcPr>
          <w:p w14:paraId="35AC61A3" w14:textId="1640B381" w:rsidR="00552564" w:rsidRPr="00552564" w:rsidRDefault="00552564">
            <w:pPr>
              <w:spacing w:after="120" w:line="240" w:lineRule="auto"/>
              <w:ind w:right="311"/>
              <w:jc w:val="right"/>
              <w:rPr>
                <w:color w:val="000000"/>
                <w:sz w:val="20"/>
                <w:szCs w:val="20"/>
              </w:rPr>
            </w:pPr>
            <w:r w:rsidRPr="00552564">
              <w:rPr>
                <w:color w:val="000000"/>
                <w:sz w:val="20"/>
                <w:szCs w:val="20"/>
              </w:rPr>
              <w:t>-</w:t>
            </w:r>
            <w:r w:rsidR="002A14E3">
              <w:rPr>
                <w:color w:val="000000"/>
                <w:sz w:val="20"/>
                <w:szCs w:val="20"/>
              </w:rPr>
              <w:t>0.</w:t>
            </w:r>
            <w:r w:rsidR="003F24C7">
              <w:rPr>
                <w:color w:val="000000"/>
                <w:sz w:val="20"/>
                <w:szCs w:val="20"/>
              </w:rPr>
              <w:t>2</w:t>
            </w:r>
          </w:p>
        </w:tc>
      </w:tr>
      <w:tr w:rsidR="00552564" w14:paraId="08F736F7" w14:textId="77777777" w:rsidTr="190F3055">
        <w:tc>
          <w:tcPr>
            <w:tcW w:w="806" w:type="dxa"/>
            <w:tcBorders>
              <w:bottom w:val="single" w:sz="4" w:space="0" w:color="4986A0" w:themeColor="accent3"/>
            </w:tcBorders>
            <w:shd w:val="clear" w:color="auto" w:fill="F2F2F2" w:themeFill="background1" w:themeFillShade="F2"/>
            <w:tcMar>
              <w:top w:w="0" w:type="dxa"/>
              <w:left w:w="0" w:type="dxa"/>
              <w:bottom w:w="0" w:type="dxa"/>
              <w:right w:w="0" w:type="dxa"/>
            </w:tcMar>
            <w:hideMark/>
          </w:tcPr>
          <w:p w14:paraId="4732BD98" w14:textId="77777777" w:rsidR="00552564" w:rsidRPr="00552564" w:rsidRDefault="00552564">
            <w:pPr>
              <w:spacing w:after="120" w:line="240" w:lineRule="auto"/>
              <w:rPr>
                <w:color w:val="000000"/>
                <w:sz w:val="20"/>
                <w:szCs w:val="20"/>
              </w:rPr>
            </w:pPr>
            <w:r w:rsidRPr="00552564">
              <w:rPr>
                <w:color w:val="000000"/>
                <w:sz w:val="20"/>
                <w:szCs w:val="20"/>
              </w:rPr>
              <w:t>E.2</w:t>
            </w:r>
          </w:p>
        </w:tc>
        <w:tc>
          <w:tcPr>
            <w:tcW w:w="1888" w:type="dxa"/>
            <w:tcBorders>
              <w:bottom w:val="single" w:sz="4" w:space="0" w:color="4986A0" w:themeColor="accent3"/>
            </w:tcBorders>
            <w:shd w:val="clear" w:color="auto" w:fill="F2F2F2" w:themeFill="background1" w:themeFillShade="F2"/>
            <w:tcMar>
              <w:top w:w="0" w:type="dxa"/>
              <w:left w:w="123" w:type="dxa"/>
              <w:bottom w:w="0" w:type="dxa"/>
              <w:right w:w="123" w:type="dxa"/>
            </w:tcMar>
            <w:hideMark/>
          </w:tcPr>
          <w:p w14:paraId="00A04AE3" w14:textId="77777777" w:rsidR="00552564" w:rsidRPr="00552564" w:rsidRDefault="00552564">
            <w:pPr>
              <w:spacing w:after="120" w:line="240" w:lineRule="auto"/>
              <w:rPr>
                <w:color w:val="000000"/>
                <w:sz w:val="20"/>
                <w:szCs w:val="20"/>
              </w:rPr>
            </w:pPr>
            <w:r w:rsidRPr="00552564">
              <w:rPr>
                <w:color w:val="000000"/>
                <w:sz w:val="20"/>
                <w:szCs w:val="20"/>
              </w:rPr>
              <w:t>Cost to industry</w:t>
            </w:r>
          </w:p>
        </w:tc>
        <w:tc>
          <w:tcPr>
            <w:tcW w:w="4677" w:type="dxa"/>
            <w:tcBorders>
              <w:bottom w:val="single" w:sz="4" w:space="0" w:color="4986A0" w:themeColor="accent3"/>
            </w:tcBorders>
            <w:shd w:val="clear" w:color="auto" w:fill="F2F2F2" w:themeFill="background1" w:themeFillShade="F2"/>
            <w:tcMar>
              <w:top w:w="0" w:type="dxa"/>
              <w:left w:w="123" w:type="dxa"/>
              <w:bottom w:w="0" w:type="dxa"/>
              <w:right w:w="123" w:type="dxa"/>
            </w:tcMar>
            <w:hideMark/>
          </w:tcPr>
          <w:p w14:paraId="71894838" w14:textId="128DB96F" w:rsidR="00B73B0F" w:rsidRDefault="00552564">
            <w:pPr>
              <w:spacing w:after="120" w:line="240" w:lineRule="auto"/>
              <w:rPr>
                <w:color w:val="000000"/>
                <w:sz w:val="20"/>
                <w:szCs w:val="20"/>
              </w:rPr>
            </w:pPr>
            <w:r w:rsidRPr="00552564">
              <w:rPr>
                <w:color w:val="000000"/>
                <w:sz w:val="20"/>
                <w:szCs w:val="20"/>
              </w:rPr>
              <w:t xml:space="preserve">This </w:t>
            </w:r>
            <w:r w:rsidR="00AF3C90">
              <w:rPr>
                <w:color w:val="000000"/>
                <w:sz w:val="20"/>
                <w:szCs w:val="20"/>
              </w:rPr>
              <w:t>option</w:t>
            </w:r>
            <w:r w:rsidRPr="00552564">
              <w:rPr>
                <w:color w:val="000000"/>
                <w:sz w:val="20"/>
                <w:szCs w:val="20"/>
              </w:rPr>
              <w:t xml:space="preserve"> adds </w:t>
            </w:r>
            <w:r w:rsidR="002A14E3">
              <w:rPr>
                <w:color w:val="000000"/>
                <w:sz w:val="20"/>
                <w:szCs w:val="20"/>
              </w:rPr>
              <w:t>to</w:t>
            </w:r>
            <w:r w:rsidRPr="00552564">
              <w:rPr>
                <w:color w:val="000000"/>
                <w:sz w:val="20"/>
                <w:szCs w:val="20"/>
              </w:rPr>
              <w:t xml:space="preserve"> the principles-based approach by mandating new points at which a retailer must request concessions eligibility information from a customer. This mandatory element </w:t>
            </w:r>
            <w:r w:rsidR="00834017">
              <w:rPr>
                <w:color w:val="000000"/>
                <w:sz w:val="20"/>
                <w:szCs w:val="20"/>
              </w:rPr>
              <w:t>would</w:t>
            </w:r>
            <w:r w:rsidRPr="00552564">
              <w:rPr>
                <w:color w:val="000000"/>
                <w:sz w:val="20"/>
                <w:szCs w:val="20"/>
              </w:rPr>
              <w:t xml:space="preserve"> result in more costs to industry </w:t>
            </w:r>
            <w:r w:rsidR="0061403C">
              <w:rPr>
                <w:color w:val="000000"/>
                <w:sz w:val="20"/>
                <w:szCs w:val="20"/>
              </w:rPr>
              <w:t>compared to</w:t>
            </w:r>
            <w:r w:rsidRPr="00552564">
              <w:rPr>
                <w:color w:val="000000"/>
                <w:sz w:val="20"/>
                <w:szCs w:val="20"/>
              </w:rPr>
              <w:t xml:space="preserve"> </w:t>
            </w:r>
            <w:r w:rsidR="0061403C">
              <w:rPr>
                <w:color w:val="000000"/>
                <w:sz w:val="20"/>
                <w:szCs w:val="20"/>
              </w:rPr>
              <w:t>O</w:t>
            </w:r>
            <w:r w:rsidRPr="00552564">
              <w:rPr>
                <w:color w:val="000000"/>
                <w:sz w:val="20"/>
                <w:szCs w:val="20"/>
              </w:rPr>
              <w:t>ption E.1</w:t>
            </w:r>
            <w:r w:rsidR="0061403C">
              <w:rPr>
                <w:color w:val="000000"/>
                <w:sz w:val="20"/>
                <w:szCs w:val="20"/>
              </w:rPr>
              <w:t xml:space="preserve"> as it is more likely </w:t>
            </w:r>
            <w:r w:rsidR="00D41346">
              <w:rPr>
                <w:color w:val="000000"/>
                <w:sz w:val="20"/>
                <w:szCs w:val="20"/>
              </w:rPr>
              <w:t>retailers</w:t>
            </w:r>
            <w:r w:rsidR="0061403C">
              <w:rPr>
                <w:color w:val="000000"/>
                <w:sz w:val="20"/>
                <w:szCs w:val="20"/>
              </w:rPr>
              <w:t xml:space="preserve"> would need to </w:t>
            </w:r>
            <w:r w:rsidR="00FB41EB">
              <w:rPr>
                <w:color w:val="000000"/>
                <w:sz w:val="20"/>
                <w:szCs w:val="20"/>
              </w:rPr>
              <w:t xml:space="preserve">update or alter existing concession-related procedures to </w:t>
            </w:r>
            <w:r w:rsidR="00757537">
              <w:rPr>
                <w:color w:val="000000"/>
                <w:sz w:val="20"/>
                <w:szCs w:val="20"/>
              </w:rPr>
              <w:t xml:space="preserve">comply with the new minimum requirement eligibility check points. </w:t>
            </w:r>
            <w:r w:rsidR="004039ED">
              <w:rPr>
                <w:color w:val="000000"/>
                <w:sz w:val="20"/>
                <w:szCs w:val="20"/>
              </w:rPr>
              <w:t xml:space="preserve">This is because the additional prescribed check points may differ from those that retailers have </w:t>
            </w:r>
            <w:r w:rsidR="002242B6">
              <w:rPr>
                <w:color w:val="000000"/>
                <w:sz w:val="20"/>
                <w:szCs w:val="20"/>
              </w:rPr>
              <w:t xml:space="preserve">currently identified as relevant points </w:t>
            </w:r>
            <w:r w:rsidR="00A01D16">
              <w:rPr>
                <w:color w:val="000000"/>
                <w:sz w:val="20"/>
                <w:szCs w:val="20"/>
              </w:rPr>
              <w:t>to</w:t>
            </w:r>
            <w:r w:rsidR="00BB0E25">
              <w:rPr>
                <w:color w:val="000000"/>
                <w:sz w:val="20"/>
                <w:szCs w:val="20"/>
              </w:rPr>
              <w:t xml:space="preserve"> seek concession information</w:t>
            </w:r>
            <w:r w:rsidR="00FB1680">
              <w:rPr>
                <w:color w:val="000000"/>
                <w:sz w:val="20"/>
                <w:szCs w:val="20"/>
              </w:rPr>
              <w:t>, even for those retailers that currently have systems in place to do this. Other retailers that currently just provide information</w:t>
            </w:r>
            <w:r w:rsidR="005D2261">
              <w:rPr>
                <w:color w:val="000000"/>
                <w:sz w:val="20"/>
                <w:szCs w:val="20"/>
              </w:rPr>
              <w:t xml:space="preserve"> to customers</w:t>
            </w:r>
            <w:r w:rsidR="00FB1680">
              <w:rPr>
                <w:color w:val="000000"/>
                <w:sz w:val="20"/>
                <w:szCs w:val="20"/>
              </w:rPr>
              <w:t xml:space="preserve"> about the </w:t>
            </w:r>
            <w:r w:rsidR="005D2261">
              <w:rPr>
                <w:color w:val="000000"/>
                <w:sz w:val="20"/>
                <w:szCs w:val="20"/>
              </w:rPr>
              <w:t xml:space="preserve">availability of concessions will have to update systems more significantly.  </w:t>
            </w:r>
          </w:p>
          <w:p w14:paraId="023380CE" w14:textId="212B0BFB" w:rsidR="00552564" w:rsidRDefault="00834017">
            <w:pPr>
              <w:spacing w:after="120" w:line="240" w:lineRule="auto"/>
              <w:rPr>
                <w:color w:val="000000"/>
                <w:sz w:val="20"/>
                <w:szCs w:val="20"/>
              </w:rPr>
            </w:pPr>
            <w:r>
              <w:rPr>
                <w:color w:val="000000"/>
                <w:sz w:val="20"/>
                <w:szCs w:val="20"/>
              </w:rPr>
              <w:t xml:space="preserve">Compliance costs would also be </w:t>
            </w:r>
            <w:r w:rsidR="00FF24B9">
              <w:rPr>
                <w:color w:val="000000"/>
                <w:sz w:val="20"/>
                <w:szCs w:val="20"/>
              </w:rPr>
              <w:t>slightly</w:t>
            </w:r>
            <w:r>
              <w:rPr>
                <w:color w:val="000000"/>
                <w:sz w:val="20"/>
                <w:szCs w:val="20"/>
              </w:rPr>
              <w:t xml:space="preserve"> greater under this option</w:t>
            </w:r>
            <w:r w:rsidR="00FF24B9">
              <w:rPr>
                <w:color w:val="000000"/>
                <w:sz w:val="20"/>
                <w:szCs w:val="20"/>
              </w:rPr>
              <w:t xml:space="preserve"> as retailers would have to </w:t>
            </w:r>
            <w:r w:rsidR="002F66DA">
              <w:rPr>
                <w:color w:val="000000"/>
                <w:sz w:val="20"/>
                <w:szCs w:val="20"/>
              </w:rPr>
              <w:t>demonstrate that they have complied with</w:t>
            </w:r>
            <w:r w:rsidR="00FF24B9">
              <w:rPr>
                <w:color w:val="000000"/>
                <w:sz w:val="20"/>
                <w:szCs w:val="20"/>
              </w:rPr>
              <w:t xml:space="preserve"> both the general principle </w:t>
            </w:r>
            <w:r w:rsidR="009816C4">
              <w:rPr>
                <w:color w:val="000000"/>
                <w:sz w:val="20"/>
                <w:szCs w:val="20"/>
              </w:rPr>
              <w:t xml:space="preserve">of checking eligibility </w:t>
            </w:r>
            <w:r w:rsidR="002F66DA">
              <w:rPr>
                <w:color w:val="000000"/>
                <w:sz w:val="20"/>
                <w:szCs w:val="20"/>
              </w:rPr>
              <w:t>where relevant to do so as well as at the prescribed eligibility check points.</w:t>
            </w:r>
            <w:r w:rsidR="00552564" w:rsidRPr="00552564">
              <w:rPr>
                <w:color w:val="000000"/>
                <w:sz w:val="20"/>
                <w:szCs w:val="20"/>
              </w:rPr>
              <w:t xml:space="preserve"> </w:t>
            </w:r>
            <w:r w:rsidR="002A14E3">
              <w:rPr>
                <w:color w:val="000000"/>
                <w:sz w:val="20"/>
                <w:szCs w:val="20"/>
              </w:rPr>
              <w:t xml:space="preserve">These additional costs would include ensuring compliance </w:t>
            </w:r>
            <w:r w:rsidR="006D7AEA">
              <w:rPr>
                <w:color w:val="000000"/>
                <w:sz w:val="20"/>
                <w:szCs w:val="20"/>
              </w:rPr>
              <w:t xml:space="preserve">with the </w:t>
            </w:r>
            <w:r w:rsidR="006D7AEA">
              <w:rPr>
                <w:color w:val="000000"/>
                <w:sz w:val="20"/>
                <w:szCs w:val="20"/>
              </w:rPr>
              <w:lastRenderedPageBreak/>
              <w:t>minimum requirements</w:t>
            </w:r>
            <w:r w:rsidR="00B6261A">
              <w:rPr>
                <w:color w:val="000000"/>
                <w:sz w:val="20"/>
                <w:szCs w:val="20"/>
              </w:rPr>
              <w:t xml:space="preserve"> and </w:t>
            </w:r>
            <w:r w:rsidR="006D7AEA">
              <w:rPr>
                <w:color w:val="000000"/>
                <w:sz w:val="20"/>
                <w:szCs w:val="20"/>
              </w:rPr>
              <w:t>reporting potential breaches</w:t>
            </w:r>
            <w:r w:rsidR="00B6261A">
              <w:rPr>
                <w:color w:val="000000"/>
                <w:sz w:val="20"/>
                <w:szCs w:val="20"/>
              </w:rPr>
              <w:t>.</w:t>
            </w:r>
            <w:r w:rsidR="002A14E3">
              <w:rPr>
                <w:color w:val="000000"/>
                <w:sz w:val="20"/>
                <w:szCs w:val="20"/>
              </w:rPr>
              <w:t xml:space="preserve"> </w:t>
            </w:r>
          </w:p>
          <w:p w14:paraId="220BDDA1" w14:textId="08314339" w:rsidR="00F071A3" w:rsidRDefault="00F071A3">
            <w:pPr>
              <w:spacing w:after="120" w:line="240" w:lineRule="auto"/>
              <w:rPr>
                <w:color w:val="000000"/>
                <w:sz w:val="20"/>
                <w:szCs w:val="20"/>
              </w:rPr>
            </w:pPr>
            <w:r w:rsidRPr="190F3055">
              <w:rPr>
                <w:color w:val="000000" w:themeColor="text1"/>
                <w:sz w:val="20"/>
                <w:szCs w:val="20"/>
              </w:rPr>
              <w:t xml:space="preserve">Finally, </w:t>
            </w:r>
            <w:r w:rsidR="006B5BD7" w:rsidRPr="190F3055">
              <w:rPr>
                <w:color w:val="000000" w:themeColor="text1"/>
                <w:sz w:val="20"/>
                <w:szCs w:val="20"/>
              </w:rPr>
              <w:t xml:space="preserve">retailers would </w:t>
            </w:r>
            <w:r w:rsidR="00B30455" w:rsidRPr="190F3055">
              <w:rPr>
                <w:color w:val="000000" w:themeColor="text1"/>
                <w:sz w:val="20"/>
                <w:szCs w:val="20"/>
              </w:rPr>
              <w:t>experience slightly higher costs under this option compared to Option E.1 as they would also need to contact and support customers who have had their concession eligibility expire.</w:t>
            </w:r>
            <w:r w:rsidR="00806E4D" w:rsidRPr="190F3055">
              <w:rPr>
                <w:color w:val="000000" w:themeColor="text1"/>
                <w:sz w:val="20"/>
                <w:szCs w:val="20"/>
              </w:rPr>
              <w:t xml:space="preserve"> This is not required under Option E.1. </w:t>
            </w:r>
          </w:p>
          <w:p w14:paraId="75CEE39F" w14:textId="4233975B" w:rsidR="00552564" w:rsidRPr="00552564" w:rsidRDefault="002A6996">
            <w:pPr>
              <w:spacing w:after="120" w:line="240" w:lineRule="auto"/>
              <w:rPr>
                <w:color w:val="000000"/>
                <w:sz w:val="20"/>
                <w:szCs w:val="20"/>
              </w:rPr>
            </w:pPr>
            <w:r>
              <w:rPr>
                <w:color w:val="000000"/>
                <w:sz w:val="20"/>
                <w:szCs w:val="20"/>
              </w:rPr>
              <w:t>As under Option E.1 m</w:t>
            </w:r>
            <w:r w:rsidRPr="00ED6498">
              <w:rPr>
                <w:color w:val="000000"/>
                <w:sz w:val="20"/>
                <w:szCs w:val="20"/>
              </w:rPr>
              <w:t xml:space="preserve">ore customers accessing concessions would </w:t>
            </w:r>
            <w:r>
              <w:rPr>
                <w:color w:val="000000"/>
                <w:sz w:val="20"/>
                <w:szCs w:val="20"/>
              </w:rPr>
              <w:t>not result</w:t>
            </w:r>
            <w:r w:rsidRPr="00ED6498">
              <w:rPr>
                <w:color w:val="000000"/>
                <w:sz w:val="20"/>
                <w:szCs w:val="20"/>
              </w:rPr>
              <w:t xml:space="preserve"> in </w:t>
            </w:r>
            <w:r>
              <w:rPr>
                <w:color w:val="000000"/>
                <w:sz w:val="20"/>
                <w:szCs w:val="20"/>
              </w:rPr>
              <w:t xml:space="preserve">changes to </w:t>
            </w:r>
            <w:r w:rsidRPr="00ED6498">
              <w:rPr>
                <w:color w:val="000000"/>
                <w:sz w:val="20"/>
                <w:szCs w:val="20"/>
              </w:rPr>
              <w:t>income for energy retailers</w:t>
            </w:r>
            <w:r>
              <w:rPr>
                <w:color w:val="000000"/>
                <w:sz w:val="20"/>
                <w:szCs w:val="20"/>
              </w:rPr>
              <w:t>, as concessions are funded by the Victorian Government.</w:t>
            </w:r>
          </w:p>
        </w:tc>
        <w:tc>
          <w:tcPr>
            <w:tcW w:w="1134" w:type="dxa"/>
            <w:tcBorders>
              <w:bottom w:val="single" w:sz="4" w:space="0" w:color="4986A0" w:themeColor="accent3"/>
            </w:tcBorders>
            <w:shd w:val="clear" w:color="auto" w:fill="F2F2F2" w:themeFill="background1" w:themeFillShade="F2"/>
          </w:tcPr>
          <w:p w14:paraId="2EC1DB50" w14:textId="0B774DF1" w:rsidR="006C7024" w:rsidRDefault="006C7024">
            <w:pPr>
              <w:spacing w:after="120" w:line="240" w:lineRule="auto"/>
              <w:ind w:right="311"/>
              <w:jc w:val="right"/>
              <w:rPr>
                <w:color w:val="000000"/>
                <w:sz w:val="20"/>
                <w:szCs w:val="20"/>
              </w:rPr>
            </w:pPr>
            <w:r>
              <w:rPr>
                <w:color w:val="000000"/>
                <w:sz w:val="20"/>
                <w:szCs w:val="20"/>
              </w:rPr>
              <w:lastRenderedPageBreak/>
              <w:t>-</w:t>
            </w:r>
            <w:r w:rsidR="002045D4">
              <w:rPr>
                <w:color w:val="000000"/>
                <w:sz w:val="20"/>
                <w:szCs w:val="20"/>
              </w:rPr>
              <w:t>1.5</w:t>
            </w:r>
          </w:p>
        </w:tc>
        <w:tc>
          <w:tcPr>
            <w:tcW w:w="1133" w:type="dxa"/>
            <w:tcBorders>
              <w:bottom w:val="single" w:sz="4" w:space="0" w:color="4986A0" w:themeColor="accent3"/>
            </w:tcBorders>
            <w:shd w:val="clear" w:color="auto" w:fill="F2F2F2" w:themeFill="background1" w:themeFillShade="F2"/>
            <w:tcMar>
              <w:top w:w="0" w:type="dxa"/>
              <w:left w:w="123" w:type="dxa"/>
              <w:bottom w:w="0" w:type="dxa"/>
              <w:right w:w="123" w:type="dxa"/>
            </w:tcMar>
            <w:hideMark/>
          </w:tcPr>
          <w:p w14:paraId="1CFF4B44" w14:textId="40155A15" w:rsidR="00552564" w:rsidRPr="00552564" w:rsidRDefault="00552564">
            <w:pPr>
              <w:spacing w:after="120" w:line="240" w:lineRule="auto"/>
              <w:ind w:right="311"/>
              <w:jc w:val="right"/>
              <w:rPr>
                <w:color w:val="000000"/>
                <w:sz w:val="20"/>
                <w:szCs w:val="20"/>
              </w:rPr>
            </w:pPr>
            <w:r w:rsidRPr="00552564">
              <w:rPr>
                <w:color w:val="000000"/>
                <w:sz w:val="20"/>
                <w:szCs w:val="20"/>
              </w:rPr>
              <w:t>-</w:t>
            </w:r>
            <w:r w:rsidR="002045D4">
              <w:rPr>
                <w:color w:val="000000"/>
                <w:sz w:val="20"/>
                <w:szCs w:val="20"/>
              </w:rPr>
              <w:t>0</w:t>
            </w:r>
            <w:r w:rsidRPr="00552564">
              <w:rPr>
                <w:color w:val="000000"/>
                <w:sz w:val="20"/>
                <w:szCs w:val="20"/>
              </w:rPr>
              <w:t>.</w:t>
            </w:r>
            <w:r w:rsidR="002045D4">
              <w:rPr>
                <w:color w:val="000000"/>
                <w:sz w:val="20"/>
                <w:szCs w:val="20"/>
              </w:rPr>
              <w:t>6</w:t>
            </w:r>
          </w:p>
        </w:tc>
      </w:tr>
    </w:tbl>
    <w:p w14:paraId="5E6597F8" w14:textId="2C6513F4" w:rsidR="002457C1" w:rsidRPr="002457C1" w:rsidRDefault="002457C1" w:rsidP="003A49F5"/>
    <w:p w14:paraId="4E9080B5" w14:textId="51526E3D" w:rsidR="002F392C" w:rsidRDefault="002F392C" w:rsidP="00834017">
      <w:pPr>
        <w:pStyle w:val="Figure-Table-BoxSubtitle"/>
        <w:keepNext/>
        <w:keepLines/>
        <w:ind w:left="0"/>
      </w:pPr>
      <w:r w:rsidRPr="003E148F">
        <w:rPr>
          <w:rStyle w:val="Figure-Table-BoxHeadingChar"/>
        </w:rPr>
        <w:t xml:space="preserve">Table </w:t>
      </w:r>
      <w:r w:rsidRPr="003E148F">
        <w:rPr>
          <w:rStyle w:val="Figure-Table-BoxHeadingChar"/>
        </w:rPr>
        <w:fldChar w:fldCharType="begin"/>
      </w:r>
      <w:r w:rsidRPr="003E148F">
        <w:rPr>
          <w:rStyle w:val="Figure-Table-BoxHeadingChar"/>
        </w:rPr>
        <w:instrText xml:space="preserve"> SEQ Table \* ARABIC </w:instrText>
      </w:r>
      <w:r w:rsidRPr="003E148F">
        <w:rPr>
          <w:rStyle w:val="Figure-Table-BoxHeadingChar"/>
        </w:rPr>
        <w:fldChar w:fldCharType="separate"/>
      </w:r>
      <w:r w:rsidR="009A244B">
        <w:rPr>
          <w:rStyle w:val="Figure-Table-BoxHeadingChar"/>
          <w:noProof/>
        </w:rPr>
        <w:t>9</w:t>
      </w:r>
      <w:r w:rsidRPr="003E148F">
        <w:rPr>
          <w:rStyle w:val="Figure-Table-BoxHeadingChar"/>
        </w:rPr>
        <w:fldChar w:fldCharType="end"/>
      </w:r>
      <w:r w:rsidR="005F731C" w:rsidRPr="003E148F">
        <w:rPr>
          <w:rStyle w:val="Figure-Table-BoxHeadingChar"/>
        </w:rPr>
        <w:t>9</w:t>
      </w:r>
      <w:r w:rsidRPr="003E148F">
        <w:rPr>
          <w:rStyle w:val="Figure-Table-BoxHeadingChar"/>
        </w:rPr>
        <w:t>:</w:t>
      </w:r>
      <w:r w:rsidRPr="003E148F">
        <w:t xml:space="preserve"> </w:t>
      </w:r>
      <w:r w:rsidRPr="003A49F5">
        <w:t>MCA Assessment of Options E.</w:t>
      </w:r>
      <w:r>
        <w:t>1 and E.2: Cost to government</w:t>
      </w:r>
    </w:p>
    <w:tbl>
      <w:tblPr>
        <w:tblW w:w="0" w:type="auto"/>
        <w:tblCellMar>
          <w:left w:w="0" w:type="dxa"/>
          <w:right w:w="0" w:type="dxa"/>
        </w:tblCellMar>
        <w:tblLook w:val="04A0" w:firstRow="1" w:lastRow="0" w:firstColumn="1" w:lastColumn="0" w:noHBand="0" w:noVBand="1"/>
      </w:tblPr>
      <w:tblGrid>
        <w:gridCol w:w="818"/>
        <w:gridCol w:w="1962"/>
        <w:gridCol w:w="4663"/>
        <w:gridCol w:w="979"/>
        <w:gridCol w:w="1216"/>
      </w:tblGrid>
      <w:tr w:rsidR="006B7EEE" w14:paraId="343AFF11" w14:textId="77777777" w:rsidTr="006C7024">
        <w:tc>
          <w:tcPr>
            <w:tcW w:w="818" w:type="dxa"/>
            <w:tcBorders>
              <w:top w:val="single" w:sz="4" w:space="0" w:color="4986A0"/>
              <w:bottom w:val="single" w:sz="4" w:space="0" w:color="4986A0"/>
            </w:tcBorders>
            <w:shd w:val="clear" w:color="auto" w:fill="4986A0"/>
            <w:tcMar>
              <w:top w:w="0" w:type="dxa"/>
              <w:left w:w="0" w:type="dxa"/>
              <w:bottom w:w="0" w:type="dxa"/>
              <w:right w:w="0" w:type="dxa"/>
            </w:tcMar>
            <w:hideMark/>
          </w:tcPr>
          <w:p w14:paraId="13F44A0D" w14:textId="77777777" w:rsidR="006B7EEE" w:rsidRDefault="006B7EEE" w:rsidP="004A1B6D">
            <w:pPr>
              <w:keepNext/>
              <w:keepLines/>
              <w:spacing w:before="60" w:after="60" w:line="240" w:lineRule="auto"/>
              <w:jc w:val="center"/>
              <w:rPr>
                <w:color w:val="000000"/>
                <w:sz w:val="20"/>
                <w:szCs w:val="20"/>
              </w:rPr>
            </w:pPr>
            <w:r>
              <w:rPr>
                <w:b/>
                <w:bCs/>
                <w:color w:val="FFFFFF"/>
                <w:sz w:val="20"/>
                <w:szCs w:val="20"/>
              </w:rPr>
              <w:t>Option</w:t>
            </w:r>
          </w:p>
        </w:tc>
        <w:tc>
          <w:tcPr>
            <w:tcW w:w="1962"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1DC994F0" w14:textId="77777777" w:rsidR="006B7EEE" w:rsidRDefault="006B7EEE" w:rsidP="004A1B6D">
            <w:pPr>
              <w:keepNext/>
              <w:keepLines/>
              <w:spacing w:before="60" w:after="60" w:line="240" w:lineRule="auto"/>
              <w:jc w:val="center"/>
              <w:rPr>
                <w:color w:val="000000"/>
                <w:sz w:val="20"/>
                <w:szCs w:val="20"/>
              </w:rPr>
            </w:pPr>
            <w:r>
              <w:rPr>
                <w:b/>
                <w:bCs/>
                <w:color w:val="FFFFFF"/>
                <w:sz w:val="20"/>
                <w:szCs w:val="20"/>
              </w:rPr>
              <w:t>Criteria</w:t>
            </w:r>
            <w:r>
              <w:rPr>
                <w:color w:val="000000"/>
                <w:sz w:val="20"/>
                <w:szCs w:val="20"/>
              </w:rPr>
              <w:br/>
            </w:r>
            <w:r>
              <w:rPr>
                <w:b/>
                <w:bCs/>
                <w:color w:val="FFFFFF"/>
                <w:sz w:val="20"/>
                <w:szCs w:val="20"/>
              </w:rPr>
              <w:t>(weighting 10%)</w:t>
            </w:r>
          </w:p>
        </w:tc>
        <w:tc>
          <w:tcPr>
            <w:tcW w:w="4663"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59638836" w14:textId="77777777" w:rsidR="006B7EEE" w:rsidRDefault="006B7EEE" w:rsidP="004A1B6D">
            <w:pPr>
              <w:keepNext/>
              <w:keepLines/>
              <w:spacing w:before="60" w:after="60" w:line="240" w:lineRule="auto"/>
              <w:jc w:val="center"/>
              <w:rPr>
                <w:color w:val="000000"/>
                <w:sz w:val="20"/>
                <w:szCs w:val="20"/>
              </w:rPr>
            </w:pPr>
            <w:r>
              <w:rPr>
                <w:b/>
                <w:bCs/>
                <w:color w:val="FFFFFF"/>
                <w:sz w:val="20"/>
                <w:szCs w:val="20"/>
              </w:rPr>
              <w:t>Assessment</w:t>
            </w:r>
          </w:p>
        </w:tc>
        <w:tc>
          <w:tcPr>
            <w:tcW w:w="979" w:type="dxa"/>
            <w:tcBorders>
              <w:top w:val="single" w:sz="4" w:space="0" w:color="4986A0"/>
              <w:bottom w:val="single" w:sz="4" w:space="0" w:color="4986A0"/>
            </w:tcBorders>
            <w:shd w:val="clear" w:color="auto" w:fill="4986A0"/>
          </w:tcPr>
          <w:p w14:paraId="2FDC31A0" w14:textId="77777777" w:rsidR="006C7024" w:rsidRDefault="006C7024" w:rsidP="004A1B6D">
            <w:pPr>
              <w:keepNext/>
              <w:keepLines/>
              <w:spacing w:before="60" w:after="60" w:line="240" w:lineRule="auto"/>
              <w:jc w:val="center"/>
              <w:rPr>
                <w:b/>
                <w:bCs/>
                <w:color w:val="FFFFFF"/>
                <w:sz w:val="20"/>
                <w:szCs w:val="20"/>
              </w:rPr>
            </w:pPr>
            <w:r>
              <w:rPr>
                <w:b/>
                <w:bCs/>
                <w:color w:val="FFFFFF"/>
                <w:sz w:val="20"/>
                <w:szCs w:val="20"/>
              </w:rPr>
              <w:t>Score</w:t>
            </w:r>
          </w:p>
          <w:p w14:paraId="303176F6" w14:textId="1A076AA6" w:rsidR="006C7024" w:rsidRDefault="004A1B6D" w:rsidP="004A1B6D">
            <w:pPr>
              <w:keepNext/>
              <w:keepLines/>
              <w:spacing w:before="60" w:after="60" w:line="240" w:lineRule="auto"/>
              <w:jc w:val="center"/>
              <w:rPr>
                <w:b/>
                <w:bCs/>
                <w:color w:val="FFFFFF"/>
                <w:sz w:val="20"/>
                <w:szCs w:val="20"/>
              </w:rPr>
            </w:pPr>
            <w:r>
              <w:rPr>
                <w:b/>
                <w:bCs/>
                <w:color w:val="FFFFFF"/>
                <w:sz w:val="20"/>
                <w:szCs w:val="20"/>
              </w:rPr>
              <w:t>(-10 to 10)</w:t>
            </w:r>
          </w:p>
        </w:tc>
        <w:tc>
          <w:tcPr>
            <w:tcW w:w="1216"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5A6D7554" w14:textId="77777777" w:rsidR="006B7EEE" w:rsidRDefault="006B7EEE" w:rsidP="004A1B6D">
            <w:pPr>
              <w:keepNext/>
              <w:keepLines/>
              <w:spacing w:before="60" w:after="60" w:line="240" w:lineRule="auto"/>
              <w:jc w:val="center"/>
              <w:rPr>
                <w:color w:val="000000"/>
                <w:sz w:val="20"/>
                <w:szCs w:val="20"/>
              </w:rPr>
            </w:pPr>
            <w:r>
              <w:rPr>
                <w:b/>
                <w:bCs/>
                <w:color w:val="FFFFFF"/>
                <w:sz w:val="20"/>
                <w:szCs w:val="20"/>
              </w:rPr>
              <w:t>Weighted score</w:t>
            </w:r>
          </w:p>
        </w:tc>
      </w:tr>
      <w:tr w:rsidR="006B7EEE" w14:paraId="69200E47" w14:textId="77777777" w:rsidTr="006C7024">
        <w:trPr>
          <w:trHeight w:val="333"/>
        </w:trPr>
        <w:tc>
          <w:tcPr>
            <w:tcW w:w="818" w:type="dxa"/>
            <w:tcMar>
              <w:top w:w="0" w:type="dxa"/>
              <w:left w:w="0" w:type="dxa"/>
              <w:bottom w:w="0" w:type="dxa"/>
              <w:right w:w="0" w:type="dxa"/>
            </w:tcMar>
            <w:hideMark/>
          </w:tcPr>
          <w:p w14:paraId="56580A10" w14:textId="77777777" w:rsidR="006B7EEE" w:rsidRDefault="006B7EEE" w:rsidP="00834017">
            <w:pPr>
              <w:keepNext/>
              <w:keepLines/>
              <w:spacing w:after="120" w:line="240" w:lineRule="auto"/>
              <w:rPr>
                <w:color w:val="000000"/>
                <w:sz w:val="20"/>
                <w:szCs w:val="20"/>
              </w:rPr>
            </w:pPr>
            <w:r>
              <w:rPr>
                <w:color w:val="000000"/>
                <w:sz w:val="20"/>
                <w:szCs w:val="20"/>
              </w:rPr>
              <w:t>E.1</w:t>
            </w:r>
          </w:p>
        </w:tc>
        <w:tc>
          <w:tcPr>
            <w:tcW w:w="1962" w:type="dxa"/>
            <w:tcMar>
              <w:top w:w="0" w:type="dxa"/>
              <w:left w:w="123" w:type="dxa"/>
              <w:bottom w:w="0" w:type="dxa"/>
              <w:right w:w="123" w:type="dxa"/>
            </w:tcMar>
            <w:hideMark/>
          </w:tcPr>
          <w:p w14:paraId="0A86EE51" w14:textId="77777777" w:rsidR="006B7EEE" w:rsidRDefault="006B7EEE" w:rsidP="00834017">
            <w:pPr>
              <w:keepNext/>
              <w:keepLines/>
              <w:spacing w:after="120" w:line="240" w:lineRule="auto"/>
              <w:rPr>
                <w:color w:val="000000"/>
                <w:sz w:val="20"/>
                <w:szCs w:val="20"/>
              </w:rPr>
            </w:pPr>
            <w:r>
              <w:rPr>
                <w:color w:val="000000"/>
                <w:sz w:val="20"/>
                <w:szCs w:val="20"/>
              </w:rPr>
              <w:t>Cost to government</w:t>
            </w:r>
          </w:p>
        </w:tc>
        <w:tc>
          <w:tcPr>
            <w:tcW w:w="4663" w:type="dxa"/>
            <w:tcMar>
              <w:top w:w="0" w:type="dxa"/>
              <w:left w:w="123" w:type="dxa"/>
              <w:bottom w:w="0" w:type="dxa"/>
              <w:right w:w="123" w:type="dxa"/>
            </w:tcMar>
            <w:hideMark/>
          </w:tcPr>
          <w:p w14:paraId="16926247" w14:textId="77777777" w:rsidR="006B7EEE" w:rsidRDefault="006B7EEE" w:rsidP="00834017">
            <w:pPr>
              <w:keepNext/>
              <w:keepLines/>
              <w:spacing w:after="120" w:line="240" w:lineRule="auto"/>
              <w:rPr>
                <w:color w:val="000000"/>
                <w:sz w:val="20"/>
                <w:szCs w:val="20"/>
              </w:rPr>
            </w:pPr>
            <w:r>
              <w:rPr>
                <w:color w:val="000000"/>
                <w:sz w:val="20"/>
                <w:szCs w:val="20"/>
              </w:rPr>
              <w:t xml:space="preserve">Administrative costs to </w:t>
            </w:r>
            <w:r w:rsidR="0066418A">
              <w:rPr>
                <w:color w:val="000000"/>
                <w:sz w:val="20"/>
                <w:szCs w:val="20"/>
              </w:rPr>
              <w:t xml:space="preserve">the commission </w:t>
            </w:r>
            <w:r>
              <w:rPr>
                <w:color w:val="000000"/>
                <w:sz w:val="20"/>
                <w:szCs w:val="20"/>
              </w:rPr>
              <w:t xml:space="preserve">would include establishing best-practice guidelines or supporting information for industry, as well as monitoring industry to confirm that the principles are adhered to. This would be a relatively minor cost, mostly incurred at the commencement of this measure, with periodic updates as required. However, ambiguity concerning enforcement of principles could lead to disputes and </w:t>
            </w:r>
            <w:r w:rsidR="0066418A">
              <w:rPr>
                <w:color w:val="000000"/>
                <w:sz w:val="20"/>
                <w:szCs w:val="20"/>
              </w:rPr>
              <w:t>costs for the commission to resolve disputes</w:t>
            </w:r>
            <w:r>
              <w:rPr>
                <w:color w:val="000000"/>
                <w:sz w:val="20"/>
                <w:szCs w:val="20"/>
              </w:rPr>
              <w:t xml:space="preserve">. </w:t>
            </w:r>
          </w:p>
          <w:p w14:paraId="75715F7B" w14:textId="24C3AE28" w:rsidR="006B7EEE" w:rsidRDefault="007511E7" w:rsidP="00834017">
            <w:pPr>
              <w:keepNext/>
              <w:keepLines/>
              <w:spacing w:after="120" w:line="240" w:lineRule="auto"/>
              <w:rPr>
                <w:color w:val="000000"/>
                <w:sz w:val="20"/>
                <w:szCs w:val="20"/>
              </w:rPr>
            </w:pPr>
            <w:r>
              <w:rPr>
                <w:color w:val="000000"/>
                <w:sz w:val="20"/>
                <w:szCs w:val="20"/>
              </w:rPr>
              <w:t xml:space="preserve">This reform seeks to </w:t>
            </w:r>
            <w:r w:rsidR="003B6064">
              <w:rPr>
                <w:color w:val="000000"/>
                <w:sz w:val="20"/>
                <w:szCs w:val="20"/>
              </w:rPr>
              <w:t>support</w:t>
            </w:r>
            <w:r>
              <w:rPr>
                <w:color w:val="000000"/>
                <w:sz w:val="20"/>
                <w:szCs w:val="20"/>
              </w:rPr>
              <w:t xml:space="preserve"> customers </w:t>
            </w:r>
            <w:r w:rsidR="00DE5363">
              <w:rPr>
                <w:color w:val="000000"/>
                <w:sz w:val="20"/>
                <w:szCs w:val="20"/>
              </w:rPr>
              <w:t xml:space="preserve">entitled to concessions </w:t>
            </w:r>
            <w:r w:rsidR="003B6064">
              <w:rPr>
                <w:color w:val="000000"/>
                <w:sz w:val="20"/>
                <w:szCs w:val="20"/>
              </w:rPr>
              <w:t xml:space="preserve">to access those concessions. </w:t>
            </w:r>
            <w:r w:rsidR="00FE21D3">
              <w:rPr>
                <w:color w:val="000000"/>
                <w:sz w:val="20"/>
                <w:szCs w:val="20"/>
              </w:rPr>
              <w:t xml:space="preserve">While the government has already allocated budget for concessions, improving access for customers entitled to receive concessions would involve additional expenditure for government. </w:t>
            </w:r>
          </w:p>
        </w:tc>
        <w:tc>
          <w:tcPr>
            <w:tcW w:w="979" w:type="dxa"/>
          </w:tcPr>
          <w:p w14:paraId="41A86FD9" w14:textId="01FCEA8F" w:rsidR="006C7024" w:rsidRDefault="006C7024" w:rsidP="00834017">
            <w:pPr>
              <w:keepNext/>
              <w:keepLines/>
              <w:spacing w:after="120" w:line="240" w:lineRule="auto"/>
              <w:ind w:right="311"/>
              <w:jc w:val="right"/>
              <w:rPr>
                <w:color w:val="000000"/>
                <w:sz w:val="20"/>
                <w:szCs w:val="20"/>
              </w:rPr>
            </w:pPr>
            <w:r>
              <w:rPr>
                <w:color w:val="000000"/>
                <w:sz w:val="20"/>
                <w:szCs w:val="20"/>
              </w:rPr>
              <w:t>-0.</w:t>
            </w:r>
            <w:r w:rsidR="00CA4AF8">
              <w:rPr>
                <w:color w:val="000000"/>
                <w:sz w:val="20"/>
                <w:szCs w:val="20"/>
              </w:rPr>
              <w:t>5</w:t>
            </w:r>
          </w:p>
        </w:tc>
        <w:tc>
          <w:tcPr>
            <w:tcW w:w="1216" w:type="dxa"/>
            <w:tcMar>
              <w:top w:w="0" w:type="dxa"/>
              <w:left w:w="123" w:type="dxa"/>
              <w:bottom w:w="0" w:type="dxa"/>
              <w:right w:w="123" w:type="dxa"/>
            </w:tcMar>
            <w:hideMark/>
          </w:tcPr>
          <w:p w14:paraId="1968EB85" w14:textId="5EBF2200" w:rsidR="006B7EEE" w:rsidRDefault="006B7EEE" w:rsidP="00834017">
            <w:pPr>
              <w:keepNext/>
              <w:keepLines/>
              <w:spacing w:after="120" w:line="240" w:lineRule="auto"/>
              <w:ind w:right="311"/>
              <w:jc w:val="right"/>
              <w:rPr>
                <w:color w:val="000000"/>
                <w:sz w:val="20"/>
                <w:szCs w:val="20"/>
              </w:rPr>
            </w:pPr>
            <w:r>
              <w:rPr>
                <w:color w:val="000000"/>
                <w:sz w:val="20"/>
                <w:szCs w:val="20"/>
              </w:rPr>
              <w:t>-0.0</w:t>
            </w:r>
            <w:r w:rsidR="00CA4AF8">
              <w:rPr>
                <w:color w:val="000000"/>
                <w:sz w:val="20"/>
                <w:szCs w:val="20"/>
              </w:rPr>
              <w:t>5</w:t>
            </w:r>
          </w:p>
        </w:tc>
      </w:tr>
      <w:tr w:rsidR="006B7EEE" w14:paraId="2D72D019" w14:textId="77777777" w:rsidTr="006C7024">
        <w:tc>
          <w:tcPr>
            <w:tcW w:w="818" w:type="dxa"/>
            <w:tcBorders>
              <w:bottom w:val="single" w:sz="4" w:space="0" w:color="4986A0"/>
            </w:tcBorders>
            <w:shd w:val="clear" w:color="auto" w:fill="F2F2F2"/>
            <w:tcMar>
              <w:top w:w="0" w:type="dxa"/>
              <w:left w:w="0" w:type="dxa"/>
              <w:bottom w:w="0" w:type="dxa"/>
              <w:right w:w="0" w:type="dxa"/>
            </w:tcMar>
            <w:hideMark/>
          </w:tcPr>
          <w:p w14:paraId="0DD0A625" w14:textId="77777777" w:rsidR="006B7EEE" w:rsidRDefault="006B7EEE">
            <w:pPr>
              <w:spacing w:after="120" w:line="240" w:lineRule="auto"/>
              <w:rPr>
                <w:color w:val="000000"/>
                <w:sz w:val="20"/>
                <w:szCs w:val="20"/>
              </w:rPr>
            </w:pPr>
            <w:r>
              <w:rPr>
                <w:color w:val="000000"/>
                <w:sz w:val="20"/>
                <w:szCs w:val="20"/>
              </w:rPr>
              <w:t>E.2</w:t>
            </w:r>
          </w:p>
        </w:tc>
        <w:tc>
          <w:tcPr>
            <w:tcW w:w="1962" w:type="dxa"/>
            <w:tcBorders>
              <w:bottom w:val="single" w:sz="4" w:space="0" w:color="4986A0"/>
            </w:tcBorders>
            <w:shd w:val="clear" w:color="auto" w:fill="F2F2F2"/>
            <w:tcMar>
              <w:top w:w="0" w:type="dxa"/>
              <w:left w:w="123" w:type="dxa"/>
              <w:bottom w:w="0" w:type="dxa"/>
              <w:right w:w="123" w:type="dxa"/>
            </w:tcMar>
            <w:hideMark/>
          </w:tcPr>
          <w:p w14:paraId="18827F95" w14:textId="77777777" w:rsidR="006B7EEE" w:rsidRDefault="006B7EEE">
            <w:pPr>
              <w:spacing w:after="120" w:line="240" w:lineRule="auto"/>
              <w:rPr>
                <w:color w:val="000000"/>
                <w:sz w:val="20"/>
                <w:szCs w:val="20"/>
              </w:rPr>
            </w:pPr>
            <w:r>
              <w:rPr>
                <w:color w:val="000000"/>
                <w:sz w:val="20"/>
                <w:szCs w:val="20"/>
              </w:rPr>
              <w:t>Cost to government</w:t>
            </w:r>
          </w:p>
        </w:tc>
        <w:tc>
          <w:tcPr>
            <w:tcW w:w="4663" w:type="dxa"/>
            <w:tcBorders>
              <w:bottom w:val="single" w:sz="4" w:space="0" w:color="4986A0"/>
            </w:tcBorders>
            <w:shd w:val="clear" w:color="auto" w:fill="F2F2F2"/>
            <w:tcMar>
              <w:top w:w="0" w:type="dxa"/>
              <w:left w:w="123" w:type="dxa"/>
              <w:bottom w:w="0" w:type="dxa"/>
              <w:right w:w="123" w:type="dxa"/>
            </w:tcMar>
            <w:hideMark/>
          </w:tcPr>
          <w:p w14:paraId="4E466CC9" w14:textId="77777777" w:rsidR="006B7EEE" w:rsidRDefault="006B7EEE">
            <w:pPr>
              <w:spacing w:after="120" w:line="240" w:lineRule="auto"/>
              <w:rPr>
                <w:color w:val="000000"/>
                <w:sz w:val="20"/>
                <w:szCs w:val="20"/>
              </w:rPr>
            </w:pPr>
            <w:r>
              <w:rPr>
                <w:color w:val="000000"/>
                <w:sz w:val="20"/>
                <w:szCs w:val="20"/>
              </w:rPr>
              <w:t xml:space="preserve">Administrative costs to </w:t>
            </w:r>
            <w:r w:rsidR="0066418A">
              <w:rPr>
                <w:color w:val="000000"/>
                <w:sz w:val="20"/>
                <w:szCs w:val="20"/>
              </w:rPr>
              <w:t xml:space="preserve">the commission </w:t>
            </w:r>
            <w:r>
              <w:rPr>
                <w:color w:val="000000"/>
                <w:sz w:val="20"/>
                <w:szCs w:val="20"/>
              </w:rPr>
              <w:t xml:space="preserve">would include establishing best-practice guidelines or supporting information for industry. In addition, </w:t>
            </w:r>
            <w:r w:rsidR="0066418A">
              <w:rPr>
                <w:color w:val="000000"/>
                <w:sz w:val="20"/>
                <w:szCs w:val="20"/>
              </w:rPr>
              <w:t>the commission</w:t>
            </w:r>
            <w:r>
              <w:rPr>
                <w:color w:val="000000"/>
                <w:sz w:val="20"/>
                <w:szCs w:val="20"/>
              </w:rPr>
              <w:t xml:space="preserve"> would need to </w:t>
            </w:r>
            <w:r w:rsidR="00D002EC">
              <w:rPr>
                <w:color w:val="000000"/>
                <w:sz w:val="20"/>
                <w:szCs w:val="20"/>
              </w:rPr>
              <w:t>update compliance reporting obligations</w:t>
            </w:r>
            <w:r>
              <w:rPr>
                <w:color w:val="000000"/>
                <w:sz w:val="20"/>
                <w:szCs w:val="20"/>
              </w:rPr>
              <w:t xml:space="preserve"> to </w:t>
            </w:r>
            <w:r w:rsidR="00D002EC">
              <w:rPr>
                <w:color w:val="000000"/>
                <w:sz w:val="20"/>
                <w:szCs w:val="20"/>
              </w:rPr>
              <w:t>monitor</w:t>
            </w:r>
            <w:r>
              <w:rPr>
                <w:color w:val="000000"/>
                <w:sz w:val="20"/>
                <w:szCs w:val="20"/>
              </w:rPr>
              <w:t xml:space="preserve"> the mandatory obligations for a retailer to request concessions eligibility information</w:t>
            </w:r>
            <w:r w:rsidR="00D002EC">
              <w:rPr>
                <w:color w:val="000000"/>
                <w:sz w:val="20"/>
                <w:szCs w:val="20"/>
              </w:rPr>
              <w:t xml:space="preserve"> at specific points</w:t>
            </w:r>
            <w:r>
              <w:rPr>
                <w:color w:val="000000"/>
                <w:sz w:val="20"/>
                <w:szCs w:val="20"/>
              </w:rPr>
              <w:t xml:space="preserve">. Nevertheless, the overall costs to </w:t>
            </w:r>
            <w:r w:rsidR="00D002EC">
              <w:rPr>
                <w:color w:val="000000"/>
                <w:sz w:val="20"/>
                <w:szCs w:val="20"/>
              </w:rPr>
              <w:t>the commission</w:t>
            </w:r>
            <w:r>
              <w:rPr>
                <w:color w:val="000000"/>
                <w:sz w:val="20"/>
                <w:szCs w:val="20"/>
              </w:rPr>
              <w:t xml:space="preserve"> are expected to be relatively small (but greater than for Option E.1).</w:t>
            </w:r>
          </w:p>
          <w:p w14:paraId="61653C10" w14:textId="1F740C72" w:rsidR="006B7EEE" w:rsidRDefault="00FE21D3">
            <w:pPr>
              <w:spacing w:after="120" w:line="240" w:lineRule="auto"/>
              <w:rPr>
                <w:color w:val="000000"/>
                <w:sz w:val="20"/>
                <w:szCs w:val="20"/>
              </w:rPr>
            </w:pPr>
            <w:r>
              <w:rPr>
                <w:color w:val="000000"/>
                <w:sz w:val="20"/>
                <w:szCs w:val="20"/>
              </w:rPr>
              <w:t xml:space="preserve">Similar to Option E.1, </w:t>
            </w:r>
            <w:r w:rsidR="00975AC4">
              <w:rPr>
                <w:color w:val="000000"/>
                <w:sz w:val="20"/>
                <w:szCs w:val="20"/>
              </w:rPr>
              <w:t xml:space="preserve">greater access to concessions would increase government </w:t>
            </w:r>
            <w:r w:rsidR="00414865">
              <w:rPr>
                <w:color w:val="000000"/>
                <w:sz w:val="20"/>
                <w:szCs w:val="20"/>
              </w:rPr>
              <w:t xml:space="preserve">expenditure. </w:t>
            </w:r>
          </w:p>
        </w:tc>
        <w:tc>
          <w:tcPr>
            <w:tcW w:w="979" w:type="dxa"/>
            <w:tcBorders>
              <w:bottom w:val="single" w:sz="4" w:space="0" w:color="4986A0"/>
            </w:tcBorders>
            <w:shd w:val="clear" w:color="auto" w:fill="F2F2F2"/>
          </w:tcPr>
          <w:p w14:paraId="1749B356" w14:textId="658840BA" w:rsidR="006C7024" w:rsidRDefault="006C7024">
            <w:pPr>
              <w:spacing w:after="120" w:line="240" w:lineRule="auto"/>
              <w:ind w:right="311"/>
              <w:jc w:val="right"/>
              <w:rPr>
                <w:color w:val="000000"/>
                <w:sz w:val="20"/>
                <w:szCs w:val="20"/>
              </w:rPr>
            </w:pPr>
            <w:r>
              <w:rPr>
                <w:color w:val="000000"/>
                <w:sz w:val="20"/>
                <w:szCs w:val="20"/>
              </w:rPr>
              <w:t>-</w:t>
            </w:r>
            <w:r w:rsidR="007E569A">
              <w:rPr>
                <w:color w:val="000000"/>
                <w:sz w:val="20"/>
                <w:szCs w:val="20"/>
              </w:rPr>
              <w:t>0.75</w:t>
            </w:r>
          </w:p>
        </w:tc>
        <w:tc>
          <w:tcPr>
            <w:tcW w:w="1216" w:type="dxa"/>
            <w:tcBorders>
              <w:bottom w:val="single" w:sz="4" w:space="0" w:color="4986A0"/>
            </w:tcBorders>
            <w:shd w:val="clear" w:color="auto" w:fill="F2F2F2"/>
            <w:tcMar>
              <w:top w:w="0" w:type="dxa"/>
              <w:left w:w="123" w:type="dxa"/>
              <w:bottom w:w="0" w:type="dxa"/>
              <w:right w:w="123" w:type="dxa"/>
            </w:tcMar>
            <w:hideMark/>
          </w:tcPr>
          <w:p w14:paraId="03BE0FDA" w14:textId="37281189" w:rsidR="006B7EEE" w:rsidRDefault="006B7EEE">
            <w:pPr>
              <w:spacing w:after="120" w:line="240" w:lineRule="auto"/>
              <w:ind w:right="311"/>
              <w:jc w:val="right"/>
              <w:rPr>
                <w:color w:val="000000"/>
                <w:sz w:val="20"/>
                <w:szCs w:val="20"/>
              </w:rPr>
            </w:pPr>
            <w:r>
              <w:rPr>
                <w:color w:val="000000"/>
                <w:sz w:val="20"/>
                <w:szCs w:val="20"/>
              </w:rPr>
              <w:t>-0.</w:t>
            </w:r>
            <w:r w:rsidR="007E569A">
              <w:rPr>
                <w:color w:val="000000"/>
                <w:sz w:val="20"/>
                <w:szCs w:val="20"/>
              </w:rPr>
              <w:t>075</w:t>
            </w:r>
          </w:p>
        </w:tc>
      </w:tr>
    </w:tbl>
    <w:p w14:paraId="5F0B6196" w14:textId="77777777" w:rsidR="002A2AFF" w:rsidRDefault="002A2AFF" w:rsidP="002A2AFF">
      <w:pPr>
        <w:pStyle w:val="Heading2numbered"/>
      </w:pPr>
      <w:bookmarkStart w:id="271" w:name="_Toc195617212"/>
      <w:bookmarkStart w:id="272" w:name="_Toc195642898"/>
      <w:bookmarkStart w:id="273" w:name="_Toc195692612"/>
      <w:bookmarkStart w:id="274" w:name="_Toc195701907"/>
      <w:bookmarkStart w:id="275" w:name="_Toc195617213"/>
      <w:bookmarkStart w:id="276" w:name="_Toc195642899"/>
      <w:bookmarkStart w:id="277" w:name="_Toc195692613"/>
      <w:bookmarkStart w:id="278" w:name="_Toc195701908"/>
      <w:bookmarkStart w:id="279" w:name="_Toc197959463"/>
      <w:bookmarkEnd w:id="271"/>
      <w:bookmarkEnd w:id="272"/>
      <w:bookmarkEnd w:id="273"/>
      <w:bookmarkEnd w:id="274"/>
      <w:bookmarkEnd w:id="275"/>
      <w:bookmarkEnd w:id="276"/>
      <w:bookmarkEnd w:id="277"/>
      <w:bookmarkEnd w:id="278"/>
      <w:r>
        <w:lastRenderedPageBreak/>
        <w:t>Summary and preferred option</w:t>
      </w:r>
      <w:bookmarkEnd w:id="279"/>
    </w:p>
    <w:p w14:paraId="702C50C2" w14:textId="485703F1" w:rsidR="00104B32" w:rsidRDefault="00104B32" w:rsidP="00104B32">
      <w:r>
        <w:t xml:space="preserve">The MCA assessments suggest that both options are an improvement over the base case, with Option E.1 scoring </w:t>
      </w:r>
      <w:r w:rsidR="002402DD">
        <w:t>0</w:t>
      </w:r>
      <w:r w:rsidR="00E40A80">
        <w:t>.</w:t>
      </w:r>
      <w:r w:rsidR="00CA2835">
        <w:t>5</w:t>
      </w:r>
      <w:r>
        <w:t xml:space="preserve"> and Option E.2 scoring </w:t>
      </w:r>
      <w:r w:rsidR="00CA2835">
        <w:t>0</w:t>
      </w:r>
      <w:r w:rsidR="00E40A80">
        <w:t>.</w:t>
      </w:r>
      <w:r w:rsidR="00CA2835">
        <w:t>8</w:t>
      </w:r>
      <w:r w:rsidR="008473C6">
        <w:t>25</w:t>
      </w:r>
      <w:r>
        <w:t>. Option E.2 essentially represents a principles-</w:t>
      </w:r>
      <w:r w:rsidR="00E40A80">
        <w:t xml:space="preserve">based </w:t>
      </w:r>
      <w:r>
        <w:t xml:space="preserve">approach but applies a minimum set of rules to deal with some of the disadvantages of a </w:t>
      </w:r>
      <w:r w:rsidR="0057454B">
        <w:t xml:space="preserve">solely </w:t>
      </w:r>
      <w:r>
        <w:t>principles</w:t>
      </w:r>
      <w:r w:rsidR="00E40A80">
        <w:t>-</w:t>
      </w:r>
      <w:r>
        <w:t>based approach.</w:t>
      </w:r>
    </w:p>
    <w:p w14:paraId="2806CF51" w14:textId="2BFF2BAA" w:rsidR="00514353" w:rsidRPr="00514353" w:rsidRDefault="00104B32" w:rsidP="00800122">
      <w:r>
        <w:t xml:space="preserve">The benefits of both options are associated with </w:t>
      </w:r>
      <w:r w:rsidR="00E40A80">
        <w:t xml:space="preserve">seeking </w:t>
      </w:r>
      <w:r>
        <w:t>concession eligibility</w:t>
      </w:r>
      <w:r w:rsidR="00E40A80">
        <w:t xml:space="preserve"> information from </w:t>
      </w:r>
      <w:r w:rsidR="00E24F2F">
        <w:t>customers and</w:t>
      </w:r>
      <w:r>
        <w:t xml:space="preserve"> therefore </w:t>
      </w:r>
      <w:r w:rsidR="00E40A80">
        <w:t>prompting more customers to access concessions</w:t>
      </w:r>
      <w:r>
        <w:t xml:space="preserve">. While Option E.2 imposed higher cost on industry (owing to the </w:t>
      </w:r>
      <w:r w:rsidR="007208C8">
        <w:t>requirement of</w:t>
      </w:r>
      <w:r>
        <w:t xml:space="preserve"> a greater number of checks), it is likely to be more effective in achieving the </w:t>
      </w:r>
      <w:r w:rsidR="00E40A80">
        <w:t>reform</w:t>
      </w:r>
      <w:r>
        <w:t>’s objectives. Therefore, Option E.2 is preferred.</w:t>
      </w:r>
    </w:p>
    <w:p w14:paraId="26B4C64F" w14:textId="0C0F509A" w:rsidR="001A2C5B" w:rsidRPr="003E148F" w:rsidRDefault="001A2C5B" w:rsidP="003E148F">
      <w:pPr>
        <w:pStyle w:val="Figure-Table-BoxSubtitle"/>
        <w:ind w:left="0"/>
      </w:pPr>
      <w:r w:rsidRPr="003E148F">
        <w:rPr>
          <w:rStyle w:val="Figure-Table-BoxHeadingChar"/>
        </w:rPr>
        <w:t xml:space="preserve">Table </w:t>
      </w:r>
      <w:r w:rsidR="005F731C" w:rsidRPr="003E148F">
        <w:rPr>
          <w:rStyle w:val="Figure-Table-BoxHeadingChar"/>
        </w:rPr>
        <w:t>30</w:t>
      </w:r>
      <w:r w:rsidRPr="003E148F">
        <w:rPr>
          <w:rStyle w:val="Figure-Table-BoxHeadingChar"/>
        </w:rPr>
        <w:t>:</w:t>
      </w:r>
      <w:r w:rsidRPr="003E148F">
        <w:t xml:space="preserve"> Summary of MCA assessment ‒ Improving the application of concessions on bills</w:t>
      </w:r>
    </w:p>
    <w:tbl>
      <w:tblPr>
        <w:tblW w:w="0" w:type="auto"/>
        <w:tblBorders>
          <w:insideH w:val="single" w:sz="8" w:space="0" w:color="FFFFFF"/>
        </w:tblBorders>
        <w:tblCellMar>
          <w:left w:w="0" w:type="dxa"/>
          <w:right w:w="0" w:type="dxa"/>
        </w:tblCellMar>
        <w:tblLook w:val="04A0" w:firstRow="1" w:lastRow="0" w:firstColumn="1" w:lastColumn="0" w:noHBand="0" w:noVBand="1"/>
      </w:tblPr>
      <w:tblGrid>
        <w:gridCol w:w="1011"/>
        <w:gridCol w:w="6912"/>
        <w:gridCol w:w="1715"/>
      </w:tblGrid>
      <w:tr w:rsidR="002F477E" w14:paraId="28DAD6C4" w14:textId="77777777">
        <w:tc>
          <w:tcPr>
            <w:tcW w:w="1013" w:type="dxa"/>
            <w:tcBorders>
              <w:bottom w:val="single" w:sz="8" w:space="0" w:color="FFFFFF"/>
            </w:tcBorders>
            <w:shd w:val="clear" w:color="auto" w:fill="4986A0"/>
            <w:tcMar>
              <w:top w:w="85" w:type="dxa"/>
              <w:left w:w="95" w:type="dxa"/>
              <w:bottom w:w="85" w:type="dxa"/>
              <w:right w:w="67" w:type="dxa"/>
            </w:tcMar>
            <w:hideMark/>
          </w:tcPr>
          <w:p w14:paraId="3BDF6908" w14:textId="77777777" w:rsidR="002F477E" w:rsidRPr="00CB5A04" w:rsidRDefault="002F477E">
            <w:pPr>
              <w:spacing w:after="120" w:line="240" w:lineRule="auto"/>
              <w:rPr>
                <w:color w:val="000000"/>
                <w:sz w:val="20"/>
                <w:szCs w:val="20"/>
              </w:rPr>
            </w:pPr>
            <w:r w:rsidRPr="00CB5A04">
              <w:rPr>
                <w:b/>
                <w:bCs/>
                <w:color w:val="FFFFFF"/>
                <w:sz w:val="20"/>
                <w:szCs w:val="20"/>
              </w:rPr>
              <w:t>Option</w:t>
            </w:r>
          </w:p>
        </w:tc>
        <w:tc>
          <w:tcPr>
            <w:tcW w:w="6965" w:type="dxa"/>
            <w:tcBorders>
              <w:bottom w:val="single" w:sz="8" w:space="0" w:color="FFFFFF"/>
            </w:tcBorders>
            <w:shd w:val="clear" w:color="auto" w:fill="4986A0"/>
            <w:tcMar>
              <w:top w:w="85" w:type="dxa"/>
              <w:left w:w="95" w:type="dxa"/>
              <w:bottom w:w="85" w:type="dxa"/>
              <w:right w:w="67" w:type="dxa"/>
            </w:tcMar>
            <w:hideMark/>
          </w:tcPr>
          <w:p w14:paraId="04CD1BDF" w14:textId="77777777" w:rsidR="002F477E" w:rsidRPr="00CB5A04" w:rsidRDefault="002F477E">
            <w:pPr>
              <w:spacing w:after="120" w:line="240" w:lineRule="auto"/>
              <w:rPr>
                <w:color w:val="000000"/>
                <w:sz w:val="20"/>
                <w:szCs w:val="20"/>
              </w:rPr>
            </w:pPr>
            <w:r w:rsidRPr="00CB5A04">
              <w:rPr>
                <w:b/>
                <w:bCs/>
                <w:color w:val="FFFFFF"/>
                <w:sz w:val="20"/>
                <w:szCs w:val="20"/>
              </w:rPr>
              <w:t>Description</w:t>
            </w:r>
          </w:p>
        </w:tc>
        <w:tc>
          <w:tcPr>
            <w:tcW w:w="1720" w:type="dxa"/>
            <w:tcBorders>
              <w:bottom w:val="single" w:sz="8" w:space="0" w:color="FFFFFF"/>
            </w:tcBorders>
            <w:shd w:val="clear" w:color="auto" w:fill="4986A0"/>
            <w:tcMar>
              <w:top w:w="85" w:type="dxa"/>
              <w:left w:w="95" w:type="dxa"/>
              <w:bottom w:w="85" w:type="dxa"/>
              <w:right w:w="67" w:type="dxa"/>
            </w:tcMar>
            <w:hideMark/>
          </w:tcPr>
          <w:p w14:paraId="4BB2E3D2" w14:textId="77777777" w:rsidR="002F477E" w:rsidRPr="00CB5A04" w:rsidRDefault="002F477E">
            <w:pPr>
              <w:spacing w:after="120" w:line="240" w:lineRule="auto"/>
              <w:rPr>
                <w:color w:val="000000"/>
                <w:sz w:val="20"/>
                <w:szCs w:val="20"/>
              </w:rPr>
            </w:pPr>
            <w:r w:rsidRPr="00CB5A04">
              <w:rPr>
                <w:b/>
                <w:bCs/>
                <w:color w:val="FFFFFF"/>
                <w:sz w:val="20"/>
                <w:szCs w:val="20"/>
              </w:rPr>
              <w:t>Weighted score</w:t>
            </w:r>
          </w:p>
        </w:tc>
      </w:tr>
      <w:tr w:rsidR="002F477E" w14:paraId="04DAC6AC" w14:textId="77777777">
        <w:tc>
          <w:tcPr>
            <w:tcW w:w="1013"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6E6DF11F" w14:textId="77777777" w:rsidR="002F477E" w:rsidRPr="00800122" w:rsidRDefault="002F477E">
            <w:pPr>
              <w:spacing w:after="120" w:line="240" w:lineRule="auto"/>
              <w:jc w:val="center"/>
              <w:rPr>
                <w:color w:val="000000"/>
                <w:sz w:val="20"/>
                <w:szCs w:val="20"/>
              </w:rPr>
            </w:pPr>
            <w:r w:rsidRPr="00800122">
              <w:rPr>
                <w:color w:val="000000"/>
                <w:sz w:val="20"/>
                <w:szCs w:val="20"/>
              </w:rPr>
              <w:t>E.1</w:t>
            </w:r>
          </w:p>
        </w:tc>
        <w:tc>
          <w:tcPr>
            <w:tcW w:w="6965"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0AC81CE3" w14:textId="77777777" w:rsidR="002F477E" w:rsidRPr="00800122" w:rsidRDefault="002F477E">
            <w:pPr>
              <w:spacing w:after="120" w:line="240" w:lineRule="auto"/>
              <w:rPr>
                <w:color w:val="000000"/>
                <w:sz w:val="20"/>
                <w:szCs w:val="20"/>
              </w:rPr>
            </w:pPr>
            <w:r w:rsidRPr="00800122">
              <w:rPr>
                <w:color w:val="000000"/>
                <w:sz w:val="20"/>
                <w:szCs w:val="20"/>
              </w:rPr>
              <w:t>Principles-based requirement for retailers to request concession eligibility information from customers at all times where it is relevant to do so.</w:t>
            </w:r>
          </w:p>
        </w:tc>
        <w:tc>
          <w:tcPr>
            <w:tcW w:w="1720"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3A08F639" w14:textId="2B402BD8" w:rsidR="002F477E" w:rsidRPr="00800122" w:rsidRDefault="000D3B2F">
            <w:pPr>
              <w:spacing w:after="120" w:line="240" w:lineRule="auto"/>
              <w:jc w:val="center"/>
              <w:rPr>
                <w:color w:val="000000"/>
                <w:sz w:val="20"/>
                <w:szCs w:val="20"/>
              </w:rPr>
            </w:pPr>
            <w:r>
              <w:rPr>
                <w:color w:val="000000"/>
                <w:sz w:val="20"/>
                <w:szCs w:val="20"/>
              </w:rPr>
              <w:t>0.</w:t>
            </w:r>
            <w:r w:rsidR="004B5CD7">
              <w:rPr>
                <w:color w:val="000000"/>
                <w:sz w:val="20"/>
                <w:szCs w:val="20"/>
              </w:rPr>
              <w:t>5</w:t>
            </w:r>
          </w:p>
        </w:tc>
      </w:tr>
      <w:tr w:rsidR="002F477E" w14:paraId="3F41BC4A" w14:textId="77777777" w:rsidTr="00743926">
        <w:tc>
          <w:tcPr>
            <w:tcW w:w="1013" w:type="dxa"/>
            <w:tcBorders>
              <w:top w:val="single" w:sz="8" w:space="0" w:color="FFFFFF"/>
            </w:tcBorders>
            <w:shd w:val="clear" w:color="auto" w:fill="FFE8C8" w:themeFill="accent4" w:themeFillTint="33"/>
            <w:tcMar>
              <w:top w:w="85" w:type="dxa"/>
              <w:left w:w="95" w:type="dxa"/>
              <w:bottom w:w="85" w:type="dxa"/>
              <w:right w:w="67" w:type="dxa"/>
            </w:tcMar>
            <w:hideMark/>
          </w:tcPr>
          <w:p w14:paraId="58045F6B" w14:textId="77777777" w:rsidR="002F477E" w:rsidRPr="00800122" w:rsidRDefault="002F477E">
            <w:pPr>
              <w:spacing w:after="120" w:line="240" w:lineRule="auto"/>
              <w:jc w:val="center"/>
              <w:rPr>
                <w:color w:val="000000"/>
                <w:sz w:val="20"/>
                <w:szCs w:val="20"/>
              </w:rPr>
            </w:pPr>
            <w:r w:rsidRPr="00800122">
              <w:rPr>
                <w:color w:val="000000"/>
                <w:sz w:val="20"/>
                <w:szCs w:val="20"/>
              </w:rPr>
              <w:t>E.2</w:t>
            </w:r>
          </w:p>
        </w:tc>
        <w:tc>
          <w:tcPr>
            <w:tcW w:w="6965" w:type="dxa"/>
            <w:tcBorders>
              <w:top w:val="single" w:sz="8" w:space="0" w:color="FFFFFF"/>
            </w:tcBorders>
            <w:shd w:val="clear" w:color="auto" w:fill="FFE8C8" w:themeFill="accent4" w:themeFillTint="33"/>
            <w:tcMar>
              <w:top w:w="85" w:type="dxa"/>
              <w:left w:w="95" w:type="dxa"/>
              <w:bottom w:w="85" w:type="dxa"/>
              <w:right w:w="67" w:type="dxa"/>
            </w:tcMar>
            <w:hideMark/>
          </w:tcPr>
          <w:p w14:paraId="3ACD68C8" w14:textId="77777777" w:rsidR="002F477E" w:rsidRPr="00800122" w:rsidRDefault="002F477E">
            <w:pPr>
              <w:spacing w:after="120" w:line="240" w:lineRule="auto"/>
              <w:rPr>
                <w:color w:val="000000"/>
                <w:sz w:val="20"/>
                <w:szCs w:val="20"/>
              </w:rPr>
            </w:pPr>
            <w:r w:rsidRPr="00800122">
              <w:rPr>
                <w:color w:val="000000"/>
                <w:sz w:val="20"/>
                <w:szCs w:val="20"/>
              </w:rPr>
              <w:t xml:space="preserve">Principles-based </w:t>
            </w:r>
            <w:r w:rsidRPr="00800122">
              <w:rPr>
                <w:i/>
                <w:color w:val="000000"/>
                <w:sz w:val="20"/>
                <w:szCs w:val="20"/>
              </w:rPr>
              <w:t>and</w:t>
            </w:r>
            <w:r w:rsidRPr="00800122">
              <w:rPr>
                <w:color w:val="000000"/>
                <w:sz w:val="20"/>
                <w:szCs w:val="20"/>
              </w:rPr>
              <w:t xml:space="preserve"> prescriptive regulation to improve the application of concessions on bills</w:t>
            </w:r>
          </w:p>
        </w:tc>
        <w:tc>
          <w:tcPr>
            <w:tcW w:w="1720" w:type="dxa"/>
            <w:tcBorders>
              <w:top w:val="single" w:sz="8" w:space="0" w:color="FFFFFF"/>
            </w:tcBorders>
            <w:shd w:val="clear" w:color="auto" w:fill="FFE8C8" w:themeFill="accent4" w:themeFillTint="33"/>
            <w:tcMar>
              <w:top w:w="85" w:type="dxa"/>
              <w:left w:w="95" w:type="dxa"/>
              <w:bottom w:w="85" w:type="dxa"/>
              <w:right w:w="67" w:type="dxa"/>
            </w:tcMar>
            <w:hideMark/>
          </w:tcPr>
          <w:p w14:paraId="26AAFC38" w14:textId="57DEB657" w:rsidR="00ED0645" w:rsidRDefault="00CA2835" w:rsidP="00ED0645">
            <w:pPr>
              <w:spacing w:before="0" w:after="0" w:line="240" w:lineRule="auto"/>
              <w:jc w:val="center"/>
              <w:rPr>
                <w:b/>
                <w:color w:val="000000"/>
                <w:sz w:val="20"/>
                <w:szCs w:val="20"/>
              </w:rPr>
            </w:pPr>
            <w:r>
              <w:rPr>
                <w:b/>
                <w:color w:val="000000"/>
                <w:sz w:val="20"/>
                <w:szCs w:val="20"/>
              </w:rPr>
              <w:t>0</w:t>
            </w:r>
            <w:r w:rsidR="00E40A80">
              <w:rPr>
                <w:b/>
                <w:color w:val="000000"/>
                <w:sz w:val="20"/>
                <w:szCs w:val="20"/>
              </w:rPr>
              <w:t>.</w:t>
            </w:r>
            <w:r>
              <w:rPr>
                <w:b/>
                <w:color w:val="000000"/>
                <w:sz w:val="20"/>
                <w:szCs w:val="20"/>
              </w:rPr>
              <w:t>8</w:t>
            </w:r>
            <w:r w:rsidR="008473C6">
              <w:rPr>
                <w:b/>
                <w:color w:val="000000"/>
                <w:sz w:val="20"/>
                <w:szCs w:val="20"/>
              </w:rPr>
              <w:t>25</w:t>
            </w:r>
            <w:r w:rsidR="002F477E" w:rsidRPr="00800122">
              <w:rPr>
                <w:b/>
                <w:color w:val="000000"/>
                <w:sz w:val="20"/>
                <w:szCs w:val="20"/>
              </w:rPr>
              <w:t xml:space="preserve"> </w:t>
            </w:r>
          </w:p>
          <w:p w14:paraId="7539A37C" w14:textId="459600D6" w:rsidR="002F477E" w:rsidRPr="00800122" w:rsidRDefault="002F477E" w:rsidP="00ED0645">
            <w:pPr>
              <w:spacing w:before="0" w:after="0" w:line="240" w:lineRule="auto"/>
              <w:jc w:val="center"/>
              <w:rPr>
                <w:color w:val="000000"/>
                <w:sz w:val="20"/>
                <w:szCs w:val="20"/>
              </w:rPr>
            </w:pPr>
            <w:r w:rsidRPr="00800122">
              <w:rPr>
                <w:b/>
                <w:color w:val="000000"/>
                <w:sz w:val="20"/>
                <w:szCs w:val="20"/>
              </w:rPr>
              <w:t>(preferred</w:t>
            </w:r>
            <w:r w:rsidR="00CB5A04" w:rsidRPr="00800122">
              <w:rPr>
                <w:b/>
                <w:color w:val="000000"/>
                <w:sz w:val="20"/>
                <w:szCs w:val="20"/>
              </w:rPr>
              <w:t>)</w:t>
            </w:r>
          </w:p>
        </w:tc>
      </w:tr>
    </w:tbl>
    <w:p w14:paraId="478BCCF8" w14:textId="75D7DDA7" w:rsidR="002A2AFF" w:rsidRDefault="002A2AFF" w:rsidP="002A2AFF">
      <w:pPr>
        <w:sectPr w:rsidR="002A2AFF" w:rsidSect="00155B40">
          <w:footerReference w:type="default" r:id="rId56"/>
          <w:pgSz w:w="11906" w:h="16838" w:code="9"/>
          <w:pgMar w:top="1134" w:right="1134" w:bottom="1134" w:left="1134" w:header="709" w:footer="692" w:gutter="0"/>
          <w:cols w:space="708"/>
          <w:docGrid w:linePitch="360"/>
        </w:sectPr>
      </w:pPr>
    </w:p>
    <w:p w14:paraId="1CF39C27" w14:textId="5826ABA2" w:rsidR="002A2AFF" w:rsidRDefault="008207F5" w:rsidP="002B3D58">
      <w:pPr>
        <w:pStyle w:val="Heading1numbered"/>
      </w:pPr>
      <w:r>
        <w:lastRenderedPageBreak/>
        <w:t xml:space="preserve"> </w:t>
      </w:r>
      <w:bookmarkStart w:id="280" w:name="_Toc197959464"/>
      <w:r w:rsidR="004C55E6">
        <w:t>Extending protections for customers on legacy contracts</w:t>
      </w:r>
      <w:bookmarkEnd w:id="280"/>
    </w:p>
    <w:p w14:paraId="6084DA05" w14:textId="5E986F2B" w:rsidR="00D05834" w:rsidRDefault="00D05834" w:rsidP="00D05834">
      <w:pPr>
        <w:pStyle w:val="Pull-outHeading"/>
      </w:pPr>
      <w:r>
        <w:t>Preferred option</w:t>
      </w:r>
    </w:p>
    <w:p w14:paraId="28758CBF" w14:textId="19A4613E" w:rsidR="00D05834" w:rsidRPr="00BB77FB" w:rsidRDefault="000F00B5" w:rsidP="00BB77FB">
      <w:pPr>
        <w:pStyle w:val="Pull-out"/>
      </w:pPr>
      <w:r>
        <w:t xml:space="preserve">All conditional </w:t>
      </w:r>
      <w:r w:rsidR="00A9396A">
        <w:t xml:space="preserve">fees and conditional discounts related to a payment condition (including pay-on-time discounts) would be limited to </w:t>
      </w:r>
      <w:r w:rsidR="00BB77FB">
        <w:t xml:space="preserve">the </w:t>
      </w:r>
      <w:r w:rsidR="00A9396A">
        <w:t>reasonable costs incurred by the retailer</w:t>
      </w:r>
      <w:r w:rsidR="00BB77FB">
        <w:t xml:space="preserve"> resulting from the customer’s failure to satisfy a payment condition</w:t>
      </w:r>
      <w:r w:rsidR="00A9396A">
        <w:t>.</w:t>
      </w:r>
      <w:r w:rsidR="00CB74EF">
        <w:t xml:space="preserve"> </w:t>
      </w:r>
      <w:r w:rsidR="001954FD">
        <w:t>I</w:t>
      </w:r>
      <w:r w:rsidR="001954FD" w:rsidRPr="001954FD">
        <w:t>f the scale of these conditional discounts exceeds this reasonable estimate</w:t>
      </w:r>
      <w:r w:rsidR="001954FD">
        <w:t xml:space="preserve"> (for example high pay-on-time discounts on legacy contracts)</w:t>
      </w:r>
      <w:r w:rsidR="001954FD" w:rsidRPr="001954FD">
        <w:t>, retailers would be required to apply these discounts unconditionally.</w:t>
      </w:r>
      <w:r w:rsidR="001954FD">
        <w:t xml:space="preserve"> </w:t>
      </w:r>
      <w:r w:rsidR="00CB74EF">
        <w:t xml:space="preserve">This protection would apply to all contracts, including those entered into before </w:t>
      </w:r>
      <w:r w:rsidR="007904C0">
        <w:t>1 July 2020.</w:t>
      </w:r>
    </w:p>
    <w:p w14:paraId="3D58584E" w14:textId="64C1C632" w:rsidR="007904C0" w:rsidRPr="00BB77FB" w:rsidRDefault="00264FE7" w:rsidP="00BB77FB">
      <w:pPr>
        <w:pStyle w:val="Pull-out"/>
      </w:pPr>
      <w:r>
        <w:t xml:space="preserve">A retailer would be required to provide </w:t>
      </w:r>
      <w:r w:rsidR="006C1DB2">
        <w:t>any discount, rebate or credit in</w:t>
      </w:r>
      <w:r w:rsidR="00C949F6">
        <w:t xml:space="preserve"> </w:t>
      </w:r>
      <w:r w:rsidR="007D7FB2">
        <w:t>a</w:t>
      </w:r>
      <w:r w:rsidR="00C27C95">
        <w:t xml:space="preserve"> </w:t>
      </w:r>
      <w:r w:rsidR="00C949F6">
        <w:t xml:space="preserve">contract entered into before 1 July 2020 </w:t>
      </w:r>
      <w:r w:rsidR="00C04B86">
        <w:t xml:space="preserve">for </w:t>
      </w:r>
      <w:r w:rsidR="007D7FB2">
        <w:t>the entire duration of the contract, if</w:t>
      </w:r>
      <w:r w:rsidR="00183CC9">
        <w:t xml:space="preserve"> </w:t>
      </w:r>
      <w:r w:rsidR="002D0585">
        <w:t>the benefit has not already expired.</w:t>
      </w:r>
    </w:p>
    <w:p w14:paraId="48BA5624" w14:textId="77777777" w:rsidR="002A2AFF" w:rsidRDefault="002A2AFF" w:rsidP="002A2AFF">
      <w:pPr>
        <w:pStyle w:val="Heading2numbered"/>
      </w:pPr>
      <w:bookmarkStart w:id="281" w:name="_Toc197959465"/>
      <w:r>
        <w:t>Scope of reform</w:t>
      </w:r>
      <w:bookmarkEnd w:id="281"/>
    </w:p>
    <w:p w14:paraId="1A747D68" w14:textId="77777777" w:rsidR="00B71DC8" w:rsidRDefault="00B71DC8" w:rsidP="00FC2E32">
      <w:pPr>
        <w:pStyle w:val="Heading3numbered"/>
      </w:pPr>
      <w:r>
        <w:t>Purpose of this reform</w:t>
      </w:r>
    </w:p>
    <w:p w14:paraId="6A6624A5" w14:textId="2A9FD3B7" w:rsidR="00CC3996" w:rsidRDefault="00CC3996" w:rsidP="002C0C56">
      <w:r>
        <w:t>This reform aims to provide the same degree of protection to customers who remain on contracts entered into before 1 July 2020 (referred to as ‘legacy contracts’).</w:t>
      </w:r>
    </w:p>
    <w:p w14:paraId="51444570" w14:textId="6FDEF1CE" w:rsidR="00A254EC" w:rsidRDefault="00CC3996" w:rsidP="002C0C56">
      <w:r>
        <w:t>In 2020, we introduced a suite of reforms to ensure that contract periods, practices (including discounting),</w:t>
      </w:r>
      <w:r w:rsidRPr="005944E7">
        <w:t xml:space="preserve"> and variations </w:t>
      </w:r>
      <w:r>
        <w:t>were</w:t>
      </w:r>
      <w:r w:rsidRPr="005944E7">
        <w:t xml:space="preserve"> clear and fair</w:t>
      </w:r>
      <w:r>
        <w:t>. This included requiring that contract monetary benefits lasted for the duration of a contract and capping the size of pay-on-time discounts to a level set by the commission annually.</w:t>
      </w:r>
      <w:r>
        <w:rPr>
          <w:rStyle w:val="FootnoteReference"/>
        </w:rPr>
        <w:footnoteReference w:id="227"/>
      </w:r>
      <w:r w:rsidR="00A254EC">
        <w:t xml:space="preserve"> </w:t>
      </w:r>
    </w:p>
    <w:p w14:paraId="18F75D30" w14:textId="71CE07F8" w:rsidR="00332410" w:rsidRDefault="008F7589" w:rsidP="002C0C56">
      <w:r>
        <w:t>While these</w:t>
      </w:r>
      <w:r w:rsidR="0089085B">
        <w:t xml:space="preserve"> reforms have been effective in addressing th</w:t>
      </w:r>
      <w:r w:rsidR="00A04FC1">
        <w:t>e</w:t>
      </w:r>
      <w:r w:rsidR="0089085B">
        <w:t xml:space="preserve"> risk of </w:t>
      </w:r>
      <w:r w:rsidR="00A04FC1">
        <w:t>customers facing price shock or high</w:t>
      </w:r>
      <w:r w:rsidR="00AA0648">
        <w:t>-</w:t>
      </w:r>
      <w:r w:rsidR="00A04FC1">
        <w:t>cost penalties</w:t>
      </w:r>
      <w:r w:rsidR="00A254EC">
        <w:t xml:space="preserve"> (</w:t>
      </w:r>
      <w:r w:rsidR="00A254EC" w:rsidRPr="00A254EC">
        <w:t>if monetary benefits suddenly expire or if they fail to meet discount conditions</w:t>
      </w:r>
      <w:r w:rsidR="00A254EC">
        <w:t>)</w:t>
      </w:r>
      <w:r w:rsidR="0089085B">
        <w:t>,</w:t>
      </w:r>
      <w:r w:rsidR="00A04FC1">
        <w:t xml:space="preserve"> t</w:t>
      </w:r>
      <w:r w:rsidR="00A04FC1" w:rsidRPr="00666BB9">
        <w:t xml:space="preserve">hese protections currently only apply to contracts entered </w:t>
      </w:r>
      <w:r w:rsidR="00A04FC1">
        <w:t>into after</w:t>
      </w:r>
      <w:r w:rsidR="0089085B">
        <w:t xml:space="preserve"> the reforms </w:t>
      </w:r>
      <w:r w:rsidR="00A04FC1">
        <w:t>commenced</w:t>
      </w:r>
      <w:r w:rsidR="0089085B">
        <w:t xml:space="preserve"> on 1 July 2020. </w:t>
      </w:r>
    </w:p>
    <w:p w14:paraId="07C76553" w14:textId="0393596E" w:rsidR="004F0B53" w:rsidRDefault="00C23DF4" w:rsidP="002C0C56">
      <w:r>
        <w:t>In 2023, the ACCC found that a significant number of consumers remain on legacy contracts which are correlated with high conditional discounts.</w:t>
      </w:r>
      <w:r>
        <w:rPr>
          <w:rStyle w:val="FootnoteReference"/>
        </w:rPr>
        <w:footnoteReference w:id="228"/>
      </w:r>
      <w:r>
        <w:t xml:space="preserve"> </w:t>
      </w:r>
      <w:r w:rsidR="00A04FC1">
        <w:t xml:space="preserve">Customers on legacy contracts therefore remain </w:t>
      </w:r>
      <w:r w:rsidR="00A04FC1">
        <w:lastRenderedPageBreak/>
        <w:t>expos</w:t>
      </w:r>
      <w:r w:rsidR="00432B5E">
        <w:t xml:space="preserve">ed to </w:t>
      </w:r>
      <w:r w:rsidR="00CA0C0F">
        <w:t xml:space="preserve">an </w:t>
      </w:r>
      <w:r w:rsidR="00432B5E">
        <w:t xml:space="preserve">increased risk </w:t>
      </w:r>
      <w:r w:rsidR="00642F4A">
        <w:t xml:space="preserve">of </w:t>
      </w:r>
      <w:r w:rsidR="002B1705">
        <w:t xml:space="preserve">price shock or </w:t>
      </w:r>
      <w:r w:rsidR="00642F4A">
        <w:t>cost penalties if they fail to meet discount conditions or if contract benefits expire</w:t>
      </w:r>
      <w:r w:rsidR="00F357B0" w:rsidRPr="00D27682">
        <w:t>.</w:t>
      </w:r>
    </w:p>
    <w:p w14:paraId="642AAB8E" w14:textId="4150B8AD" w:rsidR="00892DC3" w:rsidRDefault="00F622F8" w:rsidP="002C0C56">
      <w:r w:rsidRPr="00F353EC">
        <w:t xml:space="preserve">We are </w:t>
      </w:r>
      <w:r w:rsidR="00204928">
        <w:t xml:space="preserve">considering </w:t>
      </w:r>
      <w:r w:rsidRPr="00F353EC">
        <w:t>expand</w:t>
      </w:r>
      <w:r w:rsidR="00100BD6">
        <w:t>ing</w:t>
      </w:r>
      <w:r w:rsidRPr="00F353EC">
        <w:t xml:space="preserve"> </w:t>
      </w:r>
      <w:r w:rsidR="0004014E">
        <w:t xml:space="preserve">the </w:t>
      </w:r>
      <w:r w:rsidR="00204928">
        <w:t>same level of</w:t>
      </w:r>
      <w:r w:rsidR="0004014E">
        <w:t xml:space="preserve"> protections</w:t>
      </w:r>
      <w:r w:rsidR="00403D3D">
        <w:t xml:space="preserve"> </w:t>
      </w:r>
      <w:r w:rsidR="00100BD6">
        <w:t xml:space="preserve">that </w:t>
      </w:r>
      <w:r w:rsidR="00403D3D">
        <w:t>apply to new contracts (entered into after 1 July 2020) to all contracts, including legacy contracts</w:t>
      </w:r>
      <w:r w:rsidRPr="00F353EC">
        <w:t xml:space="preserve"> entered into before 1 July 2020</w:t>
      </w:r>
      <w:r w:rsidR="00403D3D">
        <w:t>.</w:t>
      </w:r>
      <w:r w:rsidRPr="00F353EC">
        <w:t xml:space="preserve"> </w:t>
      </w:r>
    </w:p>
    <w:p w14:paraId="0C37FE63" w14:textId="3EB4DA1F" w:rsidR="005A1F6E" w:rsidRPr="002C0C56" w:rsidRDefault="008104E2" w:rsidP="00FC2E32">
      <w:pPr>
        <w:pStyle w:val="Heading3numbered"/>
      </w:pPr>
      <w:r>
        <w:t>What we heard from stakeholders</w:t>
      </w:r>
    </w:p>
    <w:p w14:paraId="0EC32091" w14:textId="53895A8C" w:rsidR="006A4690" w:rsidRPr="006A4690" w:rsidRDefault="00827DB2" w:rsidP="006A4690">
      <w:r>
        <w:t>C</w:t>
      </w:r>
      <w:r w:rsidR="00D00545">
        <w:t xml:space="preserve">onsumer groups and public entities were generally supportive of </w:t>
      </w:r>
      <w:r w:rsidR="00582BB8">
        <w:t>extending protections</w:t>
      </w:r>
      <w:r w:rsidR="00D00545">
        <w:t xml:space="preserve"> to </w:t>
      </w:r>
      <w:r w:rsidR="00582BB8">
        <w:t>customers on</w:t>
      </w:r>
      <w:r w:rsidR="00D00545">
        <w:t xml:space="preserve"> legacy contracts while retailers </w:t>
      </w:r>
      <w:r w:rsidR="00842C0A">
        <w:t xml:space="preserve">generally </w:t>
      </w:r>
      <w:r w:rsidR="00D00545">
        <w:t xml:space="preserve">did not </w:t>
      </w:r>
      <w:r w:rsidR="00AF7452">
        <w:t>support</w:t>
      </w:r>
      <w:r w:rsidR="00D00545">
        <w:t xml:space="preserve"> </w:t>
      </w:r>
      <w:r w:rsidR="00D23E11">
        <w:t>change</w:t>
      </w:r>
      <w:r w:rsidR="00AE429E">
        <w:t>s</w:t>
      </w:r>
      <w:r w:rsidR="004F55D1">
        <w:t>.</w:t>
      </w:r>
    </w:p>
    <w:p w14:paraId="3B359486" w14:textId="1605FC47" w:rsidR="00F77F7E" w:rsidRDefault="008651F5" w:rsidP="006A4690">
      <w:r>
        <w:t>At</w:t>
      </w:r>
      <w:r w:rsidR="00F16922">
        <w:t xml:space="preserve"> workshops, c</w:t>
      </w:r>
      <w:r w:rsidR="00D9469E">
        <w:t>onsumer</w:t>
      </w:r>
      <w:r w:rsidR="00B57A25">
        <w:t xml:space="preserve"> groups and public entities </w:t>
      </w:r>
      <w:r w:rsidR="00A369C8">
        <w:t xml:space="preserve">highlighted that high prices were the major driver of </w:t>
      </w:r>
      <w:r w:rsidR="008F13D2">
        <w:t xml:space="preserve">consumer harm </w:t>
      </w:r>
      <w:r w:rsidR="00A369C8">
        <w:t>around legacy contracts.</w:t>
      </w:r>
      <w:r w:rsidR="00F16922">
        <w:rPr>
          <w:rStyle w:val="FootnoteReference"/>
        </w:rPr>
        <w:footnoteReference w:id="229"/>
      </w:r>
      <w:r w:rsidR="00A369C8">
        <w:t xml:space="preserve"> Consumer</w:t>
      </w:r>
      <w:r w:rsidR="00D9469E">
        <w:t xml:space="preserve"> </w:t>
      </w:r>
      <w:r w:rsidR="00E601F7">
        <w:t>groups</w:t>
      </w:r>
      <w:r w:rsidR="00666DB2">
        <w:t xml:space="preserve"> highlighted </w:t>
      </w:r>
      <w:r w:rsidR="00DD0578">
        <w:t>that the</w:t>
      </w:r>
      <w:r w:rsidR="003310F7">
        <w:t xml:space="preserve"> complexity of navigating the </w:t>
      </w:r>
      <w:r w:rsidR="00D964C6">
        <w:t xml:space="preserve">energy </w:t>
      </w:r>
      <w:r w:rsidR="003310F7">
        <w:t xml:space="preserve">market </w:t>
      </w:r>
      <w:r w:rsidR="001142E1">
        <w:t xml:space="preserve">is </w:t>
      </w:r>
      <w:r w:rsidR="00D878FB">
        <w:t>making it difficult for consumers to engage with the market.</w:t>
      </w:r>
      <w:r w:rsidR="00D15FD3">
        <w:t xml:space="preserve"> They </w:t>
      </w:r>
      <w:r w:rsidR="009C7B7D">
        <w:t>stressed that the</w:t>
      </w:r>
      <w:r w:rsidR="0046763E">
        <w:t xml:space="preserve">re could be a number of barriers that prevented customers </w:t>
      </w:r>
      <w:r w:rsidR="00A30306">
        <w:t xml:space="preserve">on legacy contracts </w:t>
      </w:r>
      <w:r w:rsidR="0046763E">
        <w:t>from actively engaging in the market</w:t>
      </w:r>
      <w:r w:rsidR="00A30306">
        <w:t>. This includes</w:t>
      </w:r>
      <w:r w:rsidR="00A01589">
        <w:t xml:space="preserve"> </w:t>
      </w:r>
      <w:r w:rsidR="008B0114">
        <w:t>being</w:t>
      </w:r>
      <w:r w:rsidR="00934D3C">
        <w:t xml:space="preserve"> culturally and linguistically diverse</w:t>
      </w:r>
      <w:r w:rsidR="00A01589">
        <w:t>,</w:t>
      </w:r>
      <w:r w:rsidR="00934D3C">
        <w:t xml:space="preserve"> </w:t>
      </w:r>
      <w:r w:rsidR="003C30B0">
        <w:t>experienci</w:t>
      </w:r>
      <w:r w:rsidR="00A01589">
        <w:t>ng family violence</w:t>
      </w:r>
      <w:r w:rsidR="00413C35">
        <w:t>,</w:t>
      </w:r>
      <w:r w:rsidR="00A01589">
        <w:t xml:space="preserve"> </w:t>
      </w:r>
      <w:r w:rsidR="00894109">
        <w:t xml:space="preserve">or misunderstanding </w:t>
      </w:r>
      <w:r w:rsidR="00892ED8">
        <w:t>conditional discounts.</w:t>
      </w:r>
      <w:r w:rsidR="00843DAD">
        <w:rPr>
          <w:rStyle w:val="FootnoteReference"/>
        </w:rPr>
        <w:footnoteReference w:id="230"/>
      </w:r>
      <w:r w:rsidR="00F73397">
        <w:t xml:space="preserve"> </w:t>
      </w:r>
    </w:p>
    <w:p w14:paraId="6A79AAE7" w14:textId="1EE36F83" w:rsidR="00D23E11" w:rsidRPr="006A4690" w:rsidRDefault="001103F0" w:rsidP="006A4690">
      <w:r>
        <w:t xml:space="preserve">Consumer groups </w:t>
      </w:r>
      <w:r w:rsidR="00F77F7E">
        <w:t xml:space="preserve">supported </w:t>
      </w:r>
      <w:r w:rsidR="002B220B">
        <w:t>additional protections for</w:t>
      </w:r>
      <w:r w:rsidR="003B1D38">
        <w:t xml:space="preserve"> customers who were unable to or could not engage in the energy market</w:t>
      </w:r>
      <w:r w:rsidR="002B220B">
        <w:t>.</w:t>
      </w:r>
      <w:r w:rsidR="003B1D38">
        <w:t xml:space="preserve"> </w:t>
      </w:r>
      <w:r w:rsidR="001B0F3A">
        <w:t>They also</w:t>
      </w:r>
      <w:r w:rsidR="00631077">
        <w:t xml:space="preserve"> found </w:t>
      </w:r>
      <w:r w:rsidR="001B0F3A">
        <w:t>that c</w:t>
      </w:r>
      <w:r w:rsidR="00631077">
        <w:t xml:space="preserve">onsumers </w:t>
      </w:r>
      <w:r w:rsidR="001B0F3A">
        <w:t>often mis</w:t>
      </w:r>
      <w:r w:rsidR="00631077">
        <w:t>underst</w:t>
      </w:r>
      <w:r w:rsidR="00761F89">
        <w:t>oo</w:t>
      </w:r>
      <w:r w:rsidR="00631077">
        <w:t xml:space="preserve">d the underlying high prices of </w:t>
      </w:r>
      <w:r w:rsidR="00761F89">
        <w:t xml:space="preserve">contracts with </w:t>
      </w:r>
      <w:r w:rsidR="00367730">
        <w:t>conditional discounts</w:t>
      </w:r>
      <w:r w:rsidR="00761F89">
        <w:t>,</w:t>
      </w:r>
      <w:r w:rsidR="00367730">
        <w:t xml:space="preserve"> </w:t>
      </w:r>
      <w:r w:rsidR="005C1D1A">
        <w:t>which essentially functioned as late fees.</w:t>
      </w:r>
    </w:p>
    <w:p w14:paraId="024C3174" w14:textId="3DAC3D71" w:rsidR="005C1D1A" w:rsidRPr="006A4690" w:rsidRDefault="004C332C" w:rsidP="006A4690">
      <w:r>
        <w:t xml:space="preserve">Retailers </w:t>
      </w:r>
      <w:r w:rsidR="00A8410F">
        <w:t>were generally opposed to making changes to legacy contracts</w:t>
      </w:r>
      <w:r w:rsidR="00FE1AD9">
        <w:t xml:space="preserve">, arguing </w:t>
      </w:r>
      <w:r w:rsidR="00D30775">
        <w:t xml:space="preserve">that changes would result in </w:t>
      </w:r>
      <w:r w:rsidR="00246E01">
        <w:t>higher than necessary implementation costs to retailers.</w:t>
      </w:r>
      <w:r w:rsidR="00DF3BAC">
        <w:rPr>
          <w:rStyle w:val="FootnoteReference"/>
        </w:rPr>
        <w:footnoteReference w:id="231"/>
      </w:r>
      <w:r w:rsidR="00246E01">
        <w:t xml:space="preserve"> They</w:t>
      </w:r>
      <w:r w:rsidR="00DF3BAC">
        <w:t xml:space="preserve"> also emphasised</w:t>
      </w:r>
      <w:r w:rsidR="00FE1AD9">
        <w:t xml:space="preserve"> that increased </w:t>
      </w:r>
      <w:r w:rsidR="006E1678">
        <w:t>customer</w:t>
      </w:r>
      <w:r w:rsidR="00FE1AD9">
        <w:t xml:space="preserve"> engagement would drive better outcomes</w:t>
      </w:r>
      <w:r w:rsidR="00471514">
        <w:t xml:space="preserve"> for the customer</w:t>
      </w:r>
      <w:r w:rsidR="00B74620">
        <w:t xml:space="preserve"> than additional regulation</w:t>
      </w:r>
      <w:r w:rsidR="00471514">
        <w:t>.</w:t>
      </w:r>
      <w:r w:rsidR="002B31E3">
        <w:rPr>
          <w:rStyle w:val="FootnoteReference"/>
        </w:rPr>
        <w:footnoteReference w:id="232"/>
      </w:r>
      <w:r w:rsidR="00D47375">
        <w:t xml:space="preserve"> </w:t>
      </w:r>
      <w:r w:rsidR="00BB75EC">
        <w:t xml:space="preserve">They argued that many customers on </w:t>
      </w:r>
      <w:r w:rsidR="009312AD">
        <w:t>legacy</w:t>
      </w:r>
      <w:r w:rsidR="00BB75EC">
        <w:t xml:space="preserve"> contracts </w:t>
      </w:r>
      <w:r w:rsidR="005E4879">
        <w:t>benefitted from conditional pay-on-time discounts</w:t>
      </w:r>
      <w:r w:rsidR="00825293">
        <w:t xml:space="preserve"> and could be disadvantaged if we were to introduce these caps to all contracts.</w:t>
      </w:r>
      <w:r w:rsidR="0098474A">
        <w:t xml:space="preserve"> Some </w:t>
      </w:r>
      <w:r w:rsidR="0051258A">
        <w:t>suggested</w:t>
      </w:r>
      <w:r w:rsidR="0098474A">
        <w:t xml:space="preserve"> </w:t>
      </w:r>
      <w:r w:rsidR="00D80449">
        <w:t>the commission should take</w:t>
      </w:r>
      <w:r w:rsidR="0098474A">
        <w:t xml:space="preserve"> more </w:t>
      </w:r>
      <w:r w:rsidR="00D80449">
        <w:t xml:space="preserve">targeted </w:t>
      </w:r>
      <w:r w:rsidR="0098474A">
        <w:t>approach to pay-on-time discounts</w:t>
      </w:r>
      <w:r w:rsidR="00CE6ABB">
        <w:t>,</w:t>
      </w:r>
      <w:r w:rsidR="0098474A">
        <w:t xml:space="preserve"> </w:t>
      </w:r>
      <w:r w:rsidR="008D3910">
        <w:t xml:space="preserve">only extending </w:t>
      </w:r>
      <w:r w:rsidR="00963C64">
        <w:t xml:space="preserve">caps on pay-on-time discounts </w:t>
      </w:r>
      <w:r w:rsidR="00D80449">
        <w:t>to legacy contracts</w:t>
      </w:r>
      <w:r w:rsidR="00963C64">
        <w:t xml:space="preserve"> once a customer has failed to meet </w:t>
      </w:r>
      <w:r w:rsidR="00602ED0">
        <w:t>conditions for their discount.</w:t>
      </w:r>
      <w:r w:rsidR="00104029">
        <w:rPr>
          <w:rStyle w:val="FootnoteReference"/>
        </w:rPr>
        <w:footnoteReference w:id="233"/>
      </w:r>
    </w:p>
    <w:p w14:paraId="045D0A46" w14:textId="6D989901" w:rsidR="008104E2" w:rsidRPr="002C0C56" w:rsidRDefault="00F85195">
      <w:pPr>
        <w:pStyle w:val="Heading3numbered"/>
      </w:pPr>
      <w:r>
        <w:t>Approach to options development</w:t>
      </w:r>
      <w:r w:rsidR="00FB5521">
        <w:t xml:space="preserve"> </w:t>
      </w:r>
    </w:p>
    <w:p w14:paraId="34A89175" w14:textId="1E5324D2" w:rsidR="007D7FE7" w:rsidRDefault="009C6835" w:rsidP="009312AD">
      <w:r>
        <w:t>As outlined</w:t>
      </w:r>
      <w:r w:rsidR="00E124E1">
        <w:t xml:space="preserve"> above</w:t>
      </w:r>
      <w:r>
        <w:t xml:space="preserve">, the aim of this reform is to </w:t>
      </w:r>
      <w:r w:rsidR="008D49A8">
        <w:t xml:space="preserve">reduce the risk that customers on legacy contracts are exposed to </w:t>
      </w:r>
      <w:r w:rsidR="007F2EF8">
        <w:t xml:space="preserve">the </w:t>
      </w:r>
      <w:r w:rsidR="009601E1">
        <w:t xml:space="preserve">price shock of large financial penalties </w:t>
      </w:r>
      <w:r w:rsidR="00895407">
        <w:t>if contracts</w:t>
      </w:r>
      <w:r w:rsidR="00D54907">
        <w:t>’</w:t>
      </w:r>
      <w:r w:rsidR="00895407">
        <w:t xml:space="preserve"> benefits expire or</w:t>
      </w:r>
      <w:r w:rsidR="009601E1">
        <w:t xml:space="preserve"> </w:t>
      </w:r>
      <w:r w:rsidR="004F0351">
        <w:t xml:space="preserve">discount </w:t>
      </w:r>
      <w:r w:rsidR="004F0351">
        <w:lastRenderedPageBreak/>
        <w:t xml:space="preserve">conditions are not met. </w:t>
      </w:r>
      <w:r w:rsidR="00D12DF8">
        <w:t>T</w:t>
      </w:r>
      <w:r w:rsidR="00147E54">
        <w:t xml:space="preserve">his risk </w:t>
      </w:r>
      <w:r w:rsidR="000C50E2">
        <w:t>is</w:t>
      </w:r>
      <w:r w:rsidR="00147E54">
        <w:t xml:space="preserve"> reduced for customers on </w:t>
      </w:r>
      <w:r w:rsidR="000C50E2">
        <w:t xml:space="preserve">newer contracts </w:t>
      </w:r>
      <w:r w:rsidR="004A39FB">
        <w:t>by requiring contract benefits to last the duration of the contract and capping pay-on-time discounts</w:t>
      </w:r>
      <w:r w:rsidR="00D12DF8">
        <w:t xml:space="preserve">. Given the </w:t>
      </w:r>
      <w:r w:rsidR="00894079">
        <w:t>demonstrated</w:t>
      </w:r>
      <w:r w:rsidR="00D12DF8">
        <w:t xml:space="preserve"> effectiveness of these interventions and in the </w:t>
      </w:r>
      <w:r w:rsidR="00A93F02">
        <w:t>interest of consistency,</w:t>
      </w:r>
      <w:r w:rsidR="007553FA">
        <w:t xml:space="preserve"> </w:t>
      </w:r>
      <w:r w:rsidR="00E03D3B">
        <w:t xml:space="preserve">we are considering </w:t>
      </w:r>
      <w:r w:rsidR="001C5591">
        <w:t xml:space="preserve">similar options </w:t>
      </w:r>
      <w:r w:rsidR="0080570A">
        <w:t>for legacy contracts.</w:t>
      </w:r>
    </w:p>
    <w:p w14:paraId="2D421490" w14:textId="08560667" w:rsidR="004D1F89" w:rsidRDefault="003F6241" w:rsidP="00FC2E32">
      <w:pPr>
        <w:pStyle w:val="Heading4"/>
      </w:pPr>
      <w:r>
        <w:t>Capping pay-on-time discounts</w:t>
      </w:r>
    </w:p>
    <w:p w14:paraId="71EE3CDC" w14:textId="0814A2F1" w:rsidR="005B6E79" w:rsidRDefault="005B6E79" w:rsidP="005B6E79">
      <w:r>
        <w:t xml:space="preserve">When we introduced the cap on pay-on-time discounts in 2019, we </w:t>
      </w:r>
      <w:r w:rsidR="007A554A">
        <w:t>considered whether to apply caps on</w:t>
      </w:r>
      <w:r>
        <w:t xml:space="preserve"> pay-on-time </w:t>
      </w:r>
      <w:r w:rsidR="00690B67">
        <w:t xml:space="preserve">discounts </w:t>
      </w:r>
      <w:r>
        <w:t>to all contracts</w:t>
      </w:r>
      <w:r w:rsidR="004041A3">
        <w:t xml:space="preserve">, including those </w:t>
      </w:r>
      <w:r w:rsidR="000463A5">
        <w:t xml:space="preserve">entered into prior to the reforms. We identified that this </w:t>
      </w:r>
      <w:r w:rsidR="009A38ED">
        <w:t>could</w:t>
      </w:r>
      <w:r>
        <w:t xml:space="preserve"> result in retailers reducing the size of pay-on-time discounts that legacy contract customers were currently receiving</w:t>
      </w:r>
      <w:r w:rsidR="000463A5">
        <w:t xml:space="preserve"> without reducing the higher underlying prices these customers pay,</w:t>
      </w:r>
      <w:r>
        <w:t xml:space="preserve"> resulting in those customers being worse off.</w:t>
      </w:r>
      <w:r>
        <w:rPr>
          <w:rStyle w:val="FootnoteReference"/>
        </w:rPr>
        <w:footnoteReference w:id="234"/>
      </w:r>
      <w:r>
        <w:t xml:space="preserve"> </w:t>
      </w:r>
    </w:p>
    <w:p w14:paraId="3625DF5E" w14:textId="28E84A9E" w:rsidR="00F91DA6" w:rsidRDefault="00DC437C" w:rsidP="00F91DA6">
      <w:r>
        <w:t xml:space="preserve">We considered this risk </w:t>
      </w:r>
      <w:r w:rsidR="0072574B">
        <w:t xml:space="preserve">in development of options for this reform. </w:t>
      </w:r>
      <w:r w:rsidR="003A63DA">
        <w:t xml:space="preserve">We identified </w:t>
      </w:r>
      <w:r w:rsidR="00946A79">
        <w:t>th</w:t>
      </w:r>
      <w:r w:rsidR="00D4561D">
        <w:t>ree approaches to mi</w:t>
      </w:r>
      <w:r w:rsidR="00A5523A">
        <w:t>tigate this risk</w:t>
      </w:r>
      <w:r w:rsidR="00F91DA6">
        <w:t>:</w:t>
      </w:r>
    </w:p>
    <w:p w14:paraId="1603F117" w14:textId="0948231B" w:rsidR="00CB0879" w:rsidRDefault="006C6210" w:rsidP="00D409D4">
      <w:pPr>
        <w:pStyle w:val="ListParagraph"/>
        <w:numPr>
          <w:ilvl w:val="0"/>
          <w:numId w:val="13"/>
        </w:numPr>
        <w:ind w:left="426"/>
      </w:pPr>
      <w:r>
        <w:t>R</w:t>
      </w:r>
      <w:r w:rsidR="005A2BEE">
        <w:t xml:space="preserve">equiring that </w:t>
      </w:r>
      <w:r w:rsidR="00F91DA6">
        <w:t>retailers mov</w:t>
      </w:r>
      <w:r w:rsidR="005A2BEE">
        <w:t>e</w:t>
      </w:r>
      <w:r w:rsidR="00F91DA6">
        <w:t xml:space="preserve"> customers </w:t>
      </w:r>
      <w:r w:rsidR="005A2BEE">
        <w:t xml:space="preserve">on legacy contracts </w:t>
      </w:r>
      <w:r w:rsidR="00F91DA6">
        <w:t>onto new contracts that have to comply with the capped conditional discount rules</w:t>
      </w:r>
      <w:r w:rsidR="00A65F4C">
        <w:t>.</w:t>
      </w:r>
    </w:p>
    <w:p w14:paraId="4EB6D17B" w14:textId="1ABBB61E" w:rsidR="00CB0879" w:rsidRDefault="00A65F4C" w:rsidP="00D409D4">
      <w:pPr>
        <w:pStyle w:val="ListParagraph"/>
        <w:numPr>
          <w:ilvl w:val="0"/>
          <w:numId w:val="13"/>
        </w:numPr>
        <w:ind w:left="426"/>
      </w:pPr>
      <w:r>
        <w:t>A</w:t>
      </w:r>
      <w:r w:rsidR="005A2BEE">
        <w:t xml:space="preserve">llowing </w:t>
      </w:r>
      <w:r w:rsidR="00294E04">
        <w:t xml:space="preserve">retailers </w:t>
      </w:r>
      <w:r w:rsidR="005A2BEE">
        <w:t>to</w:t>
      </w:r>
      <w:r w:rsidR="00294E04">
        <w:t xml:space="preserve"> </w:t>
      </w:r>
      <w:r w:rsidR="00F55F2B">
        <w:t>keep customers on existing plans but</w:t>
      </w:r>
      <w:r>
        <w:t xml:space="preserve"> </w:t>
      </w:r>
      <w:r w:rsidR="00290EE6">
        <w:t>capping pay-on-time discounts for legacy contracts</w:t>
      </w:r>
      <w:r>
        <w:t xml:space="preserve"> a</w:t>
      </w:r>
      <w:r w:rsidR="00CB0879">
        <w:t>nd</w:t>
      </w:r>
      <w:r>
        <w:t xml:space="preserve"> </w:t>
      </w:r>
      <w:r w:rsidR="00F557E7">
        <w:t xml:space="preserve">requiring that </w:t>
      </w:r>
      <w:r w:rsidR="00F75C41">
        <w:t xml:space="preserve">retailers ensure </w:t>
      </w:r>
      <w:r w:rsidR="00F557E7">
        <w:t>customers are no</w:t>
      </w:r>
      <w:r>
        <w:t>t</w:t>
      </w:r>
      <w:r w:rsidR="00F557E7">
        <w:t xml:space="preserve"> worse of</w:t>
      </w:r>
      <w:r>
        <w:t>f</w:t>
      </w:r>
      <w:r w:rsidR="00E11216">
        <w:t>.</w:t>
      </w:r>
      <w:r w:rsidR="00B2314E">
        <w:t xml:space="preserve"> </w:t>
      </w:r>
      <w:r w:rsidR="00041F75">
        <w:t xml:space="preserve">This </w:t>
      </w:r>
      <w:r w:rsidR="00692ADE">
        <w:t xml:space="preserve">would </w:t>
      </w:r>
      <w:r w:rsidR="00862CE5">
        <w:t xml:space="preserve">require retailers to alter contract conditions (to reduce the discount to the cap) </w:t>
      </w:r>
      <w:r w:rsidR="00BA2F5F">
        <w:t>and</w:t>
      </w:r>
      <w:r w:rsidR="00041F75">
        <w:t xml:space="preserve"> </w:t>
      </w:r>
      <w:r w:rsidR="00692ADE">
        <w:t xml:space="preserve">would </w:t>
      </w:r>
      <w:r w:rsidR="002441AF">
        <w:t xml:space="preserve">likely </w:t>
      </w:r>
      <w:r w:rsidR="00BA2F5F">
        <w:t xml:space="preserve">also </w:t>
      </w:r>
      <w:r w:rsidR="002441AF">
        <w:t xml:space="preserve">require retailers to reduce tariffs to </w:t>
      </w:r>
      <w:r w:rsidR="00C231A8">
        <w:t xml:space="preserve">account for </w:t>
      </w:r>
      <w:r w:rsidR="002D1F29">
        <w:t xml:space="preserve">the reduced size of </w:t>
      </w:r>
      <w:r w:rsidR="00E11216">
        <w:t xml:space="preserve">the </w:t>
      </w:r>
      <w:r w:rsidR="002D1F29">
        <w:t xml:space="preserve">discount </w:t>
      </w:r>
      <w:r w:rsidR="00F75C41">
        <w:t>available to the customer.</w:t>
      </w:r>
    </w:p>
    <w:p w14:paraId="007B6B87" w14:textId="7E0BB070" w:rsidR="009312AD" w:rsidRPr="009312AD" w:rsidRDefault="00887309" w:rsidP="00D409D4">
      <w:pPr>
        <w:pStyle w:val="ListParagraph"/>
        <w:numPr>
          <w:ilvl w:val="0"/>
          <w:numId w:val="13"/>
        </w:numPr>
        <w:ind w:left="426"/>
      </w:pPr>
      <w:r>
        <w:t xml:space="preserve">Allowing </w:t>
      </w:r>
      <w:r w:rsidR="00C56658">
        <w:t xml:space="preserve">retailers </w:t>
      </w:r>
      <w:r>
        <w:t xml:space="preserve">to </w:t>
      </w:r>
      <w:r w:rsidR="00432D24">
        <w:t xml:space="preserve">retain high </w:t>
      </w:r>
      <w:r>
        <w:t>percentage</w:t>
      </w:r>
      <w:r w:rsidR="00432D24">
        <w:t xml:space="preserve"> </w:t>
      </w:r>
      <w:r w:rsidR="0090702C">
        <w:t>discounts on legacy contracts</w:t>
      </w:r>
      <w:r w:rsidR="00B63392">
        <w:t xml:space="preserve"> </w:t>
      </w:r>
      <w:r w:rsidR="0090702C">
        <w:t xml:space="preserve">but </w:t>
      </w:r>
      <w:r>
        <w:t xml:space="preserve">requiring that retailers </w:t>
      </w:r>
      <w:r w:rsidR="0090702C">
        <w:t>apply</w:t>
      </w:r>
      <w:r w:rsidR="00F91DA6">
        <w:t xml:space="preserve"> </w:t>
      </w:r>
      <w:r w:rsidR="0090702C">
        <w:t xml:space="preserve">these </w:t>
      </w:r>
      <w:r w:rsidR="00F91DA6">
        <w:t>discounts unconditionally</w:t>
      </w:r>
      <w:r>
        <w:t xml:space="preserve"> (irrespective of whether the discount conditions are met)</w:t>
      </w:r>
      <w:r w:rsidR="00F91DA6">
        <w:t>.</w:t>
      </w:r>
    </w:p>
    <w:p w14:paraId="135D4519" w14:textId="194CA32E" w:rsidR="007C5A90" w:rsidRDefault="00160372" w:rsidP="00415E1D">
      <w:pPr>
        <w:pStyle w:val="Heading4"/>
      </w:pPr>
      <w:r>
        <w:t xml:space="preserve">Ensuring benefits last the length of </w:t>
      </w:r>
      <w:r w:rsidR="00E1579C">
        <w:t>the contract</w:t>
      </w:r>
    </w:p>
    <w:p w14:paraId="776AF2D5" w14:textId="217CB166" w:rsidR="002D32DE" w:rsidRDefault="00680D19" w:rsidP="007C5A90">
      <w:r>
        <w:t>In considering options for this reform</w:t>
      </w:r>
      <w:r w:rsidR="00B81280">
        <w:t>, we acknowledge</w:t>
      </w:r>
      <w:r w:rsidR="002A17DF">
        <w:t xml:space="preserve"> </w:t>
      </w:r>
      <w:r w:rsidR="001E0AD1">
        <w:t xml:space="preserve">that </w:t>
      </w:r>
      <w:r w:rsidR="00B81280">
        <w:t>many, if not all,</w:t>
      </w:r>
      <w:r w:rsidR="001E0AD1">
        <w:t xml:space="preserve"> time-limited monetary benefits on contracts entered into </w:t>
      </w:r>
      <w:r>
        <w:t xml:space="preserve">prior to 1 July 2020 </w:t>
      </w:r>
      <w:r w:rsidR="00E11216">
        <w:t>may</w:t>
      </w:r>
      <w:r w:rsidR="00B81280">
        <w:t xml:space="preserve"> have already expired. </w:t>
      </w:r>
      <w:r w:rsidR="00BC2A45">
        <w:t xml:space="preserve">Despite this, we </w:t>
      </w:r>
      <w:r w:rsidR="008055F7">
        <w:t>considered th</w:t>
      </w:r>
      <w:r w:rsidR="009F5A2A">
        <w:t>e</w:t>
      </w:r>
      <w:r>
        <w:t xml:space="preserve"> </w:t>
      </w:r>
      <w:r w:rsidR="00511CB1">
        <w:t xml:space="preserve">benefits of providing a </w:t>
      </w:r>
      <w:r w:rsidR="00CA62A9">
        <w:t>consistent</w:t>
      </w:r>
      <w:r w:rsidR="00511CB1">
        <w:t xml:space="preserve"> level of protection across all customers and </w:t>
      </w:r>
      <w:r w:rsidR="00CA62A9">
        <w:t xml:space="preserve">the potential significant benefits if </w:t>
      </w:r>
      <w:r w:rsidR="008A5E6D">
        <w:t xml:space="preserve">any </w:t>
      </w:r>
      <w:r w:rsidR="002D32DE">
        <w:t xml:space="preserve">legacy contracts do include benefits that have not yet expired. </w:t>
      </w:r>
    </w:p>
    <w:p w14:paraId="45DB58C4" w14:textId="09FB851E" w:rsidR="00A15E39" w:rsidRDefault="002D32DE" w:rsidP="00415E1D">
      <w:r>
        <w:t>We also considered</w:t>
      </w:r>
      <w:r w:rsidR="0095570A">
        <w:t xml:space="preserve"> how </w:t>
      </w:r>
      <w:r w:rsidR="00F36B49">
        <w:t>(if at all)</w:t>
      </w:r>
      <w:r w:rsidR="0095570A">
        <w:t xml:space="preserve"> the proposed options </w:t>
      </w:r>
      <w:r w:rsidR="00F36B49">
        <w:t>would apply to contract benefits that have already expired</w:t>
      </w:r>
      <w:r w:rsidR="00F3066A">
        <w:t>.</w:t>
      </w:r>
    </w:p>
    <w:p w14:paraId="663D61C8" w14:textId="77777777" w:rsidR="00622C0E" w:rsidRDefault="00622C0E" w:rsidP="00622C0E">
      <w:pPr>
        <w:pStyle w:val="Heading2numbered"/>
      </w:pPr>
      <w:bookmarkStart w:id="284" w:name="_Toc197959466"/>
      <w:r>
        <w:lastRenderedPageBreak/>
        <w:t>Options considered but not progressed to assessment</w:t>
      </w:r>
      <w:bookmarkEnd w:id="284"/>
    </w:p>
    <w:p w14:paraId="0E8AF313" w14:textId="6F551AFD" w:rsidR="000C3239" w:rsidRDefault="000C3239" w:rsidP="002553D8">
      <w:pPr>
        <w:pStyle w:val="Heading4"/>
      </w:pPr>
      <w:r>
        <w:t>Capping pay-on-time discounts</w:t>
      </w:r>
    </w:p>
    <w:p w14:paraId="18BE4273" w14:textId="3C8E603E" w:rsidR="00C075F9" w:rsidRDefault="000C3239" w:rsidP="00FC2E32">
      <w:r>
        <w:t xml:space="preserve">As outlined above, </w:t>
      </w:r>
      <w:r w:rsidR="00CF5D71">
        <w:t xml:space="preserve">simply </w:t>
      </w:r>
      <w:r w:rsidR="00DA6E86">
        <w:t xml:space="preserve">extending </w:t>
      </w:r>
      <w:r w:rsidR="00DA6E86" w:rsidRPr="00DA6E86">
        <w:t xml:space="preserve">caps on pay-on-time </w:t>
      </w:r>
      <w:r w:rsidR="00EA2EBE">
        <w:t>discounts</w:t>
      </w:r>
      <w:r w:rsidR="00EA2EBE" w:rsidRPr="00DA6E86">
        <w:t xml:space="preserve"> </w:t>
      </w:r>
      <w:r w:rsidR="00DA6E86" w:rsidRPr="00DA6E86">
        <w:t xml:space="preserve">to </w:t>
      </w:r>
      <w:r w:rsidR="00DA6E86">
        <w:t xml:space="preserve">legacy contracts </w:t>
      </w:r>
      <w:r w:rsidR="00DA6E86" w:rsidRPr="00DA6E86">
        <w:t xml:space="preserve">could result in </w:t>
      </w:r>
      <w:r w:rsidR="00DA6E86">
        <w:t>customers on these contracts being worse off</w:t>
      </w:r>
      <w:r w:rsidR="00CF5D71">
        <w:t xml:space="preserve"> (approach 1 in Section 10.1.3)</w:t>
      </w:r>
      <w:r w:rsidR="00DA6E86">
        <w:t xml:space="preserve">. </w:t>
      </w:r>
      <w:r w:rsidR="00BA367E">
        <w:t>If the underlying price customers on these contracts</w:t>
      </w:r>
      <w:r w:rsidR="00DA6E86" w:rsidRPr="00DA6E86">
        <w:t xml:space="preserve"> </w:t>
      </w:r>
      <w:r w:rsidR="00423FE8">
        <w:t xml:space="preserve">pay is not reduced but the size of the available discount </w:t>
      </w:r>
      <w:r w:rsidR="00FA6246">
        <w:t>is, customers w</w:t>
      </w:r>
      <w:r w:rsidR="00740D9B">
        <w:t>ould</w:t>
      </w:r>
      <w:r w:rsidR="00FA6246">
        <w:t xml:space="preserve"> end up paying more </w:t>
      </w:r>
      <w:r w:rsidR="00776B6F">
        <w:t xml:space="preserve">even </w:t>
      </w:r>
      <w:r w:rsidR="00C43ED2">
        <w:t>if</w:t>
      </w:r>
      <w:r w:rsidR="00776B6F">
        <w:t xml:space="preserve"> meeting the discount conditions.</w:t>
      </w:r>
    </w:p>
    <w:p w14:paraId="465DA544" w14:textId="60717DDE" w:rsidR="00A32C2B" w:rsidRDefault="00A32C2B" w:rsidP="00A32C2B">
      <w:r>
        <w:t xml:space="preserve">We also note that some customers may have made a conscious decision to </w:t>
      </w:r>
      <w:r w:rsidR="00CE0A88">
        <w:t>keep their</w:t>
      </w:r>
      <w:r>
        <w:t xml:space="preserve"> high pay-on-time discounts (and may not be aware or consider the underlying price). These customers may also not prefer losing these high percentage discounts, without giving their prior consent. </w:t>
      </w:r>
      <w:r w:rsidR="00330ED8">
        <w:t xml:space="preserve">We have also considered that requiring retailers to reduce tariffs </w:t>
      </w:r>
      <w:r w:rsidR="006763A0" w:rsidRPr="006763A0">
        <w:t>to account for the reduced size of the discount available to the customer</w:t>
      </w:r>
      <w:r w:rsidR="006763A0">
        <w:t xml:space="preserve"> would </w:t>
      </w:r>
      <w:r w:rsidR="002D6837">
        <w:t xml:space="preserve">impose </w:t>
      </w:r>
      <w:r w:rsidR="00C21AFC">
        <w:t>a significant burden on</w:t>
      </w:r>
      <w:r w:rsidR="0019741B">
        <w:t xml:space="preserve"> retailers a</w:t>
      </w:r>
      <w:r w:rsidR="009E0528">
        <w:t>s likely major changes to</w:t>
      </w:r>
      <w:r w:rsidR="00C21AFC">
        <w:t xml:space="preserve"> their systems and processes </w:t>
      </w:r>
      <w:r w:rsidR="009E0528">
        <w:t>would be required,</w:t>
      </w:r>
      <w:r w:rsidR="00B9621D">
        <w:t xml:space="preserve"> </w:t>
      </w:r>
      <w:r w:rsidR="00C21AFC">
        <w:t xml:space="preserve">as </w:t>
      </w:r>
      <w:r w:rsidR="0065488F">
        <w:t xml:space="preserve">explained in chapter 5 when assessing </w:t>
      </w:r>
      <w:r w:rsidR="00AF36D1">
        <w:t xml:space="preserve">changing tariffs to automatically switch eligible </w:t>
      </w:r>
      <w:r w:rsidR="00B9621D">
        <w:t>customers</w:t>
      </w:r>
      <w:r w:rsidR="00AF36D1">
        <w:t xml:space="preserve"> to the best of</w:t>
      </w:r>
      <w:r w:rsidR="007A1EC7">
        <w:t>fers</w:t>
      </w:r>
      <w:r>
        <w:t xml:space="preserve">. </w:t>
      </w:r>
      <w:r w:rsidR="00205887">
        <w:br/>
      </w:r>
      <w:r>
        <w:t>Therefore, we do not consider</w:t>
      </w:r>
      <w:r w:rsidR="001B3B6C">
        <w:t xml:space="preserve"> that</w:t>
      </w:r>
      <w:r>
        <w:t xml:space="preserve"> </w:t>
      </w:r>
      <w:r w:rsidR="00CE10EC">
        <w:t>a</w:t>
      </w:r>
      <w:r w:rsidR="00CE10EC" w:rsidRPr="00CE10EC">
        <w:t>llowing retailers to keep customers on existing plans but capping pay-on-time discounts for legacy contracts and requiring that retailers ensure customers are not worse off</w:t>
      </w:r>
      <w:r w:rsidR="00CE10EC">
        <w:t xml:space="preserve"> (</w:t>
      </w:r>
      <w:r>
        <w:t>approach 2 in section 10.1.3</w:t>
      </w:r>
      <w:r w:rsidR="00CE10EC">
        <w:t>)</w:t>
      </w:r>
      <w:r>
        <w:t xml:space="preserve"> </w:t>
      </w:r>
      <w:r w:rsidR="00725FE9">
        <w:t xml:space="preserve">to be </w:t>
      </w:r>
      <w:r>
        <w:t>a viable option, despite the reform protecting customers from the cost of not meeting a conditional discount.</w:t>
      </w:r>
    </w:p>
    <w:p w14:paraId="7E384CD2" w14:textId="2CDC8A9F" w:rsidR="00AB6299" w:rsidRDefault="00A32C2B" w:rsidP="00FC2E32">
      <w:r>
        <w:t xml:space="preserve">We also note that the proposed reforms in </w:t>
      </w:r>
      <w:r w:rsidR="00725FE9">
        <w:t>C</w:t>
      </w:r>
      <w:r>
        <w:t>hapter 8 will address some of the concerns for customers on older contracts with high underlying prices.</w:t>
      </w:r>
    </w:p>
    <w:p w14:paraId="45B904BC" w14:textId="6F14CC22" w:rsidR="000C3239" w:rsidRDefault="000C3239" w:rsidP="000C3239">
      <w:pPr>
        <w:pStyle w:val="Heading4"/>
      </w:pPr>
      <w:r>
        <w:t>Ensuring benefits last the length of the contract</w:t>
      </w:r>
    </w:p>
    <w:p w14:paraId="264B0ECA" w14:textId="24B04EEE" w:rsidR="000C3239" w:rsidRDefault="008D5E14" w:rsidP="00FC2E32">
      <w:r>
        <w:t xml:space="preserve">Some legacy contracts </w:t>
      </w:r>
      <w:r w:rsidR="00AA5A76">
        <w:t>include time</w:t>
      </w:r>
      <w:r w:rsidR="00605765">
        <w:t xml:space="preserve">-limited </w:t>
      </w:r>
      <w:r w:rsidR="00AA5A76">
        <w:t xml:space="preserve">monetary </w:t>
      </w:r>
      <w:r w:rsidR="00605765">
        <w:t xml:space="preserve">benefits </w:t>
      </w:r>
      <w:r w:rsidR="00FE594E">
        <w:t>if they were</w:t>
      </w:r>
      <w:r w:rsidR="00605765">
        <w:t xml:space="preserve"> entered into</w:t>
      </w:r>
      <w:r w:rsidR="00AA5A76">
        <w:t xml:space="preserve"> (prior to 1 July 2020). </w:t>
      </w:r>
      <w:r w:rsidR="00CA08CB">
        <w:t xml:space="preserve">In most (if not all) these cases, these time-limited benefits are likely to have expired. </w:t>
      </w:r>
      <w:r w:rsidR="007378AE">
        <w:t>Although we are considering reforms to re</w:t>
      </w:r>
      <w:r w:rsidR="0058515A">
        <w:t xml:space="preserve">quire that </w:t>
      </w:r>
      <w:r w:rsidR="003E3F53">
        <w:t xml:space="preserve">active </w:t>
      </w:r>
      <w:r w:rsidR="0058515A">
        <w:t xml:space="preserve">benefits of these </w:t>
      </w:r>
      <w:r w:rsidR="003E3F53">
        <w:t xml:space="preserve">contracts </w:t>
      </w:r>
      <w:r w:rsidR="00014205">
        <w:t xml:space="preserve">last for the </w:t>
      </w:r>
      <w:r w:rsidR="00633A84">
        <w:t xml:space="preserve">remaining </w:t>
      </w:r>
      <w:r w:rsidR="00014205">
        <w:t xml:space="preserve">duration of the contract, </w:t>
      </w:r>
      <w:r w:rsidR="00764117">
        <w:t xml:space="preserve">we do not </w:t>
      </w:r>
      <w:r w:rsidR="00C12C96">
        <w:t xml:space="preserve">consider </w:t>
      </w:r>
      <w:r w:rsidR="00773503">
        <w:t>it feasible to require retailers to reactivate already-expired benefits</w:t>
      </w:r>
      <w:r w:rsidR="0083318C">
        <w:t xml:space="preserve"> This would introduce significant complexity</w:t>
      </w:r>
      <w:r w:rsidR="004415EC">
        <w:t xml:space="preserve"> </w:t>
      </w:r>
      <w:r w:rsidR="00332410">
        <w:t>and, in some cases,</w:t>
      </w:r>
      <w:r w:rsidR="00814E80">
        <w:t xml:space="preserve"> may not be feasible, for example if </w:t>
      </w:r>
      <w:r w:rsidR="00471E58">
        <w:t xml:space="preserve">the </w:t>
      </w:r>
      <w:r w:rsidR="007732F3">
        <w:t>benefits</w:t>
      </w:r>
      <w:r w:rsidR="00DA5334">
        <w:t xml:space="preserve"> are no longer offered or available. </w:t>
      </w:r>
    </w:p>
    <w:p w14:paraId="7A2C67EC" w14:textId="77777777" w:rsidR="002A2AFF" w:rsidRDefault="002A2AFF" w:rsidP="002A2AFF">
      <w:pPr>
        <w:pStyle w:val="Heading2numbered"/>
      </w:pPr>
      <w:bookmarkStart w:id="285" w:name="_Toc194653795"/>
      <w:bookmarkStart w:id="286" w:name="_Toc197959467"/>
      <w:bookmarkEnd w:id="285"/>
      <w:r>
        <w:lastRenderedPageBreak/>
        <w:t>Options</w:t>
      </w:r>
      <w:bookmarkEnd w:id="286"/>
    </w:p>
    <w:p w14:paraId="26F4026B" w14:textId="0A0CB75F" w:rsidR="002C4FB4" w:rsidRDefault="000E5848" w:rsidP="00FC2E32">
      <w:pPr>
        <w:pStyle w:val="Heading3numbered"/>
      </w:pPr>
      <w:r>
        <w:t xml:space="preserve">Base </w:t>
      </w:r>
      <w:r w:rsidR="00A77004">
        <w:t>case</w:t>
      </w:r>
    </w:p>
    <w:p w14:paraId="44E59273" w14:textId="4466B3C1" w:rsidR="00CF2CEC" w:rsidRDefault="00306E39" w:rsidP="00623518">
      <w:r>
        <w:t xml:space="preserve">The base case for this reform is </w:t>
      </w:r>
      <w:r w:rsidR="00F9702A">
        <w:t xml:space="preserve">for the </w:t>
      </w:r>
      <w:r w:rsidR="00090CA2">
        <w:t>current protections</w:t>
      </w:r>
      <w:r w:rsidR="00B60586">
        <w:t xml:space="preserve"> introduced on 1 July 2020 </w:t>
      </w:r>
      <w:r w:rsidR="00C505AB">
        <w:t xml:space="preserve">to </w:t>
      </w:r>
      <w:r w:rsidR="00B60586">
        <w:t>continue to apply</w:t>
      </w:r>
      <w:r w:rsidR="00090CA2">
        <w:t xml:space="preserve"> </w:t>
      </w:r>
      <w:r w:rsidR="00BB54FD">
        <w:t xml:space="preserve">only to contracts </w:t>
      </w:r>
      <w:r w:rsidR="00AF500A">
        <w:t>entered into</w:t>
      </w:r>
      <w:r w:rsidR="00BB54FD">
        <w:t xml:space="preserve"> after </w:t>
      </w:r>
      <w:r w:rsidR="00B60586">
        <w:t>that date</w:t>
      </w:r>
      <w:r w:rsidR="00090CA2">
        <w:t xml:space="preserve">. </w:t>
      </w:r>
      <w:r w:rsidR="004F11F5">
        <w:t xml:space="preserve">We have seen that the proportion of customers </w:t>
      </w:r>
      <w:r w:rsidR="00885F4C">
        <w:t xml:space="preserve">on legacy contracts </w:t>
      </w:r>
      <w:r w:rsidR="00BE5FF4">
        <w:t xml:space="preserve">with conditional discounts </w:t>
      </w:r>
      <w:r w:rsidR="00885F4C">
        <w:t xml:space="preserve">is </w:t>
      </w:r>
      <w:r w:rsidR="00D30C2D">
        <w:t xml:space="preserve">steadily </w:t>
      </w:r>
      <w:r w:rsidR="00885F4C">
        <w:t>declining</w:t>
      </w:r>
      <w:r w:rsidR="001D5F6C">
        <w:t>.</w:t>
      </w:r>
      <w:r w:rsidR="003C17AA">
        <w:rPr>
          <w:rStyle w:val="FootnoteReference"/>
        </w:rPr>
        <w:footnoteReference w:id="235"/>
      </w:r>
      <w:r w:rsidR="001D5F6C">
        <w:t xml:space="preserve"> </w:t>
      </w:r>
    </w:p>
    <w:p w14:paraId="0CE0E9F5" w14:textId="13E6FB01" w:rsidR="00CF2CEC" w:rsidRDefault="00CF2CEC" w:rsidP="00623518">
      <w:r>
        <w:t>From our</w:t>
      </w:r>
      <w:r w:rsidR="00AE3AF0">
        <w:t xml:space="preserve"> </w:t>
      </w:r>
      <w:r>
        <w:t xml:space="preserve">sample of residential customer contracts, around five per cent of residential customers </w:t>
      </w:r>
      <w:r w:rsidR="00AE3AF0">
        <w:t xml:space="preserve">were </w:t>
      </w:r>
      <w:r>
        <w:t>still on legacy contracts with conditional pay-on-time discounts greater than five per cent</w:t>
      </w:r>
      <w:r w:rsidR="00AE3AF0">
        <w:t xml:space="preserve"> in 2023</w:t>
      </w:r>
      <w:r>
        <w:t xml:space="preserve">. This </w:t>
      </w:r>
      <w:r w:rsidR="00AE3AF0">
        <w:t>wa</w:t>
      </w:r>
      <w:r>
        <w:t xml:space="preserve">s down from </w:t>
      </w:r>
      <w:r w:rsidR="008D2101">
        <w:t>8</w:t>
      </w:r>
      <w:r w:rsidRPr="005325BC">
        <w:t xml:space="preserve"> per cent in 2022 and 14 per cent in 2021</w:t>
      </w:r>
      <w:r>
        <w:t>.</w:t>
      </w:r>
      <w:r>
        <w:rPr>
          <w:rStyle w:val="FootnoteReference"/>
        </w:rPr>
        <w:footnoteReference w:id="236"/>
      </w:r>
      <w:r w:rsidRPr="005325BC">
        <w:t xml:space="preserve"> </w:t>
      </w:r>
    </w:p>
    <w:p w14:paraId="1502BB5A" w14:textId="1F3801B9" w:rsidR="00623518" w:rsidRDefault="00623518" w:rsidP="00623518">
      <w:r>
        <w:t>We expect that over time, a majority of customers on legacy contracts with conditional discounts w</w:t>
      </w:r>
      <w:r w:rsidR="00EF3ED8">
        <w:t>ill</w:t>
      </w:r>
      <w:r>
        <w:t xml:space="preserve"> move onto newer contracts, either through expiry or through direct intervention from the retailer.</w:t>
      </w:r>
      <w:r w:rsidR="00E939CF">
        <w:t xml:space="preserve"> </w:t>
      </w:r>
    </w:p>
    <w:p w14:paraId="43208E3B" w14:textId="2046FC5C" w:rsidR="00FE57F0" w:rsidRDefault="00AD4D57" w:rsidP="00FC2E32">
      <w:pPr>
        <w:pStyle w:val="Heading3numbered"/>
      </w:pPr>
      <w:r>
        <w:t xml:space="preserve">Option F.1 – </w:t>
      </w:r>
      <w:r w:rsidR="00ED03F8">
        <w:t xml:space="preserve">Extending protections to </w:t>
      </w:r>
      <w:r w:rsidR="00C97BB3">
        <w:t xml:space="preserve">legacy </w:t>
      </w:r>
      <w:r w:rsidR="00C90E34">
        <w:t xml:space="preserve">contract benefits and </w:t>
      </w:r>
      <w:r w:rsidR="001C7FA8">
        <w:t>making legacy discounts unconditional</w:t>
      </w:r>
    </w:p>
    <w:p w14:paraId="5AA25A04" w14:textId="75AE43D8" w:rsidR="000E5848" w:rsidRDefault="004F2995" w:rsidP="001B5409">
      <w:r>
        <w:t>This</w:t>
      </w:r>
      <w:r w:rsidR="00BC7F0E">
        <w:t xml:space="preserve"> </w:t>
      </w:r>
      <w:r w:rsidR="005D04B4">
        <w:t xml:space="preserve">option </w:t>
      </w:r>
      <w:r w:rsidR="001156D7">
        <w:t>would</w:t>
      </w:r>
      <w:r w:rsidR="005D04B4">
        <w:t xml:space="preserve"> </w:t>
      </w:r>
      <w:r w:rsidR="007718EA">
        <w:t xml:space="preserve">introduce new </w:t>
      </w:r>
      <w:r w:rsidR="00B850CB">
        <w:t xml:space="preserve">rules </w:t>
      </w:r>
      <w:r w:rsidR="001156D7">
        <w:t>to</w:t>
      </w:r>
      <w:r w:rsidR="00DC3FA1">
        <w:t xml:space="preserve"> </w:t>
      </w:r>
      <w:r w:rsidR="00B850CB">
        <w:t xml:space="preserve">provide </w:t>
      </w:r>
      <w:r w:rsidR="00DB65DA">
        <w:t xml:space="preserve">legacy contracts with </w:t>
      </w:r>
      <w:r w:rsidR="00B850CB">
        <w:t xml:space="preserve">similar protections against price shock and high price penalties </w:t>
      </w:r>
      <w:r w:rsidR="00DB65DA">
        <w:t xml:space="preserve">as </w:t>
      </w:r>
      <w:r w:rsidR="001156D7">
        <w:t xml:space="preserve">those that </w:t>
      </w:r>
      <w:r w:rsidR="00DB65DA">
        <w:t xml:space="preserve">exist for contracts entered into after </w:t>
      </w:r>
      <w:r w:rsidR="001156D7">
        <w:t>1 July 2020</w:t>
      </w:r>
      <w:r w:rsidR="00DB65DA">
        <w:t xml:space="preserve">. </w:t>
      </w:r>
      <w:r w:rsidR="00DE6706">
        <w:t>This would include rules relating to:</w:t>
      </w:r>
    </w:p>
    <w:p w14:paraId="48F50023" w14:textId="3CE2E711" w:rsidR="00A915F0" w:rsidRPr="0033331F" w:rsidRDefault="001156D7" w:rsidP="00A92E17">
      <w:pPr>
        <w:pStyle w:val="ListBullet"/>
      </w:pPr>
      <w:r w:rsidRPr="0033331F">
        <w:t>r</w:t>
      </w:r>
      <w:r w:rsidR="00A915F0" w:rsidRPr="0033331F">
        <w:t>egulating conditional discounts</w:t>
      </w:r>
    </w:p>
    <w:p w14:paraId="4A3137BE" w14:textId="67C755BC" w:rsidR="00AC7FE0" w:rsidRPr="0033331F" w:rsidRDefault="001156D7" w:rsidP="00A92E17">
      <w:pPr>
        <w:pStyle w:val="ListBullet"/>
      </w:pPr>
      <w:r w:rsidRPr="0033331F">
        <w:t>m</w:t>
      </w:r>
      <w:r w:rsidR="00AC7FE0" w:rsidRPr="0033331F">
        <w:t>aintaining contract benefits until the end of a contract period</w:t>
      </w:r>
      <w:r w:rsidR="00A915F0" w:rsidRPr="0033331F">
        <w:t>.</w:t>
      </w:r>
    </w:p>
    <w:p w14:paraId="4F6170A9" w14:textId="1E4EB701" w:rsidR="00186A08" w:rsidRDefault="00740952" w:rsidP="00FC2E32">
      <w:pPr>
        <w:pStyle w:val="Heading4"/>
      </w:pPr>
      <w:r>
        <w:t>Regulating conditional discounts</w:t>
      </w:r>
    </w:p>
    <w:p w14:paraId="43D830FC" w14:textId="36CE9782" w:rsidR="00BE6212" w:rsidRDefault="00777E60" w:rsidP="0064387F">
      <w:r>
        <w:t xml:space="preserve">We are </w:t>
      </w:r>
      <w:r w:rsidR="004A7B4E">
        <w:t xml:space="preserve">proposing to introduce </w:t>
      </w:r>
      <w:r w:rsidR="00DE6706">
        <w:t xml:space="preserve">new rules </w:t>
      </w:r>
      <w:r w:rsidR="004A7B4E">
        <w:t>which w</w:t>
      </w:r>
      <w:r w:rsidR="001156D7">
        <w:t>ould</w:t>
      </w:r>
      <w:r w:rsidR="004A7B4E">
        <w:t xml:space="preserve"> </w:t>
      </w:r>
      <w:r w:rsidR="00FD06BF">
        <w:t>limit</w:t>
      </w:r>
      <w:r w:rsidR="0056228A">
        <w:t xml:space="preserve"> conditional fees and </w:t>
      </w:r>
      <w:r w:rsidR="0026591C">
        <w:t xml:space="preserve">conditional </w:t>
      </w:r>
      <w:r w:rsidR="0056228A">
        <w:t>discounts</w:t>
      </w:r>
      <w:r w:rsidR="00C34AC6">
        <w:t xml:space="preserve"> </w:t>
      </w:r>
      <w:r w:rsidR="0026591C">
        <w:t>related to payment conditions for</w:t>
      </w:r>
      <w:r w:rsidR="00C34AC6">
        <w:t xml:space="preserve"> </w:t>
      </w:r>
      <w:r w:rsidR="002A0F13">
        <w:t xml:space="preserve">all contracts, including </w:t>
      </w:r>
      <w:r w:rsidR="00C34AC6">
        <w:t>legacy contracts</w:t>
      </w:r>
      <w:r w:rsidR="0056228A">
        <w:t xml:space="preserve">. </w:t>
      </w:r>
      <w:r w:rsidR="00FC0555">
        <w:t>These reforms are outlined in detail in Chapter 6</w:t>
      </w:r>
      <w:r w:rsidR="00C47AAE">
        <w:t xml:space="preserve"> but are of direct relevance to </w:t>
      </w:r>
      <w:r w:rsidR="00407DD6">
        <w:t xml:space="preserve">extending protections for customers on legacy contracts. </w:t>
      </w:r>
    </w:p>
    <w:p w14:paraId="360A3556" w14:textId="784FB707" w:rsidR="0043667B" w:rsidRDefault="00407DD6" w:rsidP="0064387F">
      <w:r>
        <w:t>The</w:t>
      </w:r>
      <w:r w:rsidR="00870E6A">
        <w:t xml:space="preserve">se reforms </w:t>
      </w:r>
      <w:r w:rsidR="00396CFF">
        <w:t xml:space="preserve">will require that any conditional fee or conditional discount (including pay-on-time discounts) </w:t>
      </w:r>
      <w:r w:rsidR="00681888">
        <w:t xml:space="preserve">does not exceed a reasonable estimate of the costs incurred </w:t>
      </w:r>
      <w:r w:rsidR="00AC751A">
        <w:t>by the retailer</w:t>
      </w:r>
      <w:r w:rsidR="002D6631">
        <w:t xml:space="preserve"> resulting from the customer’s failure to </w:t>
      </w:r>
      <w:r w:rsidR="00C92D7C">
        <w:t xml:space="preserve">meet the </w:t>
      </w:r>
      <w:r w:rsidR="007D70B3">
        <w:t xml:space="preserve">relevant condition. </w:t>
      </w:r>
      <w:r w:rsidR="00376E17">
        <w:t>Retailers w</w:t>
      </w:r>
      <w:r w:rsidR="00FF5E8A">
        <w:t>ould</w:t>
      </w:r>
      <w:r w:rsidR="00376E17">
        <w:t xml:space="preserve"> not be required to amend </w:t>
      </w:r>
      <w:r w:rsidR="00052289">
        <w:t xml:space="preserve">legacy contracts to reduce </w:t>
      </w:r>
      <w:r w:rsidR="00363EEA">
        <w:t xml:space="preserve">large </w:t>
      </w:r>
      <w:r w:rsidR="000373F6">
        <w:t xml:space="preserve">conditional </w:t>
      </w:r>
      <w:r w:rsidR="00376E17">
        <w:t>discounts</w:t>
      </w:r>
      <w:r w:rsidR="000373F6">
        <w:t xml:space="preserve">. </w:t>
      </w:r>
    </w:p>
    <w:p w14:paraId="40958F38" w14:textId="6390888A" w:rsidR="00CD5FC3" w:rsidRDefault="000373F6" w:rsidP="0064387F">
      <w:r>
        <w:t>However, if the</w:t>
      </w:r>
      <w:r w:rsidR="00D33682">
        <w:t xml:space="preserve"> scale of these</w:t>
      </w:r>
      <w:r>
        <w:t xml:space="preserve"> </w:t>
      </w:r>
      <w:r w:rsidR="00D33682">
        <w:t xml:space="preserve">conditional discounts exceeds this reasonable estimate, </w:t>
      </w:r>
      <w:r w:rsidR="00B16AB3">
        <w:t>retailers</w:t>
      </w:r>
      <w:r w:rsidR="00C02B4B">
        <w:t xml:space="preserve"> w</w:t>
      </w:r>
      <w:r w:rsidR="00FF5E8A">
        <w:t>ould</w:t>
      </w:r>
      <w:r w:rsidR="00C02B4B">
        <w:t xml:space="preserve"> be required to apply these discounts unconditionally. </w:t>
      </w:r>
      <w:r w:rsidR="006C6021">
        <w:t xml:space="preserve">With respect to pay-on-time discounts, </w:t>
      </w:r>
      <w:r w:rsidR="006C6021">
        <w:lastRenderedPageBreak/>
        <w:t xml:space="preserve">what is considered a </w:t>
      </w:r>
      <w:r w:rsidR="0063795C">
        <w:t xml:space="preserve">reasonable estimate </w:t>
      </w:r>
      <w:r w:rsidR="00C44A73">
        <w:t>w</w:t>
      </w:r>
      <w:r w:rsidR="00FF5E8A">
        <w:t>ould</w:t>
      </w:r>
      <w:r w:rsidR="00C44A73">
        <w:t xml:space="preserve"> be any amount up to the ca</w:t>
      </w:r>
      <w:r w:rsidR="002301F7">
        <w:t xml:space="preserve">p on pay-on-time discounts set annually by the commission. </w:t>
      </w:r>
    </w:p>
    <w:p w14:paraId="5A042C6F" w14:textId="5E4C0B98" w:rsidR="00E52966" w:rsidRDefault="00E52966" w:rsidP="0064387F">
      <w:r>
        <w:t xml:space="preserve">While </w:t>
      </w:r>
      <w:r w:rsidR="00C37BBC">
        <w:t xml:space="preserve">these changes do </w:t>
      </w:r>
      <w:r w:rsidR="00C03EA3">
        <w:t>operate similarly to</w:t>
      </w:r>
      <w:r w:rsidR="003920D9">
        <w:t xml:space="preserve"> the </w:t>
      </w:r>
      <w:r w:rsidR="00267A05">
        <w:t xml:space="preserve">proposed </w:t>
      </w:r>
      <w:r w:rsidR="003920D9">
        <w:t xml:space="preserve">reforms </w:t>
      </w:r>
      <w:r w:rsidR="00267A05">
        <w:t>presented</w:t>
      </w:r>
      <w:r w:rsidR="003920D9">
        <w:t xml:space="preserve"> in Chapter 6, they are targeted at a different group of customers and </w:t>
      </w:r>
      <w:r w:rsidR="00E02F6E">
        <w:t xml:space="preserve">intend to deliver slightly different outcomes. </w:t>
      </w:r>
      <w:r w:rsidR="00AF11E3">
        <w:t>The C</w:t>
      </w:r>
      <w:r w:rsidR="00AF11E3" w:rsidRPr="00AF11E3">
        <w:t xml:space="preserve">hapter 6 reforms are </w:t>
      </w:r>
      <w:r w:rsidR="00AF11E3">
        <w:t>intended to</w:t>
      </w:r>
      <w:r w:rsidR="00AF11E3" w:rsidRPr="00AF11E3">
        <w:t xml:space="preserve"> make it easier for </w:t>
      </w:r>
      <w:r w:rsidR="00AF11E3">
        <w:t>customers</w:t>
      </w:r>
      <w:r w:rsidR="00AF11E3" w:rsidRPr="00AF11E3">
        <w:t xml:space="preserve"> that are engaging in the market to switch to a cheaper plan by removing billing or payment restrictions (allowing retailers to recover reasonable costs). </w:t>
      </w:r>
      <w:r w:rsidR="00AF11E3">
        <w:t xml:space="preserve">The reforms discussed in this </w:t>
      </w:r>
      <w:r w:rsidR="001E3682">
        <w:t>chapter are</w:t>
      </w:r>
      <w:r w:rsidR="00AF11E3" w:rsidRPr="00AF11E3">
        <w:t xml:space="preserve"> targeted </w:t>
      </w:r>
      <w:r w:rsidR="005E1744">
        <w:t>at</w:t>
      </w:r>
      <w:r w:rsidR="00AF11E3" w:rsidRPr="00AF11E3">
        <w:t xml:space="preserve"> </w:t>
      </w:r>
      <w:r w:rsidR="005E1744">
        <w:t>customers</w:t>
      </w:r>
      <w:r w:rsidR="00AF11E3" w:rsidRPr="00AF11E3">
        <w:t xml:space="preserve"> that are not engaging in the market and are not moving to cheaper plans. </w:t>
      </w:r>
      <w:r w:rsidR="005E1744">
        <w:t>The intended outcome is to</w:t>
      </w:r>
      <w:r w:rsidR="005E1744" w:rsidRPr="005E1744">
        <w:t xml:space="preserve"> enhance protections for</w:t>
      </w:r>
      <w:r w:rsidR="005E1744">
        <w:t xml:space="preserve"> these</w:t>
      </w:r>
      <w:r w:rsidR="005E1744" w:rsidRPr="005E1744">
        <w:t xml:space="preserve"> legacy customers that do not switch.</w:t>
      </w:r>
    </w:p>
    <w:p w14:paraId="2D0A1303" w14:textId="37AD25BD" w:rsidR="002C5711" w:rsidRPr="00CA3C71" w:rsidRDefault="00D92BD2" w:rsidP="0064387F">
      <w:r w:rsidRPr="00CA3C71">
        <w:t xml:space="preserve">We </w:t>
      </w:r>
      <w:r w:rsidR="00CF4852" w:rsidRPr="00CA3C71">
        <w:t>consider</w:t>
      </w:r>
      <w:r w:rsidRPr="00CA3C71">
        <w:t xml:space="preserve"> that a</w:t>
      </w:r>
      <w:r w:rsidR="00CF77C0" w:rsidRPr="00CA3C71">
        <w:t>pplying any conditional discount unconditionally w</w:t>
      </w:r>
      <w:r w:rsidR="00CF4852" w:rsidRPr="00CA3C71">
        <w:t>ould</w:t>
      </w:r>
      <w:r w:rsidR="00CF77C0" w:rsidRPr="00CA3C71">
        <w:t xml:space="preserve"> provide better outcomes for</w:t>
      </w:r>
      <w:r w:rsidR="00D82B51" w:rsidRPr="00CA3C71">
        <w:t xml:space="preserve"> </w:t>
      </w:r>
      <w:r w:rsidR="006C74D8" w:rsidRPr="00CA3C71">
        <w:t xml:space="preserve">consumers </w:t>
      </w:r>
      <w:r w:rsidR="00DF79FB" w:rsidRPr="00CA3C71">
        <w:t>on legacy contracts with high discounts</w:t>
      </w:r>
      <w:r w:rsidR="006C74D8" w:rsidRPr="00CA3C71">
        <w:t xml:space="preserve"> than applying the cap on pay-on-time discounts</w:t>
      </w:r>
      <w:r w:rsidR="00DF79FB" w:rsidRPr="00CA3C71">
        <w:t xml:space="preserve"> to these contracts</w:t>
      </w:r>
      <w:r w:rsidR="006C74D8" w:rsidRPr="00CA3C71">
        <w:t>.</w:t>
      </w:r>
      <w:r w:rsidR="00125BC7" w:rsidRPr="00CA3C71">
        <w:t xml:space="preserve"> The cap on pay-on-time discounts w</w:t>
      </w:r>
      <w:r w:rsidR="008F2B8E" w:rsidRPr="00CA3C71">
        <w:t>ould</w:t>
      </w:r>
      <w:r w:rsidR="00125BC7" w:rsidRPr="00CA3C71">
        <w:t xml:space="preserve"> remain in place </w:t>
      </w:r>
      <w:r w:rsidR="00E251B0" w:rsidRPr="00CA3C71">
        <w:t>for contracts entered into after 1 July 2020.</w:t>
      </w:r>
    </w:p>
    <w:p w14:paraId="41FBD06A" w14:textId="51019F67" w:rsidR="002C5711" w:rsidRPr="00CA3C71" w:rsidRDefault="002C5711" w:rsidP="0064387F">
      <w:r w:rsidRPr="00CA3C71">
        <w:t xml:space="preserve">Customers on legacy contracts can be divided into </w:t>
      </w:r>
      <w:r w:rsidR="00CC23DD" w:rsidRPr="00CA3C71">
        <w:t>three</w:t>
      </w:r>
      <w:r w:rsidRPr="00CA3C71">
        <w:t xml:space="preserve"> groups</w:t>
      </w:r>
      <w:r w:rsidR="002B7085" w:rsidRPr="00CA3C71">
        <w:t>:</w:t>
      </w:r>
    </w:p>
    <w:p w14:paraId="45AEF319" w14:textId="610C275F" w:rsidR="002C5711" w:rsidRPr="002C2E5F" w:rsidRDefault="00EF06F9" w:rsidP="00D409D4">
      <w:pPr>
        <w:pStyle w:val="ListParagraph"/>
        <w:numPr>
          <w:ilvl w:val="0"/>
          <w:numId w:val="15"/>
        </w:numPr>
        <w:ind w:left="426"/>
      </w:pPr>
      <w:r w:rsidRPr="002C2E5F">
        <w:t xml:space="preserve">Customer pays unreasonably high costs if they fail to meet their </w:t>
      </w:r>
      <w:r w:rsidR="002C2E5F">
        <w:t>conditional fee</w:t>
      </w:r>
      <w:r w:rsidR="003F7956">
        <w:t xml:space="preserve"> or discount</w:t>
      </w:r>
      <w:r w:rsidRPr="002C2E5F">
        <w:t xml:space="preserve"> condition</w:t>
      </w:r>
      <w:r w:rsidR="00586A6C" w:rsidRPr="002C2E5F">
        <w:t xml:space="preserve">s </w:t>
      </w:r>
      <w:r w:rsidR="003F7956">
        <w:t>and</w:t>
      </w:r>
      <w:r w:rsidR="00586A6C" w:rsidRPr="002C2E5F">
        <w:t xml:space="preserve"> pays a</w:t>
      </w:r>
      <w:r w:rsidR="002B7085" w:rsidRPr="002C2E5F">
        <w:t>n</w:t>
      </w:r>
      <w:r w:rsidR="00586A6C" w:rsidRPr="002C2E5F">
        <w:t xml:space="preserve"> </w:t>
      </w:r>
      <w:r w:rsidR="002B7085" w:rsidRPr="002C2E5F">
        <w:t>un</w:t>
      </w:r>
      <w:r w:rsidR="00586A6C" w:rsidRPr="002C2E5F">
        <w:t xml:space="preserve">reasonable price if they meet their </w:t>
      </w:r>
      <w:r w:rsidR="003F7956">
        <w:t>conditional fee or discount</w:t>
      </w:r>
      <w:r w:rsidR="00586A6C" w:rsidRPr="002C2E5F">
        <w:t xml:space="preserve"> conditions</w:t>
      </w:r>
      <w:r w:rsidR="00582059">
        <w:t xml:space="preserve"> (due to high underlying tariffs)</w:t>
      </w:r>
      <w:r w:rsidR="002C2E5F">
        <w:t>.</w:t>
      </w:r>
    </w:p>
    <w:p w14:paraId="35044CD6" w14:textId="2E2DE35F" w:rsidR="002B7085" w:rsidRPr="002C2E5F" w:rsidRDefault="002B7085" w:rsidP="00D409D4">
      <w:pPr>
        <w:pStyle w:val="ListParagraph"/>
        <w:numPr>
          <w:ilvl w:val="0"/>
          <w:numId w:val="15"/>
        </w:numPr>
        <w:ind w:left="426"/>
      </w:pPr>
      <w:r w:rsidRPr="002C2E5F">
        <w:t xml:space="preserve">Customer pays unreasonably high costs if they fail to meet their </w:t>
      </w:r>
      <w:r w:rsidR="003F7956">
        <w:t>conditional fee or discount</w:t>
      </w:r>
      <w:r w:rsidR="003F7956" w:rsidRPr="002C2E5F">
        <w:t xml:space="preserve"> conditions </w:t>
      </w:r>
      <w:r w:rsidRPr="002C2E5F">
        <w:t xml:space="preserve">but pays a reasonable price if they meet their </w:t>
      </w:r>
      <w:r w:rsidR="00494ECE">
        <w:t>conditional fee or discount</w:t>
      </w:r>
      <w:r w:rsidR="00494ECE" w:rsidRPr="002C2E5F">
        <w:t xml:space="preserve"> conditions</w:t>
      </w:r>
      <w:r w:rsidR="00494ECE">
        <w:t>.</w:t>
      </w:r>
    </w:p>
    <w:p w14:paraId="40E314A2" w14:textId="749D97DD" w:rsidR="00586A6C" w:rsidRPr="002C2E5F" w:rsidRDefault="002B7085" w:rsidP="00D409D4">
      <w:pPr>
        <w:pStyle w:val="ListParagraph"/>
        <w:numPr>
          <w:ilvl w:val="0"/>
          <w:numId w:val="15"/>
        </w:numPr>
        <w:ind w:left="426"/>
      </w:pPr>
      <w:r w:rsidRPr="002C2E5F">
        <w:t xml:space="preserve">Customer pays a reasonable cost if they fail to meet their </w:t>
      </w:r>
      <w:r w:rsidR="00494ECE">
        <w:t>conditional fee or discount</w:t>
      </w:r>
      <w:r w:rsidR="00494ECE" w:rsidRPr="002C2E5F">
        <w:t xml:space="preserve"> conditions </w:t>
      </w:r>
      <w:r w:rsidR="008E36A9">
        <w:t>and</w:t>
      </w:r>
      <w:r w:rsidRPr="002C2E5F">
        <w:t xml:space="preserve"> pays a reasonable price if they meet their </w:t>
      </w:r>
      <w:r w:rsidR="008E36A9">
        <w:t>conditional fee or discount</w:t>
      </w:r>
      <w:r w:rsidR="008E36A9" w:rsidRPr="002C2E5F">
        <w:t xml:space="preserve"> conditions</w:t>
      </w:r>
      <w:r w:rsidR="008E36A9">
        <w:t>.</w:t>
      </w:r>
    </w:p>
    <w:p w14:paraId="6344955E" w14:textId="23BEB7C7" w:rsidR="00777E60" w:rsidRDefault="005D6023" w:rsidP="00685ADD">
      <w:pPr>
        <w:pStyle w:val="TableBullet2"/>
        <w:numPr>
          <w:ilvl w:val="0"/>
          <w:numId w:val="0"/>
        </w:numPr>
      </w:pPr>
      <w:r w:rsidRPr="00CA3C71">
        <w:t>Th</w:t>
      </w:r>
      <w:r w:rsidR="00EC18B9" w:rsidRPr="00CA3C71">
        <w:t xml:space="preserve">e proposed </w:t>
      </w:r>
      <w:r w:rsidR="008D043C" w:rsidRPr="00CA3C71">
        <w:t>new rules would</w:t>
      </w:r>
      <w:r w:rsidRPr="00CA3C71">
        <w:t xml:space="preserve"> </w:t>
      </w:r>
      <w:r w:rsidR="00D92BD2" w:rsidRPr="00CA3C71">
        <w:t>provide better outcomes for</w:t>
      </w:r>
      <w:r w:rsidRPr="00CA3C71">
        <w:t xml:space="preserve"> all customers </w:t>
      </w:r>
      <w:r w:rsidR="003E1964" w:rsidRPr="00CA3C71">
        <w:t xml:space="preserve">in </w:t>
      </w:r>
      <w:r w:rsidR="00904D3C" w:rsidRPr="00CA3C71">
        <w:t>all three groups</w:t>
      </w:r>
      <w:r w:rsidR="002E13EB" w:rsidRPr="00CA3C71">
        <w:t>.</w:t>
      </w:r>
      <w:r w:rsidR="00D13DBA" w:rsidRPr="00CA3C71">
        <w:t xml:space="preserve"> </w:t>
      </w:r>
      <w:r w:rsidR="00904D3C" w:rsidRPr="00CA3C71">
        <w:t>However, it would not fully address the issue of unreasonably high underlying prices for</w:t>
      </w:r>
      <w:r w:rsidR="00D13DBA" w:rsidRPr="00CA3C71">
        <w:t xml:space="preserve"> </w:t>
      </w:r>
      <w:r w:rsidR="00904D3C" w:rsidRPr="00CA3C71">
        <w:t>c</w:t>
      </w:r>
      <w:r w:rsidR="00940F61" w:rsidRPr="00CA3C71">
        <w:t xml:space="preserve">ustomers in group </w:t>
      </w:r>
      <w:r w:rsidR="008D043C" w:rsidRPr="00CA3C71">
        <w:t>1</w:t>
      </w:r>
      <w:r w:rsidR="00904D3C" w:rsidRPr="00CA3C71">
        <w:t>. Customers in that group</w:t>
      </w:r>
      <w:r w:rsidR="008D043C" w:rsidRPr="00CA3C71">
        <w:t xml:space="preserve"> would</w:t>
      </w:r>
      <w:r w:rsidR="00940F61" w:rsidRPr="00CA3C71">
        <w:t xml:space="preserve"> have </w:t>
      </w:r>
      <w:r w:rsidR="00904D3C" w:rsidRPr="00CA3C71">
        <w:t>further</w:t>
      </w:r>
      <w:r w:rsidR="00495B2C" w:rsidRPr="00CA3C71">
        <w:t xml:space="preserve"> protections </w:t>
      </w:r>
      <w:r w:rsidR="001864B3" w:rsidRPr="00CA3C71">
        <w:t xml:space="preserve">under </w:t>
      </w:r>
      <w:r w:rsidR="00904D3C" w:rsidRPr="00CA3C71">
        <w:t xml:space="preserve">the reforms considered in Chapter </w:t>
      </w:r>
      <w:r w:rsidR="00266DE3">
        <w:t>8</w:t>
      </w:r>
      <w:r w:rsidR="00904D3C" w:rsidRPr="00CA3C71">
        <w:t xml:space="preserve"> (Protections for customers paying higher prices) which address the ‘loyalty penalty’</w:t>
      </w:r>
      <w:r w:rsidR="003D7F98" w:rsidRPr="00CA3C71">
        <w:t>.</w:t>
      </w:r>
      <w:r w:rsidR="00940F61">
        <w:t xml:space="preserve"> </w:t>
      </w:r>
    </w:p>
    <w:p w14:paraId="1BF4418E" w14:textId="2665AC93" w:rsidR="0064387F" w:rsidRDefault="0052786B" w:rsidP="0064387F">
      <w:r w:rsidRPr="00CA3C71">
        <w:t>We</w:t>
      </w:r>
      <w:r w:rsidR="0064387F" w:rsidRPr="00CA3C71">
        <w:t xml:space="preserve"> </w:t>
      </w:r>
      <w:r w:rsidRPr="00CA3C71">
        <w:t>understand</w:t>
      </w:r>
      <w:r w:rsidR="0064387F" w:rsidRPr="00CA3C71">
        <w:t xml:space="preserve"> that the</w:t>
      </w:r>
      <w:r w:rsidRPr="00CA3C71">
        <w:t>re is only a small</w:t>
      </w:r>
      <w:r w:rsidR="0064387F" w:rsidRPr="00CA3C71">
        <w:t xml:space="preserve"> number of </w:t>
      </w:r>
      <w:r w:rsidR="00260B6B" w:rsidRPr="00CA3C71">
        <w:t xml:space="preserve">legacy contract </w:t>
      </w:r>
      <w:r w:rsidR="0064387F" w:rsidRPr="00CA3C71">
        <w:t>customers remaining on contracts with</w:t>
      </w:r>
      <w:r w:rsidR="00904D3C" w:rsidRPr="00CA3C71">
        <w:t xml:space="preserve"> high </w:t>
      </w:r>
      <w:r w:rsidR="0064387F" w:rsidRPr="00CA3C71">
        <w:t xml:space="preserve">pay-on-time discounts </w:t>
      </w:r>
      <w:r w:rsidRPr="00CA3C71">
        <w:t>and that most of those customers are already meeting those requirements and receiving the discount.</w:t>
      </w:r>
      <w:r w:rsidR="00E85948" w:rsidDel="00E85948">
        <w:t xml:space="preserve"> </w:t>
      </w:r>
      <w:r w:rsidR="0080484C">
        <w:t>Fo</w:t>
      </w:r>
      <w:r w:rsidR="008D466C">
        <w:t>r example, t</w:t>
      </w:r>
      <w:r w:rsidR="0080484C">
        <w:t>he ACCC estimate that in 2023, approximately 90</w:t>
      </w:r>
      <w:r w:rsidR="00FE46DF">
        <w:t xml:space="preserve"> per cent</w:t>
      </w:r>
      <w:r w:rsidR="0080484C">
        <w:t xml:space="preserve"> of customers on plans with conditional discounts achieved the </w:t>
      </w:r>
      <w:r w:rsidR="008D466C">
        <w:t>discount</w:t>
      </w:r>
      <w:r w:rsidR="0080484C">
        <w:t>.</w:t>
      </w:r>
      <w:r w:rsidR="008D466C">
        <w:rPr>
          <w:rStyle w:val="FootnoteReference"/>
        </w:rPr>
        <w:footnoteReference w:id="237"/>
      </w:r>
    </w:p>
    <w:p w14:paraId="47D83794" w14:textId="6EF81FAD" w:rsidR="00F029EE" w:rsidRDefault="00AC7FE0" w:rsidP="00FC2E32">
      <w:pPr>
        <w:pStyle w:val="Heading4"/>
      </w:pPr>
      <w:r>
        <w:lastRenderedPageBreak/>
        <w:t>Maintaining contract benefits until the end of a contract period</w:t>
      </w:r>
    </w:p>
    <w:p w14:paraId="5DBCC060" w14:textId="5E380D45" w:rsidR="00466632" w:rsidRDefault="00F029EE" w:rsidP="00466632">
      <w:r>
        <w:t>Additionally</w:t>
      </w:r>
      <w:r w:rsidR="000E346A">
        <w:t xml:space="preserve">, </w:t>
      </w:r>
      <w:r w:rsidR="00CC19E1">
        <w:t xml:space="preserve">regulations around </w:t>
      </w:r>
      <w:r w:rsidR="00A85FC4">
        <w:t xml:space="preserve">maintaining benefits </w:t>
      </w:r>
      <w:r w:rsidR="00D91676">
        <w:t xml:space="preserve">until </w:t>
      </w:r>
      <w:r w:rsidR="00A85FC4">
        <w:t>the end of a contract period</w:t>
      </w:r>
      <w:r w:rsidR="00466632" w:rsidRPr="00466632">
        <w:t xml:space="preserve"> </w:t>
      </w:r>
      <w:r w:rsidR="00466632">
        <w:t>would be extended to all contracts including those contracts entered into before 1 July 2020.</w:t>
      </w:r>
    </w:p>
    <w:p w14:paraId="02C0A692" w14:textId="36611E90" w:rsidR="00772210" w:rsidRDefault="003D7F98" w:rsidP="00555FC0">
      <w:r>
        <w:t>Retailers</w:t>
      </w:r>
      <w:r w:rsidR="00AD436E">
        <w:t xml:space="preserve"> would be required </w:t>
      </w:r>
      <w:r w:rsidR="007F393F">
        <w:t xml:space="preserve">to </w:t>
      </w:r>
      <w:r w:rsidR="00772210">
        <w:t>extend any</w:t>
      </w:r>
      <w:r w:rsidR="00AD436E">
        <w:t xml:space="preserve"> existing</w:t>
      </w:r>
      <w:r w:rsidR="00772210">
        <w:t xml:space="preserve"> active</w:t>
      </w:r>
      <w:r w:rsidR="00AD436E">
        <w:t xml:space="preserve"> benefits on </w:t>
      </w:r>
      <w:r>
        <w:t xml:space="preserve">legacy </w:t>
      </w:r>
      <w:r w:rsidR="00AD436E">
        <w:t xml:space="preserve">contracts </w:t>
      </w:r>
      <w:r w:rsidR="00504C2C">
        <w:t>for</w:t>
      </w:r>
      <w:r w:rsidR="00F079E5">
        <w:t xml:space="preserve"> the duration of a contract.</w:t>
      </w:r>
      <w:r w:rsidR="00137FF7">
        <w:t xml:space="preserve"> </w:t>
      </w:r>
      <w:r>
        <w:t>We expect that t</w:t>
      </w:r>
      <w:r w:rsidR="00137FF7">
        <w:t xml:space="preserve">his </w:t>
      </w:r>
      <w:r w:rsidR="00CE4F9E">
        <w:t xml:space="preserve">extension on existing benefits </w:t>
      </w:r>
      <w:r w:rsidR="00137FF7">
        <w:t xml:space="preserve">would affect a minor </w:t>
      </w:r>
      <w:r w:rsidR="0015638F">
        <w:t>number</w:t>
      </w:r>
      <w:r w:rsidR="00137FF7">
        <w:t xml:space="preserve"> of contracts, as any </w:t>
      </w:r>
      <w:r w:rsidR="00734AE5">
        <w:t xml:space="preserve">benefits on existing </w:t>
      </w:r>
      <w:r w:rsidR="00137FF7">
        <w:t xml:space="preserve">legacy contracts </w:t>
      </w:r>
      <w:r>
        <w:t>which have</w:t>
      </w:r>
      <w:r w:rsidR="00D91676">
        <w:t xml:space="preserve"> not</w:t>
      </w:r>
      <w:r>
        <w:t xml:space="preserve"> yet expired</w:t>
      </w:r>
      <w:r w:rsidR="00137FF7">
        <w:t xml:space="preserve"> </w:t>
      </w:r>
      <w:r w:rsidR="00734AE5">
        <w:t>would likel</w:t>
      </w:r>
      <w:r w:rsidR="00CE4F9E">
        <w:t xml:space="preserve">y be benefits </w:t>
      </w:r>
      <w:r>
        <w:t xml:space="preserve">that apply for </w:t>
      </w:r>
      <w:r w:rsidR="00CE4F9E">
        <w:t>the</w:t>
      </w:r>
      <w:r w:rsidR="0015638F">
        <w:t xml:space="preserve"> entire</w:t>
      </w:r>
      <w:r w:rsidR="00CE4F9E">
        <w:t xml:space="preserve"> duration of the contract</w:t>
      </w:r>
      <w:r w:rsidR="0015638F">
        <w:t>.</w:t>
      </w:r>
      <w:r w:rsidR="00236DA0">
        <w:t xml:space="preserve"> </w:t>
      </w:r>
    </w:p>
    <w:p w14:paraId="1FCB77A0" w14:textId="38253700" w:rsidR="00E135BE" w:rsidRDefault="00772210" w:rsidP="00555FC0">
      <w:r>
        <w:t xml:space="preserve">As outlined in </w:t>
      </w:r>
      <w:r w:rsidR="00CA3C71">
        <w:t>Section</w:t>
      </w:r>
      <w:r w:rsidR="00DB1520">
        <w:t xml:space="preserve"> 10</w:t>
      </w:r>
      <w:r w:rsidR="00025617">
        <w:t>.2</w:t>
      </w:r>
      <w:r w:rsidR="00FE46DF">
        <w:t>,</w:t>
      </w:r>
      <w:r w:rsidR="00C1073E">
        <w:t xml:space="preserve"> this reform would not require retailers to reacti</w:t>
      </w:r>
      <w:r w:rsidR="00D54173">
        <w:t>vate</w:t>
      </w:r>
      <w:r w:rsidR="00C1073E">
        <w:t xml:space="preserve"> time-limited benefits on legacy contracts that have already expired. </w:t>
      </w:r>
    </w:p>
    <w:p w14:paraId="149BBC5A" w14:textId="77777777" w:rsidR="002A2AFF" w:rsidRDefault="002A2AFF" w:rsidP="002A2AFF">
      <w:pPr>
        <w:pStyle w:val="Heading2numbered"/>
      </w:pPr>
      <w:bookmarkStart w:id="287" w:name="_Toc197959468"/>
      <w:r>
        <w:t>Analysis</w:t>
      </w:r>
      <w:bookmarkEnd w:id="287"/>
    </w:p>
    <w:p w14:paraId="2347046A" w14:textId="4DCA4BD3" w:rsidR="00CA7C40" w:rsidRDefault="00CA7C40" w:rsidP="00800122">
      <w:pPr>
        <w:pStyle w:val="Heading3numbered"/>
      </w:pPr>
      <w:r>
        <w:t>MCA assessment – Option F.1 against base case</w:t>
      </w:r>
    </w:p>
    <w:p w14:paraId="598CAEAA" w14:textId="42AAB053" w:rsidR="0001127A" w:rsidRDefault="0001127A" w:rsidP="0001127A">
      <w:r>
        <w:t>This is a relatively small</w:t>
      </w:r>
      <w:r w:rsidR="003278CE">
        <w:t>-</w:t>
      </w:r>
      <w:r>
        <w:t>impact proposal that will remove the exposure to customers on legacy contracts (</w:t>
      </w:r>
      <w:r w:rsidR="00EC4B20">
        <w:t>pre-1 July 2020</w:t>
      </w:r>
      <w:r>
        <w:t xml:space="preserve"> contracts) to </w:t>
      </w:r>
      <w:r w:rsidR="00B76A25">
        <w:t xml:space="preserve">the </w:t>
      </w:r>
      <w:r>
        <w:t xml:space="preserve">price shock of large financial penalties if contract benefits expire or discount conditions are not met. Customers </w:t>
      </w:r>
      <w:r w:rsidR="00641643">
        <w:t>on contracts entered into</w:t>
      </w:r>
      <w:r>
        <w:t xml:space="preserve"> post 1 July 2020 already have these protections.</w:t>
      </w:r>
      <w:r w:rsidR="00532317">
        <w:t xml:space="preserve"> This is the vast majority of residential energy consumers in Victoria. </w:t>
      </w:r>
    </w:p>
    <w:p w14:paraId="69C948C4" w14:textId="0740027E" w:rsidR="00A43B8E" w:rsidRDefault="004E7CE7" w:rsidP="0001127A">
      <w:r>
        <w:t xml:space="preserve">These reforms will benefit customers who remain on legacy contracts with conditional pay-on-time discounts </w:t>
      </w:r>
      <w:r w:rsidR="00AC1B66">
        <w:t xml:space="preserve">greater than five per cent. </w:t>
      </w:r>
      <w:r w:rsidR="0001127A">
        <w:t xml:space="preserve">Around five per cent of residential </w:t>
      </w:r>
      <w:r w:rsidR="005A7A21">
        <w:t xml:space="preserve">electricity </w:t>
      </w:r>
      <w:r w:rsidR="0001127A">
        <w:t xml:space="preserve">customers </w:t>
      </w:r>
      <w:r w:rsidR="004C1E1D">
        <w:t xml:space="preserve">were </w:t>
      </w:r>
      <w:r w:rsidR="0001127A">
        <w:t>still on</w:t>
      </w:r>
      <w:r w:rsidR="00FF7F5C">
        <w:t xml:space="preserve"> such</w:t>
      </w:r>
      <w:r w:rsidR="0001127A">
        <w:t xml:space="preserve"> legacy contracts</w:t>
      </w:r>
      <w:r w:rsidR="00F67B7F">
        <w:t xml:space="preserve"> </w:t>
      </w:r>
      <w:r w:rsidR="00F97FAB">
        <w:t>as of 2023.</w:t>
      </w:r>
      <w:r w:rsidR="00357544">
        <w:rPr>
          <w:rStyle w:val="FootnoteReference"/>
        </w:rPr>
        <w:footnoteReference w:id="238"/>
      </w:r>
      <w:r w:rsidR="0001127A">
        <w:t xml:space="preserve"> </w:t>
      </w:r>
      <w:r w:rsidR="00AD093B">
        <w:t>This</w:t>
      </w:r>
      <w:r w:rsidR="00FF7F5C">
        <w:t xml:space="preserve"> would</w:t>
      </w:r>
      <w:r w:rsidR="00AD093B">
        <w:t xml:space="preserve"> represent </w:t>
      </w:r>
      <w:r w:rsidR="00F13C69">
        <w:t>approximately</w:t>
      </w:r>
      <w:r w:rsidR="00AD093B">
        <w:t xml:space="preserve"> </w:t>
      </w:r>
      <w:r w:rsidR="00A7137C">
        <w:t>13</w:t>
      </w:r>
      <w:r w:rsidR="00D22E81">
        <w:t>8</w:t>
      </w:r>
      <w:r w:rsidR="00A7137C">
        <w:t>,</w:t>
      </w:r>
      <w:r w:rsidR="00D22E81">
        <w:t>5</w:t>
      </w:r>
      <w:r w:rsidR="001A306D">
        <w:t>5</w:t>
      </w:r>
      <w:r w:rsidR="00A7137C">
        <w:t xml:space="preserve">0 </w:t>
      </w:r>
      <w:r w:rsidR="00EB7502" w:rsidRPr="009618C6">
        <w:t xml:space="preserve">Victorian </w:t>
      </w:r>
      <w:r w:rsidR="00A7137C" w:rsidRPr="009618C6">
        <w:t>customers</w:t>
      </w:r>
      <w:r w:rsidR="00D936EB">
        <w:t xml:space="preserve"> </w:t>
      </w:r>
      <w:r w:rsidR="00E20C76">
        <w:t xml:space="preserve">based on current </w:t>
      </w:r>
      <w:r w:rsidR="00500AEF">
        <w:t>customer numbers</w:t>
      </w:r>
      <w:r w:rsidR="00A7137C">
        <w:t>.</w:t>
      </w:r>
      <w:r w:rsidR="0061083D">
        <w:rPr>
          <w:rStyle w:val="FootnoteReference"/>
        </w:rPr>
        <w:footnoteReference w:id="239"/>
      </w:r>
      <w:r w:rsidR="00A7137C">
        <w:t xml:space="preserve"> </w:t>
      </w:r>
      <w:r w:rsidR="00EA2AC3">
        <w:t>T</w:t>
      </w:r>
      <w:r w:rsidR="00A85D83">
        <w:t>h</w:t>
      </w:r>
      <w:r w:rsidR="0004086B">
        <w:t xml:space="preserve">is </w:t>
      </w:r>
      <w:r w:rsidR="00912CB8">
        <w:t>figure</w:t>
      </w:r>
      <w:r w:rsidR="0004086B">
        <w:t xml:space="preserve"> </w:t>
      </w:r>
      <w:r w:rsidR="00A06AA7">
        <w:t xml:space="preserve">likely </w:t>
      </w:r>
      <w:r w:rsidR="0004086B">
        <w:t>over-estimate</w:t>
      </w:r>
      <w:r w:rsidR="00700094">
        <w:t>s th</w:t>
      </w:r>
      <w:r w:rsidR="00A85D83">
        <w:t xml:space="preserve">e </w:t>
      </w:r>
      <w:r w:rsidR="00F13C69">
        <w:t xml:space="preserve">number of customers </w:t>
      </w:r>
      <w:r w:rsidR="00EE384B">
        <w:t>who will remain o</w:t>
      </w:r>
      <w:r w:rsidR="00F13C69">
        <w:t xml:space="preserve">n legacy contracts </w:t>
      </w:r>
      <w:r w:rsidR="00EE384B">
        <w:t xml:space="preserve">when the proposed reforms commence </w:t>
      </w:r>
      <w:r w:rsidR="00700094">
        <w:t>in 202</w:t>
      </w:r>
      <w:r w:rsidR="00EE384B">
        <w:t>6</w:t>
      </w:r>
      <w:r w:rsidR="00700094">
        <w:t xml:space="preserve">, as the number of customers on these contracts </w:t>
      </w:r>
      <w:r w:rsidR="00A85D83">
        <w:t>declines year-on-year as</w:t>
      </w:r>
      <w:r w:rsidR="00F13C69">
        <w:t xml:space="preserve"> customers either change retailers or move to newer contracts</w:t>
      </w:r>
      <w:r w:rsidR="00DF003A">
        <w:t xml:space="preserve"> with their same retailer</w:t>
      </w:r>
      <w:r w:rsidR="00A85D83">
        <w:t>.</w:t>
      </w:r>
    </w:p>
    <w:p w14:paraId="58FC2208" w14:textId="14C56ECE" w:rsidR="005357BD" w:rsidRDefault="0001127A" w:rsidP="0001127A">
      <w:r>
        <w:t xml:space="preserve">Of </w:t>
      </w:r>
      <w:r w:rsidR="007E7C65">
        <w:t>the customer</w:t>
      </w:r>
      <w:r w:rsidR="00682560">
        <w:t>s</w:t>
      </w:r>
      <w:r w:rsidR="007E7C65">
        <w:t xml:space="preserve"> who remain on legacy contracts</w:t>
      </w:r>
      <w:r>
        <w:t xml:space="preserve">, only a smaller subset is expected to require these protections. </w:t>
      </w:r>
      <w:r w:rsidR="006A04C5">
        <w:t>As noted in Section 10.3.2, a</w:t>
      </w:r>
      <w:r w:rsidR="00F75686">
        <w:t>pproximately 9</w:t>
      </w:r>
      <w:r w:rsidR="006A04C5">
        <w:t>0</w:t>
      </w:r>
      <w:r w:rsidR="00D704C9">
        <w:t xml:space="preserve"> per cent</w:t>
      </w:r>
      <w:r w:rsidR="00F75686">
        <w:t xml:space="preserve"> of customers </w:t>
      </w:r>
      <w:r w:rsidR="00FB670C">
        <w:t>on plans with conditional discounts achieve the</w:t>
      </w:r>
      <w:r w:rsidR="00996CC3">
        <w:t xml:space="preserve"> conditions for these </w:t>
      </w:r>
      <w:r w:rsidR="008D6426" w:rsidRPr="006A04C5">
        <w:t>discounts</w:t>
      </w:r>
      <w:r w:rsidR="008D6426">
        <w:t xml:space="preserve">. </w:t>
      </w:r>
      <w:r w:rsidR="0073522B">
        <w:t xml:space="preserve">These reforms would </w:t>
      </w:r>
      <w:r w:rsidR="00D76B2F">
        <w:t xml:space="preserve">primarily </w:t>
      </w:r>
      <w:r w:rsidR="007F429F">
        <w:t xml:space="preserve">benefit the </w:t>
      </w:r>
      <w:r w:rsidR="00D76B2F">
        <w:t xml:space="preserve">remaining </w:t>
      </w:r>
      <w:r w:rsidR="006A04C5">
        <w:t>10</w:t>
      </w:r>
      <w:r w:rsidR="00B427F9">
        <w:t xml:space="preserve"> per cent</w:t>
      </w:r>
      <w:r w:rsidR="007F429F">
        <w:t xml:space="preserve"> of customers </w:t>
      </w:r>
      <w:r w:rsidR="00BD0FCC">
        <w:t xml:space="preserve">on legacy contracts with conditional discounts </w:t>
      </w:r>
      <w:r w:rsidR="007F429F">
        <w:t xml:space="preserve">who </w:t>
      </w:r>
      <w:r w:rsidR="0075126F">
        <w:t xml:space="preserve">do not meet discount conditions. </w:t>
      </w:r>
      <w:r w:rsidR="003A70BF">
        <w:t xml:space="preserve">This represents approximately </w:t>
      </w:r>
      <w:r w:rsidR="00EB441D">
        <w:t>1</w:t>
      </w:r>
      <w:r w:rsidR="005357BD">
        <w:t>3</w:t>
      </w:r>
      <w:r w:rsidR="00EB441D">
        <w:t>,</w:t>
      </w:r>
      <w:r w:rsidR="001C0F3E">
        <w:t>85</w:t>
      </w:r>
      <w:r w:rsidR="006A4AFB">
        <w:t>5</w:t>
      </w:r>
      <w:r w:rsidR="00EB441D">
        <w:t xml:space="preserve"> </w:t>
      </w:r>
      <w:r w:rsidR="00EB441D" w:rsidRPr="005A3A67">
        <w:t>customers</w:t>
      </w:r>
      <w:r w:rsidR="00E105E9">
        <w:t xml:space="preserve">, </w:t>
      </w:r>
      <w:r w:rsidR="0075257E">
        <w:lastRenderedPageBreak/>
        <w:t xml:space="preserve">based on current customer numbers and </w:t>
      </w:r>
      <w:r w:rsidR="00512167">
        <w:t>assuming</w:t>
      </w:r>
      <w:r w:rsidR="003D3383">
        <w:t xml:space="preserve"> five percent of </w:t>
      </w:r>
      <w:r w:rsidR="00DB338D">
        <w:t xml:space="preserve">all </w:t>
      </w:r>
      <w:r w:rsidR="003D3383">
        <w:t>customers remain on legacy contracts</w:t>
      </w:r>
      <w:r w:rsidR="00512167">
        <w:t xml:space="preserve"> (which, as </w:t>
      </w:r>
      <w:r w:rsidR="004550A4">
        <w:t xml:space="preserve">noted </w:t>
      </w:r>
      <w:r w:rsidR="00512167">
        <w:t>above, is understood to be an over-estimate)</w:t>
      </w:r>
      <w:r w:rsidR="00EB441D" w:rsidRPr="005A3A67">
        <w:t>.</w:t>
      </w:r>
      <w:r w:rsidR="0099255A">
        <w:rPr>
          <w:rStyle w:val="FootnoteReference"/>
        </w:rPr>
        <w:footnoteReference w:id="240"/>
      </w:r>
      <w:r w:rsidR="005357BD">
        <w:t xml:space="preserve"> </w:t>
      </w:r>
    </w:p>
    <w:p w14:paraId="0C83DC30" w14:textId="751F23B7" w:rsidR="00A72F36" w:rsidRDefault="00AD10B8" w:rsidP="0001127A">
      <w:r>
        <w:t xml:space="preserve">Under this proposal, </w:t>
      </w:r>
      <w:r w:rsidR="00981BB6">
        <w:t xml:space="preserve">retailers would </w:t>
      </w:r>
      <w:r w:rsidR="007A4A28">
        <w:t>be required to apply discount</w:t>
      </w:r>
      <w:r w:rsidR="006942EB">
        <w:t xml:space="preserve">s on legacy contracts irrespective of whether or not the customer has met the required conditions. </w:t>
      </w:r>
      <w:r w:rsidR="0001127A">
        <w:t>Th</w:t>
      </w:r>
      <w:r w:rsidR="006942EB">
        <w:t>is</w:t>
      </w:r>
      <w:r w:rsidR="0001127A">
        <w:t xml:space="preserve"> will result in some loss of revenue for energy providers arising from </w:t>
      </w:r>
      <w:r w:rsidR="00BE526C">
        <w:t xml:space="preserve">covering costs to </w:t>
      </w:r>
      <w:r w:rsidR="0001127A">
        <w:t xml:space="preserve">customers on legacy contracts who </w:t>
      </w:r>
      <w:r w:rsidR="00BE526C">
        <w:t xml:space="preserve">do </w:t>
      </w:r>
      <w:r w:rsidR="0001127A">
        <w:t xml:space="preserve">not pay on time or do not meet other conditions. </w:t>
      </w:r>
      <w:r w:rsidR="00BE526C">
        <w:t>It</w:t>
      </w:r>
      <w:r w:rsidR="0001127A">
        <w:t xml:space="preserve"> will also result in some implementation costs.</w:t>
      </w:r>
      <w:r w:rsidR="00A72F36">
        <w:t xml:space="preserve"> </w:t>
      </w:r>
    </w:p>
    <w:p w14:paraId="3157B5C1" w14:textId="30D628FC" w:rsidR="00DD3AD3" w:rsidRDefault="00A72F36" w:rsidP="0001127A">
      <w:r>
        <w:t xml:space="preserve">The </w:t>
      </w:r>
      <w:r w:rsidR="008F7944">
        <w:t>amount of</w:t>
      </w:r>
      <w:r>
        <w:t xml:space="preserve"> lost revenue is not expected to be significant. </w:t>
      </w:r>
      <w:r w:rsidR="003E4066">
        <w:t>In 2019</w:t>
      </w:r>
      <w:r w:rsidR="00DB3E9D">
        <w:t xml:space="preserve">, we calculated </w:t>
      </w:r>
      <w:r w:rsidR="003512DD">
        <w:t>that</w:t>
      </w:r>
      <w:r w:rsidR="00DB3E9D">
        <w:t xml:space="preserve"> the </w:t>
      </w:r>
      <w:r w:rsidR="007E1696">
        <w:t xml:space="preserve">average </w:t>
      </w:r>
      <w:r w:rsidR="00262EF9">
        <w:t>annual</w:t>
      </w:r>
      <w:r w:rsidR="007E1696">
        <w:t xml:space="preserve"> </w:t>
      </w:r>
      <w:r w:rsidR="00F73655">
        <w:t xml:space="preserve">cost to a customer </w:t>
      </w:r>
      <w:r w:rsidR="00023085">
        <w:t>for</w:t>
      </w:r>
      <w:r w:rsidR="005F5526">
        <w:t xml:space="preserve"> </w:t>
      </w:r>
      <w:r w:rsidR="003F6D9A">
        <w:t xml:space="preserve">not meeting </w:t>
      </w:r>
      <w:r w:rsidR="00AD48AC">
        <w:t>part or all</w:t>
      </w:r>
      <w:r w:rsidR="003F6D9A">
        <w:t xml:space="preserve"> </w:t>
      </w:r>
      <w:r w:rsidR="00FE35AD">
        <w:t>of their</w:t>
      </w:r>
      <w:r w:rsidR="003F6D9A">
        <w:t xml:space="preserve"> discount conditions </w:t>
      </w:r>
      <w:r w:rsidR="003F6D9A" w:rsidRPr="006A3CEA">
        <w:t>was</w:t>
      </w:r>
      <w:r w:rsidR="002473D5" w:rsidRPr="006A3CEA">
        <w:t xml:space="preserve"> </w:t>
      </w:r>
      <w:r w:rsidR="003F6D9A" w:rsidRPr="006A3CEA">
        <w:t>$</w:t>
      </w:r>
      <w:r w:rsidR="00FE35AD" w:rsidRPr="006A3CEA">
        <w:t>188</w:t>
      </w:r>
      <w:r w:rsidR="003F6D9A" w:rsidRPr="006A3CEA">
        <w:t>.</w:t>
      </w:r>
      <w:r w:rsidR="00BB65B8" w:rsidRPr="006A3CEA">
        <w:rPr>
          <w:rStyle w:val="FootnoteReference"/>
        </w:rPr>
        <w:footnoteReference w:id="241"/>
      </w:r>
      <w:r w:rsidR="00570CF0">
        <w:t xml:space="preserve"> </w:t>
      </w:r>
      <w:r w:rsidR="00247E92">
        <w:t xml:space="preserve">Assuming the same cost of not meeting discounts for these older contracts, this reform </w:t>
      </w:r>
      <w:r w:rsidR="00B44B41">
        <w:t>could</w:t>
      </w:r>
      <w:r w:rsidR="003D02F1">
        <w:t xml:space="preserve"> reduce</w:t>
      </w:r>
      <w:r w:rsidR="00B44B41">
        <w:t xml:space="preserve"> costs </w:t>
      </w:r>
      <w:r w:rsidR="00ED4573">
        <w:t xml:space="preserve">for impacted customers </w:t>
      </w:r>
      <w:r w:rsidR="00B44B41">
        <w:t xml:space="preserve">by up to </w:t>
      </w:r>
      <w:r w:rsidR="004C5DE2">
        <w:t>$2.</w:t>
      </w:r>
      <w:r w:rsidR="005A11B3">
        <w:t>6</w:t>
      </w:r>
      <w:r w:rsidR="004C5DE2">
        <w:t xml:space="preserve"> million </w:t>
      </w:r>
      <w:r w:rsidR="008A4D0F">
        <w:t>annually</w:t>
      </w:r>
      <w:r w:rsidR="002A1599">
        <w:t>.</w:t>
      </w:r>
      <w:r w:rsidR="0009616C">
        <w:rPr>
          <w:rStyle w:val="FootnoteReference"/>
        </w:rPr>
        <w:footnoteReference w:id="242"/>
      </w:r>
      <w:r w:rsidR="004A0322">
        <w:t xml:space="preserve"> </w:t>
      </w:r>
      <w:r w:rsidR="008A120C">
        <w:t xml:space="preserve">As the </w:t>
      </w:r>
      <w:r w:rsidR="00391F3A">
        <w:t>proportion</w:t>
      </w:r>
      <w:r w:rsidR="008A120C">
        <w:t xml:space="preserve"> of customers </w:t>
      </w:r>
      <w:r w:rsidR="00391F3A">
        <w:t xml:space="preserve">who </w:t>
      </w:r>
      <w:r w:rsidR="002821AF">
        <w:t>will remain</w:t>
      </w:r>
      <w:r w:rsidR="00391F3A">
        <w:t xml:space="preserve"> on legacy contracts </w:t>
      </w:r>
      <w:r w:rsidR="00D112BF">
        <w:t>when the proposed reforms</w:t>
      </w:r>
      <w:r w:rsidR="00773F1E">
        <w:t xml:space="preserve"> commence in 2026</w:t>
      </w:r>
      <w:r w:rsidR="007C3028">
        <w:t xml:space="preserve"> is likely to be lower than the 2023 figure of five percent</w:t>
      </w:r>
      <w:r w:rsidR="00E867FA">
        <w:t xml:space="preserve">, </w:t>
      </w:r>
      <w:r w:rsidR="00720493">
        <w:t>actual cost savings (and cost transfer</w:t>
      </w:r>
      <w:r w:rsidR="002742AA">
        <w:t>s</w:t>
      </w:r>
      <w:r w:rsidR="00720493">
        <w:t xml:space="preserve"> from customers to industry) </w:t>
      </w:r>
      <w:r w:rsidR="002742AA">
        <w:t xml:space="preserve">are also </w:t>
      </w:r>
      <w:r w:rsidR="00720493">
        <w:t xml:space="preserve">are likely </w:t>
      </w:r>
      <w:r w:rsidR="002742AA">
        <w:t>to be lower</w:t>
      </w:r>
      <w:r w:rsidR="003F7AE6">
        <w:t xml:space="preserve"> than this maximum </w:t>
      </w:r>
      <w:r w:rsidR="00DA25BA">
        <w:t>estimate</w:t>
      </w:r>
      <w:r w:rsidR="002742AA">
        <w:t>.</w:t>
      </w:r>
      <w:r w:rsidR="0099456D">
        <w:t xml:space="preserve"> </w:t>
      </w:r>
    </w:p>
    <w:p w14:paraId="54D2F868" w14:textId="66CAB1F0" w:rsidR="0001127A" w:rsidRDefault="00DD3AD3" w:rsidP="0001127A">
      <w:r>
        <w:t xml:space="preserve">As outlined in section </w:t>
      </w:r>
      <w:r w:rsidR="006A5AF8">
        <w:t xml:space="preserve">2.1.2. the </w:t>
      </w:r>
      <w:r w:rsidR="00387EEC">
        <w:t xml:space="preserve">number of customers who are still on legacy contracts with conditional discounts greater than </w:t>
      </w:r>
      <w:r w:rsidR="0094704E">
        <w:t>five</w:t>
      </w:r>
      <w:r w:rsidR="00911C94">
        <w:t xml:space="preserve"> per cent</w:t>
      </w:r>
      <w:r w:rsidR="00387EEC">
        <w:t xml:space="preserve"> </w:t>
      </w:r>
      <w:r w:rsidR="007078B8">
        <w:t xml:space="preserve">has been declining rapidly. </w:t>
      </w:r>
      <w:r w:rsidR="00086DF4">
        <w:t xml:space="preserve">Since </w:t>
      </w:r>
      <w:r w:rsidR="005E2E48">
        <w:t>2020,</w:t>
      </w:r>
      <w:r w:rsidR="00086DF4">
        <w:t xml:space="preserve"> the </w:t>
      </w:r>
      <w:r w:rsidR="00FB5E07">
        <w:t xml:space="preserve">number </w:t>
      </w:r>
      <w:r w:rsidR="005E2E48">
        <w:t>of custo</w:t>
      </w:r>
      <w:r w:rsidR="00094A97">
        <w:t xml:space="preserve">mers </w:t>
      </w:r>
      <w:r w:rsidR="00FB5E07">
        <w:t xml:space="preserve">on these contracts has declined </w:t>
      </w:r>
      <w:r w:rsidR="000014EA">
        <w:t>by half roughly every two years.</w:t>
      </w:r>
      <w:r w:rsidR="00C91B72">
        <w:rPr>
          <w:rStyle w:val="FootnoteReference"/>
        </w:rPr>
        <w:footnoteReference w:id="243"/>
      </w:r>
      <w:r w:rsidR="000014EA">
        <w:t xml:space="preserve"> </w:t>
      </w:r>
      <w:r w:rsidR="00D13E50">
        <w:t xml:space="preserve">We expect this </w:t>
      </w:r>
      <w:r w:rsidR="00E15437">
        <w:t>broad</w:t>
      </w:r>
      <w:r w:rsidR="00D13E50">
        <w:t xml:space="preserve"> trend to </w:t>
      </w:r>
      <w:r w:rsidR="008247B5">
        <w:t>continue</w:t>
      </w:r>
      <w:r w:rsidR="00E15437">
        <w:t>. Assuming</w:t>
      </w:r>
      <w:r w:rsidR="00240D94">
        <w:t xml:space="preserve"> this trend</w:t>
      </w:r>
      <w:r w:rsidR="0099456D">
        <w:t xml:space="preserve"> </w:t>
      </w:r>
      <w:r w:rsidR="0094704E">
        <w:t xml:space="preserve">continues, we expect roughly one to two per cent of customers to </w:t>
      </w:r>
      <w:r w:rsidR="00F80DBB">
        <w:t>remain</w:t>
      </w:r>
      <w:r w:rsidR="0094704E">
        <w:t xml:space="preserve"> on these legacy contracts</w:t>
      </w:r>
      <w:r w:rsidR="00005582">
        <w:t xml:space="preserve"> within five years</w:t>
      </w:r>
      <w:r w:rsidR="0094704E">
        <w:t xml:space="preserve">, representing </w:t>
      </w:r>
      <w:r w:rsidR="0013269B">
        <w:t>approximately 27</w:t>
      </w:r>
      <w:r w:rsidR="00721B17">
        <w:t>,710 to</w:t>
      </w:r>
      <w:r w:rsidR="000A0F0A">
        <w:t xml:space="preserve"> </w:t>
      </w:r>
      <w:r w:rsidR="00FA4BC6">
        <w:t>55,420 residential electricity customer</w:t>
      </w:r>
      <w:r w:rsidR="00A7446C">
        <w:t>s</w:t>
      </w:r>
      <w:r w:rsidR="00EF5469">
        <w:t xml:space="preserve">. </w:t>
      </w:r>
      <w:r w:rsidR="006D2147">
        <w:t xml:space="preserve">We estimate </w:t>
      </w:r>
      <w:r w:rsidR="00473CB6">
        <w:t>that the remaining cost for not meeting discount conditions could be between $0.5 to one million</w:t>
      </w:r>
      <w:r w:rsidR="006F49F5">
        <w:t xml:space="preserve"> </w:t>
      </w:r>
      <w:r w:rsidR="00D60AD8">
        <w:t>annually</w:t>
      </w:r>
      <w:r w:rsidR="00D65309">
        <w:t>.</w:t>
      </w:r>
      <w:r w:rsidR="008509D0">
        <w:rPr>
          <w:rStyle w:val="FootnoteReference"/>
        </w:rPr>
        <w:footnoteReference w:id="244"/>
      </w:r>
      <w:r w:rsidR="00322CFF">
        <w:t xml:space="preserve"> </w:t>
      </w:r>
    </w:p>
    <w:p w14:paraId="076E112D" w14:textId="425AF0B8" w:rsidR="00986D78" w:rsidRPr="00EC74C7" w:rsidRDefault="00A000B1" w:rsidP="0001127A">
      <w:r>
        <w:t xml:space="preserve">An MCA assessment was undertaken to compare the merits of </w:t>
      </w:r>
      <w:r w:rsidR="0060038C">
        <w:t>the proposed option</w:t>
      </w:r>
      <w:r>
        <w:t>. The table below show</w:t>
      </w:r>
      <w:r w:rsidR="00924458">
        <w:t>s</w:t>
      </w:r>
      <w:r>
        <w:t xml:space="preserve"> the</w:t>
      </w:r>
      <w:r w:rsidR="00924458">
        <w:t xml:space="preserve"> result of this analysis</w:t>
      </w:r>
      <w:r w:rsidR="00772D1E">
        <w:t>, as scored against the base case</w:t>
      </w:r>
      <w:r w:rsidR="00CA7C40">
        <w:t xml:space="preserve"> for all assessment criteria</w:t>
      </w:r>
      <w:r w:rsidR="00772D1E">
        <w:t>.</w:t>
      </w:r>
    </w:p>
    <w:p w14:paraId="3F98D9A4" w14:textId="77777777" w:rsidR="00D40A3B" w:rsidRDefault="00D40A3B" w:rsidP="00EC4B20">
      <w:pPr>
        <w:pStyle w:val="Figure-Table-BoxSubtitle"/>
        <w:ind w:left="0"/>
        <w:rPr>
          <w:rStyle w:val="Figure-Table-BoxHeadingChar"/>
        </w:rPr>
      </w:pPr>
    </w:p>
    <w:p w14:paraId="7EE2735C" w14:textId="03F74182" w:rsidR="000D2BEC" w:rsidRPr="00EC4B20" w:rsidRDefault="000D2BEC" w:rsidP="00EC4B20">
      <w:pPr>
        <w:pStyle w:val="Figure-Table-BoxSubtitle"/>
        <w:ind w:left="0"/>
      </w:pPr>
      <w:r w:rsidRPr="00EC4B20">
        <w:rPr>
          <w:rStyle w:val="Figure-Table-BoxHeadingChar"/>
        </w:rPr>
        <w:lastRenderedPageBreak/>
        <w:t xml:space="preserve">Table </w:t>
      </w:r>
      <w:r w:rsidR="005F731C" w:rsidRPr="00EC4B20">
        <w:rPr>
          <w:rStyle w:val="Figure-Table-BoxHeadingChar"/>
        </w:rPr>
        <w:t>31:</w:t>
      </w:r>
      <w:r w:rsidRPr="00EC4B20">
        <w:t xml:space="preserve"> MCA Assessment of Option F.</w:t>
      </w:r>
      <w:r w:rsidR="00EE198E" w:rsidRPr="00EC4B20">
        <w:t>1</w:t>
      </w:r>
      <w:r w:rsidR="006A3029" w:rsidRPr="00EC4B20">
        <w:t xml:space="preserve"> against base case</w:t>
      </w:r>
    </w:p>
    <w:tbl>
      <w:tblPr>
        <w:tblW w:w="0" w:type="auto"/>
        <w:tblCellMar>
          <w:left w:w="0" w:type="dxa"/>
          <w:right w:w="0" w:type="dxa"/>
        </w:tblCellMar>
        <w:tblLook w:val="04A0" w:firstRow="1" w:lastRow="0" w:firstColumn="1" w:lastColumn="0" w:noHBand="0" w:noVBand="1"/>
      </w:tblPr>
      <w:tblGrid>
        <w:gridCol w:w="815"/>
        <w:gridCol w:w="1978"/>
        <w:gridCol w:w="4666"/>
        <w:gridCol w:w="956"/>
        <w:gridCol w:w="1223"/>
      </w:tblGrid>
      <w:tr w:rsidR="003A21E0" w14:paraId="0E1735E7" w14:textId="77777777" w:rsidTr="6A5F335F">
        <w:tc>
          <w:tcPr>
            <w:tcW w:w="815" w:type="dxa"/>
            <w:tcBorders>
              <w:top w:val="single" w:sz="4" w:space="0" w:color="4986A0" w:themeColor="accent3"/>
              <w:bottom w:val="single" w:sz="4" w:space="0" w:color="4986A0" w:themeColor="accent3"/>
            </w:tcBorders>
            <w:shd w:val="clear" w:color="auto" w:fill="4986A0" w:themeFill="accent3"/>
            <w:tcMar>
              <w:top w:w="0" w:type="dxa"/>
              <w:left w:w="0" w:type="dxa"/>
              <w:bottom w:w="0" w:type="dxa"/>
              <w:right w:w="0" w:type="dxa"/>
            </w:tcMar>
            <w:hideMark/>
          </w:tcPr>
          <w:p w14:paraId="1ED84202" w14:textId="77777777" w:rsidR="003A21E0" w:rsidRDefault="003A21E0" w:rsidP="008E0813">
            <w:pPr>
              <w:spacing w:before="60" w:after="60" w:line="240" w:lineRule="auto"/>
              <w:jc w:val="center"/>
              <w:rPr>
                <w:color w:val="000000"/>
                <w:sz w:val="20"/>
                <w:szCs w:val="20"/>
              </w:rPr>
            </w:pPr>
            <w:r>
              <w:rPr>
                <w:b/>
                <w:bCs/>
                <w:color w:val="FFFFFF"/>
                <w:sz w:val="20"/>
                <w:szCs w:val="20"/>
              </w:rPr>
              <w:t>Option</w:t>
            </w:r>
          </w:p>
        </w:tc>
        <w:tc>
          <w:tcPr>
            <w:tcW w:w="1978" w:type="dxa"/>
            <w:tcBorders>
              <w:top w:val="single" w:sz="4" w:space="0" w:color="4986A0" w:themeColor="accent3"/>
              <w:bottom w:val="single" w:sz="4" w:space="0" w:color="4986A0" w:themeColor="accent3"/>
            </w:tcBorders>
            <w:shd w:val="clear" w:color="auto" w:fill="4986A0" w:themeFill="accent3"/>
            <w:tcMar>
              <w:top w:w="0" w:type="dxa"/>
              <w:left w:w="123" w:type="dxa"/>
              <w:bottom w:w="0" w:type="dxa"/>
              <w:right w:w="123" w:type="dxa"/>
            </w:tcMar>
            <w:hideMark/>
          </w:tcPr>
          <w:p w14:paraId="696908A9" w14:textId="293943D0" w:rsidR="003A21E0" w:rsidRDefault="003A21E0" w:rsidP="008E0813">
            <w:pPr>
              <w:spacing w:before="60" w:after="60" w:line="240" w:lineRule="auto"/>
              <w:jc w:val="center"/>
              <w:rPr>
                <w:color w:val="000000"/>
                <w:sz w:val="20"/>
                <w:szCs w:val="20"/>
              </w:rPr>
            </w:pPr>
            <w:r>
              <w:rPr>
                <w:b/>
                <w:bCs/>
                <w:color w:val="FFFFFF"/>
                <w:sz w:val="20"/>
                <w:szCs w:val="20"/>
              </w:rPr>
              <w:t>Criteria</w:t>
            </w:r>
          </w:p>
        </w:tc>
        <w:tc>
          <w:tcPr>
            <w:tcW w:w="4666" w:type="dxa"/>
            <w:tcBorders>
              <w:top w:val="single" w:sz="4" w:space="0" w:color="4986A0" w:themeColor="accent3"/>
              <w:bottom w:val="single" w:sz="4" w:space="0" w:color="4986A0" w:themeColor="accent3"/>
            </w:tcBorders>
            <w:shd w:val="clear" w:color="auto" w:fill="4986A0" w:themeFill="accent3"/>
            <w:tcMar>
              <w:top w:w="0" w:type="dxa"/>
              <w:left w:w="123" w:type="dxa"/>
              <w:bottom w:w="0" w:type="dxa"/>
              <w:right w:w="123" w:type="dxa"/>
            </w:tcMar>
            <w:hideMark/>
          </w:tcPr>
          <w:p w14:paraId="7D7E3599" w14:textId="77777777" w:rsidR="003A21E0" w:rsidRDefault="003A21E0" w:rsidP="008E0813">
            <w:pPr>
              <w:spacing w:before="60" w:after="60" w:line="240" w:lineRule="auto"/>
              <w:jc w:val="center"/>
              <w:rPr>
                <w:color w:val="000000"/>
                <w:sz w:val="20"/>
                <w:szCs w:val="20"/>
              </w:rPr>
            </w:pPr>
            <w:r>
              <w:rPr>
                <w:b/>
                <w:bCs/>
                <w:color w:val="FFFFFF"/>
                <w:sz w:val="20"/>
                <w:szCs w:val="20"/>
              </w:rPr>
              <w:t>Assessment</w:t>
            </w:r>
          </w:p>
        </w:tc>
        <w:tc>
          <w:tcPr>
            <w:tcW w:w="956" w:type="dxa"/>
            <w:tcBorders>
              <w:top w:val="single" w:sz="4" w:space="0" w:color="4986A0" w:themeColor="accent3"/>
              <w:bottom w:val="single" w:sz="4" w:space="0" w:color="4986A0" w:themeColor="accent3"/>
            </w:tcBorders>
            <w:shd w:val="clear" w:color="auto" w:fill="4986A0" w:themeFill="accent3"/>
          </w:tcPr>
          <w:p w14:paraId="6B005054" w14:textId="77777777" w:rsidR="008E0813" w:rsidRDefault="006C7024" w:rsidP="008E0813">
            <w:pPr>
              <w:spacing w:before="60" w:after="60" w:line="240" w:lineRule="auto"/>
              <w:jc w:val="center"/>
              <w:rPr>
                <w:b/>
                <w:bCs/>
                <w:color w:val="FFFFFF"/>
                <w:sz w:val="20"/>
                <w:szCs w:val="20"/>
              </w:rPr>
            </w:pPr>
            <w:r>
              <w:rPr>
                <w:b/>
                <w:bCs/>
                <w:color w:val="FFFFFF"/>
                <w:sz w:val="20"/>
                <w:szCs w:val="20"/>
              </w:rPr>
              <w:t>Score</w:t>
            </w:r>
          </w:p>
          <w:p w14:paraId="05701B3D" w14:textId="7C3DD423" w:rsidR="006C7024" w:rsidRDefault="008E0813" w:rsidP="008E0813">
            <w:pPr>
              <w:spacing w:before="60" w:after="60" w:line="240" w:lineRule="auto"/>
              <w:jc w:val="center"/>
              <w:rPr>
                <w:b/>
                <w:bCs/>
                <w:color w:val="FFFFFF"/>
                <w:sz w:val="20"/>
                <w:szCs w:val="20"/>
              </w:rPr>
            </w:pPr>
            <w:r>
              <w:rPr>
                <w:b/>
                <w:bCs/>
                <w:color w:val="FFFFFF"/>
                <w:sz w:val="20"/>
                <w:szCs w:val="20"/>
              </w:rPr>
              <w:t>(-10 to 10)</w:t>
            </w:r>
          </w:p>
        </w:tc>
        <w:tc>
          <w:tcPr>
            <w:tcW w:w="1223" w:type="dxa"/>
            <w:tcBorders>
              <w:top w:val="single" w:sz="4" w:space="0" w:color="4986A0" w:themeColor="accent3"/>
              <w:bottom w:val="single" w:sz="4" w:space="0" w:color="4986A0" w:themeColor="accent3"/>
            </w:tcBorders>
            <w:shd w:val="clear" w:color="auto" w:fill="4986A0" w:themeFill="accent3"/>
            <w:tcMar>
              <w:top w:w="0" w:type="dxa"/>
              <w:left w:w="123" w:type="dxa"/>
              <w:bottom w:w="0" w:type="dxa"/>
              <w:right w:w="123" w:type="dxa"/>
            </w:tcMar>
            <w:hideMark/>
          </w:tcPr>
          <w:p w14:paraId="6DDB3899" w14:textId="77777777" w:rsidR="003A21E0" w:rsidRDefault="003A21E0" w:rsidP="008E0813">
            <w:pPr>
              <w:spacing w:before="60" w:after="60" w:line="240" w:lineRule="auto"/>
              <w:jc w:val="center"/>
              <w:rPr>
                <w:color w:val="000000"/>
                <w:sz w:val="20"/>
                <w:szCs w:val="20"/>
              </w:rPr>
            </w:pPr>
            <w:r>
              <w:rPr>
                <w:b/>
                <w:bCs/>
                <w:color w:val="FFFFFF"/>
                <w:sz w:val="20"/>
                <w:szCs w:val="20"/>
              </w:rPr>
              <w:t>Weighted score</w:t>
            </w:r>
          </w:p>
        </w:tc>
      </w:tr>
      <w:tr w:rsidR="003A21E0" w14:paraId="0DBBA3D3" w14:textId="77777777" w:rsidTr="6A5F335F">
        <w:tc>
          <w:tcPr>
            <w:tcW w:w="815" w:type="dxa"/>
            <w:shd w:val="clear" w:color="auto" w:fill="F2F2F2" w:themeFill="background1" w:themeFillShade="F2"/>
            <w:tcMar>
              <w:top w:w="0" w:type="dxa"/>
              <w:left w:w="0" w:type="dxa"/>
              <w:bottom w:w="0" w:type="dxa"/>
              <w:right w:w="0" w:type="dxa"/>
            </w:tcMar>
            <w:hideMark/>
          </w:tcPr>
          <w:p w14:paraId="3D704B1D" w14:textId="77777777" w:rsidR="003A21E0" w:rsidRDefault="003A21E0">
            <w:pPr>
              <w:spacing w:after="120" w:line="240" w:lineRule="auto"/>
              <w:rPr>
                <w:color w:val="000000"/>
                <w:sz w:val="20"/>
                <w:szCs w:val="20"/>
              </w:rPr>
            </w:pPr>
            <w:r>
              <w:rPr>
                <w:color w:val="000000"/>
                <w:sz w:val="20"/>
                <w:szCs w:val="20"/>
              </w:rPr>
              <w:t>F.1</w:t>
            </w:r>
          </w:p>
        </w:tc>
        <w:tc>
          <w:tcPr>
            <w:tcW w:w="1978" w:type="dxa"/>
            <w:shd w:val="clear" w:color="auto" w:fill="F2F2F2" w:themeFill="background1" w:themeFillShade="F2"/>
            <w:tcMar>
              <w:top w:w="0" w:type="dxa"/>
              <w:left w:w="123" w:type="dxa"/>
              <w:bottom w:w="0" w:type="dxa"/>
              <w:right w:w="123" w:type="dxa"/>
            </w:tcMar>
            <w:hideMark/>
          </w:tcPr>
          <w:p w14:paraId="72588C22" w14:textId="77777777" w:rsidR="003A21E0" w:rsidRDefault="003A21E0">
            <w:pPr>
              <w:spacing w:after="120" w:line="240" w:lineRule="auto"/>
              <w:rPr>
                <w:color w:val="000000"/>
                <w:sz w:val="20"/>
                <w:szCs w:val="20"/>
              </w:rPr>
            </w:pPr>
            <w:r>
              <w:rPr>
                <w:color w:val="000000"/>
                <w:sz w:val="20"/>
                <w:szCs w:val="20"/>
              </w:rPr>
              <w:t>Effectiveness</w:t>
            </w:r>
          </w:p>
          <w:p w14:paraId="742DD329" w14:textId="77777777" w:rsidR="00EE7EB9" w:rsidRDefault="00EE7EB9" w:rsidP="00EE7EB9">
            <w:pPr>
              <w:spacing w:after="120" w:line="240" w:lineRule="auto"/>
              <w:rPr>
                <w:color w:val="000000"/>
                <w:sz w:val="20"/>
                <w:szCs w:val="20"/>
              </w:rPr>
            </w:pPr>
            <w:r>
              <w:rPr>
                <w:color w:val="000000"/>
                <w:sz w:val="20"/>
                <w:szCs w:val="20"/>
              </w:rPr>
              <w:t>Reform objectives:</w:t>
            </w:r>
          </w:p>
          <w:p w14:paraId="5C81556C" w14:textId="77777777" w:rsidR="00EE7EB9" w:rsidRDefault="00EE7EB9" w:rsidP="00B43F3C">
            <w:pPr>
              <w:pStyle w:val="ListParagraph"/>
              <w:numPr>
                <w:ilvl w:val="0"/>
                <w:numId w:val="27"/>
              </w:numPr>
              <w:spacing w:after="120" w:line="240" w:lineRule="auto"/>
              <w:ind w:left="201" w:hanging="201"/>
              <w:rPr>
                <w:color w:val="000000"/>
                <w:sz w:val="20"/>
                <w:szCs w:val="20"/>
              </w:rPr>
            </w:pPr>
            <w:r w:rsidRPr="00EE7EB9">
              <w:rPr>
                <w:color w:val="000000"/>
                <w:sz w:val="20"/>
                <w:szCs w:val="20"/>
              </w:rPr>
              <w:t>to help households pay less for energy</w:t>
            </w:r>
            <w:r w:rsidR="00804C6E">
              <w:rPr>
                <w:color w:val="000000"/>
                <w:sz w:val="20"/>
                <w:szCs w:val="20"/>
              </w:rPr>
              <w:t>.</w:t>
            </w:r>
          </w:p>
          <w:p w14:paraId="4AE0161B" w14:textId="77777777" w:rsidR="00A10C4A" w:rsidRDefault="00A10C4A" w:rsidP="00BA6BDF">
            <w:pPr>
              <w:spacing w:after="120" w:line="240" w:lineRule="auto"/>
              <w:rPr>
                <w:b/>
                <w:bCs/>
                <w:color w:val="000000"/>
                <w:sz w:val="20"/>
                <w:szCs w:val="20"/>
              </w:rPr>
            </w:pPr>
          </w:p>
          <w:p w14:paraId="17FE5A39" w14:textId="5B447FCF" w:rsidR="00EE7EB9" w:rsidRPr="00BA6BDF" w:rsidRDefault="00BA6BDF" w:rsidP="00BA6BDF">
            <w:pPr>
              <w:spacing w:after="120" w:line="240" w:lineRule="auto"/>
              <w:rPr>
                <w:b/>
                <w:color w:val="000000"/>
                <w:sz w:val="20"/>
                <w:szCs w:val="20"/>
              </w:rPr>
            </w:pPr>
            <w:r w:rsidRPr="00BA6BDF">
              <w:rPr>
                <w:b/>
                <w:bCs/>
                <w:color w:val="000000"/>
                <w:sz w:val="20"/>
                <w:szCs w:val="20"/>
              </w:rPr>
              <w:t>(</w:t>
            </w:r>
            <w:r w:rsidR="0060634C">
              <w:rPr>
                <w:b/>
                <w:bCs/>
                <w:color w:val="000000"/>
                <w:sz w:val="20"/>
                <w:szCs w:val="20"/>
              </w:rPr>
              <w:t>w</w:t>
            </w:r>
            <w:r w:rsidRPr="00BA6BDF">
              <w:rPr>
                <w:b/>
                <w:bCs/>
                <w:color w:val="000000"/>
                <w:sz w:val="20"/>
                <w:szCs w:val="20"/>
              </w:rPr>
              <w:t>eighting 50%)</w:t>
            </w:r>
          </w:p>
        </w:tc>
        <w:tc>
          <w:tcPr>
            <w:tcW w:w="4666" w:type="dxa"/>
            <w:shd w:val="clear" w:color="auto" w:fill="F2F2F2" w:themeFill="background1" w:themeFillShade="F2"/>
            <w:tcMar>
              <w:top w:w="0" w:type="dxa"/>
              <w:left w:w="123" w:type="dxa"/>
              <w:bottom w:w="0" w:type="dxa"/>
              <w:right w:w="123" w:type="dxa"/>
            </w:tcMar>
            <w:hideMark/>
          </w:tcPr>
          <w:p w14:paraId="6A63E0BB" w14:textId="4A8003E3" w:rsidR="00A25D53" w:rsidRDefault="00683C12">
            <w:pPr>
              <w:spacing w:after="120" w:line="240" w:lineRule="auto"/>
              <w:rPr>
                <w:color w:val="000000"/>
                <w:sz w:val="20"/>
                <w:szCs w:val="20"/>
              </w:rPr>
            </w:pPr>
            <w:r>
              <w:rPr>
                <w:color w:val="000000"/>
                <w:sz w:val="20"/>
                <w:szCs w:val="20"/>
              </w:rPr>
              <w:t xml:space="preserve">Although </w:t>
            </w:r>
            <w:r w:rsidR="0014355E">
              <w:rPr>
                <w:color w:val="000000"/>
                <w:sz w:val="20"/>
                <w:szCs w:val="20"/>
              </w:rPr>
              <w:t xml:space="preserve">this </w:t>
            </w:r>
            <w:r w:rsidR="00C77E38">
              <w:rPr>
                <w:color w:val="000000"/>
                <w:sz w:val="20"/>
                <w:szCs w:val="20"/>
              </w:rPr>
              <w:t>option</w:t>
            </w:r>
            <w:r>
              <w:rPr>
                <w:color w:val="000000"/>
                <w:sz w:val="20"/>
                <w:szCs w:val="20"/>
              </w:rPr>
              <w:t xml:space="preserve"> do</w:t>
            </w:r>
            <w:r w:rsidR="00C77E38">
              <w:rPr>
                <w:color w:val="000000"/>
                <w:sz w:val="20"/>
                <w:szCs w:val="20"/>
              </w:rPr>
              <w:t>es</w:t>
            </w:r>
            <w:r>
              <w:rPr>
                <w:color w:val="000000"/>
                <w:sz w:val="20"/>
                <w:szCs w:val="20"/>
              </w:rPr>
              <w:t xml:space="preserve"> not require customers on legacy contracts to be</w:t>
            </w:r>
            <w:r w:rsidR="00E81E8F">
              <w:rPr>
                <w:color w:val="000000"/>
                <w:sz w:val="20"/>
                <w:szCs w:val="20"/>
              </w:rPr>
              <w:t xml:space="preserve"> moved to newer contracts (which would be fully covered by all current protections), </w:t>
            </w:r>
            <w:r w:rsidR="00223C82">
              <w:rPr>
                <w:color w:val="000000"/>
                <w:sz w:val="20"/>
                <w:szCs w:val="20"/>
              </w:rPr>
              <w:t>it protects these customers from experiencing sudden high price penalties for failing to meet</w:t>
            </w:r>
            <w:r w:rsidR="005430F3">
              <w:rPr>
                <w:color w:val="000000"/>
                <w:sz w:val="20"/>
                <w:szCs w:val="20"/>
              </w:rPr>
              <w:t xml:space="preserve"> discount conditions.</w:t>
            </w:r>
            <w:r w:rsidR="00C235EB">
              <w:rPr>
                <w:color w:val="000000"/>
                <w:sz w:val="20"/>
                <w:szCs w:val="20"/>
              </w:rPr>
              <w:t xml:space="preserve"> </w:t>
            </w:r>
            <w:r w:rsidR="005746E9">
              <w:rPr>
                <w:color w:val="000000"/>
                <w:sz w:val="20"/>
                <w:szCs w:val="20"/>
              </w:rPr>
              <w:t xml:space="preserve">As retailers </w:t>
            </w:r>
            <w:r w:rsidR="00B229F8">
              <w:rPr>
                <w:color w:val="000000"/>
                <w:sz w:val="20"/>
                <w:szCs w:val="20"/>
              </w:rPr>
              <w:t>would be required to</w:t>
            </w:r>
            <w:r w:rsidR="00696B38">
              <w:rPr>
                <w:color w:val="000000"/>
                <w:sz w:val="20"/>
                <w:szCs w:val="20"/>
              </w:rPr>
              <w:t xml:space="preserve"> </w:t>
            </w:r>
            <w:r w:rsidR="00CC6D88">
              <w:rPr>
                <w:color w:val="000000"/>
                <w:sz w:val="20"/>
                <w:szCs w:val="20"/>
              </w:rPr>
              <w:t xml:space="preserve">apply these discounts unconditionally, </w:t>
            </w:r>
            <w:r w:rsidR="00F673D6">
              <w:rPr>
                <w:color w:val="000000"/>
                <w:sz w:val="20"/>
                <w:szCs w:val="20"/>
              </w:rPr>
              <w:t xml:space="preserve">customers </w:t>
            </w:r>
            <w:r w:rsidR="00AD2DE2">
              <w:rPr>
                <w:color w:val="000000"/>
                <w:sz w:val="20"/>
                <w:szCs w:val="20"/>
              </w:rPr>
              <w:t xml:space="preserve">will </w:t>
            </w:r>
            <w:r w:rsidR="00DA4C60">
              <w:rPr>
                <w:color w:val="000000"/>
                <w:sz w:val="20"/>
                <w:szCs w:val="20"/>
              </w:rPr>
              <w:t>not be exposed</w:t>
            </w:r>
            <w:r w:rsidR="00AD2DE2">
              <w:rPr>
                <w:color w:val="000000"/>
                <w:sz w:val="20"/>
                <w:szCs w:val="20"/>
              </w:rPr>
              <w:t xml:space="preserve"> to sudden price penalties associated with </w:t>
            </w:r>
            <w:r w:rsidR="00273FDB">
              <w:rPr>
                <w:color w:val="000000"/>
                <w:sz w:val="20"/>
                <w:szCs w:val="20"/>
              </w:rPr>
              <w:t xml:space="preserve">not meeting the conditions of high percentage discounts. </w:t>
            </w:r>
          </w:p>
          <w:p w14:paraId="3C27AF93" w14:textId="62D5B746" w:rsidR="006F02F1" w:rsidRDefault="00273FDB">
            <w:pPr>
              <w:spacing w:after="120" w:line="240" w:lineRule="auto"/>
              <w:rPr>
                <w:color w:val="000000"/>
                <w:sz w:val="20"/>
                <w:szCs w:val="20"/>
              </w:rPr>
            </w:pPr>
            <w:r>
              <w:rPr>
                <w:color w:val="000000"/>
                <w:sz w:val="20"/>
                <w:szCs w:val="20"/>
              </w:rPr>
              <w:t xml:space="preserve">While the </w:t>
            </w:r>
            <w:r w:rsidR="00235AF7">
              <w:rPr>
                <w:color w:val="000000"/>
                <w:sz w:val="20"/>
                <w:szCs w:val="20"/>
              </w:rPr>
              <w:t xml:space="preserve">number of customers that will benefit from these protections is small, it is still estimated that this will </w:t>
            </w:r>
            <w:r w:rsidR="00090B08">
              <w:rPr>
                <w:color w:val="000000"/>
                <w:sz w:val="20"/>
                <w:szCs w:val="20"/>
              </w:rPr>
              <w:t xml:space="preserve">result in </w:t>
            </w:r>
            <w:r w:rsidR="0013601A">
              <w:rPr>
                <w:color w:val="000000"/>
                <w:sz w:val="20"/>
                <w:szCs w:val="20"/>
              </w:rPr>
              <w:t>significant annual</w:t>
            </w:r>
            <w:r w:rsidR="00090B08">
              <w:rPr>
                <w:color w:val="000000"/>
                <w:sz w:val="20"/>
                <w:szCs w:val="20"/>
              </w:rPr>
              <w:t xml:space="preserve"> savings for </w:t>
            </w:r>
            <w:r w:rsidR="0013601A">
              <w:rPr>
                <w:color w:val="000000"/>
                <w:sz w:val="20"/>
                <w:szCs w:val="20"/>
              </w:rPr>
              <w:t>impacted customers</w:t>
            </w:r>
            <w:r w:rsidR="00A25D53">
              <w:rPr>
                <w:color w:val="000000"/>
                <w:sz w:val="20"/>
                <w:szCs w:val="20"/>
              </w:rPr>
              <w:t xml:space="preserve">. </w:t>
            </w:r>
            <w:r w:rsidR="005D7903">
              <w:rPr>
                <w:color w:val="000000"/>
                <w:sz w:val="20"/>
                <w:szCs w:val="20"/>
              </w:rPr>
              <w:t xml:space="preserve">It is also understood that </w:t>
            </w:r>
            <w:r w:rsidR="007554BE">
              <w:rPr>
                <w:color w:val="000000"/>
                <w:sz w:val="20"/>
                <w:szCs w:val="20"/>
              </w:rPr>
              <w:t xml:space="preserve">the </w:t>
            </w:r>
            <w:r w:rsidR="00E917E0">
              <w:rPr>
                <w:color w:val="000000"/>
                <w:sz w:val="20"/>
                <w:szCs w:val="20"/>
              </w:rPr>
              <w:t xml:space="preserve">customers </w:t>
            </w:r>
            <w:r w:rsidR="007554BE">
              <w:rPr>
                <w:color w:val="000000"/>
                <w:sz w:val="20"/>
                <w:szCs w:val="20"/>
              </w:rPr>
              <w:t xml:space="preserve">who will </w:t>
            </w:r>
            <w:r w:rsidR="00E917E0">
              <w:rPr>
                <w:color w:val="000000"/>
                <w:sz w:val="20"/>
                <w:szCs w:val="20"/>
              </w:rPr>
              <w:t xml:space="preserve">benefit from these protections may </w:t>
            </w:r>
            <w:r w:rsidR="007A2074">
              <w:rPr>
                <w:color w:val="000000"/>
                <w:sz w:val="20"/>
                <w:szCs w:val="20"/>
              </w:rPr>
              <w:t xml:space="preserve">include </w:t>
            </w:r>
            <w:r w:rsidR="007554BE">
              <w:rPr>
                <w:color w:val="000000"/>
                <w:sz w:val="20"/>
                <w:szCs w:val="20"/>
              </w:rPr>
              <w:t>proportionally</w:t>
            </w:r>
            <w:r w:rsidR="007A2074">
              <w:rPr>
                <w:color w:val="000000"/>
                <w:sz w:val="20"/>
                <w:szCs w:val="20"/>
              </w:rPr>
              <w:t xml:space="preserve"> significant amounts of customers from groups at higher risk of experiencing vulnerability, such as c</w:t>
            </w:r>
            <w:r w:rsidR="00E917E0" w:rsidRPr="00E917E0">
              <w:rPr>
                <w:color w:val="000000"/>
                <w:sz w:val="20"/>
                <w:szCs w:val="20"/>
              </w:rPr>
              <w:t>ulturally and linguistically diverse</w:t>
            </w:r>
            <w:r w:rsidR="007A2074">
              <w:rPr>
                <w:color w:val="000000"/>
                <w:sz w:val="20"/>
                <w:szCs w:val="20"/>
              </w:rPr>
              <w:t xml:space="preserve"> customers or customers</w:t>
            </w:r>
            <w:r w:rsidR="00E917E0" w:rsidRPr="00E917E0">
              <w:rPr>
                <w:color w:val="000000"/>
                <w:sz w:val="20"/>
                <w:szCs w:val="20"/>
              </w:rPr>
              <w:t xml:space="preserve"> experiencing family violence</w:t>
            </w:r>
            <w:r w:rsidR="007A2074">
              <w:rPr>
                <w:color w:val="000000"/>
                <w:sz w:val="20"/>
                <w:szCs w:val="20"/>
              </w:rPr>
              <w:t xml:space="preserve">. </w:t>
            </w:r>
            <w:r w:rsidR="00A25D53">
              <w:rPr>
                <w:color w:val="000000"/>
                <w:sz w:val="20"/>
                <w:szCs w:val="20"/>
              </w:rPr>
              <w:t>Th</w:t>
            </w:r>
            <w:r w:rsidR="007554BE">
              <w:rPr>
                <w:color w:val="000000"/>
                <w:sz w:val="20"/>
                <w:szCs w:val="20"/>
              </w:rPr>
              <w:t>e</w:t>
            </w:r>
            <w:r w:rsidR="00A25D53">
              <w:rPr>
                <w:color w:val="000000"/>
                <w:sz w:val="20"/>
                <w:szCs w:val="20"/>
              </w:rPr>
              <w:t xml:space="preserve"> </w:t>
            </w:r>
            <w:r w:rsidR="007A2074">
              <w:rPr>
                <w:color w:val="000000"/>
                <w:sz w:val="20"/>
                <w:szCs w:val="20"/>
              </w:rPr>
              <w:t xml:space="preserve">estimated </w:t>
            </w:r>
            <w:r w:rsidR="00637386">
              <w:rPr>
                <w:color w:val="000000"/>
                <w:sz w:val="20"/>
                <w:szCs w:val="20"/>
              </w:rPr>
              <w:t>savings figure</w:t>
            </w:r>
            <w:r w:rsidR="00A25D53">
              <w:rPr>
                <w:color w:val="000000"/>
                <w:sz w:val="20"/>
                <w:szCs w:val="20"/>
              </w:rPr>
              <w:t xml:space="preserve"> is expected to continue to reduce </w:t>
            </w:r>
            <w:r w:rsidR="00B70DDF">
              <w:rPr>
                <w:color w:val="000000"/>
                <w:sz w:val="20"/>
                <w:szCs w:val="20"/>
              </w:rPr>
              <w:t>as the number of customers on legacy contracts (entered into pre-1 July 2020) continues to decline year-</w:t>
            </w:r>
            <w:r w:rsidR="00023657">
              <w:rPr>
                <w:color w:val="000000"/>
                <w:sz w:val="20"/>
                <w:szCs w:val="20"/>
              </w:rPr>
              <w:t>by</w:t>
            </w:r>
            <w:r w:rsidR="00B70DDF">
              <w:rPr>
                <w:color w:val="000000"/>
                <w:sz w:val="20"/>
                <w:szCs w:val="20"/>
              </w:rPr>
              <w:t xml:space="preserve">-year. </w:t>
            </w:r>
            <w:r w:rsidR="00E81E8F">
              <w:rPr>
                <w:color w:val="000000"/>
                <w:sz w:val="20"/>
                <w:szCs w:val="20"/>
              </w:rPr>
              <w:br/>
            </w:r>
            <w:r w:rsidR="00E81E8F">
              <w:rPr>
                <w:color w:val="000000"/>
                <w:sz w:val="20"/>
                <w:szCs w:val="20"/>
              </w:rPr>
              <w:br/>
            </w:r>
            <w:r w:rsidR="00B70DDF">
              <w:rPr>
                <w:color w:val="000000"/>
                <w:sz w:val="20"/>
                <w:szCs w:val="20"/>
              </w:rPr>
              <w:t>The effectiveness score</w:t>
            </w:r>
            <w:r w:rsidR="0000228F">
              <w:rPr>
                <w:color w:val="000000"/>
                <w:sz w:val="20"/>
                <w:szCs w:val="20"/>
              </w:rPr>
              <w:t xml:space="preserve"> for this option</w:t>
            </w:r>
            <w:r w:rsidR="00B70DDF">
              <w:rPr>
                <w:color w:val="000000"/>
                <w:sz w:val="20"/>
                <w:szCs w:val="20"/>
              </w:rPr>
              <w:t xml:space="preserve"> is </w:t>
            </w:r>
            <w:r w:rsidR="0000228F">
              <w:rPr>
                <w:color w:val="000000"/>
                <w:sz w:val="20"/>
                <w:szCs w:val="20"/>
              </w:rPr>
              <w:t xml:space="preserve">also </w:t>
            </w:r>
            <w:r w:rsidR="00B70DDF">
              <w:rPr>
                <w:color w:val="000000"/>
                <w:sz w:val="20"/>
                <w:szCs w:val="20"/>
              </w:rPr>
              <w:t xml:space="preserve">slightly reduced because it is not considered feasible to </w:t>
            </w:r>
            <w:r w:rsidR="00915F36">
              <w:rPr>
                <w:color w:val="000000"/>
                <w:sz w:val="20"/>
                <w:szCs w:val="20"/>
              </w:rPr>
              <w:t>re</w:t>
            </w:r>
            <w:r w:rsidR="00B2104F">
              <w:rPr>
                <w:color w:val="000000"/>
                <w:sz w:val="20"/>
                <w:szCs w:val="20"/>
              </w:rPr>
              <w:t>-</w:t>
            </w:r>
            <w:r w:rsidR="00915F36">
              <w:rPr>
                <w:color w:val="000000"/>
                <w:sz w:val="20"/>
                <w:szCs w:val="20"/>
              </w:rPr>
              <w:t>activ</w:t>
            </w:r>
            <w:r w:rsidR="00B2104F">
              <w:rPr>
                <w:color w:val="000000"/>
                <w:sz w:val="20"/>
                <w:szCs w:val="20"/>
              </w:rPr>
              <w:t>ate</w:t>
            </w:r>
            <w:r w:rsidR="009973B4">
              <w:rPr>
                <w:color w:val="000000"/>
                <w:sz w:val="20"/>
                <w:szCs w:val="20"/>
              </w:rPr>
              <w:t xml:space="preserve"> </w:t>
            </w:r>
            <w:r w:rsidR="00C16FF6">
              <w:rPr>
                <w:color w:val="000000"/>
                <w:sz w:val="20"/>
                <w:szCs w:val="20"/>
              </w:rPr>
              <w:t xml:space="preserve">any </w:t>
            </w:r>
            <w:r w:rsidR="009973B4">
              <w:rPr>
                <w:color w:val="000000"/>
                <w:sz w:val="20"/>
                <w:szCs w:val="20"/>
              </w:rPr>
              <w:t xml:space="preserve">expired </w:t>
            </w:r>
            <w:r w:rsidR="00C16FF6">
              <w:rPr>
                <w:color w:val="000000"/>
                <w:sz w:val="20"/>
                <w:szCs w:val="20"/>
              </w:rPr>
              <w:t xml:space="preserve">contract </w:t>
            </w:r>
            <w:r w:rsidR="009973B4">
              <w:rPr>
                <w:color w:val="000000"/>
                <w:sz w:val="20"/>
                <w:szCs w:val="20"/>
              </w:rPr>
              <w:t>benefits</w:t>
            </w:r>
            <w:r w:rsidR="00787221">
              <w:rPr>
                <w:color w:val="000000"/>
                <w:sz w:val="20"/>
                <w:szCs w:val="20"/>
              </w:rPr>
              <w:t xml:space="preserve"> on legacy c</w:t>
            </w:r>
            <w:r w:rsidR="0000228F">
              <w:rPr>
                <w:color w:val="000000"/>
                <w:sz w:val="20"/>
                <w:szCs w:val="20"/>
              </w:rPr>
              <w:t xml:space="preserve">ontracts. Retailers would not be expected to </w:t>
            </w:r>
            <w:r w:rsidR="0076228F">
              <w:rPr>
                <w:color w:val="000000"/>
                <w:sz w:val="20"/>
                <w:szCs w:val="20"/>
              </w:rPr>
              <w:t xml:space="preserve">do this and customers on legacy contracts would not be able to re-access any benefits that have expired prior to </w:t>
            </w:r>
            <w:r w:rsidR="00741A0B">
              <w:rPr>
                <w:color w:val="000000"/>
                <w:sz w:val="20"/>
                <w:szCs w:val="20"/>
              </w:rPr>
              <w:t>the</w:t>
            </w:r>
            <w:r w:rsidR="0076228F">
              <w:rPr>
                <w:color w:val="000000"/>
                <w:sz w:val="20"/>
                <w:szCs w:val="20"/>
              </w:rPr>
              <w:t xml:space="preserve"> commencement of these reforms.</w:t>
            </w:r>
          </w:p>
          <w:p w14:paraId="13D80983" w14:textId="0FEF0025" w:rsidR="003A21E0" w:rsidRDefault="003A21E0">
            <w:pPr>
              <w:spacing w:after="120" w:line="240" w:lineRule="auto"/>
              <w:rPr>
                <w:color w:val="000000"/>
                <w:sz w:val="20"/>
                <w:szCs w:val="20"/>
              </w:rPr>
            </w:pPr>
          </w:p>
        </w:tc>
        <w:tc>
          <w:tcPr>
            <w:tcW w:w="956" w:type="dxa"/>
            <w:shd w:val="clear" w:color="auto" w:fill="F2F2F2" w:themeFill="background1" w:themeFillShade="F2"/>
          </w:tcPr>
          <w:p w14:paraId="16752070" w14:textId="308B7D57" w:rsidR="006C7024" w:rsidRDefault="006C7024">
            <w:pPr>
              <w:spacing w:after="120" w:line="240" w:lineRule="auto"/>
              <w:ind w:right="314"/>
              <w:jc w:val="right"/>
              <w:rPr>
                <w:color w:val="000000"/>
                <w:sz w:val="20"/>
                <w:szCs w:val="20"/>
              </w:rPr>
            </w:pPr>
            <w:r>
              <w:rPr>
                <w:color w:val="000000"/>
                <w:sz w:val="20"/>
                <w:szCs w:val="20"/>
              </w:rPr>
              <w:t>3</w:t>
            </w:r>
          </w:p>
        </w:tc>
        <w:tc>
          <w:tcPr>
            <w:tcW w:w="1223" w:type="dxa"/>
            <w:shd w:val="clear" w:color="auto" w:fill="F2F2F2" w:themeFill="background1" w:themeFillShade="F2"/>
            <w:tcMar>
              <w:top w:w="0" w:type="dxa"/>
              <w:left w:w="123" w:type="dxa"/>
              <w:bottom w:w="0" w:type="dxa"/>
              <w:right w:w="123" w:type="dxa"/>
            </w:tcMar>
            <w:hideMark/>
          </w:tcPr>
          <w:p w14:paraId="61F1A108" w14:textId="77777777" w:rsidR="003A21E0" w:rsidRDefault="003A21E0">
            <w:pPr>
              <w:spacing w:after="120" w:line="240" w:lineRule="auto"/>
              <w:ind w:right="314"/>
              <w:jc w:val="right"/>
              <w:rPr>
                <w:color w:val="000000"/>
                <w:sz w:val="20"/>
                <w:szCs w:val="20"/>
              </w:rPr>
            </w:pPr>
            <w:r>
              <w:rPr>
                <w:color w:val="000000"/>
                <w:sz w:val="20"/>
                <w:szCs w:val="20"/>
              </w:rPr>
              <w:t>1.5</w:t>
            </w:r>
          </w:p>
        </w:tc>
      </w:tr>
      <w:tr w:rsidR="003A21E0" w14:paraId="4540FC08" w14:textId="77777777" w:rsidTr="002C51BA">
        <w:tc>
          <w:tcPr>
            <w:tcW w:w="815" w:type="dxa"/>
            <w:tcMar>
              <w:top w:w="0" w:type="dxa"/>
              <w:left w:w="0" w:type="dxa"/>
              <w:bottom w:w="0" w:type="dxa"/>
              <w:right w:w="0" w:type="dxa"/>
            </w:tcMar>
            <w:hideMark/>
          </w:tcPr>
          <w:p w14:paraId="7288890D" w14:textId="77777777" w:rsidR="003A21E0" w:rsidRDefault="003A21E0">
            <w:pPr>
              <w:spacing w:after="120" w:line="240" w:lineRule="auto"/>
              <w:rPr>
                <w:color w:val="000000"/>
                <w:sz w:val="20"/>
                <w:szCs w:val="20"/>
              </w:rPr>
            </w:pPr>
            <w:r>
              <w:rPr>
                <w:color w:val="000000"/>
                <w:sz w:val="20"/>
                <w:szCs w:val="20"/>
              </w:rPr>
              <w:t>F.1</w:t>
            </w:r>
          </w:p>
        </w:tc>
        <w:tc>
          <w:tcPr>
            <w:tcW w:w="1978" w:type="dxa"/>
            <w:tcMar>
              <w:top w:w="0" w:type="dxa"/>
              <w:left w:w="123" w:type="dxa"/>
              <w:bottom w:w="0" w:type="dxa"/>
              <w:right w:w="123" w:type="dxa"/>
            </w:tcMar>
            <w:hideMark/>
          </w:tcPr>
          <w:p w14:paraId="5B4C212C" w14:textId="77777777" w:rsidR="003A21E0" w:rsidRDefault="003A21E0">
            <w:pPr>
              <w:spacing w:after="120" w:line="240" w:lineRule="auto"/>
              <w:rPr>
                <w:color w:val="000000"/>
                <w:sz w:val="20"/>
                <w:szCs w:val="20"/>
              </w:rPr>
            </w:pPr>
            <w:r>
              <w:rPr>
                <w:color w:val="000000"/>
                <w:sz w:val="20"/>
                <w:szCs w:val="20"/>
              </w:rPr>
              <w:t>Cost to industry</w:t>
            </w:r>
          </w:p>
          <w:p w14:paraId="0912F3E3" w14:textId="77777777" w:rsidR="00A10C4A" w:rsidRDefault="00A10C4A">
            <w:pPr>
              <w:spacing w:after="120" w:line="240" w:lineRule="auto"/>
              <w:rPr>
                <w:b/>
                <w:bCs/>
                <w:color w:val="000000"/>
                <w:sz w:val="20"/>
                <w:szCs w:val="20"/>
              </w:rPr>
            </w:pPr>
          </w:p>
          <w:p w14:paraId="7AFEA8C9" w14:textId="0A68DD65" w:rsidR="003A21E0" w:rsidRPr="00A10C4A" w:rsidRDefault="00A10C4A">
            <w:pPr>
              <w:spacing w:after="120" w:line="240" w:lineRule="auto"/>
              <w:rPr>
                <w:b/>
                <w:color w:val="000000"/>
                <w:sz w:val="20"/>
                <w:szCs w:val="20"/>
              </w:rPr>
            </w:pPr>
            <w:r w:rsidRPr="00A10C4A">
              <w:rPr>
                <w:b/>
                <w:bCs/>
                <w:color w:val="000000"/>
                <w:sz w:val="20"/>
                <w:szCs w:val="20"/>
              </w:rPr>
              <w:t>(</w:t>
            </w:r>
            <w:r w:rsidR="0060634C">
              <w:rPr>
                <w:b/>
                <w:bCs/>
                <w:color w:val="000000"/>
                <w:sz w:val="20"/>
                <w:szCs w:val="20"/>
              </w:rPr>
              <w:t>w</w:t>
            </w:r>
            <w:r w:rsidRPr="00A10C4A">
              <w:rPr>
                <w:b/>
                <w:bCs/>
                <w:color w:val="000000"/>
                <w:sz w:val="20"/>
                <w:szCs w:val="20"/>
              </w:rPr>
              <w:t>eighting 40%)</w:t>
            </w:r>
          </w:p>
        </w:tc>
        <w:tc>
          <w:tcPr>
            <w:tcW w:w="4666" w:type="dxa"/>
            <w:tcMar>
              <w:top w:w="0" w:type="dxa"/>
              <w:left w:w="123" w:type="dxa"/>
              <w:bottom w:w="0" w:type="dxa"/>
              <w:right w:w="123" w:type="dxa"/>
            </w:tcMar>
            <w:hideMark/>
          </w:tcPr>
          <w:p w14:paraId="0FBA23FD" w14:textId="0AC73A0F" w:rsidR="00933A1A" w:rsidRPr="00933A1A" w:rsidRDefault="00933A1A" w:rsidP="00C8672E">
            <w:pPr>
              <w:spacing w:after="120" w:line="240" w:lineRule="auto"/>
              <w:rPr>
                <w:color w:val="000000"/>
                <w:sz w:val="20"/>
                <w:szCs w:val="20"/>
                <w:u w:val="single"/>
              </w:rPr>
            </w:pPr>
            <w:r w:rsidRPr="00933A1A">
              <w:rPr>
                <w:color w:val="000000"/>
                <w:sz w:val="20"/>
                <w:szCs w:val="20"/>
                <w:u w:val="single"/>
              </w:rPr>
              <w:t>Compliance costs</w:t>
            </w:r>
          </w:p>
          <w:p w14:paraId="22D34E0E" w14:textId="70588A2F" w:rsidR="001E69EE" w:rsidRDefault="009E565D" w:rsidP="00C8672E">
            <w:pPr>
              <w:spacing w:after="120" w:line="240" w:lineRule="auto"/>
              <w:rPr>
                <w:color w:val="000000"/>
                <w:sz w:val="20"/>
                <w:szCs w:val="20"/>
              </w:rPr>
            </w:pPr>
            <w:r>
              <w:rPr>
                <w:color w:val="000000"/>
                <w:sz w:val="20"/>
                <w:szCs w:val="20"/>
              </w:rPr>
              <w:t>Industry costs</w:t>
            </w:r>
            <w:r w:rsidR="00792FC2">
              <w:rPr>
                <w:color w:val="000000"/>
                <w:sz w:val="20"/>
                <w:szCs w:val="20"/>
              </w:rPr>
              <w:t xml:space="preserve"> </w:t>
            </w:r>
            <w:r w:rsidR="004853C3">
              <w:rPr>
                <w:color w:val="000000"/>
                <w:sz w:val="20"/>
                <w:szCs w:val="20"/>
              </w:rPr>
              <w:t xml:space="preserve">under this option are expected to be relatively minor. </w:t>
            </w:r>
            <w:r w:rsidR="003B7FC4">
              <w:rPr>
                <w:color w:val="000000"/>
                <w:sz w:val="20"/>
                <w:szCs w:val="20"/>
              </w:rPr>
              <w:t xml:space="preserve">Retailers would not be required to contact customers on legacy contracts to seek consent to alter contract details </w:t>
            </w:r>
            <w:r w:rsidR="00C8672E">
              <w:rPr>
                <w:color w:val="000000"/>
                <w:sz w:val="20"/>
                <w:szCs w:val="20"/>
              </w:rPr>
              <w:t>or move these customers on to newer plans. Retailers are also already requi</w:t>
            </w:r>
            <w:r w:rsidR="004853C3">
              <w:rPr>
                <w:color w:val="000000"/>
                <w:sz w:val="20"/>
                <w:szCs w:val="20"/>
              </w:rPr>
              <w:t xml:space="preserve">red to </w:t>
            </w:r>
            <w:r w:rsidR="00A10666">
              <w:rPr>
                <w:color w:val="000000"/>
                <w:sz w:val="20"/>
                <w:szCs w:val="20"/>
              </w:rPr>
              <w:t xml:space="preserve">set pay-on-time discounts at </w:t>
            </w:r>
            <w:r w:rsidR="004A1820">
              <w:rPr>
                <w:color w:val="000000"/>
                <w:sz w:val="20"/>
                <w:szCs w:val="20"/>
              </w:rPr>
              <w:t xml:space="preserve">the level set </w:t>
            </w:r>
            <w:r w:rsidR="003C6BC7">
              <w:rPr>
                <w:color w:val="000000"/>
                <w:sz w:val="20"/>
                <w:szCs w:val="20"/>
              </w:rPr>
              <w:t>annually by the commission, so this does not require altera</w:t>
            </w:r>
            <w:r w:rsidR="00490E01">
              <w:rPr>
                <w:color w:val="000000"/>
                <w:sz w:val="20"/>
                <w:szCs w:val="20"/>
              </w:rPr>
              <w:t xml:space="preserve">tion of internal systems </w:t>
            </w:r>
            <w:r w:rsidR="00C8672E">
              <w:rPr>
                <w:color w:val="000000"/>
                <w:sz w:val="20"/>
                <w:szCs w:val="20"/>
              </w:rPr>
              <w:t xml:space="preserve">or process to adjust to different </w:t>
            </w:r>
            <w:r w:rsidR="001E69EE">
              <w:rPr>
                <w:color w:val="000000"/>
                <w:sz w:val="20"/>
                <w:szCs w:val="20"/>
              </w:rPr>
              <w:t>allowable maximum amounts.</w:t>
            </w:r>
            <w:r w:rsidR="00CE6949">
              <w:rPr>
                <w:color w:val="000000"/>
                <w:sz w:val="20"/>
                <w:szCs w:val="20"/>
              </w:rPr>
              <w:t xml:space="preserve"> </w:t>
            </w:r>
            <w:r w:rsidR="00CD09C1">
              <w:rPr>
                <w:color w:val="000000"/>
                <w:sz w:val="20"/>
                <w:szCs w:val="20"/>
              </w:rPr>
              <w:t xml:space="preserve">Applying </w:t>
            </w:r>
            <w:r w:rsidR="008F5F19">
              <w:rPr>
                <w:color w:val="000000"/>
                <w:sz w:val="20"/>
                <w:szCs w:val="20"/>
              </w:rPr>
              <w:t xml:space="preserve">discounts unconditionally </w:t>
            </w:r>
            <w:r w:rsidR="00D3732A">
              <w:rPr>
                <w:color w:val="000000"/>
                <w:sz w:val="20"/>
                <w:szCs w:val="20"/>
              </w:rPr>
              <w:t xml:space="preserve">also should not require </w:t>
            </w:r>
            <w:r w:rsidR="000151FB">
              <w:rPr>
                <w:color w:val="000000"/>
                <w:sz w:val="20"/>
                <w:szCs w:val="20"/>
              </w:rPr>
              <w:t>significant changes to retailer systems</w:t>
            </w:r>
            <w:r w:rsidR="00577181">
              <w:rPr>
                <w:color w:val="000000"/>
                <w:sz w:val="20"/>
                <w:szCs w:val="20"/>
              </w:rPr>
              <w:t xml:space="preserve">, just minor changes to the triggers at what point discounts are applied. </w:t>
            </w:r>
          </w:p>
          <w:p w14:paraId="665B3971" w14:textId="3810CA4B" w:rsidR="00933A1A" w:rsidRPr="00E50621" w:rsidRDefault="00E50621" w:rsidP="00C8672E">
            <w:pPr>
              <w:spacing w:after="120" w:line="240" w:lineRule="auto"/>
              <w:rPr>
                <w:color w:val="000000"/>
                <w:sz w:val="20"/>
                <w:szCs w:val="20"/>
                <w:u w:val="single"/>
              </w:rPr>
            </w:pPr>
            <w:r w:rsidRPr="00E50621">
              <w:rPr>
                <w:color w:val="000000"/>
                <w:sz w:val="20"/>
                <w:szCs w:val="20"/>
                <w:u w:val="single"/>
              </w:rPr>
              <w:t>Cost transfers</w:t>
            </w:r>
          </w:p>
          <w:p w14:paraId="75926C59" w14:textId="5BE0290B" w:rsidR="003370CD" w:rsidRDefault="007F386F" w:rsidP="00C8672E">
            <w:pPr>
              <w:spacing w:after="120" w:line="240" w:lineRule="auto"/>
              <w:rPr>
                <w:color w:val="000000"/>
                <w:sz w:val="20"/>
                <w:szCs w:val="20"/>
              </w:rPr>
            </w:pPr>
            <w:r>
              <w:rPr>
                <w:color w:val="000000"/>
                <w:sz w:val="20"/>
                <w:szCs w:val="20"/>
              </w:rPr>
              <w:lastRenderedPageBreak/>
              <w:t>T</w:t>
            </w:r>
            <w:r w:rsidR="00577181">
              <w:rPr>
                <w:color w:val="000000"/>
                <w:sz w:val="20"/>
                <w:szCs w:val="20"/>
              </w:rPr>
              <w:t xml:space="preserve">his option will </w:t>
            </w:r>
            <w:r>
              <w:rPr>
                <w:color w:val="000000"/>
                <w:sz w:val="20"/>
                <w:szCs w:val="20"/>
              </w:rPr>
              <w:t xml:space="preserve">result in </w:t>
            </w:r>
            <w:r w:rsidR="00577181">
              <w:rPr>
                <w:color w:val="000000"/>
                <w:sz w:val="20"/>
                <w:szCs w:val="20"/>
              </w:rPr>
              <w:t>cost transfer</w:t>
            </w:r>
            <w:r>
              <w:rPr>
                <w:color w:val="000000"/>
                <w:sz w:val="20"/>
                <w:szCs w:val="20"/>
              </w:rPr>
              <w:t>s</w:t>
            </w:r>
            <w:r w:rsidR="00577181">
              <w:rPr>
                <w:color w:val="000000"/>
                <w:sz w:val="20"/>
                <w:szCs w:val="20"/>
              </w:rPr>
              <w:t xml:space="preserve"> from customers</w:t>
            </w:r>
            <w:r w:rsidR="00E17A38">
              <w:rPr>
                <w:color w:val="000000"/>
                <w:sz w:val="20"/>
                <w:szCs w:val="20"/>
              </w:rPr>
              <w:t xml:space="preserve"> on legacy contracts</w:t>
            </w:r>
            <w:r w:rsidR="00577181">
              <w:rPr>
                <w:color w:val="000000"/>
                <w:sz w:val="20"/>
                <w:szCs w:val="20"/>
              </w:rPr>
              <w:t xml:space="preserve"> who</w:t>
            </w:r>
            <w:r w:rsidR="007E40AE">
              <w:rPr>
                <w:color w:val="000000"/>
                <w:sz w:val="20"/>
                <w:szCs w:val="20"/>
              </w:rPr>
              <w:t xml:space="preserve"> do not meet </w:t>
            </w:r>
            <w:r w:rsidR="00E17A38">
              <w:rPr>
                <w:color w:val="000000"/>
                <w:sz w:val="20"/>
                <w:szCs w:val="20"/>
              </w:rPr>
              <w:t xml:space="preserve">discount conditions </w:t>
            </w:r>
            <w:r w:rsidR="00614C3E">
              <w:rPr>
                <w:color w:val="000000"/>
                <w:sz w:val="20"/>
                <w:szCs w:val="20"/>
              </w:rPr>
              <w:t xml:space="preserve">and would previously pay retailers a cost penalty because of this. </w:t>
            </w:r>
            <w:r w:rsidR="00884CED">
              <w:rPr>
                <w:color w:val="000000"/>
                <w:sz w:val="20"/>
                <w:szCs w:val="20"/>
              </w:rPr>
              <w:t>Th</w:t>
            </w:r>
            <w:r w:rsidR="00503DE8">
              <w:rPr>
                <w:color w:val="000000"/>
                <w:sz w:val="20"/>
                <w:szCs w:val="20"/>
              </w:rPr>
              <w:t>is represents a very small fraction of overall customers</w:t>
            </w:r>
            <w:r w:rsidR="00D132CC">
              <w:rPr>
                <w:color w:val="000000"/>
                <w:sz w:val="20"/>
                <w:szCs w:val="20"/>
              </w:rPr>
              <w:t xml:space="preserve">. </w:t>
            </w:r>
          </w:p>
          <w:p w14:paraId="10C750B4" w14:textId="3CFECD2A" w:rsidR="00E50621" w:rsidRDefault="000F3AEC" w:rsidP="00C8672E">
            <w:pPr>
              <w:spacing w:after="120" w:line="240" w:lineRule="auto"/>
              <w:rPr>
                <w:color w:val="000000"/>
                <w:sz w:val="20"/>
                <w:szCs w:val="20"/>
              </w:rPr>
            </w:pPr>
            <w:r>
              <w:rPr>
                <w:color w:val="000000"/>
                <w:sz w:val="20"/>
                <w:szCs w:val="20"/>
              </w:rPr>
              <w:t>Th</w:t>
            </w:r>
            <w:r w:rsidR="000830AF">
              <w:rPr>
                <w:color w:val="000000"/>
                <w:sz w:val="20"/>
                <w:szCs w:val="20"/>
              </w:rPr>
              <w:t>e</w:t>
            </w:r>
            <w:r>
              <w:rPr>
                <w:color w:val="000000"/>
                <w:sz w:val="20"/>
                <w:szCs w:val="20"/>
              </w:rPr>
              <w:t xml:space="preserve"> cost </w:t>
            </w:r>
            <w:r w:rsidR="00091FE8">
              <w:rPr>
                <w:color w:val="000000"/>
                <w:sz w:val="20"/>
                <w:szCs w:val="20"/>
              </w:rPr>
              <w:t xml:space="preserve">transfer from this reform </w:t>
            </w:r>
            <w:r w:rsidR="000830AF">
              <w:rPr>
                <w:color w:val="000000"/>
                <w:sz w:val="20"/>
                <w:szCs w:val="20"/>
              </w:rPr>
              <w:t>is</w:t>
            </w:r>
            <w:r w:rsidR="00091FE8">
              <w:rPr>
                <w:color w:val="000000"/>
                <w:sz w:val="20"/>
                <w:szCs w:val="20"/>
              </w:rPr>
              <w:t xml:space="preserve"> also </w:t>
            </w:r>
            <w:r>
              <w:rPr>
                <w:color w:val="000000"/>
                <w:sz w:val="20"/>
                <w:szCs w:val="20"/>
              </w:rPr>
              <w:t xml:space="preserve">expected to rapidly decline over the </w:t>
            </w:r>
            <w:r w:rsidR="00BE694F">
              <w:rPr>
                <w:color w:val="000000"/>
                <w:sz w:val="20"/>
                <w:szCs w:val="20"/>
              </w:rPr>
              <w:t xml:space="preserve">next five years as </w:t>
            </w:r>
            <w:r w:rsidR="005D6EB1">
              <w:rPr>
                <w:color w:val="000000"/>
                <w:sz w:val="20"/>
                <w:szCs w:val="20"/>
              </w:rPr>
              <w:t>the number of customers on legacy contracts continues to decline</w:t>
            </w:r>
            <w:r w:rsidR="00091FE8">
              <w:rPr>
                <w:color w:val="000000"/>
                <w:sz w:val="20"/>
                <w:szCs w:val="20"/>
              </w:rPr>
              <w:t>.</w:t>
            </w:r>
            <w:r w:rsidR="003A7E40">
              <w:rPr>
                <w:color w:val="000000"/>
                <w:sz w:val="20"/>
                <w:szCs w:val="20"/>
              </w:rPr>
              <w:t xml:space="preserve"> </w:t>
            </w:r>
          </w:p>
          <w:p w14:paraId="0C4F2473" w14:textId="16119C4D" w:rsidR="00FD70FF" w:rsidRDefault="003A7E40" w:rsidP="00C8672E">
            <w:pPr>
              <w:spacing w:after="120" w:line="240" w:lineRule="auto"/>
              <w:rPr>
                <w:color w:val="000000"/>
                <w:sz w:val="20"/>
                <w:szCs w:val="20"/>
              </w:rPr>
            </w:pPr>
            <w:r>
              <w:rPr>
                <w:color w:val="000000"/>
                <w:sz w:val="20"/>
                <w:szCs w:val="20"/>
              </w:rPr>
              <w:t>F</w:t>
            </w:r>
            <w:r w:rsidRPr="0035752D">
              <w:rPr>
                <w:color w:val="000000"/>
                <w:sz w:val="20"/>
                <w:szCs w:val="20"/>
              </w:rPr>
              <w:t>or the purposes of this assessment, th</w:t>
            </w:r>
            <w:r w:rsidR="00B67E1B">
              <w:rPr>
                <w:color w:val="000000"/>
                <w:sz w:val="20"/>
                <w:szCs w:val="20"/>
              </w:rPr>
              <w:t>is cost transfer is</w:t>
            </w:r>
            <w:r w:rsidRPr="0035752D">
              <w:rPr>
                <w:color w:val="000000"/>
                <w:sz w:val="20"/>
                <w:szCs w:val="20"/>
              </w:rPr>
              <w:t xml:space="preserve"> treated as a cost</w:t>
            </w:r>
            <w:r>
              <w:rPr>
                <w:color w:val="000000"/>
                <w:sz w:val="20"/>
                <w:szCs w:val="20"/>
              </w:rPr>
              <w:t xml:space="preserve"> </w:t>
            </w:r>
            <w:r w:rsidRPr="0035752D">
              <w:rPr>
                <w:color w:val="000000"/>
                <w:sz w:val="20"/>
                <w:szCs w:val="20"/>
              </w:rPr>
              <w:t>but</w:t>
            </w:r>
            <w:r w:rsidR="0035362F">
              <w:rPr>
                <w:color w:val="000000"/>
                <w:sz w:val="20"/>
                <w:szCs w:val="20"/>
              </w:rPr>
              <w:t>,</w:t>
            </w:r>
            <w:r w:rsidRPr="0035752D">
              <w:rPr>
                <w:color w:val="000000"/>
                <w:sz w:val="20"/>
                <w:szCs w:val="20"/>
              </w:rPr>
              <w:t xml:space="preserve"> in economic terms, it reflects a modest shift away from reliance on behavioural pricing strategies rather than a structural inefficiency.</w:t>
            </w:r>
          </w:p>
          <w:p w14:paraId="5875668C" w14:textId="13AAFA18" w:rsidR="00CB6A25" w:rsidRDefault="00D17B11" w:rsidP="00C8672E">
            <w:pPr>
              <w:spacing w:after="120" w:line="240" w:lineRule="auto"/>
              <w:rPr>
                <w:color w:val="000000"/>
                <w:sz w:val="20"/>
                <w:szCs w:val="20"/>
              </w:rPr>
            </w:pPr>
            <w:r>
              <w:rPr>
                <w:color w:val="000000"/>
                <w:sz w:val="20"/>
                <w:szCs w:val="20"/>
              </w:rPr>
              <w:t xml:space="preserve">It is not anticipated that these reforms will </w:t>
            </w:r>
            <w:r w:rsidR="00A65E11">
              <w:rPr>
                <w:color w:val="000000"/>
                <w:sz w:val="20"/>
                <w:szCs w:val="20"/>
              </w:rPr>
              <w:t>have any significant impact on whether customers on legacy contracts with conditional pay-on-time discounts meet the conditions of these discounts.</w:t>
            </w:r>
            <w:r w:rsidR="002E3064">
              <w:rPr>
                <w:color w:val="000000"/>
                <w:sz w:val="20"/>
                <w:szCs w:val="20"/>
              </w:rPr>
              <w:t xml:space="preserve"> </w:t>
            </w:r>
            <w:r w:rsidR="00834489">
              <w:rPr>
                <w:color w:val="000000"/>
                <w:sz w:val="20"/>
                <w:szCs w:val="20"/>
              </w:rPr>
              <w:t xml:space="preserve">The majority of customers </w:t>
            </w:r>
            <w:r w:rsidR="002E3064">
              <w:rPr>
                <w:color w:val="000000"/>
                <w:sz w:val="20"/>
                <w:szCs w:val="20"/>
              </w:rPr>
              <w:t xml:space="preserve">on legacy contracts are </w:t>
            </w:r>
            <w:r w:rsidR="00834489">
              <w:rPr>
                <w:color w:val="000000"/>
                <w:sz w:val="20"/>
                <w:szCs w:val="20"/>
              </w:rPr>
              <w:t xml:space="preserve">expected to be </w:t>
            </w:r>
            <w:r w:rsidR="009B5771">
              <w:rPr>
                <w:color w:val="000000"/>
                <w:sz w:val="20"/>
                <w:szCs w:val="20"/>
              </w:rPr>
              <w:t xml:space="preserve">disengaged </w:t>
            </w:r>
            <w:r w:rsidR="00656025">
              <w:rPr>
                <w:color w:val="000000"/>
                <w:sz w:val="20"/>
                <w:szCs w:val="20"/>
              </w:rPr>
              <w:t>customers who</w:t>
            </w:r>
            <w:r w:rsidR="009B5771">
              <w:rPr>
                <w:color w:val="000000"/>
                <w:sz w:val="20"/>
                <w:szCs w:val="20"/>
              </w:rPr>
              <w:t xml:space="preserve"> </w:t>
            </w:r>
            <w:r w:rsidR="00656025">
              <w:rPr>
                <w:color w:val="000000"/>
                <w:sz w:val="20"/>
                <w:szCs w:val="20"/>
              </w:rPr>
              <w:t>would</w:t>
            </w:r>
            <w:r w:rsidR="009B5771">
              <w:rPr>
                <w:color w:val="000000"/>
                <w:sz w:val="20"/>
                <w:szCs w:val="20"/>
              </w:rPr>
              <w:t xml:space="preserve"> not change their behaviour as a result of the proposed rules.</w:t>
            </w:r>
            <w:r w:rsidR="00A65E11">
              <w:rPr>
                <w:color w:val="000000"/>
                <w:sz w:val="20"/>
                <w:szCs w:val="20"/>
              </w:rPr>
              <w:t xml:space="preserve"> </w:t>
            </w:r>
          </w:p>
          <w:p w14:paraId="169E2AF9" w14:textId="435480B3" w:rsidR="003A21E0" w:rsidRDefault="003A21E0">
            <w:pPr>
              <w:spacing w:after="120" w:line="240" w:lineRule="auto"/>
              <w:rPr>
                <w:color w:val="000000"/>
                <w:sz w:val="20"/>
                <w:szCs w:val="20"/>
              </w:rPr>
            </w:pPr>
          </w:p>
        </w:tc>
        <w:tc>
          <w:tcPr>
            <w:tcW w:w="956" w:type="dxa"/>
          </w:tcPr>
          <w:p w14:paraId="6CA9A3CF" w14:textId="7A5A53A9" w:rsidR="006C7024" w:rsidRDefault="006C7024">
            <w:pPr>
              <w:spacing w:after="120" w:line="240" w:lineRule="auto"/>
              <w:ind w:right="314"/>
              <w:jc w:val="right"/>
              <w:rPr>
                <w:color w:val="000000"/>
                <w:sz w:val="20"/>
                <w:szCs w:val="20"/>
              </w:rPr>
            </w:pPr>
            <w:r>
              <w:rPr>
                <w:color w:val="000000"/>
                <w:sz w:val="20"/>
                <w:szCs w:val="20"/>
              </w:rPr>
              <w:lastRenderedPageBreak/>
              <w:t>-1</w:t>
            </w:r>
          </w:p>
        </w:tc>
        <w:tc>
          <w:tcPr>
            <w:tcW w:w="1223" w:type="dxa"/>
            <w:tcMar>
              <w:top w:w="0" w:type="dxa"/>
              <w:left w:w="123" w:type="dxa"/>
              <w:bottom w:w="0" w:type="dxa"/>
              <w:right w:w="123" w:type="dxa"/>
            </w:tcMar>
            <w:hideMark/>
          </w:tcPr>
          <w:p w14:paraId="4CE340FD" w14:textId="77777777" w:rsidR="003A21E0" w:rsidRDefault="003A21E0">
            <w:pPr>
              <w:spacing w:after="120" w:line="240" w:lineRule="auto"/>
              <w:ind w:right="314"/>
              <w:jc w:val="right"/>
              <w:rPr>
                <w:color w:val="000000"/>
                <w:sz w:val="20"/>
                <w:szCs w:val="20"/>
              </w:rPr>
            </w:pPr>
            <w:r>
              <w:rPr>
                <w:color w:val="000000"/>
                <w:sz w:val="20"/>
                <w:szCs w:val="20"/>
              </w:rPr>
              <w:t>-0.4</w:t>
            </w:r>
          </w:p>
        </w:tc>
      </w:tr>
      <w:tr w:rsidR="003A21E0" w14:paraId="64A88264" w14:textId="77777777" w:rsidTr="6A5F335F">
        <w:tc>
          <w:tcPr>
            <w:tcW w:w="815" w:type="dxa"/>
            <w:shd w:val="clear" w:color="auto" w:fill="F2F2F2" w:themeFill="background1" w:themeFillShade="F2"/>
            <w:tcMar>
              <w:top w:w="0" w:type="dxa"/>
              <w:left w:w="0" w:type="dxa"/>
              <w:bottom w:w="0" w:type="dxa"/>
              <w:right w:w="0" w:type="dxa"/>
            </w:tcMar>
            <w:hideMark/>
          </w:tcPr>
          <w:p w14:paraId="69119BBD" w14:textId="77777777" w:rsidR="003A21E0" w:rsidRDefault="003A21E0">
            <w:pPr>
              <w:spacing w:after="120" w:line="240" w:lineRule="auto"/>
              <w:rPr>
                <w:color w:val="000000"/>
                <w:sz w:val="20"/>
                <w:szCs w:val="20"/>
              </w:rPr>
            </w:pPr>
            <w:r>
              <w:rPr>
                <w:color w:val="000000"/>
                <w:sz w:val="20"/>
                <w:szCs w:val="20"/>
              </w:rPr>
              <w:t>F.1</w:t>
            </w:r>
          </w:p>
        </w:tc>
        <w:tc>
          <w:tcPr>
            <w:tcW w:w="1978" w:type="dxa"/>
            <w:shd w:val="clear" w:color="auto" w:fill="F2F2F2" w:themeFill="background1" w:themeFillShade="F2"/>
            <w:tcMar>
              <w:top w:w="0" w:type="dxa"/>
              <w:left w:w="123" w:type="dxa"/>
              <w:bottom w:w="0" w:type="dxa"/>
              <w:right w:w="123" w:type="dxa"/>
            </w:tcMar>
            <w:hideMark/>
          </w:tcPr>
          <w:p w14:paraId="00F99875" w14:textId="77777777" w:rsidR="003A21E0" w:rsidRDefault="003A21E0">
            <w:pPr>
              <w:spacing w:after="120" w:line="240" w:lineRule="auto"/>
              <w:rPr>
                <w:color w:val="000000"/>
                <w:sz w:val="20"/>
                <w:szCs w:val="20"/>
              </w:rPr>
            </w:pPr>
            <w:r>
              <w:rPr>
                <w:color w:val="000000"/>
                <w:sz w:val="20"/>
                <w:szCs w:val="20"/>
              </w:rPr>
              <w:t>Cost to government</w:t>
            </w:r>
          </w:p>
          <w:p w14:paraId="7F1D5940" w14:textId="77777777" w:rsidR="00A10C4A" w:rsidRDefault="00A10C4A">
            <w:pPr>
              <w:spacing w:after="120" w:line="240" w:lineRule="auto"/>
              <w:rPr>
                <w:color w:val="000000"/>
                <w:sz w:val="20"/>
                <w:szCs w:val="20"/>
              </w:rPr>
            </w:pPr>
          </w:p>
          <w:p w14:paraId="6390A3E2" w14:textId="10A22340" w:rsidR="003A21E0" w:rsidRPr="00A10C4A" w:rsidRDefault="00A10C4A">
            <w:pPr>
              <w:spacing w:after="120" w:line="240" w:lineRule="auto"/>
              <w:rPr>
                <w:b/>
                <w:color w:val="000000"/>
                <w:sz w:val="20"/>
                <w:szCs w:val="20"/>
              </w:rPr>
            </w:pPr>
            <w:r w:rsidRPr="00A10C4A">
              <w:rPr>
                <w:b/>
                <w:bCs/>
                <w:color w:val="000000"/>
                <w:sz w:val="20"/>
                <w:szCs w:val="20"/>
              </w:rPr>
              <w:t>(</w:t>
            </w:r>
            <w:r w:rsidR="0060634C">
              <w:rPr>
                <w:b/>
                <w:bCs/>
                <w:color w:val="000000"/>
                <w:sz w:val="20"/>
                <w:szCs w:val="20"/>
              </w:rPr>
              <w:t>w</w:t>
            </w:r>
            <w:r w:rsidRPr="00A10C4A">
              <w:rPr>
                <w:b/>
                <w:bCs/>
                <w:color w:val="000000"/>
                <w:sz w:val="20"/>
                <w:szCs w:val="20"/>
              </w:rPr>
              <w:t>eighting 10%)</w:t>
            </w:r>
          </w:p>
        </w:tc>
        <w:tc>
          <w:tcPr>
            <w:tcW w:w="4666" w:type="dxa"/>
            <w:shd w:val="clear" w:color="auto" w:fill="F2F2F2" w:themeFill="background1" w:themeFillShade="F2"/>
            <w:tcMar>
              <w:top w:w="0" w:type="dxa"/>
              <w:left w:w="123" w:type="dxa"/>
              <w:bottom w:w="0" w:type="dxa"/>
              <w:right w:w="123" w:type="dxa"/>
            </w:tcMar>
            <w:hideMark/>
          </w:tcPr>
          <w:p w14:paraId="3EEC0977" w14:textId="3CA5F9DC" w:rsidR="003A21E0" w:rsidRDefault="00300065">
            <w:pPr>
              <w:spacing w:after="120" w:line="240" w:lineRule="auto"/>
              <w:rPr>
                <w:color w:val="000000"/>
                <w:sz w:val="20"/>
                <w:szCs w:val="20"/>
              </w:rPr>
            </w:pPr>
            <w:r w:rsidRPr="6A5F335F">
              <w:rPr>
                <w:color w:val="000000" w:themeColor="text1"/>
                <w:sz w:val="20"/>
                <w:szCs w:val="20"/>
              </w:rPr>
              <w:t>As</w:t>
            </w:r>
            <w:r w:rsidR="003A21E0" w:rsidRPr="6A5F335F">
              <w:rPr>
                <w:color w:val="000000" w:themeColor="text1"/>
                <w:sz w:val="20"/>
                <w:szCs w:val="20"/>
              </w:rPr>
              <w:t xml:space="preserve"> </w:t>
            </w:r>
            <w:r w:rsidRPr="6A5F335F">
              <w:rPr>
                <w:color w:val="000000" w:themeColor="text1"/>
                <w:sz w:val="20"/>
                <w:szCs w:val="20"/>
              </w:rPr>
              <w:t xml:space="preserve">the </w:t>
            </w:r>
            <w:r w:rsidR="00120FDD" w:rsidRPr="6A5F335F">
              <w:rPr>
                <w:color w:val="000000" w:themeColor="text1"/>
                <w:sz w:val="20"/>
                <w:szCs w:val="20"/>
              </w:rPr>
              <w:t>proposed</w:t>
            </w:r>
            <w:r w:rsidRPr="6A5F335F">
              <w:rPr>
                <w:color w:val="000000" w:themeColor="text1"/>
                <w:sz w:val="20"/>
                <w:szCs w:val="20"/>
              </w:rPr>
              <w:t xml:space="preserve"> protections already apply to</w:t>
            </w:r>
            <w:r w:rsidR="003A21E0" w:rsidRPr="6A5F335F">
              <w:rPr>
                <w:color w:val="000000" w:themeColor="text1"/>
                <w:sz w:val="20"/>
                <w:szCs w:val="20"/>
              </w:rPr>
              <w:t xml:space="preserve"> post-1 July 2020 contract</w:t>
            </w:r>
            <w:r w:rsidRPr="6A5F335F">
              <w:rPr>
                <w:color w:val="000000" w:themeColor="text1"/>
                <w:sz w:val="20"/>
                <w:szCs w:val="20"/>
              </w:rPr>
              <w:t>s</w:t>
            </w:r>
            <w:r w:rsidR="00646C02" w:rsidRPr="6A5F335F">
              <w:rPr>
                <w:color w:val="000000" w:themeColor="text1"/>
                <w:sz w:val="20"/>
                <w:szCs w:val="20"/>
              </w:rPr>
              <w:t xml:space="preserve">, </w:t>
            </w:r>
            <w:r w:rsidR="00120FDD" w:rsidRPr="6A5F335F">
              <w:rPr>
                <w:color w:val="000000" w:themeColor="text1"/>
                <w:sz w:val="20"/>
                <w:szCs w:val="20"/>
              </w:rPr>
              <w:t>systems are in place for its implementation (i.e.</w:t>
            </w:r>
            <w:r w:rsidR="00646C02" w:rsidRPr="6A5F335F">
              <w:rPr>
                <w:color w:val="000000" w:themeColor="text1"/>
                <w:sz w:val="20"/>
                <w:szCs w:val="20"/>
              </w:rPr>
              <w:t xml:space="preserve"> a yearly review of the cap on pay-on-time discounts </w:t>
            </w:r>
            <w:r w:rsidR="00351225" w:rsidRPr="6A5F335F">
              <w:rPr>
                <w:color w:val="000000" w:themeColor="text1"/>
                <w:sz w:val="20"/>
                <w:szCs w:val="20"/>
              </w:rPr>
              <w:t>already takes place</w:t>
            </w:r>
            <w:r w:rsidR="00120FDD" w:rsidRPr="6A5F335F">
              <w:rPr>
                <w:color w:val="000000" w:themeColor="text1"/>
                <w:sz w:val="20"/>
                <w:szCs w:val="20"/>
              </w:rPr>
              <w:t xml:space="preserve"> and the commission has built capability to monitor compliance with the proposed rules)</w:t>
            </w:r>
            <w:r w:rsidR="00351225" w:rsidRPr="6A5F335F">
              <w:rPr>
                <w:color w:val="000000" w:themeColor="text1"/>
                <w:sz w:val="20"/>
                <w:szCs w:val="20"/>
              </w:rPr>
              <w:t xml:space="preserve">. However, </w:t>
            </w:r>
            <w:r w:rsidR="00120FDD" w:rsidRPr="6A5F335F">
              <w:rPr>
                <w:color w:val="000000" w:themeColor="text1"/>
                <w:sz w:val="20"/>
                <w:szCs w:val="20"/>
              </w:rPr>
              <w:t>to monitor compliance in relation to le</w:t>
            </w:r>
            <w:r w:rsidR="007D742D" w:rsidRPr="6A5F335F">
              <w:rPr>
                <w:color w:val="000000" w:themeColor="text1"/>
                <w:sz w:val="20"/>
                <w:szCs w:val="20"/>
              </w:rPr>
              <w:t>gacy contracts, s</w:t>
            </w:r>
            <w:r w:rsidR="00120FDD" w:rsidRPr="6A5F335F">
              <w:rPr>
                <w:color w:val="000000" w:themeColor="text1"/>
                <w:sz w:val="20"/>
                <w:szCs w:val="20"/>
              </w:rPr>
              <w:t xml:space="preserve">ome </w:t>
            </w:r>
            <w:r w:rsidR="007D742D" w:rsidRPr="6A5F335F">
              <w:rPr>
                <w:color w:val="000000" w:themeColor="text1"/>
                <w:sz w:val="20"/>
                <w:szCs w:val="20"/>
              </w:rPr>
              <w:t>additional</w:t>
            </w:r>
            <w:r w:rsidR="00120FDD" w:rsidRPr="6A5F335F">
              <w:rPr>
                <w:color w:val="000000" w:themeColor="text1"/>
                <w:sz w:val="20"/>
                <w:szCs w:val="20"/>
              </w:rPr>
              <w:t xml:space="preserve"> costs may be incurred</w:t>
            </w:r>
            <w:r w:rsidR="00322C06" w:rsidRPr="6A5F335F">
              <w:rPr>
                <w:color w:val="000000" w:themeColor="text1"/>
                <w:sz w:val="20"/>
                <w:szCs w:val="20"/>
              </w:rPr>
              <w:t xml:space="preserve">. This could include </w:t>
            </w:r>
            <w:r w:rsidR="00F013BB" w:rsidRPr="6A5F335F">
              <w:rPr>
                <w:color w:val="000000" w:themeColor="text1"/>
                <w:sz w:val="20"/>
                <w:szCs w:val="20"/>
              </w:rPr>
              <w:t>targeted investigations to assess compliance following the implementation of the proposed changes</w:t>
            </w:r>
            <w:r w:rsidR="00322C06" w:rsidRPr="6A5F335F">
              <w:rPr>
                <w:color w:val="000000" w:themeColor="text1"/>
                <w:sz w:val="20"/>
                <w:szCs w:val="20"/>
              </w:rPr>
              <w:t xml:space="preserve"> and may also include opportunity costs associated with focusing compliance resources on this reform at the expense of </w:t>
            </w:r>
            <w:r w:rsidR="00C50B30" w:rsidRPr="6A5F335F">
              <w:rPr>
                <w:color w:val="000000" w:themeColor="text1"/>
                <w:sz w:val="20"/>
                <w:szCs w:val="20"/>
              </w:rPr>
              <w:t>the code</w:t>
            </w:r>
            <w:r w:rsidR="2965A126" w:rsidRPr="6A5F335F">
              <w:rPr>
                <w:color w:val="000000" w:themeColor="text1"/>
                <w:sz w:val="20"/>
                <w:szCs w:val="20"/>
              </w:rPr>
              <w:t>’</w:t>
            </w:r>
            <w:r w:rsidR="00C50B30" w:rsidRPr="6A5F335F">
              <w:rPr>
                <w:color w:val="000000" w:themeColor="text1"/>
                <w:sz w:val="20"/>
                <w:szCs w:val="20"/>
              </w:rPr>
              <w:t>s</w:t>
            </w:r>
            <w:r w:rsidR="00322C06" w:rsidRPr="6A5F335F">
              <w:rPr>
                <w:color w:val="000000" w:themeColor="text1"/>
                <w:sz w:val="20"/>
                <w:szCs w:val="20"/>
              </w:rPr>
              <w:t xml:space="preserve"> other requirements</w:t>
            </w:r>
            <w:r w:rsidR="00C50B30" w:rsidRPr="6A5F335F">
              <w:rPr>
                <w:color w:val="000000" w:themeColor="text1"/>
                <w:sz w:val="20"/>
                <w:szCs w:val="20"/>
              </w:rPr>
              <w:t>.</w:t>
            </w:r>
            <w:r w:rsidR="00322C06" w:rsidRPr="6A5F335F">
              <w:rPr>
                <w:color w:val="000000" w:themeColor="text1"/>
                <w:sz w:val="20"/>
                <w:szCs w:val="20"/>
              </w:rPr>
              <w:t xml:space="preserve"> </w:t>
            </w:r>
          </w:p>
        </w:tc>
        <w:tc>
          <w:tcPr>
            <w:tcW w:w="956" w:type="dxa"/>
            <w:shd w:val="clear" w:color="auto" w:fill="F2F2F2" w:themeFill="background1" w:themeFillShade="F2"/>
          </w:tcPr>
          <w:p w14:paraId="3BB66A49" w14:textId="31736D5D" w:rsidR="006C7024" w:rsidRDefault="006C7024">
            <w:pPr>
              <w:spacing w:after="120" w:line="240" w:lineRule="auto"/>
              <w:ind w:right="314"/>
              <w:jc w:val="right"/>
              <w:rPr>
                <w:color w:val="000000"/>
                <w:sz w:val="20"/>
                <w:szCs w:val="20"/>
              </w:rPr>
            </w:pPr>
            <w:r>
              <w:rPr>
                <w:color w:val="000000"/>
                <w:sz w:val="20"/>
                <w:szCs w:val="20"/>
              </w:rPr>
              <w:t>-0.25</w:t>
            </w:r>
          </w:p>
        </w:tc>
        <w:tc>
          <w:tcPr>
            <w:tcW w:w="1223" w:type="dxa"/>
            <w:shd w:val="clear" w:color="auto" w:fill="F2F2F2" w:themeFill="background1" w:themeFillShade="F2"/>
            <w:tcMar>
              <w:top w:w="0" w:type="dxa"/>
              <w:left w:w="123" w:type="dxa"/>
              <w:bottom w:w="0" w:type="dxa"/>
              <w:right w:w="123" w:type="dxa"/>
            </w:tcMar>
            <w:hideMark/>
          </w:tcPr>
          <w:p w14:paraId="0033F772" w14:textId="77777777" w:rsidR="003A21E0" w:rsidRDefault="003A21E0">
            <w:pPr>
              <w:spacing w:after="120" w:line="240" w:lineRule="auto"/>
              <w:ind w:right="314"/>
              <w:jc w:val="right"/>
              <w:rPr>
                <w:color w:val="000000"/>
                <w:sz w:val="20"/>
                <w:szCs w:val="20"/>
              </w:rPr>
            </w:pPr>
            <w:r>
              <w:rPr>
                <w:color w:val="000000"/>
                <w:sz w:val="20"/>
                <w:szCs w:val="20"/>
              </w:rPr>
              <w:t>-0.025</w:t>
            </w:r>
          </w:p>
        </w:tc>
      </w:tr>
      <w:tr w:rsidR="003A21E0" w14:paraId="28706BE3" w14:textId="77777777" w:rsidTr="6A5F335F">
        <w:tc>
          <w:tcPr>
            <w:tcW w:w="815" w:type="dxa"/>
            <w:tcBorders>
              <w:top w:val="single" w:sz="4" w:space="0" w:color="4986A0" w:themeColor="accent3"/>
              <w:bottom w:val="single" w:sz="4" w:space="0" w:color="4986A0" w:themeColor="accent3"/>
            </w:tcBorders>
            <w:tcMar>
              <w:top w:w="0" w:type="dxa"/>
              <w:left w:w="0" w:type="dxa"/>
              <w:bottom w:w="0" w:type="dxa"/>
              <w:right w:w="0" w:type="dxa"/>
            </w:tcMar>
          </w:tcPr>
          <w:p w14:paraId="2F9F1617" w14:textId="77777777" w:rsidR="003A21E0" w:rsidRDefault="003A21E0">
            <w:pPr>
              <w:spacing w:after="120" w:line="240" w:lineRule="auto"/>
              <w:rPr>
                <w:b/>
                <w:bCs/>
                <w:color w:val="366477"/>
                <w:sz w:val="20"/>
                <w:szCs w:val="20"/>
              </w:rPr>
            </w:pPr>
          </w:p>
        </w:tc>
        <w:tc>
          <w:tcPr>
            <w:tcW w:w="1978" w:type="dxa"/>
            <w:tcBorders>
              <w:top w:val="single" w:sz="4" w:space="0" w:color="4986A0" w:themeColor="accent3"/>
              <w:bottom w:val="single" w:sz="4" w:space="0" w:color="4986A0" w:themeColor="accent3"/>
            </w:tcBorders>
            <w:tcMar>
              <w:top w:w="0" w:type="dxa"/>
              <w:left w:w="123" w:type="dxa"/>
              <w:bottom w:w="0" w:type="dxa"/>
              <w:right w:w="123" w:type="dxa"/>
            </w:tcMar>
          </w:tcPr>
          <w:p w14:paraId="051F3777" w14:textId="77777777" w:rsidR="003A21E0" w:rsidRDefault="003A21E0">
            <w:pPr>
              <w:spacing w:after="120" w:line="240" w:lineRule="auto"/>
              <w:rPr>
                <w:b/>
                <w:bCs/>
                <w:color w:val="366477"/>
                <w:sz w:val="20"/>
                <w:szCs w:val="20"/>
              </w:rPr>
            </w:pPr>
          </w:p>
        </w:tc>
        <w:tc>
          <w:tcPr>
            <w:tcW w:w="4666" w:type="dxa"/>
            <w:tcBorders>
              <w:top w:val="single" w:sz="4" w:space="0" w:color="4986A0" w:themeColor="accent3"/>
              <w:bottom w:val="single" w:sz="4" w:space="0" w:color="4986A0" w:themeColor="accent3"/>
            </w:tcBorders>
            <w:tcMar>
              <w:top w:w="0" w:type="dxa"/>
              <w:left w:w="123" w:type="dxa"/>
              <w:bottom w:w="0" w:type="dxa"/>
              <w:right w:w="123" w:type="dxa"/>
            </w:tcMar>
            <w:hideMark/>
          </w:tcPr>
          <w:p w14:paraId="199F922C" w14:textId="77777777" w:rsidR="003A21E0" w:rsidRDefault="003A21E0">
            <w:pPr>
              <w:spacing w:after="120" w:line="240" w:lineRule="auto"/>
              <w:jc w:val="right"/>
              <w:rPr>
                <w:color w:val="000000"/>
                <w:sz w:val="20"/>
                <w:szCs w:val="20"/>
              </w:rPr>
            </w:pPr>
            <w:r>
              <w:rPr>
                <w:b/>
                <w:bCs/>
                <w:i/>
                <w:iCs/>
                <w:color w:val="366477"/>
                <w:sz w:val="20"/>
                <w:szCs w:val="20"/>
              </w:rPr>
              <w:t>Total</w:t>
            </w:r>
          </w:p>
        </w:tc>
        <w:tc>
          <w:tcPr>
            <w:tcW w:w="956" w:type="dxa"/>
            <w:tcBorders>
              <w:top w:val="single" w:sz="4" w:space="0" w:color="4986A0" w:themeColor="accent3"/>
              <w:bottom w:val="single" w:sz="4" w:space="0" w:color="4986A0" w:themeColor="accent3"/>
            </w:tcBorders>
          </w:tcPr>
          <w:p w14:paraId="38A59D79" w14:textId="77777777" w:rsidR="006C7024" w:rsidRDefault="006C7024">
            <w:pPr>
              <w:spacing w:after="120" w:line="240" w:lineRule="auto"/>
              <w:ind w:right="314"/>
              <w:jc w:val="right"/>
              <w:rPr>
                <w:color w:val="000000"/>
                <w:sz w:val="20"/>
                <w:szCs w:val="20"/>
              </w:rPr>
            </w:pPr>
          </w:p>
        </w:tc>
        <w:tc>
          <w:tcPr>
            <w:tcW w:w="1223" w:type="dxa"/>
            <w:tcBorders>
              <w:top w:val="single" w:sz="4" w:space="0" w:color="4986A0" w:themeColor="accent3"/>
              <w:bottom w:val="single" w:sz="4" w:space="0" w:color="4986A0" w:themeColor="accent3"/>
            </w:tcBorders>
            <w:tcMar>
              <w:top w:w="0" w:type="dxa"/>
              <w:left w:w="123" w:type="dxa"/>
              <w:bottom w:w="0" w:type="dxa"/>
              <w:right w:w="123" w:type="dxa"/>
            </w:tcMar>
            <w:hideMark/>
          </w:tcPr>
          <w:p w14:paraId="19B74F78" w14:textId="77777777" w:rsidR="003A21E0" w:rsidRDefault="003A21E0">
            <w:pPr>
              <w:spacing w:after="120" w:line="240" w:lineRule="auto"/>
              <w:ind w:right="314"/>
              <w:jc w:val="right"/>
              <w:rPr>
                <w:color w:val="000000"/>
                <w:sz w:val="20"/>
                <w:szCs w:val="20"/>
              </w:rPr>
            </w:pPr>
            <w:r>
              <w:rPr>
                <w:color w:val="000000"/>
                <w:sz w:val="20"/>
                <w:szCs w:val="20"/>
              </w:rPr>
              <w:t>+1.075</w:t>
            </w:r>
          </w:p>
        </w:tc>
      </w:tr>
    </w:tbl>
    <w:p w14:paraId="094BF629" w14:textId="17A642CF" w:rsidR="00914CA1" w:rsidRPr="00914CA1" w:rsidRDefault="00914CA1" w:rsidP="003A49F5"/>
    <w:p w14:paraId="359586A9" w14:textId="77777777" w:rsidR="002A2AFF" w:rsidRDefault="002A2AFF" w:rsidP="002A2AFF">
      <w:pPr>
        <w:pStyle w:val="Heading2numbered"/>
      </w:pPr>
      <w:bookmarkStart w:id="288" w:name="_Toc197959469"/>
      <w:r>
        <w:t>Summary and preferred option</w:t>
      </w:r>
      <w:bookmarkEnd w:id="288"/>
    </w:p>
    <w:p w14:paraId="19403F93" w14:textId="383897AF" w:rsidR="00334233" w:rsidRDefault="00334233" w:rsidP="00334233">
      <w:r>
        <w:t xml:space="preserve">Option F.1 scores a positive MCA score over the base case or current arrangements. The number of customers who will benefit from this option will be around </w:t>
      </w:r>
      <w:r w:rsidR="00106CFB">
        <w:t>13,</w:t>
      </w:r>
      <w:r w:rsidR="00D22E81">
        <w:t>8</w:t>
      </w:r>
      <w:r w:rsidR="00106CFB">
        <w:t>5</w:t>
      </w:r>
      <w:r w:rsidR="006A4AFB">
        <w:t>5</w:t>
      </w:r>
      <w:r w:rsidR="00BB0D11">
        <w:t>.</w:t>
      </w:r>
      <w:r>
        <w:t xml:space="preserve"> The experience of the 2020 reforms provides evidence that this option will be effective in helping households pay less for energy. Implementation for industry and government is not expected to be complex or costly, noting systems are already in place owing to the 2020 reforms. </w:t>
      </w:r>
    </w:p>
    <w:p w14:paraId="2FA8AA99" w14:textId="43780CCC" w:rsidR="007C5B5C" w:rsidRPr="00107B41" w:rsidRDefault="00334233" w:rsidP="00800122">
      <w:r>
        <w:lastRenderedPageBreak/>
        <w:t>Over time, the benefits of this option will reduce, as will costs to industry, as legacy contract expire</w:t>
      </w:r>
      <w:r w:rsidR="00107B41">
        <w:t xml:space="preserve"> or customers on these contract switch to new plans.</w:t>
      </w:r>
      <w:r w:rsidR="00AD387D">
        <w:t xml:space="preserve"> </w:t>
      </w:r>
    </w:p>
    <w:p w14:paraId="360495F4" w14:textId="25D600DF" w:rsidR="006E23E8" w:rsidRPr="003A49F5" w:rsidRDefault="006E23E8" w:rsidP="00C3288A">
      <w:pPr>
        <w:pStyle w:val="Figure-Table-BoxSubtitle"/>
        <w:ind w:left="0"/>
        <w:rPr>
          <w:highlight w:val="yellow"/>
        </w:rPr>
      </w:pPr>
      <w:r w:rsidRPr="00C3288A">
        <w:rPr>
          <w:rStyle w:val="Figure-Table-BoxHeadingChar"/>
        </w:rPr>
        <w:t xml:space="preserve">Table </w:t>
      </w:r>
      <w:r w:rsidR="0063623C" w:rsidRPr="00C3288A">
        <w:rPr>
          <w:rStyle w:val="Figure-Table-BoxHeadingChar"/>
        </w:rPr>
        <w:t>3</w:t>
      </w:r>
      <w:r w:rsidR="005F731C" w:rsidRPr="00C3288A">
        <w:rPr>
          <w:rStyle w:val="Figure-Table-BoxHeadingChar"/>
        </w:rPr>
        <w:t>2</w:t>
      </w:r>
      <w:r w:rsidRPr="00C3288A">
        <w:rPr>
          <w:rStyle w:val="Figure-Table-BoxHeadingChar"/>
        </w:rPr>
        <w:t>:</w:t>
      </w:r>
      <w:r w:rsidRPr="00C3288A">
        <w:t xml:space="preserve"> </w:t>
      </w:r>
      <w:r w:rsidRPr="003A49F5">
        <w:t>Summary of MCA assessment ‒ Extending protections for customers on legacy contracts</w:t>
      </w:r>
    </w:p>
    <w:tbl>
      <w:tblPr>
        <w:tblW w:w="0" w:type="auto"/>
        <w:tblBorders>
          <w:insideH w:val="single" w:sz="8" w:space="0" w:color="FFFFFF"/>
        </w:tblBorders>
        <w:tblCellMar>
          <w:left w:w="0" w:type="dxa"/>
          <w:right w:w="0" w:type="dxa"/>
        </w:tblCellMar>
        <w:tblLook w:val="04A0" w:firstRow="1" w:lastRow="0" w:firstColumn="1" w:lastColumn="0" w:noHBand="0" w:noVBand="1"/>
      </w:tblPr>
      <w:tblGrid>
        <w:gridCol w:w="1159"/>
        <w:gridCol w:w="6618"/>
        <w:gridCol w:w="1861"/>
      </w:tblGrid>
      <w:tr w:rsidR="00B86061" w14:paraId="0A49C386" w14:textId="77777777">
        <w:tc>
          <w:tcPr>
            <w:tcW w:w="1164" w:type="dxa"/>
            <w:tcBorders>
              <w:bottom w:val="single" w:sz="8" w:space="0" w:color="FFFFFF"/>
            </w:tcBorders>
            <w:shd w:val="clear" w:color="auto" w:fill="4986A0"/>
            <w:tcMar>
              <w:top w:w="85" w:type="dxa"/>
              <w:left w:w="100" w:type="dxa"/>
              <w:bottom w:w="85" w:type="dxa"/>
              <w:right w:w="72" w:type="dxa"/>
            </w:tcMar>
            <w:hideMark/>
          </w:tcPr>
          <w:p w14:paraId="41E3FC94" w14:textId="77777777" w:rsidR="00B86061" w:rsidRDefault="00B86061">
            <w:pPr>
              <w:spacing w:after="120" w:line="240" w:lineRule="auto"/>
              <w:rPr>
                <w:color w:val="000000"/>
                <w:sz w:val="20"/>
                <w:szCs w:val="20"/>
              </w:rPr>
            </w:pPr>
            <w:r>
              <w:rPr>
                <w:b/>
                <w:bCs/>
                <w:color w:val="FFFFFF"/>
                <w:sz w:val="20"/>
                <w:szCs w:val="20"/>
              </w:rPr>
              <w:t>Option</w:t>
            </w:r>
          </w:p>
        </w:tc>
        <w:tc>
          <w:tcPr>
            <w:tcW w:w="6693" w:type="dxa"/>
            <w:tcBorders>
              <w:bottom w:val="single" w:sz="8" w:space="0" w:color="FFFFFF"/>
            </w:tcBorders>
            <w:shd w:val="clear" w:color="auto" w:fill="4986A0"/>
            <w:tcMar>
              <w:top w:w="85" w:type="dxa"/>
              <w:left w:w="100" w:type="dxa"/>
              <w:bottom w:w="85" w:type="dxa"/>
              <w:right w:w="72" w:type="dxa"/>
            </w:tcMar>
            <w:hideMark/>
          </w:tcPr>
          <w:p w14:paraId="625D87FD" w14:textId="77777777" w:rsidR="00B86061" w:rsidRDefault="00B86061">
            <w:pPr>
              <w:spacing w:after="120" w:line="240" w:lineRule="auto"/>
              <w:rPr>
                <w:color w:val="000000"/>
                <w:sz w:val="20"/>
                <w:szCs w:val="20"/>
              </w:rPr>
            </w:pPr>
            <w:r>
              <w:rPr>
                <w:b/>
                <w:bCs/>
                <w:color w:val="FFFFFF"/>
                <w:sz w:val="20"/>
                <w:szCs w:val="20"/>
              </w:rPr>
              <w:t>Description</w:t>
            </w:r>
          </w:p>
        </w:tc>
        <w:tc>
          <w:tcPr>
            <w:tcW w:w="1871" w:type="dxa"/>
            <w:tcBorders>
              <w:bottom w:val="single" w:sz="8" w:space="0" w:color="FFFFFF"/>
            </w:tcBorders>
            <w:shd w:val="clear" w:color="auto" w:fill="4986A0"/>
            <w:tcMar>
              <w:top w:w="85" w:type="dxa"/>
              <w:left w:w="100" w:type="dxa"/>
              <w:bottom w:w="85" w:type="dxa"/>
              <w:right w:w="72" w:type="dxa"/>
            </w:tcMar>
            <w:hideMark/>
          </w:tcPr>
          <w:p w14:paraId="3936E707" w14:textId="77777777" w:rsidR="00B86061" w:rsidRDefault="00B86061">
            <w:pPr>
              <w:spacing w:after="120" w:line="240" w:lineRule="auto"/>
              <w:rPr>
                <w:color w:val="000000"/>
                <w:sz w:val="20"/>
                <w:szCs w:val="20"/>
              </w:rPr>
            </w:pPr>
            <w:r>
              <w:rPr>
                <w:b/>
                <w:bCs/>
                <w:color w:val="FFFFFF"/>
                <w:sz w:val="20"/>
                <w:szCs w:val="20"/>
              </w:rPr>
              <w:t>Weight score</w:t>
            </w:r>
          </w:p>
        </w:tc>
      </w:tr>
      <w:tr w:rsidR="00B86061" w14:paraId="7CDB0A70" w14:textId="77777777">
        <w:tc>
          <w:tcPr>
            <w:tcW w:w="1164" w:type="dxa"/>
            <w:tcBorders>
              <w:top w:val="single" w:sz="8" w:space="0" w:color="FFFFFF"/>
              <w:bottom w:val="single" w:sz="8" w:space="0" w:color="FFFFFF"/>
            </w:tcBorders>
            <w:shd w:val="clear" w:color="auto" w:fill="F2F2F2"/>
            <w:tcMar>
              <w:top w:w="85" w:type="dxa"/>
              <w:left w:w="100" w:type="dxa"/>
              <w:bottom w:w="85" w:type="dxa"/>
              <w:right w:w="72" w:type="dxa"/>
            </w:tcMar>
            <w:hideMark/>
          </w:tcPr>
          <w:p w14:paraId="4ADEA633" w14:textId="71E49774" w:rsidR="00B86061" w:rsidRDefault="00B86061">
            <w:pPr>
              <w:spacing w:after="120" w:line="240" w:lineRule="auto"/>
              <w:rPr>
                <w:color w:val="000000"/>
                <w:sz w:val="20"/>
                <w:szCs w:val="20"/>
              </w:rPr>
            </w:pPr>
          </w:p>
        </w:tc>
        <w:tc>
          <w:tcPr>
            <w:tcW w:w="6693" w:type="dxa"/>
            <w:tcBorders>
              <w:top w:val="single" w:sz="8" w:space="0" w:color="FFFFFF"/>
              <w:bottom w:val="single" w:sz="8" w:space="0" w:color="FFFFFF"/>
            </w:tcBorders>
            <w:shd w:val="clear" w:color="auto" w:fill="F2F2F2"/>
            <w:tcMar>
              <w:top w:w="85" w:type="dxa"/>
              <w:left w:w="100" w:type="dxa"/>
              <w:bottom w:w="85" w:type="dxa"/>
              <w:right w:w="72" w:type="dxa"/>
            </w:tcMar>
            <w:hideMark/>
          </w:tcPr>
          <w:p w14:paraId="5A9AC70C" w14:textId="77777777" w:rsidR="00B86061" w:rsidRDefault="00B86061">
            <w:pPr>
              <w:spacing w:after="120" w:line="240" w:lineRule="auto"/>
              <w:rPr>
                <w:color w:val="000000"/>
                <w:sz w:val="20"/>
                <w:szCs w:val="20"/>
              </w:rPr>
            </w:pPr>
            <w:r>
              <w:rPr>
                <w:color w:val="000000"/>
                <w:sz w:val="20"/>
                <w:szCs w:val="20"/>
              </w:rPr>
              <w:t>Base case ‒ current arrangements</w:t>
            </w:r>
          </w:p>
        </w:tc>
        <w:tc>
          <w:tcPr>
            <w:tcW w:w="1871" w:type="dxa"/>
            <w:tcBorders>
              <w:top w:val="single" w:sz="8" w:space="0" w:color="FFFFFF"/>
              <w:bottom w:val="single" w:sz="8" w:space="0" w:color="FFFFFF"/>
            </w:tcBorders>
            <w:shd w:val="clear" w:color="auto" w:fill="F2F2F2"/>
            <w:tcMar>
              <w:top w:w="85" w:type="dxa"/>
              <w:left w:w="100" w:type="dxa"/>
              <w:bottom w:w="85" w:type="dxa"/>
              <w:right w:w="72" w:type="dxa"/>
            </w:tcMar>
            <w:hideMark/>
          </w:tcPr>
          <w:p w14:paraId="7ED2ED00" w14:textId="77777777" w:rsidR="00B86061" w:rsidRDefault="00B86061">
            <w:pPr>
              <w:spacing w:after="120" w:line="240" w:lineRule="auto"/>
              <w:jc w:val="center"/>
              <w:rPr>
                <w:color w:val="000000"/>
                <w:sz w:val="20"/>
                <w:szCs w:val="20"/>
              </w:rPr>
            </w:pPr>
            <w:r>
              <w:rPr>
                <w:color w:val="000000"/>
                <w:sz w:val="20"/>
                <w:szCs w:val="20"/>
              </w:rPr>
              <w:t>0.0</w:t>
            </w:r>
          </w:p>
        </w:tc>
      </w:tr>
      <w:tr w:rsidR="00B86061" w14:paraId="31F3FCA0" w14:textId="77777777" w:rsidTr="00B86061">
        <w:tc>
          <w:tcPr>
            <w:tcW w:w="1164" w:type="dxa"/>
            <w:tcBorders>
              <w:top w:val="single" w:sz="8" w:space="0" w:color="FFFFFF"/>
            </w:tcBorders>
            <w:shd w:val="clear" w:color="auto" w:fill="FFE8C8" w:themeFill="accent4" w:themeFillTint="33"/>
            <w:tcMar>
              <w:top w:w="85" w:type="dxa"/>
              <w:left w:w="100" w:type="dxa"/>
              <w:bottom w:w="85" w:type="dxa"/>
              <w:right w:w="72" w:type="dxa"/>
            </w:tcMar>
            <w:hideMark/>
          </w:tcPr>
          <w:p w14:paraId="7A2C6B30" w14:textId="77F0BCA3" w:rsidR="00B86061" w:rsidRDefault="00B86061">
            <w:pPr>
              <w:spacing w:after="120" w:line="240" w:lineRule="auto"/>
              <w:rPr>
                <w:color w:val="000000"/>
                <w:sz w:val="20"/>
                <w:szCs w:val="20"/>
              </w:rPr>
            </w:pPr>
            <w:r>
              <w:rPr>
                <w:color w:val="000000"/>
                <w:sz w:val="20"/>
                <w:szCs w:val="20"/>
              </w:rPr>
              <w:t>F.1</w:t>
            </w:r>
          </w:p>
        </w:tc>
        <w:tc>
          <w:tcPr>
            <w:tcW w:w="6693" w:type="dxa"/>
            <w:tcBorders>
              <w:top w:val="single" w:sz="8" w:space="0" w:color="FFFFFF"/>
            </w:tcBorders>
            <w:shd w:val="clear" w:color="auto" w:fill="FFE8C8" w:themeFill="accent4" w:themeFillTint="33"/>
            <w:tcMar>
              <w:top w:w="85" w:type="dxa"/>
              <w:left w:w="100" w:type="dxa"/>
              <w:bottom w:w="85" w:type="dxa"/>
              <w:right w:w="72" w:type="dxa"/>
            </w:tcMar>
            <w:hideMark/>
          </w:tcPr>
          <w:p w14:paraId="1518FE0F" w14:textId="77777777" w:rsidR="00B86061" w:rsidRDefault="00B86061">
            <w:pPr>
              <w:spacing w:after="120" w:line="240" w:lineRule="auto"/>
              <w:rPr>
                <w:color w:val="000000"/>
                <w:sz w:val="20"/>
                <w:szCs w:val="20"/>
              </w:rPr>
            </w:pPr>
            <w:r>
              <w:rPr>
                <w:color w:val="000000"/>
                <w:sz w:val="20"/>
                <w:szCs w:val="20"/>
              </w:rPr>
              <w:t>Extend protections to all contracts (extending to contracts into before 1 July 2020).</w:t>
            </w:r>
          </w:p>
        </w:tc>
        <w:tc>
          <w:tcPr>
            <w:tcW w:w="1871" w:type="dxa"/>
            <w:tcBorders>
              <w:top w:val="single" w:sz="8" w:space="0" w:color="FFFFFF"/>
            </w:tcBorders>
            <w:shd w:val="clear" w:color="auto" w:fill="FFE8C8" w:themeFill="accent4" w:themeFillTint="33"/>
            <w:tcMar>
              <w:top w:w="85" w:type="dxa"/>
              <w:left w:w="100" w:type="dxa"/>
              <w:bottom w:w="85" w:type="dxa"/>
              <w:right w:w="72" w:type="dxa"/>
            </w:tcMar>
            <w:hideMark/>
          </w:tcPr>
          <w:p w14:paraId="7AD75565" w14:textId="785597ED" w:rsidR="00B86061" w:rsidRDefault="00B86061">
            <w:pPr>
              <w:spacing w:after="120" w:line="240" w:lineRule="auto"/>
              <w:jc w:val="center"/>
              <w:rPr>
                <w:color w:val="000000"/>
                <w:sz w:val="20"/>
                <w:szCs w:val="20"/>
              </w:rPr>
            </w:pPr>
            <w:r>
              <w:rPr>
                <w:b/>
                <w:bCs/>
                <w:color w:val="000000"/>
                <w:sz w:val="20"/>
                <w:szCs w:val="20"/>
              </w:rPr>
              <w:t>1.075 (preferred)</w:t>
            </w:r>
          </w:p>
        </w:tc>
      </w:tr>
    </w:tbl>
    <w:p w14:paraId="7FAAB829" w14:textId="77777777" w:rsidR="005A4BC0" w:rsidRDefault="005A4BC0" w:rsidP="005A4BC0"/>
    <w:p w14:paraId="360DA7B9" w14:textId="77777777" w:rsidR="005A4BC0" w:rsidRDefault="005A4BC0" w:rsidP="005A4BC0"/>
    <w:p w14:paraId="3886F159" w14:textId="3DDBB966" w:rsidR="0018523E" w:rsidRDefault="0018523E" w:rsidP="00CA25D8">
      <w:pPr>
        <w:sectPr w:rsidR="0018523E" w:rsidSect="00155B40">
          <w:footerReference w:type="default" r:id="rId57"/>
          <w:pgSz w:w="11906" w:h="16838" w:code="9"/>
          <w:pgMar w:top="1134" w:right="1134" w:bottom="1134" w:left="1134" w:header="709" w:footer="692" w:gutter="0"/>
          <w:cols w:space="708"/>
          <w:docGrid w:linePitch="360"/>
        </w:sectPr>
      </w:pPr>
    </w:p>
    <w:p w14:paraId="1E7C5CF5" w14:textId="065BC894" w:rsidR="004C55E6" w:rsidRPr="00710792" w:rsidRDefault="006A16DE" w:rsidP="004C55E6">
      <w:pPr>
        <w:pStyle w:val="Heading1numbered"/>
        <w:rPr>
          <w:rFonts w:eastAsiaTheme="minorHAnsi"/>
        </w:rPr>
      </w:pPr>
      <w:r>
        <w:lastRenderedPageBreak/>
        <w:t xml:space="preserve"> </w:t>
      </w:r>
      <w:bookmarkStart w:id="289" w:name="_Toc197959470"/>
      <w:r w:rsidR="004C55E6">
        <w:t>Improving awareness of independent dispute resolution services</w:t>
      </w:r>
      <w:bookmarkEnd w:id="289"/>
    </w:p>
    <w:p w14:paraId="2AE5495D" w14:textId="6BF79D87" w:rsidR="002D0585" w:rsidRDefault="002D0585" w:rsidP="002D0585">
      <w:pPr>
        <w:pStyle w:val="Pull-outHeading"/>
      </w:pPr>
      <w:r>
        <w:t>Preferred option</w:t>
      </w:r>
    </w:p>
    <w:p w14:paraId="179DABEB" w14:textId="7A421FBB" w:rsidR="002D0585" w:rsidRPr="002D0585" w:rsidRDefault="002D0585" w:rsidP="002D0585">
      <w:pPr>
        <w:pStyle w:val="Pull-out"/>
      </w:pPr>
      <w:r>
        <w:t xml:space="preserve">A retailer would be required to include </w:t>
      </w:r>
      <w:r w:rsidR="0059350D">
        <w:t>the telephone number of the Energy and Water Ombudsman Victoria</w:t>
      </w:r>
      <w:r w:rsidR="00A2454A">
        <w:t xml:space="preserve"> (EWOV)</w:t>
      </w:r>
      <w:r w:rsidR="0059350D">
        <w:t xml:space="preserve"> on the front page of a bill.</w:t>
      </w:r>
    </w:p>
    <w:p w14:paraId="2406F128" w14:textId="77777777" w:rsidR="004C55E6" w:rsidRDefault="004C55E6" w:rsidP="004C55E6">
      <w:pPr>
        <w:pStyle w:val="Heading2numbered"/>
      </w:pPr>
      <w:bookmarkStart w:id="290" w:name="_Toc197959471"/>
      <w:r>
        <w:t>Scope of reform</w:t>
      </w:r>
      <w:bookmarkEnd w:id="290"/>
    </w:p>
    <w:p w14:paraId="1E448190" w14:textId="5B989A90" w:rsidR="00310AC7" w:rsidRPr="00310AC7" w:rsidRDefault="00DE57E5" w:rsidP="002811F3">
      <w:pPr>
        <w:pStyle w:val="Heading3numbered"/>
      </w:pPr>
      <w:r>
        <w:t xml:space="preserve">Purpose of reform </w:t>
      </w:r>
    </w:p>
    <w:p w14:paraId="4FE91D4D" w14:textId="0A8BE572" w:rsidR="00220352" w:rsidRDefault="00382837" w:rsidP="00220352">
      <w:r>
        <w:t>M</w:t>
      </w:r>
      <w:r w:rsidR="007D7F3A">
        <w:t xml:space="preserve">any consumers are not aware of </w:t>
      </w:r>
      <w:r>
        <w:t xml:space="preserve">the </w:t>
      </w:r>
      <w:r w:rsidR="007D7F3A">
        <w:t>independent dispute resolution services provided by EWOV</w:t>
      </w:r>
      <w:r>
        <w:t xml:space="preserve"> (see Section 2.1.4)</w:t>
      </w:r>
      <w:r w:rsidR="007D7F3A">
        <w:t xml:space="preserve">. </w:t>
      </w:r>
      <w:r w:rsidR="001B712E">
        <w:t>T</w:t>
      </w:r>
      <w:r w:rsidR="00220352">
        <w:t xml:space="preserve">his reform seeks to </w:t>
      </w:r>
      <w:r w:rsidR="00D53570">
        <w:t xml:space="preserve">increase consumer awareness of EWOV. This would </w:t>
      </w:r>
      <w:r w:rsidR="00220352">
        <w:t xml:space="preserve">provide better protections and support for </w:t>
      </w:r>
      <w:r w:rsidR="004C64F3">
        <w:t xml:space="preserve">energy </w:t>
      </w:r>
      <w:r w:rsidR="00220352">
        <w:t>consumers</w:t>
      </w:r>
      <w:r w:rsidR="007D612F">
        <w:t>.</w:t>
      </w:r>
    </w:p>
    <w:p w14:paraId="2CA743DC" w14:textId="540E5D7A" w:rsidR="000F5F8C" w:rsidRDefault="00E600BA" w:rsidP="00220352">
      <w:r w:rsidRPr="00E600BA">
        <w:t>As Victoria’s dispute resolution service for energy</w:t>
      </w:r>
      <w:r w:rsidR="00992C59">
        <w:t xml:space="preserve"> customers</w:t>
      </w:r>
      <w:r w:rsidRPr="00E600BA">
        <w:t xml:space="preserve">, EWOV is independent and helps to resolve complaints between </w:t>
      </w:r>
      <w:r w:rsidR="00D64F8A">
        <w:t>a</w:t>
      </w:r>
      <w:r w:rsidRPr="00E600BA">
        <w:t xml:space="preserve"> consumer and their retailer</w:t>
      </w:r>
      <w:r w:rsidR="004A0781">
        <w:t xml:space="preserve"> </w:t>
      </w:r>
      <w:r w:rsidR="004A0781" w:rsidRPr="00E600BA">
        <w:t>impartially</w:t>
      </w:r>
      <w:r w:rsidRPr="00E600BA">
        <w:t xml:space="preserve">. </w:t>
      </w:r>
      <w:r w:rsidR="00992C59">
        <w:t>By increasing consumer awareness</w:t>
      </w:r>
      <w:r w:rsidR="000F5F8C">
        <w:t xml:space="preserve"> of EWOV’s services</w:t>
      </w:r>
      <w:r w:rsidR="00992C59">
        <w:t>, complaints can be resolved more efficiently and fairly.</w:t>
      </w:r>
    </w:p>
    <w:p w14:paraId="4D7378B0" w14:textId="1CFB3789" w:rsidR="00992C59" w:rsidRDefault="00992C59" w:rsidP="00220352">
      <w:r>
        <w:t>Research shows that many consumers rely on information from their bills to address complaints. For instance, the Australian Government has found that 26</w:t>
      </w:r>
      <w:r w:rsidR="00D64A06">
        <w:t xml:space="preserve"> per cent</w:t>
      </w:r>
      <w:r>
        <w:t xml:space="preserve"> of consumers use their energy bill to find contact details for making a complaint.</w:t>
      </w:r>
      <w:r w:rsidRPr="000167D6">
        <w:rPr>
          <w:vertAlign w:val="superscript"/>
        </w:rPr>
        <w:footnoteReference w:id="245"/>
      </w:r>
    </w:p>
    <w:p w14:paraId="0E201B78" w14:textId="77777777" w:rsidR="00883249" w:rsidRDefault="00086A35" w:rsidP="00883249">
      <w:r>
        <w:t>To improve awareness of EWOV and its services, we are considering changes to require retailers to include EWOV’s contact details on electricity and gas bills.</w:t>
      </w:r>
      <w:r w:rsidR="00280CD1">
        <w:t xml:space="preserve"> </w:t>
      </w:r>
      <w:r w:rsidR="00883249">
        <w:t xml:space="preserve">This initiative aims to ensure that consumers are well-informed about the dispute resolution services available and how to access them. </w:t>
      </w:r>
    </w:p>
    <w:p w14:paraId="66AF43B7" w14:textId="181CE1E6" w:rsidR="00086A35" w:rsidRDefault="00883249" w:rsidP="00086A35">
      <w:r>
        <w:t xml:space="preserve">A similar </w:t>
      </w:r>
      <w:r w:rsidR="00280CD1">
        <w:t xml:space="preserve">requirement already exists in other NEM jurisdictions. The AER’s </w:t>
      </w:r>
      <w:r w:rsidR="001216C4">
        <w:t xml:space="preserve">Better Bills Guideline </w:t>
      </w:r>
      <w:r w:rsidR="003F0041">
        <w:t xml:space="preserve">requires </w:t>
      </w:r>
      <w:r w:rsidR="00DE5FFD">
        <w:t>retailers to include a telephone number for the customer to contact the relevant energy ombudsman on the first page of bills.</w:t>
      </w:r>
      <w:r w:rsidR="00DE5FFD">
        <w:rPr>
          <w:rStyle w:val="FootnoteReference"/>
        </w:rPr>
        <w:footnoteReference w:id="246"/>
      </w:r>
    </w:p>
    <w:p w14:paraId="29C9ADD0" w14:textId="7AF1F1DE" w:rsidR="00326428" w:rsidRDefault="00326428" w:rsidP="00326428">
      <w:pPr>
        <w:pStyle w:val="Heading3numbered"/>
      </w:pPr>
      <w:r>
        <w:lastRenderedPageBreak/>
        <w:t>What we heard from stakeholders</w:t>
      </w:r>
    </w:p>
    <w:p w14:paraId="3B2F6D8C" w14:textId="516FADB9" w:rsidR="009F49FB" w:rsidRPr="00F24F33" w:rsidRDefault="00563A69" w:rsidP="00FC2E32">
      <w:r>
        <w:t>F</w:t>
      </w:r>
      <w:r w:rsidR="00E44795">
        <w:t xml:space="preserve">eedback from </w:t>
      </w:r>
      <w:r w:rsidR="0046599B">
        <w:t>s</w:t>
      </w:r>
      <w:r w:rsidR="00E44795">
        <w:t>takeholders underscored the importance of making information about EWOV accessible for all consumers</w:t>
      </w:r>
      <w:r w:rsidR="006E5E39">
        <w:t>. Stakeholders</w:t>
      </w:r>
      <w:r w:rsidR="004768D4">
        <w:t xml:space="preserve"> </w:t>
      </w:r>
      <w:r w:rsidR="005423A7">
        <w:t>were</w:t>
      </w:r>
      <w:r w:rsidR="00B8076D">
        <w:t xml:space="preserve"> largely</w:t>
      </w:r>
      <w:r w:rsidR="00A97551">
        <w:t xml:space="preserve"> supportive of </w:t>
      </w:r>
      <w:r w:rsidR="00411571">
        <w:t xml:space="preserve">including EWOV’s </w:t>
      </w:r>
      <w:r w:rsidR="00A40662">
        <w:t>contact details</w:t>
      </w:r>
      <w:r w:rsidR="00E44795">
        <w:t xml:space="preserve"> on </w:t>
      </w:r>
      <w:r w:rsidR="000E2D3B">
        <w:t>bills</w:t>
      </w:r>
      <w:r w:rsidR="00E44795">
        <w:t xml:space="preserve">. </w:t>
      </w:r>
    </w:p>
    <w:p w14:paraId="2E941E75" w14:textId="644D948B" w:rsidR="00921086" w:rsidRDefault="000B4517" w:rsidP="00FC2E32">
      <w:r>
        <w:t xml:space="preserve">Consumer advocates </w:t>
      </w:r>
      <w:r w:rsidR="00541BB8">
        <w:t>supported measures to increase the visibility of EWOV on bills</w:t>
      </w:r>
      <w:r w:rsidR="00AE76E4">
        <w:t>. They emphasi</w:t>
      </w:r>
      <w:r w:rsidR="00DB3DD1">
        <w:t>s</w:t>
      </w:r>
      <w:r w:rsidR="00AE76E4">
        <w:t xml:space="preserve">ed that clear and prominent information about EWOV would help consumers understand their rights and </w:t>
      </w:r>
      <w:r w:rsidR="00ED32B7">
        <w:t xml:space="preserve">choices available for resolving disputes. </w:t>
      </w:r>
      <w:r w:rsidR="00D91AD8">
        <w:t xml:space="preserve">Advocates </w:t>
      </w:r>
      <w:r w:rsidR="00FE1EFB">
        <w:t>further highlighted that consumers</w:t>
      </w:r>
      <w:r w:rsidR="00E10F86">
        <w:t xml:space="preserve"> </w:t>
      </w:r>
      <w:r w:rsidR="007B1B4C">
        <w:t xml:space="preserve">experiencing vulnerability </w:t>
      </w:r>
      <w:r w:rsidR="00E10F86">
        <w:t xml:space="preserve">are </w:t>
      </w:r>
      <w:r w:rsidR="00471B6E">
        <w:t xml:space="preserve">more likely to benefit from </w:t>
      </w:r>
      <w:r w:rsidR="00E10F86">
        <w:t xml:space="preserve">stronger awareness </w:t>
      </w:r>
      <w:r w:rsidR="0091770C">
        <w:t>initiatives</w:t>
      </w:r>
      <w:r w:rsidR="00FE1EFB">
        <w:t xml:space="preserve">, </w:t>
      </w:r>
      <w:r w:rsidR="00BA3E34">
        <w:t>as they</w:t>
      </w:r>
      <w:r w:rsidR="00FE1EFB">
        <w:t xml:space="preserve"> may be less aware of their rights or how to seek help</w:t>
      </w:r>
      <w:r w:rsidR="00267753">
        <w:t>.</w:t>
      </w:r>
    </w:p>
    <w:p w14:paraId="207B1AB8" w14:textId="33818AD9" w:rsidR="000B4517" w:rsidRPr="00AD3D87" w:rsidRDefault="00BA3E34" w:rsidP="00FC2E32">
      <w:r>
        <w:t>Some stakeholder</w:t>
      </w:r>
      <w:r w:rsidR="005943D6">
        <w:t>s</w:t>
      </w:r>
      <w:r>
        <w:t xml:space="preserve"> provided a</w:t>
      </w:r>
      <w:r w:rsidR="00391C9C">
        <w:t>dditional</w:t>
      </w:r>
      <w:r w:rsidR="0005286C">
        <w:t xml:space="preserve"> suggestions</w:t>
      </w:r>
      <w:r w:rsidR="00B307E2">
        <w:t xml:space="preserve">, such as including information about </w:t>
      </w:r>
      <w:r w:rsidR="003D1840">
        <w:t xml:space="preserve">tailored assistance or </w:t>
      </w:r>
      <w:r w:rsidR="00B307E2">
        <w:t>the National Debt Helpline</w:t>
      </w:r>
      <w:r w:rsidR="006C2388">
        <w:t xml:space="preserve"> </w:t>
      </w:r>
      <w:r w:rsidR="00C017AD">
        <w:t>on bills.</w:t>
      </w:r>
      <w:r w:rsidR="009F639F">
        <w:rPr>
          <w:rStyle w:val="FootnoteReference"/>
        </w:rPr>
        <w:footnoteReference w:id="247"/>
      </w:r>
      <w:r w:rsidR="00B307E2">
        <w:t xml:space="preserve"> </w:t>
      </w:r>
    </w:p>
    <w:p w14:paraId="5A296A57" w14:textId="1A2A2663" w:rsidR="005E6BC7" w:rsidRPr="00AD3D87" w:rsidRDefault="00EE3F63" w:rsidP="00FC2E32">
      <w:r>
        <w:t>O</w:t>
      </w:r>
      <w:r w:rsidR="005E6BC7">
        <w:t>mbudsman in other jurisdictions</w:t>
      </w:r>
      <w:r w:rsidR="00546B2E">
        <w:t xml:space="preserve"> </w:t>
      </w:r>
      <w:r w:rsidR="005E6BC7">
        <w:t xml:space="preserve">have welcomed </w:t>
      </w:r>
      <w:r w:rsidR="003730AC">
        <w:t>the AER</w:t>
      </w:r>
      <w:r w:rsidR="00152CE6">
        <w:t xml:space="preserve"> requirement to include th</w:t>
      </w:r>
      <w:r w:rsidR="003730AC">
        <w:t>eir contact details on bills</w:t>
      </w:r>
      <w:r w:rsidR="00D51D08">
        <w:t xml:space="preserve">, which has improved </w:t>
      </w:r>
      <w:r w:rsidR="005E6BC7">
        <w:t>customer awareness of their services</w:t>
      </w:r>
      <w:r w:rsidR="00D51D08">
        <w:t xml:space="preserve">. However, they noted that </w:t>
      </w:r>
      <w:r w:rsidR="005E6BC7">
        <w:t xml:space="preserve">there are </w:t>
      </w:r>
      <w:r w:rsidR="00D51D08">
        <w:t>some</w:t>
      </w:r>
      <w:r w:rsidR="005E6BC7">
        <w:t xml:space="preserve"> instances where customers contact their respective ombudsman </w:t>
      </w:r>
      <w:r w:rsidR="00AF672E">
        <w:t xml:space="preserve">before </w:t>
      </w:r>
      <w:r w:rsidR="005E6BC7">
        <w:t xml:space="preserve">first </w:t>
      </w:r>
      <w:r w:rsidR="00705A6A">
        <w:t xml:space="preserve">contacting </w:t>
      </w:r>
      <w:r w:rsidR="005E6BC7">
        <w:t xml:space="preserve">their retailer. </w:t>
      </w:r>
      <w:r w:rsidR="00705A6A">
        <w:t>In that scenario</w:t>
      </w:r>
      <w:r w:rsidR="00EA4CD9">
        <w:t>,</w:t>
      </w:r>
      <w:r w:rsidR="00705A6A">
        <w:t xml:space="preserve"> the </w:t>
      </w:r>
      <w:r w:rsidR="00EF4982">
        <w:t>o</w:t>
      </w:r>
      <w:r w:rsidR="00705A6A">
        <w:t xml:space="preserve">mbudsman </w:t>
      </w:r>
      <w:r w:rsidR="008321D0">
        <w:t xml:space="preserve">would </w:t>
      </w:r>
      <w:r w:rsidR="00F616B4">
        <w:t xml:space="preserve">refer </w:t>
      </w:r>
      <w:r w:rsidR="008321D0">
        <w:t xml:space="preserve">the customer </w:t>
      </w:r>
      <w:r w:rsidR="00F616B4">
        <w:t>back to their retailer.</w:t>
      </w:r>
    </w:p>
    <w:p w14:paraId="2C404FE8" w14:textId="3970B56C" w:rsidR="00894C0E" w:rsidRDefault="003D1840" w:rsidP="00FC2E32">
      <w:r>
        <w:t>R</w:t>
      </w:r>
      <w:r w:rsidR="00847E77">
        <w:t>etailers</w:t>
      </w:r>
      <w:r w:rsidR="00090F58">
        <w:t xml:space="preserve"> and industry</w:t>
      </w:r>
      <w:r w:rsidR="00847E77">
        <w:t xml:space="preserve"> </w:t>
      </w:r>
      <w:r w:rsidR="00E85237">
        <w:t xml:space="preserve">raised concerns about </w:t>
      </w:r>
      <w:r w:rsidR="00670826">
        <w:t xml:space="preserve">the practical aspects of implementing this reform. </w:t>
      </w:r>
      <w:r w:rsidR="0089175D">
        <w:t>Th</w:t>
      </w:r>
      <w:r w:rsidR="0045124B">
        <w:t>o</w:t>
      </w:r>
      <w:r w:rsidR="0089175D">
        <w:t>se concerns</w:t>
      </w:r>
      <w:r w:rsidR="00E66599">
        <w:t xml:space="preserve"> include</w:t>
      </w:r>
      <w:r w:rsidR="0089175D">
        <w:t xml:space="preserve"> the</w:t>
      </w:r>
      <w:r w:rsidR="00E66599">
        <w:t xml:space="preserve"> </w:t>
      </w:r>
      <w:r w:rsidR="00E85237">
        <w:t>potential costs associated with updating billing systems</w:t>
      </w:r>
      <w:r w:rsidR="003B52FE">
        <w:t xml:space="preserve"> </w:t>
      </w:r>
      <w:r w:rsidR="009C2FCD">
        <w:t xml:space="preserve">and the </w:t>
      </w:r>
      <w:r w:rsidR="00894C0E">
        <w:t xml:space="preserve">potential </w:t>
      </w:r>
      <w:r w:rsidR="000847E5">
        <w:t>to divert</w:t>
      </w:r>
      <w:r w:rsidR="0074685C">
        <w:t xml:space="preserve"> customers </w:t>
      </w:r>
      <w:r w:rsidR="00C40064">
        <w:t>to EWOV before first trying to resolve</w:t>
      </w:r>
      <w:r w:rsidR="00894C0E">
        <w:t xml:space="preserve"> complaints</w:t>
      </w:r>
      <w:r w:rsidR="00C40064">
        <w:t xml:space="preserve"> with </w:t>
      </w:r>
      <w:r w:rsidR="00111EB5">
        <w:t>their retailer</w:t>
      </w:r>
      <w:r w:rsidR="00946670">
        <w:t xml:space="preserve"> (similar to </w:t>
      </w:r>
      <w:r w:rsidR="00A15797">
        <w:t>the concern raised by ombudsman in other jurisdictions)</w:t>
      </w:r>
      <w:r w:rsidR="00A53DF0">
        <w:t>.</w:t>
      </w:r>
      <w:r w:rsidR="00370DF5">
        <w:rPr>
          <w:rStyle w:val="FootnoteReference"/>
        </w:rPr>
        <w:footnoteReference w:id="248"/>
      </w:r>
    </w:p>
    <w:p w14:paraId="18954BB6" w14:textId="79361524" w:rsidR="00712F43" w:rsidRDefault="00C02C1E" w:rsidP="005B575A">
      <w:r>
        <w:t xml:space="preserve">However, </w:t>
      </w:r>
      <w:r w:rsidR="000847E5">
        <w:t>retailers</w:t>
      </w:r>
      <w:r w:rsidR="00920961">
        <w:t xml:space="preserve"> also acknowledged the importance of improving consumer awareness</w:t>
      </w:r>
      <w:r w:rsidR="00017D52">
        <w:t xml:space="preserve">, with some retailers </w:t>
      </w:r>
      <w:r w:rsidR="00BB0313">
        <w:t xml:space="preserve">commenting that they already provide </w:t>
      </w:r>
      <w:r w:rsidR="004B7D60">
        <w:t xml:space="preserve">EWOV’s </w:t>
      </w:r>
      <w:r w:rsidR="000F2389">
        <w:t>phone number on bills.</w:t>
      </w:r>
      <w:r w:rsidR="00814FC9">
        <w:t xml:space="preserve"> Retailers </w:t>
      </w:r>
      <w:r w:rsidR="00E36DDD">
        <w:t xml:space="preserve">provided feedback on specific reform options, such as including </w:t>
      </w:r>
      <w:r w:rsidR="00122FF2">
        <w:t xml:space="preserve">EWOV’s contact details on the front page of bills, in the </w:t>
      </w:r>
      <w:r w:rsidR="00234FC8">
        <w:t xml:space="preserve">body of emails and through other communication channels. </w:t>
      </w:r>
      <w:r w:rsidR="00CF111A">
        <w:t xml:space="preserve">While there was general support for these options, retailers </w:t>
      </w:r>
      <w:r w:rsidR="002533A7">
        <w:t xml:space="preserve">favoured </w:t>
      </w:r>
      <w:r w:rsidR="00BF285F">
        <w:t xml:space="preserve">for consistency with </w:t>
      </w:r>
      <w:r w:rsidR="009624F0">
        <w:t>AER’s</w:t>
      </w:r>
      <w:r w:rsidR="00D22949">
        <w:t xml:space="preserve"> Better Bills Guideline</w:t>
      </w:r>
      <w:r w:rsidR="009624F0">
        <w:t xml:space="preserve"> </w:t>
      </w:r>
      <w:r w:rsidR="007261D9">
        <w:t xml:space="preserve">where possible. </w:t>
      </w:r>
    </w:p>
    <w:p w14:paraId="610C7818" w14:textId="6A5F35A1" w:rsidR="00326428" w:rsidRPr="00326428" w:rsidRDefault="00326428" w:rsidP="00326428">
      <w:pPr>
        <w:pStyle w:val="Heading3numbered"/>
      </w:pPr>
      <w:r>
        <w:t>Approach to options development</w:t>
      </w:r>
    </w:p>
    <w:p w14:paraId="5F6BEB1D" w14:textId="7C2CA9E6" w:rsidR="00B362B9" w:rsidRDefault="00294DC9" w:rsidP="00CD1ABA">
      <w:r>
        <w:t xml:space="preserve">The </w:t>
      </w:r>
      <w:r w:rsidR="00A0748E">
        <w:t xml:space="preserve">approach to developing reform options is largely based on </w:t>
      </w:r>
      <w:r w:rsidR="002A5717">
        <w:t>feedback received through consultation</w:t>
      </w:r>
      <w:r w:rsidR="00FC1683">
        <w:t xml:space="preserve">. </w:t>
      </w:r>
      <w:r w:rsidR="00081397">
        <w:t>We</w:t>
      </w:r>
      <w:r w:rsidR="00A27995">
        <w:t xml:space="preserve"> </w:t>
      </w:r>
      <w:r w:rsidR="00D76C32">
        <w:t xml:space="preserve">looked at requirements in </w:t>
      </w:r>
      <w:r w:rsidR="00F76E85">
        <w:t>N</w:t>
      </w:r>
      <w:r w:rsidR="005943D6">
        <w:t xml:space="preserve">ational </w:t>
      </w:r>
      <w:r w:rsidR="00F76E85">
        <w:t>E</w:t>
      </w:r>
      <w:r w:rsidR="005943D6">
        <w:t xml:space="preserve">nergy </w:t>
      </w:r>
      <w:r w:rsidR="00F76E85">
        <w:t>C</w:t>
      </w:r>
      <w:r w:rsidR="005943D6">
        <w:t xml:space="preserve">ustomer </w:t>
      </w:r>
      <w:r w:rsidR="00F76E85">
        <w:t>F</w:t>
      </w:r>
      <w:r w:rsidR="005943D6">
        <w:t>ramework</w:t>
      </w:r>
      <w:r w:rsidR="00513CF9">
        <w:t xml:space="preserve"> jurisdictions</w:t>
      </w:r>
      <w:r w:rsidR="0070364F">
        <w:t xml:space="preserve"> and </w:t>
      </w:r>
      <w:r w:rsidR="0070364F">
        <w:lastRenderedPageBreak/>
        <w:t xml:space="preserve">engaged with </w:t>
      </w:r>
      <w:r w:rsidR="00E70BEF">
        <w:t>ombudsman schem</w:t>
      </w:r>
      <w:r w:rsidR="006F574D">
        <w:t>es</w:t>
      </w:r>
      <w:r w:rsidR="003333F8">
        <w:t xml:space="preserve"> to understand </w:t>
      </w:r>
      <w:r w:rsidR="00EB1628">
        <w:t>whether</w:t>
      </w:r>
      <w:r w:rsidR="00FA7989">
        <w:t xml:space="preserve"> </w:t>
      </w:r>
      <w:r w:rsidR="00415121">
        <w:t xml:space="preserve">the </w:t>
      </w:r>
      <w:r w:rsidR="00FA7989">
        <w:t xml:space="preserve">inclusion of </w:t>
      </w:r>
      <w:r w:rsidR="00415121">
        <w:t xml:space="preserve">ombudsman </w:t>
      </w:r>
      <w:r w:rsidR="00F752A2">
        <w:t xml:space="preserve">phone numbers on bills </w:t>
      </w:r>
      <w:r w:rsidR="006B1ABC">
        <w:t xml:space="preserve">has led to better consumer outcomes. </w:t>
      </w:r>
    </w:p>
    <w:p w14:paraId="6EFA0166" w14:textId="23F702BE" w:rsidR="007151DF" w:rsidRDefault="00B362B9" w:rsidP="00CD1ABA">
      <w:r>
        <w:t>We</w:t>
      </w:r>
      <w:r w:rsidR="00AB1D16">
        <w:t xml:space="preserve"> also</w:t>
      </w:r>
      <w:r w:rsidR="0058476B">
        <w:t xml:space="preserve"> looked at a sample of Victorian bills, to </w:t>
      </w:r>
      <w:r w:rsidR="00504314">
        <w:t>verify whether retailers voluntarily include EWOV’s contact details</w:t>
      </w:r>
      <w:r w:rsidR="003C3150">
        <w:t xml:space="preserve"> on bills</w:t>
      </w:r>
      <w:r w:rsidR="00504314">
        <w:t>.</w:t>
      </w:r>
      <w:r w:rsidR="00E50388">
        <w:t xml:space="preserve"> We noted that </w:t>
      </w:r>
      <w:r w:rsidR="00D036FF">
        <w:t xml:space="preserve">several retailers (large, medium and small) </w:t>
      </w:r>
      <w:r w:rsidR="007B08AD">
        <w:t>already include this information on bills</w:t>
      </w:r>
      <w:r w:rsidR="00AA6D95">
        <w:t>.</w:t>
      </w:r>
      <w:r w:rsidR="00B31FD1">
        <w:rPr>
          <w:rStyle w:val="FootnoteReference"/>
        </w:rPr>
        <w:footnoteReference w:id="249"/>
      </w:r>
      <w:r w:rsidR="00392E50">
        <w:t xml:space="preserve"> These retailers account </w:t>
      </w:r>
      <w:r w:rsidR="009569C7">
        <w:t>for</w:t>
      </w:r>
      <w:r w:rsidR="00F21999">
        <w:t xml:space="preserve"> approximately 50</w:t>
      </w:r>
      <w:r w:rsidR="009569C7">
        <w:t xml:space="preserve"> per cent</w:t>
      </w:r>
      <w:r w:rsidR="00F21999">
        <w:t xml:space="preserve"> </w:t>
      </w:r>
      <w:r w:rsidR="0025104A">
        <w:t xml:space="preserve">market share of </w:t>
      </w:r>
      <w:r w:rsidR="00066195">
        <w:t>the Victorian retail energy market.</w:t>
      </w:r>
      <w:r w:rsidR="00F473EE">
        <w:t xml:space="preserve"> </w:t>
      </w:r>
    </w:p>
    <w:p w14:paraId="4FCA2DBC" w14:textId="77777777" w:rsidR="00311FDB" w:rsidRDefault="007151DF" w:rsidP="00CD1ABA">
      <w:r>
        <w:t xml:space="preserve">We </w:t>
      </w:r>
      <w:r w:rsidR="00E64942">
        <w:t>considered</w:t>
      </w:r>
      <w:r w:rsidR="0090673F">
        <w:t xml:space="preserve"> </w:t>
      </w:r>
      <w:r w:rsidR="00311FDB">
        <w:t xml:space="preserve">a range of </w:t>
      </w:r>
      <w:r w:rsidR="00AA71C1">
        <w:t>different options</w:t>
      </w:r>
      <w:r w:rsidR="00311FDB">
        <w:t>. For example:</w:t>
      </w:r>
    </w:p>
    <w:p w14:paraId="662A5EA4" w14:textId="594B654C" w:rsidR="00311FDB" w:rsidRDefault="00B71B29" w:rsidP="00A92E17">
      <w:pPr>
        <w:pStyle w:val="ListBullet"/>
      </w:pPr>
      <w:r>
        <w:t xml:space="preserve">full alignment of bills with </w:t>
      </w:r>
      <w:r w:rsidR="00CD03EF">
        <w:t xml:space="preserve">the </w:t>
      </w:r>
      <w:r w:rsidR="0014096A">
        <w:t xml:space="preserve">AER’s </w:t>
      </w:r>
      <w:r w:rsidR="00CD03EF">
        <w:t>Better Bills</w:t>
      </w:r>
      <w:r w:rsidR="0014096A">
        <w:t xml:space="preserve"> guideline</w:t>
      </w:r>
      <w:r w:rsidR="00241B54">
        <w:t>, inclu</w:t>
      </w:r>
      <w:r w:rsidR="0006650E">
        <w:t>ding</w:t>
      </w:r>
      <w:r w:rsidR="00241B54">
        <w:t xml:space="preserve"> </w:t>
      </w:r>
      <w:r w:rsidR="000C0913">
        <w:t xml:space="preserve">EWOV’s </w:t>
      </w:r>
      <w:r w:rsidR="00780C52">
        <w:t xml:space="preserve">phone number and </w:t>
      </w:r>
      <w:r w:rsidR="000C0913">
        <w:t xml:space="preserve">website </w:t>
      </w:r>
      <w:r w:rsidR="00273808">
        <w:t xml:space="preserve">on the </w:t>
      </w:r>
      <w:r w:rsidR="00FD637F">
        <w:t>front</w:t>
      </w:r>
      <w:r w:rsidR="00273808">
        <w:t xml:space="preserve"> page of bills</w:t>
      </w:r>
    </w:p>
    <w:p w14:paraId="34303F0B" w14:textId="2F21C7E7" w:rsidR="00311FDB" w:rsidRDefault="00020BE2" w:rsidP="00A92E17">
      <w:pPr>
        <w:pStyle w:val="ListBullet"/>
      </w:pPr>
      <w:r>
        <w:t xml:space="preserve">requiring </w:t>
      </w:r>
      <w:r w:rsidR="00A365FD">
        <w:t xml:space="preserve">additional </w:t>
      </w:r>
      <w:r w:rsidR="00D844C2">
        <w:t xml:space="preserve">information </w:t>
      </w:r>
      <w:r w:rsidR="001B68F9">
        <w:t>regarding</w:t>
      </w:r>
      <w:r w:rsidR="00D844C2">
        <w:t xml:space="preserve"> EWOV services</w:t>
      </w:r>
    </w:p>
    <w:p w14:paraId="79D2CA39" w14:textId="3DFEC6E1" w:rsidR="00AA71C1" w:rsidRDefault="00274E58" w:rsidP="00A92E17">
      <w:pPr>
        <w:pStyle w:val="ListBullet"/>
      </w:pPr>
      <w:r>
        <w:t xml:space="preserve">including </w:t>
      </w:r>
      <w:r w:rsidR="002F7700">
        <w:t>EWOV’s contact details in emails.</w:t>
      </w:r>
      <w:r w:rsidR="004873FF">
        <w:t xml:space="preserve"> </w:t>
      </w:r>
    </w:p>
    <w:p w14:paraId="435C86C8" w14:textId="6799D48A" w:rsidR="00111381" w:rsidRDefault="002020E7" w:rsidP="00CD1ABA">
      <w:r>
        <w:t>Our approach</w:t>
      </w:r>
      <w:r w:rsidR="00D0220E">
        <w:t xml:space="preserve"> in developing these options </w:t>
      </w:r>
      <w:r>
        <w:t xml:space="preserve">focused </w:t>
      </w:r>
      <w:r w:rsidR="00D0220E">
        <w:t>on</w:t>
      </w:r>
      <w:r w:rsidR="000762DC">
        <w:t xml:space="preserve"> determining</w:t>
      </w:r>
      <w:r w:rsidR="00D0220E">
        <w:t xml:space="preserve"> </w:t>
      </w:r>
      <w:r w:rsidR="00904490">
        <w:t xml:space="preserve">what </w:t>
      </w:r>
      <w:r w:rsidR="00311FDB">
        <w:t>EWOV</w:t>
      </w:r>
      <w:r w:rsidR="00904490">
        <w:t xml:space="preserve"> information </w:t>
      </w:r>
      <w:r w:rsidR="003E74E6">
        <w:t xml:space="preserve">would </w:t>
      </w:r>
      <w:r w:rsidR="00753887">
        <w:t xml:space="preserve">be </w:t>
      </w:r>
      <w:r w:rsidR="000762DC">
        <w:t>more useful for</w:t>
      </w:r>
      <w:r w:rsidR="006C5B10">
        <w:t xml:space="preserve"> </w:t>
      </w:r>
      <w:r w:rsidR="008C3E93">
        <w:t xml:space="preserve">consumers when </w:t>
      </w:r>
      <w:r w:rsidR="00552BE3">
        <w:t xml:space="preserve">receiving </w:t>
      </w:r>
      <w:r w:rsidR="00CC6F0B">
        <w:t>a bill</w:t>
      </w:r>
      <w:r w:rsidR="000762DC">
        <w:t>,</w:t>
      </w:r>
      <w:r w:rsidR="00AA71C1">
        <w:t xml:space="preserve"> and how </w:t>
      </w:r>
      <w:r w:rsidR="00CD03EF">
        <w:t>to make it easier for consumers to engage with their energy bills.</w:t>
      </w:r>
      <w:r w:rsidR="00AA71C1">
        <w:t xml:space="preserve"> </w:t>
      </w:r>
    </w:p>
    <w:p w14:paraId="395E5051" w14:textId="0620D02D" w:rsidR="004C55E6" w:rsidRDefault="00622C0E" w:rsidP="004C55E6">
      <w:pPr>
        <w:pStyle w:val="Heading2numbered"/>
      </w:pPr>
      <w:bookmarkStart w:id="292" w:name="_Toc197959472"/>
      <w:r>
        <w:t>Options considered but not progressed to assessment</w:t>
      </w:r>
      <w:bookmarkEnd w:id="292"/>
    </w:p>
    <w:p w14:paraId="342500E0" w14:textId="27AF6A47" w:rsidR="002817A1" w:rsidRDefault="00F2412F" w:rsidP="00947395">
      <w:r>
        <w:t xml:space="preserve">A first option we considered </w:t>
      </w:r>
      <w:r w:rsidR="00FE2173">
        <w:t>was</w:t>
      </w:r>
      <w:r w:rsidR="002243CE">
        <w:t xml:space="preserve"> </w:t>
      </w:r>
      <w:r>
        <w:t xml:space="preserve">to </w:t>
      </w:r>
      <w:r w:rsidR="00205401">
        <w:t xml:space="preserve">fully align Victorian bill information requirements with the AER’s Better Bills Guideline. However, stakeholders were not supportive of this option. They noted that the AER has not yet </w:t>
      </w:r>
      <w:r w:rsidR="0000134C">
        <w:t xml:space="preserve">completed </w:t>
      </w:r>
      <w:r w:rsidR="00205401">
        <w:t xml:space="preserve">a post-implementation review of the guideline and </w:t>
      </w:r>
      <w:r w:rsidR="0000134C">
        <w:t xml:space="preserve">of </w:t>
      </w:r>
      <w:r w:rsidR="00205401">
        <w:t>the costs and benefits of changes since it came into effect</w:t>
      </w:r>
      <w:r w:rsidR="0000134C">
        <w:t>.</w:t>
      </w:r>
    </w:p>
    <w:p w14:paraId="7327B8F7" w14:textId="6E98101F" w:rsidR="00947395" w:rsidRDefault="00232534" w:rsidP="00947395">
      <w:r>
        <w:t>A second option we considered</w:t>
      </w:r>
      <w:r w:rsidR="00947395">
        <w:t xml:space="preserve"> </w:t>
      </w:r>
      <w:r w:rsidR="00F2412F">
        <w:t>was to</w:t>
      </w:r>
      <w:r w:rsidR="00947395">
        <w:t xml:space="preserve"> develop a guideline </w:t>
      </w:r>
      <w:r w:rsidR="00E0444C">
        <w:t>highlighting</w:t>
      </w:r>
      <w:r w:rsidR="00947395">
        <w:t xml:space="preserve"> </w:t>
      </w:r>
      <w:r w:rsidR="00B05FD6">
        <w:t xml:space="preserve">best </w:t>
      </w:r>
      <w:r w:rsidR="00E0444C">
        <w:t xml:space="preserve">practices for </w:t>
      </w:r>
      <w:r w:rsidR="00EC6DA6">
        <w:t xml:space="preserve">dispute resolution </w:t>
      </w:r>
      <w:r w:rsidR="0055427E">
        <w:t>between customers and</w:t>
      </w:r>
      <w:r w:rsidR="00947395">
        <w:t xml:space="preserve"> retailers. </w:t>
      </w:r>
      <w:r w:rsidR="0055427E">
        <w:t>A</w:t>
      </w:r>
      <w:r w:rsidR="00B8672B">
        <w:t xml:space="preserve"> </w:t>
      </w:r>
      <w:r w:rsidR="00947395">
        <w:t xml:space="preserve">guideline could provide </w:t>
      </w:r>
      <w:r w:rsidR="0055427E">
        <w:t>guidance</w:t>
      </w:r>
      <w:r w:rsidR="00947395">
        <w:t xml:space="preserve"> </w:t>
      </w:r>
      <w:r w:rsidR="000D6227">
        <w:t>for</w:t>
      </w:r>
      <w:r w:rsidR="00F95ED2">
        <w:t xml:space="preserve"> retailers </w:t>
      </w:r>
      <w:r w:rsidR="00947395">
        <w:t xml:space="preserve">on how best to ensure their customers are made aware of the dispute resolution services available to them. </w:t>
      </w:r>
      <w:r w:rsidR="000D6227">
        <w:t xml:space="preserve">We considered this option would be unlikely to </w:t>
      </w:r>
      <w:r w:rsidR="000E7B03">
        <w:t>achieve the outcome of increasing consumer awareness of EWOV’s services</w:t>
      </w:r>
      <w:r w:rsidR="0010441D">
        <w:t xml:space="preserve"> </w:t>
      </w:r>
      <w:r w:rsidR="00CD015A">
        <w:t>without other interventions.</w:t>
      </w:r>
    </w:p>
    <w:p w14:paraId="53A3F2EA" w14:textId="17E1111A" w:rsidR="00C11394" w:rsidRPr="00947395" w:rsidRDefault="00F339C4" w:rsidP="00947395">
      <w:r>
        <w:t>The third</w:t>
      </w:r>
      <w:r w:rsidR="00F2412F">
        <w:t xml:space="preserve"> option we considered was to require</w:t>
      </w:r>
      <w:r w:rsidR="00C11394">
        <w:t xml:space="preserve"> retailers </w:t>
      </w:r>
      <w:r w:rsidR="0027433F">
        <w:t xml:space="preserve">not only </w:t>
      </w:r>
      <w:r w:rsidR="00C11394">
        <w:t xml:space="preserve">to include EWOV’s </w:t>
      </w:r>
      <w:r w:rsidR="008E3D0B">
        <w:t>phone</w:t>
      </w:r>
      <w:r w:rsidR="0027433F">
        <w:t xml:space="preserve"> number </w:t>
      </w:r>
      <w:r w:rsidR="00C11394">
        <w:t xml:space="preserve">on the front page of bills </w:t>
      </w:r>
      <w:r w:rsidR="0027433F">
        <w:t xml:space="preserve">but also </w:t>
      </w:r>
      <w:r w:rsidR="00C11394">
        <w:t xml:space="preserve">EWOV’s website address </w:t>
      </w:r>
      <w:r w:rsidR="0027433F">
        <w:t xml:space="preserve">and </w:t>
      </w:r>
      <w:r w:rsidR="00C11394">
        <w:t xml:space="preserve">additional information </w:t>
      </w:r>
      <w:r w:rsidR="0027433F">
        <w:t>about EWOV</w:t>
      </w:r>
      <w:r w:rsidR="00C11394">
        <w:t xml:space="preserve">, including a brief description of the role of EWOV and the services it offers. However, </w:t>
      </w:r>
      <w:r w:rsidR="00C92616">
        <w:t>we consider</w:t>
      </w:r>
      <w:r w:rsidR="008E3D0B">
        <w:t>ed</w:t>
      </w:r>
      <w:r w:rsidR="00C92616">
        <w:t xml:space="preserve"> that adding </w:t>
      </w:r>
      <w:r w:rsidR="00415698">
        <w:t>such</w:t>
      </w:r>
      <w:r w:rsidR="00C92616">
        <w:t xml:space="preserve"> information </w:t>
      </w:r>
      <w:r w:rsidR="00415698">
        <w:t xml:space="preserve">could make </w:t>
      </w:r>
      <w:r w:rsidR="00C92616">
        <w:t>bills</w:t>
      </w:r>
      <w:r w:rsidR="00415698">
        <w:t xml:space="preserve"> more complex than they</w:t>
      </w:r>
      <w:r w:rsidR="00D56785">
        <w:t xml:space="preserve"> already </w:t>
      </w:r>
      <w:r w:rsidR="00415698">
        <w:t>are</w:t>
      </w:r>
      <w:r w:rsidR="001A0946">
        <w:t xml:space="preserve">, </w:t>
      </w:r>
      <w:r w:rsidR="001B009F">
        <w:t xml:space="preserve">given the amount of information </w:t>
      </w:r>
      <w:r w:rsidR="00104C2C">
        <w:t xml:space="preserve">that is </w:t>
      </w:r>
      <w:r w:rsidR="001B009F">
        <w:t>already required. This would</w:t>
      </w:r>
      <w:r w:rsidR="00C92616">
        <w:t xml:space="preserve"> make it more difficult for customers </w:t>
      </w:r>
      <w:r w:rsidR="00FD3B91">
        <w:t>to engage with their bills</w:t>
      </w:r>
      <w:r w:rsidR="00122783">
        <w:t xml:space="preserve">. </w:t>
      </w:r>
    </w:p>
    <w:p w14:paraId="66D7F450" w14:textId="77777777" w:rsidR="00513378" w:rsidRDefault="00953084" w:rsidP="00947395">
      <w:r>
        <w:lastRenderedPageBreak/>
        <w:t>Another</w:t>
      </w:r>
      <w:r w:rsidR="0027433F">
        <w:t xml:space="preserve"> option we did</w:t>
      </w:r>
      <w:r>
        <w:t xml:space="preserve"> not</w:t>
      </w:r>
      <w:r w:rsidR="0027433F">
        <w:t xml:space="preserve"> progress was to require t</w:t>
      </w:r>
      <w:r w:rsidR="00F2412F">
        <w:t>he inclusion of EWOV’s contact details in the body of emails</w:t>
      </w:r>
      <w:r w:rsidR="0027433F">
        <w:t>, in addition to including EWOV</w:t>
      </w:r>
      <w:r w:rsidR="00B72147">
        <w:t>’s</w:t>
      </w:r>
      <w:r w:rsidR="0027433F">
        <w:t xml:space="preserve"> contact details on bills. Under this option, </w:t>
      </w:r>
      <w:r w:rsidR="00042C8D">
        <w:t>when a retailer issues an electronic bill</w:t>
      </w:r>
      <w:r w:rsidR="009C7A8E">
        <w:t xml:space="preserve"> to </w:t>
      </w:r>
      <w:r w:rsidR="00042C8D">
        <w:t>a customer</w:t>
      </w:r>
      <w:r w:rsidR="00972B9F">
        <w:t>,</w:t>
      </w:r>
      <w:r w:rsidR="00042C8D">
        <w:t xml:space="preserve"> it would have to</w:t>
      </w:r>
      <w:r w:rsidR="009C7A8E">
        <w:t xml:space="preserve"> </w:t>
      </w:r>
      <w:r w:rsidR="00042C8D">
        <w:t>i</w:t>
      </w:r>
      <w:r w:rsidR="00F2412F">
        <w:t xml:space="preserve">nclude </w:t>
      </w:r>
      <w:r w:rsidR="00042C8D">
        <w:t xml:space="preserve">information about </w:t>
      </w:r>
      <w:r w:rsidR="00F2412F">
        <w:t>EWOV</w:t>
      </w:r>
      <w:r w:rsidR="00042C8D">
        <w:t xml:space="preserve"> in the email (such as</w:t>
      </w:r>
      <w:r w:rsidR="00F2412F">
        <w:t xml:space="preserve"> phone number, email address and website link</w:t>
      </w:r>
      <w:r w:rsidR="00972B9F">
        <w:t>)</w:t>
      </w:r>
      <w:r w:rsidR="00F2412F">
        <w:t xml:space="preserve">. </w:t>
      </w:r>
    </w:p>
    <w:p w14:paraId="11A8ECF5" w14:textId="2BF1463F" w:rsidR="00482975" w:rsidRDefault="00972B9F" w:rsidP="00947395">
      <w:r>
        <w:t>While this approach may</w:t>
      </w:r>
      <w:r w:rsidR="00F2412F">
        <w:t xml:space="preserve"> provide consumers with more immediate information</w:t>
      </w:r>
      <w:r>
        <w:t xml:space="preserve">, </w:t>
      </w:r>
      <w:r w:rsidR="00C86525">
        <w:t>stakeholder feedback suggested that communicating bill information digitally is intended to be concise and focused on the most essential billing information.</w:t>
      </w:r>
      <w:r w:rsidR="002808AB">
        <w:t xml:space="preserve"> </w:t>
      </w:r>
      <w:r w:rsidR="000C02E3">
        <w:t xml:space="preserve">Stakeholders also </w:t>
      </w:r>
      <w:r w:rsidR="000710F2">
        <w:t xml:space="preserve">mentioned that </w:t>
      </w:r>
      <w:r w:rsidR="00A132BF">
        <w:t>additional regulatory intervention in digital bill messaging (including emails) would be unlikely to improve consumer outcomes.</w:t>
      </w:r>
      <w:r w:rsidR="00AB76DE">
        <w:t xml:space="preserve"> We </w:t>
      </w:r>
      <w:r w:rsidR="00EF3B8B">
        <w:t>further</w:t>
      </w:r>
      <w:r w:rsidR="004834D5">
        <w:t xml:space="preserve"> </w:t>
      </w:r>
      <w:r w:rsidR="00AB76DE">
        <w:t>consider</w:t>
      </w:r>
      <w:r w:rsidR="004834D5">
        <w:t>ed</w:t>
      </w:r>
      <w:r w:rsidR="00AB76DE">
        <w:t xml:space="preserve"> that in most cases, </w:t>
      </w:r>
      <w:r w:rsidR="00ED32AD">
        <w:t xml:space="preserve">complaints and disputes are more likely to arise </w:t>
      </w:r>
      <w:r w:rsidR="004834D5">
        <w:t>from a customer’s engagement with their energy bill</w:t>
      </w:r>
      <w:r w:rsidR="00C06FEC">
        <w:t xml:space="preserve"> rather than </w:t>
      </w:r>
      <w:r w:rsidR="00D3525A">
        <w:t>the email</w:t>
      </w:r>
      <w:r w:rsidR="00261A4E">
        <w:t xml:space="preserve"> through which the bill is communicated</w:t>
      </w:r>
      <w:r w:rsidR="00D3525A">
        <w:t>.</w:t>
      </w:r>
    </w:p>
    <w:p w14:paraId="723C0385" w14:textId="5290FC8D" w:rsidR="004C55E6" w:rsidRDefault="004C55E6" w:rsidP="004C55E6">
      <w:pPr>
        <w:pStyle w:val="Heading2numbered"/>
      </w:pPr>
      <w:bookmarkStart w:id="293" w:name="_Toc197959473"/>
      <w:r>
        <w:t>Options</w:t>
      </w:r>
      <w:bookmarkEnd w:id="293"/>
    </w:p>
    <w:p w14:paraId="45BFD3F5" w14:textId="137BA261" w:rsidR="00246FD7" w:rsidRDefault="00246FD7" w:rsidP="00246FD7">
      <w:pPr>
        <w:pStyle w:val="Heading3numbered"/>
      </w:pPr>
      <w:r>
        <w:t>Base case</w:t>
      </w:r>
    </w:p>
    <w:p w14:paraId="5E6857BF" w14:textId="77777777" w:rsidR="00D92052" w:rsidRDefault="001438A9" w:rsidP="003339A1">
      <w:r>
        <w:t>Currently, the</w:t>
      </w:r>
      <w:r w:rsidR="00F27F0B">
        <w:t xml:space="preserve"> base case </w:t>
      </w:r>
      <w:r w:rsidR="003E2E10">
        <w:t>is</w:t>
      </w:r>
      <w:r w:rsidR="00D92052">
        <w:t>:</w:t>
      </w:r>
    </w:p>
    <w:p w14:paraId="5A950204" w14:textId="77777777" w:rsidR="00773536" w:rsidRDefault="00990853" w:rsidP="00A92E17">
      <w:pPr>
        <w:pStyle w:val="ListBullet"/>
      </w:pPr>
      <w:r>
        <w:t>R</w:t>
      </w:r>
      <w:r w:rsidR="00DF1A0B">
        <w:t>etailers</w:t>
      </w:r>
      <w:r>
        <w:t xml:space="preserve"> are required</w:t>
      </w:r>
      <w:r w:rsidR="00DF1A0B">
        <w:t xml:space="preserve"> to</w:t>
      </w:r>
      <w:r w:rsidR="003E2E10">
        <w:t xml:space="preserve"> </w:t>
      </w:r>
      <w:r w:rsidR="009E1A42">
        <w:t xml:space="preserve">include </w:t>
      </w:r>
      <w:r w:rsidR="00BD0084">
        <w:t xml:space="preserve">a telephone number </w:t>
      </w:r>
      <w:r w:rsidR="00E6036D">
        <w:t xml:space="preserve">for </w:t>
      </w:r>
      <w:r w:rsidR="00863F53">
        <w:t>complaint</w:t>
      </w:r>
      <w:r w:rsidR="00DB2193">
        <w:t>s</w:t>
      </w:r>
      <w:r w:rsidR="009E1A42">
        <w:t xml:space="preserve"> </w:t>
      </w:r>
      <w:r w:rsidR="002F11CD">
        <w:t>on</w:t>
      </w:r>
      <w:r w:rsidR="00694DB7">
        <w:t xml:space="preserve"> </w:t>
      </w:r>
      <w:r w:rsidR="002F11CD">
        <w:t>bill</w:t>
      </w:r>
      <w:r w:rsidR="00863F53">
        <w:t>s</w:t>
      </w:r>
      <w:r w:rsidR="00E74021">
        <w:t>.</w:t>
      </w:r>
      <w:r>
        <w:rPr>
          <w:rStyle w:val="FootnoteReference"/>
        </w:rPr>
        <w:footnoteReference w:id="250"/>
      </w:r>
      <w:r w:rsidR="00E74021">
        <w:t xml:space="preserve"> </w:t>
      </w:r>
    </w:p>
    <w:p w14:paraId="1FDD716A" w14:textId="52369F6C" w:rsidR="00A31E76" w:rsidRDefault="00097100" w:rsidP="00A92E17">
      <w:pPr>
        <w:pStyle w:val="ListBullet"/>
      </w:pPr>
      <w:r>
        <w:t>S</w:t>
      </w:r>
      <w:r w:rsidR="00EB3AB7">
        <w:t>ome retailers al</w:t>
      </w:r>
      <w:r w:rsidR="001B1A04">
        <w:t>so</w:t>
      </w:r>
      <w:r w:rsidR="00EB3AB7">
        <w:t xml:space="preserve"> include </w:t>
      </w:r>
      <w:r w:rsidR="006606AE">
        <w:t xml:space="preserve">EWOV’s </w:t>
      </w:r>
      <w:r w:rsidR="0010526F">
        <w:t xml:space="preserve">phone number on the front page of bills, </w:t>
      </w:r>
      <w:r w:rsidR="00773536">
        <w:t xml:space="preserve">despite there being no requirement in </w:t>
      </w:r>
      <w:r w:rsidR="00233FD2">
        <w:t xml:space="preserve">the code </w:t>
      </w:r>
      <w:r w:rsidR="000108F2">
        <w:t xml:space="preserve">to do so. </w:t>
      </w:r>
    </w:p>
    <w:p w14:paraId="65487665" w14:textId="39103065" w:rsidR="0042272E" w:rsidRDefault="002025CD" w:rsidP="0042272E">
      <w:r>
        <w:t xml:space="preserve">If no action is taken, Victoria will continue to be the only NEM state where the ombudsman contact details are not required on energy bills. In addition, some Victorian customers </w:t>
      </w:r>
      <w:r w:rsidR="00536283">
        <w:t>will have access to th</w:t>
      </w:r>
      <w:r w:rsidR="00CC741B">
        <w:t>is</w:t>
      </w:r>
      <w:r w:rsidR="00536283">
        <w:t xml:space="preserve"> information on bills while others would not, depending on </w:t>
      </w:r>
      <w:r w:rsidR="003A7B78">
        <w:t>which retailer they buy their energy from.</w:t>
      </w:r>
      <w:r w:rsidR="0042272E">
        <w:t xml:space="preserve"> </w:t>
      </w:r>
    </w:p>
    <w:p w14:paraId="7FF0F35B" w14:textId="09111A77" w:rsidR="001D413F" w:rsidRDefault="001756B8" w:rsidP="00FC2E32">
      <w:pPr>
        <w:pStyle w:val="Heading3numbered"/>
      </w:pPr>
      <w:r>
        <w:t xml:space="preserve">Option </w:t>
      </w:r>
      <w:r w:rsidR="000333A4">
        <w:t>G.</w:t>
      </w:r>
      <w:r w:rsidR="000A53F6">
        <w:t>1</w:t>
      </w:r>
      <w:r>
        <w:t xml:space="preserve"> – </w:t>
      </w:r>
      <w:r w:rsidR="00DC43AE">
        <w:t>Requiring the inclusion of EWOV’s phone number on the front page of bills</w:t>
      </w:r>
    </w:p>
    <w:p w14:paraId="351E0E95" w14:textId="3CD85F1B" w:rsidR="00E215F9" w:rsidRDefault="00E215F9" w:rsidP="002E07F6">
      <w:r>
        <w:t xml:space="preserve">This option </w:t>
      </w:r>
      <w:r w:rsidR="00245E30">
        <w:t xml:space="preserve">involves adding a requirement for </w:t>
      </w:r>
      <w:r w:rsidR="00F312D1">
        <w:t xml:space="preserve">the front page of </w:t>
      </w:r>
      <w:r w:rsidR="00245E30">
        <w:t>Victorian energy bills to contain a telephone number for the customer to contact the energy ombudsman (EWOV).</w:t>
      </w:r>
    </w:p>
    <w:p w14:paraId="679ED551" w14:textId="5E6A80F3" w:rsidR="00C069B7" w:rsidRDefault="00356876" w:rsidP="002E07F6">
      <w:r>
        <w:t xml:space="preserve">This requirement would </w:t>
      </w:r>
      <w:r w:rsidR="006F608E">
        <w:t xml:space="preserve">be </w:t>
      </w:r>
      <w:r w:rsidR="00430A7C">
        <w:t xml:space="preserve">equivalent to the </w:t>
      </w:r>
      <w:r w:rsidR="003060BE">
        <w:t xml:space="preserve">one </w:t>
      </w:r>
      <w:r w:rsidR="00430A7C">
        <w:t xml:space="preserve">in the AER Better Bill’s </w:t>
      </w:r>
      <w:r w:rsidR="003060BE">
        <w:t xml:space="preserve">Guideline. It would </w:t>
      </w:r>
      <w:r w:rsidR="00127189">
        <w:t xml:space="preserve">create a </w:t>
      </w:r>
      <w:r w:rsidR="00DF7637" w:rsidRPr="00B932E9">
        <w:t>consistent approach</w:t>
      </w:r>
      <w:r w:rsidR="00127189">
        <w:t xml:space="preserve"> across NEM jurisdictions </w:t>
      </w:r>
      <w:r w:rsidR="0083506A">
        <w:t>in relation</w:t>
      </w:r>
      <w:r w:rsidR="00DF7637" w:rsidRPr="00B932E9">
        <w:t xml:space="preserve"> to information </w:t>
      </w:r>
      <w:r w:rsidR="009F5230" w:rsidRPr="00B932E9">
        <w:t>on bills</w:t>
      </w:r>
      <w:r w:rsidR="00DF7637" w:rsidRPr="00B932E9">
        <w:t xml:space="preserve"> about dispute resolution services</w:t>
      </w:r>
      <w:r w:rsidR="0083506A">
        <w:t>.</w:t>
      </w:r>
    </w:p>
    <w:p w14:paraId="552D7794" w14:textId="77777777" w:rsidR="00D70C85" w:rsidRDefault="0071572C" w:rsidP="002E07F6">
      <w:r>
        <w:t xml:space="preserve">A retailer </w:t>
      </w:r>
      <w:r w:rsidR="00323AE1">
        <w:t xml:space="preserve">would be required to display </w:t>
      </w:r>
      <w:r w:rsidR="00496166">
        <w:t>on a bill both a</w:t>
      </w:r>
      <w:r w:rsidR="000F2EEC">
        <w:t xml:space="preserve"> telephone number </w:t>
      </w:r>
      <w:r w:rsidR="00937C3C">
        <w:t xml:space="preserve">for complaints and a telephone number for the </w:t>
      </w:r>
      <w:r w:rsidR="00916BA6">
        <w:t xml:space="preserve">customer to contact the energy ombudsman. </w:t>
      </w:r>
      <w:r w:rsidR="0065300D">
        <w:t xml:space="preserve">Retailers would still have </w:t>
      </w:r>
      <w:r w:rsidR="0065300D">
        <w:lastRenderedPageBreak/>
        <w:t xml:space="preserve">the option </w:t>
      </w:r>
      <w:r w:rsidR="00353C46">
        <w:t xml:space="preserve">to include additional information, and flexibility </w:t>
      </w:r>
      <w:r w:rsidR="006709AB">
        <w:t>on how this information should be presented</w:t>
      </w:r>
      <w:r w:rsidR="008A34DD">
        <w:t>.</w:t>
      </w:r>
    </w:p>
    <w:p w14:paraId="13D2E75C" w14:textId="295FA443" w:rsidR="0071572C" w:rsidRDefault="008A34DD" w:rsidP="002E07F6">
      <w:r>
        <w:t xml:space="preserve">We consider this flexibility would allow retailers to </w:t>
      </w:r>
      <w:r w:rsidR="002736E8">
        <w:t xml:space="preserve">present information in such a way that </w:t>
      </w:r>
      <w:r w:rsidR="008E34A5">
        <w:t>it decreases the chances a customer would direct a complaint to the ombudsman in the first instance, rather than trying to resolve a dispute with the retailer first.</w:t>
      </w:r>
    </w:p>
    <w:p w14:paraId="2F91307F" w14:textId="7EEE0701" w:rsidR="0060038C" w:rsidRPr="0060038C" w:rsidRDefault="0060038C" w:rsidP="00800122">
      <w:pPr>
        <w:pStyle w:val="Heading2numbered"/>
      </w:pPr>
      <w:bookmarkStart w:id="294" w:name="_Toc195088528"/>
      <w:bookmarkStart w:id="295" w:name="_Toc195088627"/>
      <w:bookmarkStart w:id="296" w:name="_Toc195184877"/>
      <w:bookmarkStart w:id="297" w:name="_Toc195261927"/>
      <w:bookmarkStart w:id="298" w:name="_Toc195617226"/>
      <w:bookmarkStart w:id="299" w:name="_Toc195642912"/>
      <w:bookmarkStart w:id="300" w:name="_Toc195692626"/>
      <w:bookmarkStart w:id="301" w:name="_Toc195701921"/>
      <w:bookmarkStart w:id="302" w:name="_Toc195037463"/>
      <w:bookmarkStart w:id="303" w:name="_Toc195088529"/>
      <w:bookmarkStart w:id="304" w:name="_Toc195088628"/>
      <w:bookmarkStart w:id="305" w:name="_Toc195184878"/>
      <w:bookmarkStart w:id="306" w:name="_Toc195261928"/>
      <w:bookmarkStart w:id="307" w:name="_Toc195617227"/>
      <w:bookmarkStart w:id="308" w:name="_Toc195642913"/>
      <w:bookmarkStart w:id="309" w:name="_Toc195692627"/>
      <w:bookmarkStart w:id="310" w:name="_Toc195701922"/>
      <w:bookmarkStart w:id="311" w:name="_Toc195037464"/>
      <w:bookmarkStart w:id="312" w:name="_Toc195088530"/>
      <w:bookmarkStart w:id="313" w:name="_Toc195088629"/>
      <w:bookmarkStart w:id="314" w:name="_Toc195184879"/>
      <w:bookmarkStart w:id="315" w:name="_Toc195261929"/>
      <w:bookmarkStart w:id="316" w:name="_Toc195617228"/>
      <w:bookmarkStart w:id="317" w:name="_Toc195642914"/>
      <w:bookmarkStart w:id="318" w:name="_Toc195692628"/>
      <w:bookmarkStart w:id="319" w:name="_Toc195701923"/>
      <w:bookmarkStart w:id="320" w:name="_Toc19795947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t>Analysis</w:t>
      </w:r>
      <w:bookmarkEnd w:id="320"/>
    </w:p>
    <w:p w14:paraId="6E1CB56B" w14:textId="4AEDBE00" w:rsidR="00BB457B" w:rsidRDefault="00BB457B" w:rsidP="00BB457B">
      <w:pPr>
        <w:pStyle w:val="Heading3numbered"/>
      </w:pPr>
      <w:r>
        <w:t>MCA assessment – Option G.</w:t>
      </w:r>
      <w:r w:rsidR="006169F2">
        <w:t>1</w:t>
      </w:r>
      <w:r w:rsidR="000C0CFC">
        <w:t xml:space="preserve"> a</w:t>
      </w:r>
      <w:r w:rsidR="000F4A5D">
        <w:t>gainst base case</w:t>
      </w:r>
    </w:p>
    <w:p w14:paraId="1BCBFF1E" w14:textId="5E0F6B85" w:rsidR="003C03E1" w:rsidRDefault="003C03E1" w:rsidP="003C03E1">
      <w:r>
        <w:t xml:space="preserve">This is a relatively </w:t>
      </w:r>
      <w:r w:rsidR="0056011D">
        <w:t>minor</w:t>
      </w:r>
      <w:r>
        <w:t xml:space="preserve"> proposal requiring the inclusion of EWOV’s phone number on the front page of bills, although this will be required on all energy bills </w:t>
      </w:r>
      <w:r w:rsidR="00D605FF">
        <w:t>(</w:t>
      </w:r>
      <w:r>
        <w:t xml:space="preserve">not just for </w:t>
      </w:r>
      <w:r w:rsidR="00D605FF">
        <w:t>consumers in specific situations, for example customers experiencing payment difficulty)</w:t>
      </w:r>
      <w:r>
        <w:t xml:space="preserve">. It cannot be estimated how many additional customers will contact EWOV as a result of this proposal, however, the inclusion </w:t>
      </w:r>
      <w:r w:rsidR="002341A0">
        <w:t xml:space="preserve">of </w:t>
      </w:r>
      <w:r>
        <w:t xml:space="preserve">a telephone contact number on the front page of a bill should raise awareness of the complaints avenues for customers </w:t>
      </w:r>
      <w:r w:rsidR="00F61B3A">
        <w:t xml:space="preserve">who are </w:t>
      </w:r>
      <w:r w:rsidR="00132B7D">
        <w:t xml:space="preserve">experiencing issues with their energy </w:t>
      </w:r>
      <w:r w:rsidR="009A0EC8">
        <w:t>plans or retailer</w:t>
      </w:r>
      <w:r>
        <w:t xml:space="preserve">. </w:t>
      </w:r>
      <w:r w:rsidR="00D605FF">
        <w:t xml:space="preserve">As noted in </w:t>
      </w:r>
      <w:r w:rsidR="003A47BD">
        <w:t>Section 2.1.4., ombudsman in</w:t>
      </w:r>
      <w:r w:rsidR="00294E46">
        <w:t xml:space="preserve"> other jurisdictions report</w:t>
      </w:r>
      <w:r w:rsidR="005565A3">
        <w:t>ed</w:t>
      </w:r>
      <w:r w:rsidR="00294E46">
        <w:t xml:space="preserve"> a</w:t>
      </w:r>
      <w:r w:rsidR="005B393E">
        <w:t>n</w:t>
      </w:r>
      <w:r w:rsidR="00294E46">
        <w:t xml:space="preserve"> increase in </w:t>
      </w:r>
      <w:r w:rsidR="005565A3">
        <w:t>complaints</w:t>
      </w:r>
      <w:r w:rsidR="00294E46">
        <w:t xml:space="preserve"> received </w:t>
      </w:r>
      <w:r w:rsidR="00294E46" w:rsidRPr="002C1C9E">
        <w:t xml:space="preserve">following the introduction of </w:t>
      </w:r>
      <w:r w:rsidR="00294E46">
        <w:t xml:space="preserve">similar requirements through </w:t>
      </w:r>
      <w:r w:rsidR="00294E46" w:rsidRPr="002C1C9E">
        <w:t>the AER’s Better Bills Guideline</w:t>
      </w:r>
      <w:r w:rsidR="00294E46">
        <w:t xml:space="preserve">. </w:t>
      </w:r>
    </w:p>
    <w:p w14:paraId="7C06DD8A" w14:textId="67747C4B" w:rsidR="003C03E1" w:rsidRDefault="003C03E1" w:rsidP="003C03E1">
      <w:r>
        <w:t xml:space="preserve">The cost to industry of this proposal is </w:t>
      </w:r>
      <w:r w:rsidR="005565A3">
        <w:t>expected to be</w:t>
      </w:r>
      <w:r>
        <w:t xml:space="preserve"> relatively small. </w:t>
      </w:r>
      <w:r w:rsidR="00122DA7">
        <w:t xml:space="preserve">Many Victorian energy retailers </w:t>
      </w:r>
      <w:r>
        <w:t xml:space="preserve">already provide </w:t>
      </w:r>
      <w:r w:rsidR="00122DA7">
        <w:t>EWOV’s c</w:t>
      </w:r>
      <w:r>
        <w:t xml:space="preserve">ontact number on their bills. Nevertheless, this proposal will require </w:t>
      </w:r>
      <w:r w:rsidR="007915F1">
        <w:t>other retailers (estimated at representing roughly</w:t>
      </w:r>
      <w:r>
        <w:t xml:space="preserve"> half </w:t>
      </w:r>
      <w:r w:rsidR="007915F1">
        <w:t>the retail market share)</w:t>
      </w:r>
      <w:r>
        <w:t xml:space="preserve"> to update their </w:t>
      </w:r>
      <w:r w:rsidR="00047A8B">
        <w:t xml:space="preserve">bills </w:t>
      </w:r>
      <w:r>
        <w:t xml:space="preserve">with this information on </w:t>
      </w:r>
      <w:r w:rsidR="00047A8B">
        <w:t xml:space="preserve">both electronic and paper </w:t>
      </w:r>
      <w:r>
        <w:t>bills</w:t>
      </w:r>
      <w:r w:rsidR="00B96BCD">
        <w:t>.</w:t>
      </w:r>
      <w:r w:rsidR="00A618FE">
        <w:t xml:space="preserve"> </w:t>
      </w:r>
    </w:p>
    <w:p w14:paraId="01AEBDE5" w14:textId="20A2EF9F" w:rsidR="00F115CC" w:rsidRPr="00A7220E" w:rsidRDefault="0060038C" w:rsidP="00800122">
      <w:r>
        <w:t xml:space="preserve">An MCA assessment was undertaken to </w:t>
      </w:r>
      <w:r w:rsidR="005B393E">
        <w:t>test the merit of</w:t>
      </w:r>
      <w:r>
        <w:t xml:space="preserve"> the proposed option. </w:t>
      </w:r>
      <w:r w:rsidR="003C03E1">
        <w:t>The table</w:t>
      </w:r>
      <w:r w:rsidR="005B05B5">
        <w:t xml:space="preserve"> b</w:t>
      </w:r>
      <w:r w:rsidR="005B05B5" w:rsidRPr="005B05B5">
        <w:t>elow shows the result of this analysis, as scored against the base case for all assessment criteria.</w:t>
      </w:r>
    </w:p>
    <w:p w14:paraId="2F319206" w14:textId="714765DD" w:rsidR="00FC7D23" w:rsidRPr="00C3288A" w:rsidRDefault="00FC7D23" w:rsidP="00C3288A">
      <w:pPr>
        <w:pStyle w:val="Figure-Table-BoxSubtitle"/>
        <w:ind w:left="0"/>
      </w:pPr>
      <w:r w:rsidRPr="00C3288A">
        <w:rPr>
          <w:rStyle w:val="Figure-Table-BoxHeadingChar"/>
        </w:rPr>
        <w:t xml:space="preserve">Table </w:t>
      </w:r>
      <w:r w:rsidR="003F0FF3" w:rsidRPr="00C3288A">
        <w:rPr>
          <w:rStyle w:val="Figure-Table-BoxHeadingChar"/>
        </w:rPr>
        <w:t>3</w:t>
      </w:r>
      <w:r w:rsidR="005F731C" w:rsidRPr="00C3288A">
        <w:rPr>
          <w:rStyle w:val="Figure-Table-BoxHeadingChar"/>
        </w:rPr>
        <w:t>3</w:t>
      </w:r>
      <w:r w:rsidRPr="00C3288A">
        <w:rPr>
          <w:rStyle w:val="Figure-Table-BoxHeadingChar"/>
        </w:rPr>
        <w:t>:</w:t>
      </w:r>
      <w:r w:rsidRPr="00C3288A">
        <w:t xml:space="preserve"> MCA Assessment of Option G.</w:t>
      </w:r>
      <w:r w:rsidR="008A5811" w:rsidRPr="00C3288A">
        <w:t>1 against base case</w:t>
      </w:r>
    </w:p>
    <w:tbl>
      <w:tblPr>
        <w:tblW w:w="9667" w:type="dxa"/>
        <w:tblLayout w:type="fixed"/>
        <w:tblCellMar>
          <w:left w:w="0" w:type="dxa"/>
          <w:right w:w="0" w:type="dxa"/>
        </w:tblCellMar>
        <w:tblLook w:val="04A0" w:firstRow="1" w:lastRow="0" w:firstColumn="1" w:lastColumn="0" w:noHBand="0" w:noVBand="1"/>
      </w:tblPr>
      <w:tblGrid>
        <w:gridCol w:w="745"/>
        <w:gridCol w:w="1949"/>
        <w:gridCol w:w="4536"/>
        <w:gridCol w:w="1161"/>
        <w:gridCol w:w="1276"/>
      </w:tblGrid>
      <w:tr w:rsidR="008B424B" w14:paraId="49EA675C" w14:textId="77777777" w:rsidTr="00D409D4">
        <w:tc>
          <w:tcPr>
            <w:tcW w:w="745" w:type="dxa"/>
            <w:tcBorders>
              <w:top w:val="single" w:sz="4" w:space="0" w:color="4986A0"/>
              <w:bottom w:val="single" w:sz="4" w:space="0" w:color="4986A0"/>
            </w:tcBorders>
            <w:shd w:val="clear" w:color="auto" w:fill="4986A0"/>
            <w:tcMar>
              <w:top w:w="0" w:type="dxa"/>
              <w:left w:w="0" w:type="dxa"/>
              <w:bottom w:w="0" w:type="dxa"/>
              <w:right w:w="0" w:type="dxa"/>
            </w:tcMar>
            <w:hideMark/>
          </w:tcPr>
          <w:p w14:paraId="42F37DEE" w14:textId="77777777" w:rsidR="008B424B" w:rsidRDefault="008B424B" w:rsidP="0060634C">
            <w:pPr>
              <w:spacing w:before="60" w:after="60" w:line="240" w:lineRule="auto"/>
              <w:jc w:val="center"/>
              <w:rPr>
                <w:color w:val="000000"/>
                <w:sz w:val="20"/>
                <w:szCs w:val="20"/>
              </w:rPr>
            </w:pPr>
            <w:r>
              <w:rPr>
                <w:b/>
                <w:bCs/>
                <w:color w:val="FFFFFF"/>
                <w:sz w:val="20"/>
                <w:szCs w:val="20"/>
              </w:rPr>
              <w:t>Option</w:t>
            </w:r>
          </w:p>
        </w:tc>
        <w:tc>
          <w:tcPr>
            <w:tcW w:w="1949"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1232F997" w14:textId="215DA9F6" w:rsidR="008B424B" w:rsidRDefault="008B424B" w:rsidP="0060634C">
            <w:pPr>
              <w:spacing w:before="60" w:after="60" w:line="240" w:lineRule="auto"/>
              <w:jc w:val="center"/>
              <w:rPr>
                <w:color w:val="000000"/>
                <w:sz w:val="20"/>
                <w:szCs w:val="20"/>
              </w:rPr>
            </w:pPr>
            <w:r>
              <w:rPr>
                <w:b/>
                <w:bCs/>
                <w:color w:val="FFFFFF"/>
                <w:sz w:val="20"/>
                <w:szCs w:val="20"/>
              </w:rPr>
              <w:t>Criteria</w:t>
            </w:r>
          </w:p>
        </w:tc>
        <w:tc>
          <w:tcPr>
            <w:tcW w:w="4536"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489DDF6F" w14:textId="77777777" w:rsidR="008B424B" w:rsidRDefault="008B424B" w:rsidP="0060634C">
            <w:pPr>
              <w:spacing w:before="60" w:after="60" w:line="240" w:lineRule="auto"/>
              <w:jc w:val="center"/>
              <w:rPr>
                <w:color w:val="000000"/>
                <w:sz w:val="20"/>
                <w:szCs w:val="20"/>
              </w:rPr>
            </w:pPr>
            <w:r>
              <w:rPr>
                <w:b/>
                <w:bCs/>
                <w:color w:val="FFFFFF"/>
                <w:sz w:val="20"/>
                <w:szCs w:val="20"/>
              </w:rPr>
              <w:t>Assessment</w:t>
            </w:r>
          </w:p>
        </w:tc>
        <w:tc>
          <w:tcPr>
            <w:tcW w:w="1161" w:type="dxa"/>
            <w:tcBorders>
              <w:top w:val="single" w:sz="4" w:space="0" w:color="4986A0"/>
              <w:bottom w:val="single" w:sz="4" w:space="0" w:color="4986A0"/>
            </w:tcBorders>
            <w:shd w:val="clear" w:color="auto" w:fill="4986A0"/>
          </w:tcPr>
          <w:p w14:paraId="639C5412" w14:textId="77777777" w:rsidR="00AB5DD9" w:rsidRDefault="00DE08FB" w:rsidP="00DE08FB">
            <w:pPr>
              <w:spacing w:before="60" w:after="60" w:line="240" w:lineRule="auto"/>
              <w:jc w:val="center"/>
              <w:rPr>
                <w:b/>
                <w:bCs/>
                <w:color w:val="FFFFFF"/>
                <w:sz w:val="20"/>
                <w:szCs w:val="20"/>
              </w:rPr>
            </w:pPr>
            <w:r>
              <w:rPr>
                <w:b/>
                <w:bCs/>
                <w:color w:val="FFFFFF"/>
                <w:sz w:val="20"/>
                <w:szCs w:val="20"/>
              </w:rPr>
              <w:t>Score</w:t>
            </w:r>
          </w:p>
          <w:p w14:paraId="54C9D2EB" w14:textId="51454070" w:rsidR="00AB5DD9" w:rsidRDefault="00DE08FB" w:rsidP="00DE08FB">
            <w:pPr>
              <w:spacing w:before="60" w:after="60" w:line="240" w:lineRule="auto"/>
              <w:jc w:val="center"/>
              <w:rPr>
                <w:b/>
                <w:bCs/>
                <w:color w:val="FFFFFF"/>
                <w:sz w:val="20"/>
                <w:szCs w:val="20"/>
              </w:rPr>
            </w:pPr>
            <w:r>
              <w:rPr>
                <w:b/>
                <w:bCs/>
                <w:color w:val="FFFFFF"/>
                <w:sz w:val="20"/>
                <w:szCs w:val="20"/>
              </w:rPr>
              <w:t>(-10 to 10)</w:t>
            </w:r>
          </w:p>
        </w:tc>
        <w:tc>
          <w:tcPr>
            <w:tcW w:w="1276" w:type="dxa"/>
            <w:tcBorders>
              <w:top w:val="single" w:sz="4" w:space="0" w:color="4986A0"/>
              <w:bottom w:val="single" w:sz="4" w:space="0" w:color="4986A0"/>
            </w:tcBorders>
            <w:shd w:val="clear" w:color="auto" w:fill="4986A0"/>
            <w:tcMar>
              <w:top w:w="0" w:type="dxa"/>
              <w:left w:w="123" w:type="dxa"/>
              <w:bottom w:w="0" w:type="dxa"/>
              <w:right w:w="123" w:type="dxa"/>
            </w:tcMar>
            <w:hideMark/>
          </w:tcPr>
          <w:p w14:paraId="6B918D66" w14:textId="77777777" w:rsidR="008B424B" w:rsidRDefault="008B424B" w:rsidP="00DE08FB">
            <w:pPr>
              <w:spacing w:before="60" w:after="60" w:line="240" w:lineRule="auto"/>
              <w:jc w:val="center"/>
              <w:rPr>
                <w:color w:val="000000"/>
                <w:sz w:val="20"/>
                <w:szCs w:val="20"/>
              </w:rPr>
            </w:pPr>
            <w:r>
              <w:rPr>
                <w:b/>
                <w:bCs/>
                <w:color w:val="FFFFFF"/>
                <w:sz w:val="20"/>
                <w:szCs w:val="20"/>
              </w:rPr>
              <w:t>Weighted score</w:t>
            </w:r>
          </w:p>
        </w:tc>
      </w:tr>
      <w:tr w:rsidR="008B424B" w14:paraId="53A58CB3" w14:textId="77777777" w:rsidTr="00D409D4">
        <w:tc>
          <w:tcPr>
            <w:tcW w:w="745" w:type="dxa"/>
            <w:shd w:val="clear" w:color="auto" w:fill="F2F2F2"/>
            <w:tcMar>
              <w:top w:w="0" w:type="dxa"/>
              <w:left w:w="0" w:type="dxa"/>
              <w:bottom w:w="0" w:type="dxa"/>
              <w:right w:w="0" w:type="dxa"/>
            </w:tcMar>
            <w:hideMark/>
          </w:tcPr>
          <w:p w14:paraId="17BFE93E" w14:textId="77777777" w:rsidR="008B424B" w:rsidRDefault="008B424B">
            <w:pPr>
              <w:spacing w:after="120" w:line="240" w:lineRule="auto"/>
              <w:rPr>
                <w:color w:val="000000"/>
                <w:sz w:val="20"/>
                <w:szCs w:val="20"/>
              </w:rPr>
            </w:pPr>
            <w:r>
              <w:rPr>
                <w:color w:val="000000"/>
                <w:sz w:val="20"/>
                <w:szCs w:val="20"/>
              </w:rPr>
              <w:t>G.1</w:t>
            </w:r>
          </w:p>
        </w:tc>
        <w:tc>
          <w:tcPr>
            <w:tcW w:w="1949" w:type="dxa"/>
            <w:shd w:val="clear" w:color="auto" w:fill="F2F2F2"/>
            <w:tcMar>
              <w:top w:w="0" w:type="dxa"/>
              <w:left w:w="123" w:type="dxa"/>
              <w:bottom w:w="0" w:type="dxa"/>
              <w:right w:w="123" w:type="dxa"/>
            </w:tcMar>
            <w:hideMark/>
          </w:tcPr>
          <w:p w14:paraId="02656818" w14:textId="77777777" w:rsidR="008B424B" w:rsidRDefault="008B424B">
            <w:pPr>
              <w:spacing w:after="120" w:line="240" w:lineRule="auto"/>
              <w:rPr>
                <w:color w:val="000000"/>
                <w:sz w:val="20"/>
                <w:szCs w:val="20"/>
              </w:rPr>
            </w:pPr>
            <w:r>
              <w:rPr>
                <w:color w:val="000000"/>
                <w:sz w:val="20"/>
                <w:szCs w:val="20"/>
              </w:rPr>
              <w:t>Effectiveness</w:t>
            </w:r>
          </w:p>
          <w:p w14:paraId="371DD3C7" w14:textId="77777777" w:rsidR="00D409D4" w:rsidRDefault="00D409D4" w:rsidP="00D409D4">
            <w:pPr>
              <w:spacing w:after="120" w:line="240" w:lineRule="auto"/>
              <w:rPr>
                <w:color w:val="000000"/>
                <w:sz w:val="20"/>
                <w:szCs w:val="20"/>
              </w:rPr>
            </w:pPr>
            <w:r>
              <w:rPr>
                <w:color w:val="000000"/>
                <w:sz w:val="20"/>
                <w:szCs w:val="20"/>
              </w:rPr>
              <w:t>Reform objectives:</w:t>
            </w:r>
          </w:p>
          <w:p w14:paraId="3907E1D1" w14:textId="77777777" w:rsidR="00D409D4" w:rsidRDefault="00D409D4" w:rsidP="00B43F3C">
            <w:pPr>
              <w:numPr>
                <w:ilvl w:val="0"/>
                <w:numId w:val="29"/>
              </w:numPr>
              <w:pBdr>
                <w:left w:val="none" w:sz="0" w:space="4" w:color="auto"/>
              </w:pBdr>
              <w:spacing w:after="0" w:line="240" w:lineRule="auto"/>
              <w:ind w:left="283" w:hanging="347"/>
              <w:rPr>
                <w:color w:val="000000"/>
                <w:sz w:val="20"/>
                <w:szCs w:val="20"/>
              </w:rPr>
            </w:pPr>
            <w:r>
              <w:rPr>
                <w:color w:val="000000"/>
                <w:sz w:val="20"/>
                <w:szCs w:val="20"/>
              </w:rPr>
              <w:t>to enhance protections for energy consumers</w:t>
            </w:r>
          </w:p>
          <w:p w14:paraId="5C9DEC35" w14:textId="77777777" w:rsidR="00D409D4" w:rsidRDefault="00D409D4" w:rsidP="00B43F3C">
            <w:pPr>
              <w:numPr>
                <w:ilvl w:val="0"/>
                <w:numId w:val="29"/>
              </w:numPr>
              <w:pBdr>
                <w:left w:val="none" w:sz="0" w:space="4" w:color="auto"/>
              </w:pBdr>
              <w:spacing w:after="0" w:line="240" w:lineRule="auto"/>
              <w:ind w:left="283" w:hanging="347"/>
              <w:rPr>
                <w:color w:val="000000"/>
                <w:sz w:val="20"/>
                <w:szCs w:val="20"/>
              </w:rPr>
            </w:pPr>
            <w:r>
              <w:rPr>
                <w:color w:val="000000"/>
                <w:sz w:val="20"/>
                <w:szCs w:val="20"/>
              </w:rPr>
              <w:t>to improve awareness of independent dispute resolution services.</w:t>
            </w:r>
          </w:p>
          <w:p w14:paraId="52AE8EB2" w14:textId="77777777" w:rsidR="00A95630" w:rsidRDefault="00A95630" w:rsidP="00A95630">
            <w:pPr>
              <w:pBdr>
                <w:left w:val="none" w:sz="0" w:space="4" w:color="auto"/>
              </w:pBdr>
              <w:spacing w:after="0" w:line="240" w:lineRule="auto"/>
              <w:ind w:left="-64"/>
              <w:rPr>
                <w:color w:val="000000"/>
                <w:sz w:val="20"/>
                <w:szCs w:val="20"/>
              </w:rPr>
            </w:pPr>
          </w:p>
          <w:p w14:paraId="3863BB6D" w14:textId="437596B7" w:rsidR="00D409D4" w:rsidRDefault="00A95630" w:rsidP="00A95630">
            <w:pPr>
              <w:pBdr>
                <w:left w:val="none" w:sz="0" w:space="4" w:color="auto"/>
              </w:pBdr>
              <w:spacing w:after="120" w:line="240" w:lineRule="auto"/>
              <w:ind w:left="-62"/>
              <w:rPr>
                <w:color w:val="000000"/>
                <w:sz w:val="20"/>
                <w:szCs w:val="20"/>
              </w:rPr>
            </w:pPr>
            <w:r w:rsidRPr="00A95630">
              <w:rPr>
                <w:b/>
                <w:bCs/>
                <w:color w:val="000000"/>
                <w:sz w:val="20"/>
                <w:szCs w:val="20"/>
              </w:rPr>
              <w:t>(weighting 50%)</w:t>
            </w:r>
          </w:p>
        </w:tc>
        <w:tc>
          <w:tcPr>
            <w:tcW w:w="4536" w:type="dxa"/>
            <w:shd w:val="clear" w:color="auto" w:fill="F2F2F2"/>
            <w:tcMar>
              <w:top w:w="0" w:type="dxa"/>
              <w:left w:w="123" w:type="dxa"/>
              <w:bottom w:w="0" w:type="dxa"/>
              <w:right w:w="123" w:type="dxa"/>
            </w:tcMar>
            <w:hideMark/>
          </w:tcPr>
          <w:p w14:paraId="46E0086B" w14:textId="1C7DB5FC" w:rsidR="004416B6" w:rsidRDefault="00952176">
            <w:pPr>
              <w:spacing w:after="120" w:line="240" w:lineRule="auto"/>
              <w:rPr>
                <w:color w:val="000000"/>
                <w:sz w:val="20"/>
                <w:szCs w:val="20"/>
              </w:rPr>
            </w:pPr>
            <w:r>
              <w:rPr>
                <w:color w:val="000000"/>
                <w:sz w:val="20"/>
                <w:szCs w:val="20"/>
              </w:rPr>
              <w:lastRenderedPageBreak/>
              <w:t xml:space="preserve">Requiring EWOV’s details to be added to bills </w:t>
            </w:r>
            <w:r w:rsidR="00AC4463">
              <w:rPr>
                <w:color w:val="000000"/>
                <w:sz w:val="20"/>
                <w:szCs w:val="20"/>
              </w:rPr>
              <w:t>is a relatively small-scale measure</w:t>
            </w:r>
            <w:r w:rsidR="00630ADE">
              <w:rPr>
                <w:color w:val="000000"/>
                <w:sz w:val="20"/>
                <w:szCs w:val="20"/>
              </w:rPr>
              <w:t xml:space="preserve">. However, information </w:t>
            </w:r>
            <w:r w:rsidR="00955427">
              <w:rPr>
                <w:color w:val="000000"/>
                <w:sz w:val="20"/>
                <w:szCs w:val="20"/>
              </w:rPr>
              <w:t xml:space="preserve">from </w:t>
            </w:r>
            <w:r w:rsidR="00FC15C1">
              <w:rPr>
                <w:color w:val="000000"/>
                <w:sz w:val="20"/>
                <w:szCs w:val="20"/>
              </w:rPr>
              <w:t>ombudsman in other jurisdiction</w:t>
            </w:r>
            <w:r w:rsidR="00822E7C">
              <w:rPr>
                <w:color w:val="000000"/>
                <w:sz w:val="20"/>
                <w:szCs w:val="20"/>
              </w:rPr>
              <w:t>s suggests that similar changes have significantly increased</w:t>
            </w:r>
            <w:r w:rsidR="008B424B">
              <w:rPr>
                <w:color w:val="000000"/>
                <w:sz w:val="20"/>
                <w:szCs w:val="20"/>
              </w:rPr>
              <w:t xml:space="preserve"> </w:t>
            </w:r>
            <w:r w:rsidR="001B2162">
              <w:rPr>
                <w:color w:val="000000"/>
                <w:sz w:val="20"/>
                <w:szCs w:val="20"/>
              </w:rPr>
              <w:t xml:space="preserve">customer engagement (measured in terms of </w:t>
            </w:r>
            <w:r w:rsidR="008B424B">
              <w:rPr>
                <w:color w:val="000000"/>
                <w:sz w:val="20"/>
                <w:szCs w:val="20"/>
              </w:rPr>
              <w:t xml:space="preserve">complaints </w:t>
            </w:r>
            <w:r w:rsidR="001B2162">
              <w:rPr>
                <w:color w:val="000000"/>
                <w:sz w:val="20"/>
                <w:szCs w:val="20"/>
              </w:rPr>
              <w:t xml:space="preserve">received by the ombudsman). </w:t>
            </w:r>
            <w:r w:rsidR="0067533A">
              <w:rPr>
                <w:color w:val="000000"/>
                <w:sz w:val="20"/>
                <w:szCs w:val="20"/>
              </w:rPr>
              <w:t>We note that some retailers already voluntarily provide EWOV details on bills, which effectively means that consumers have access to different information depending on who their retailer is.</w:t>
            </w:r>
          </w:p>
          <w:p w14:paraId="71B0F2ED" w14:textId="6DB0D1C8" w:rsidR="00342CB8" w:rsidRDefault="001B2162">
            <w:pPr>
              <w:spacing w:after="120" w:line="240" w:lineRule="auto"/>
              <w:rPr>
                <w:color w:val="000000"/>
                <w:sz w:val="20"/>
                <w:szCs w:val="20"/>
              </w:rPr>
            </w:pPr>
            <w:r>
              <w:rPr>
                <w:color w:val="000000"/>
                <w:sz w:val="20"/>
                <w:szCs w:val="20"/>
              </w:rPr>
              <w:t>Though</w:t>
            </w:r>
            <w:r w:rsidR="008B424B">
              <w:rPr>
                <w:color w:val="000000"/>
                <w:sz w:val="20"/>
                <w:szCs w:val="20"/>
              </w:rPr>
              <w:t xml:space="preserve"> it is </w:t>
            </w:r>
            <w:r>
              <w:rPr>
                <w:color w:val="000000"/>
                <w:sz w:val="20"/>
                <w:szCs w:val="20"/>
              </w:rPr>
              <w:t xml:space="preserve">not possible to conclusively attribute all the increased engagement </w:t>
            </w:r>
            <w:r w:rsidR="00F418C0">
              <w:rPr>
                <w:color w:val="000000"/>
                <w:sz w:val="20"/>
                <w:szCs w:val="20"/>
              </w:rPr>
              <w:t xml:space="preserve">reported by </w:t>
            </w:r>
            <w:r w:rsidR="00D74371">
              <w:rPr>
                <w:color w:val="000000"/>
                <w:sz w:val="20"/>
                <w:szCs w:val="20"/>
              </w:rPr>
              <w:t xml:space="preserve">other ombudsman to these similar changes, </w:t>
            </w:r>
            <w:r w:rsidR="00D74371">
              <w:rPr>
                <w:color w:val="000000"/>
                <w:sz w:val="20"/>
                <w:szCs w:val="20"/>
              </w:rPr>
              <w:lastRenderedPageBreak/>
              <w:t xml:space="preserve">this </w:t>
            </w:r>
            <w:r w:rsidR="001C4D29">
              <w:rPr>
                <w:color w:val="000000"/>
                <w:sz w:val="20"/>
                <w:szCs w:val="20"/>
              </w:rPr>
              <w:t>nonetheless</w:t>
            </w:r>
            <w:r w:rsidR="00D74371">
              <w:rPr>
                <w:color w:val="000000"/>
                <w:sz w:val="20"/>
                <w:szCs w:val="20"/>
              </w:rPr>
              <w:t xml:space="preserve"> suggests that </w:t>
            </w:r>
            <w:r w:rsidR="001C4D29">
              <w:rPr>
                <w:color w:val="000000"/>
                <w:sz w:val="20"/>
                <w:szCs w:val="20"/>
              </w:rPr>
              <w:t>the proposed option is effective in delivering the intended outcome.</w:t>
            </w:r>
            <w:r w:rsidR="00A221FD">
              <w:rPr>
                <w:color w:val="000000"/>
                <w:sz w:val="20"/>
                <w:szCs w:val="20"/>
              </w:rPr>
              <w:t xml:space="preserve"> </w:t>
            </w:r>
          </w:p>
          <w:p w14:paraId="09B11957" w14:textId="05B311F8" w:rsidR="002E55D4" w:rsidRDefault="00104102">
            <w:pPr>
              <w:spacing w:after="120" w:line="240" w:lineRule="auto"/>
              <w:rPr>
                <w:color w:val="000000"/>
                <w:sz w:val="20"/>
                <w:szCs w:val="20"/>
              </w:rPr>
            </w:pPr>
            <w:r>
              <w:rPr>
                <w:color w:val="000000"/>
                <w:sz w:val="20"/>
                <w:szCs w:val="20"/>
              </w:rPr>
              <w:t>A potential negative outcome based on f</w:t>
            </w:r>
            <w:r w:rsidR="002B2FDD">
              <w:rPr>
                <w:color w:val="000000"/>
                <w:sz w:val="20"/>
                <w:szCs w:val="20"/>
              </w:rPr>
              <w:t xml:space="preserve">eedback from </w:t>
            </w:r>
            <w:r w:rsidR="00770FF7">
              <w:rPr>
                <w:color w:val="000000"/>
                <w:sz w:val="20"/>
                <w:szCs w:val="20"/>
              </w:rPr>
              <w:t>retailers and</w:t>
            </w:r>
            <w:r w:rsidR="002B2FDD">
              <w:rPr>
                <w:color w:val="000000"/>
                <w:sz w:val="20"/>
                <w:szCs w:val="20"/>
              </w:rPr>
              <w:t xml:space="preserve"> </w:t>
            </w:r>
            <w:r w:rsidR="00287A2A">
              <w:rPr>
                <w:color w:val="000000"/>
                <w:sz w:val="20"/>
                <w:szCs w:val="20"/>
              </w:rPr>
              <w:t>ombudsman in other jurisdictions</w:t>
            </w:r>
            <w:r w:rsidR="001118B9">
              <w:rPr>
                <w:color w:val="000000"/>
                <w:sz w:val="20"/>
                <w:szCs w:val="20"/>
              </w:rPr>
              <w:t>, is</w:t>
            </w:r>
            <w:r w:rsidR="00EC53F9">
              <w:rPr>
                <w:color w:val="000000"/>
                <w:sz w:val="20"/>
                <w:szCs w:val="20"/>
              </w:rPr>
              <w:t xml:space="preserve"> that </w:t>
            </w:r>
            <w:r w:rsidR="005E3553">
              <w:rPr>
                <w:color w:val="000000"/>
                <w:sz w:val="20"/>
                <w:szCs w:val="20"/>
              </w:rPr>
              <w:t>some c</w:t>
            </w:r>
            <w:r w:rsidR="00A24EC3">
              <w:rPr>
                <w:color w:val="000000"/>
                <w:sz w:val="20"/>
                <w:szCs w:val="20"/>
              </w:rPr>
              <w:t xml:space="preserve">ustomers </w:t>
            </w:r>
            <w:r w:rsidR="001118B9">
              <w:rPr>
                <w:color w:val="000000"/>
                <w:sz w:val="20"/>
                <w:szCs w:val="20"/>
              </w:rPr>
              <w:t xml:space="preserve">may </w:t>
            </w:r>
            <w:r w:rsidR="008F5E00">
              <w:rPr>
                <w:color w:val="000000"/>
                <w:sz w:val="20"/>
                <w:szCs w:val="20"/>
              </w:rPr>
              <w:t xml:space="preserve">contact </w:t>
            </w:r>
            <w:r w:rsidR="00CA720D">
              <w:rPr>
                <w:color w:val="000000"/>
                <w:sz w:val="20"/>
                <w:szCs w:val="20"/>
              </w:rPr>
              <w:t xml:space="preserve">their ombudsman </w:t>
            </w:r>
            <w:r w:rsidR="00F73A48">
              <w:rPr>
                <w:color w:val="000000"/>
                <w:sz w:val="20"/>
                <w:szCs w:val="20"/>
              </w:rPr>
              <w:t xml:space="preserve">before </w:t>
            </w:r>
            <w:r w:rsidR="00DE61B2">
              <w:rPr>
                <w:color w:val="000000"/>
                <w:sz w:val="20"/>
                <w:szCs w:val="20"/>
              </w:rPr>
              <w:t>raising a complaint with</w:t>
            </w:r>
            <w:r w:rsidR="00DD056A">
              <w:rPr>
                <w:color w:val="000000"/>
                <w:sz w:val="20"/>
                <w:szCs w:val="20"/>
              </w:rPr>
              <w:t xml:space="preserve"> </w:t>
            </w:r>
            <w:r w:rsidR="00863ACC">
              <w:rPr>
                <w:color w:val="000000"/>
                <w:sz w:val="20"/>
                <w:szCs w:val="20"/>
              </w:rPr>
              <w:t xml:space="preserve">their retailer </w:t>
            </w:r>
            <w:r w:rsidR="00871132">
              <w:rPr>
                <w:color w:val="000000"/>
                <w:sz w:val="20"/>
                <w:szCs w:val="20"/>
              </w:rPr>
              <w:t>first</w:t>
            </w:r>
            <w:r w:rsidR="00B14BBD">
              <w:rPr>
                <w:color w:val="000000"/>
                <w:sz w:val="20"/>
                <w:szCs w:val="20"/>
              </w:rPr>
              <w:t xml:space="preserve">. </w:t>
            </w:r>
            <w:r w:rsidR="009E6EAA">
              <w:rPr>
                <w:color w:val="000000"/>
                <w:sz w:val="20"/>
                <w:szCs w:val="20"/>
              </w:rPr>
              <w:t>T</w:t>
            </w:r>
            <w:r w:rsidR="0084271B">
              <w:rPr>
                <w:color w:val="000000"/>
                <w:sz w:val="20"/>
                <w:szCs w:val="20"/>
              </w:rPr>
              <w:t xml:space="preserve">his may </w:t>
            </w:r>
            <w:r w:rsidR="0067543A">
              <w:rPr>
                <w:color w:val="000000"/>
                <w:sz w:val="20"/>
                <w:szCs w:val="20"/>
              </w:rPr>
              <w:t xml:space="preserve">lead to </w:t>
            </w:r>
            <w:r w:rsidR="009D2565">
              <w:rPr>
                <w:color w:val="000000"/>
                <w:sz w:val="20"/>
                <w:szCs w:val="20"/>
              </w:rPr>
              <w:t xml:space="preserve">instances of </w:t>
            </w:r>
            <w:r w:rsidR="003B7F8B">
              <w:rPr>
                <w:color w:val="000000"/>
                <w:sz w:val="20"/>
                <w:szCs w:val="20"/>
              </w:rPr>
              <w:t>unnecessarily</w:t>
            </w:r>
            <w:r w:rsidR="009A7E47">
              <w:rPr>
                <w:color w:val="000000"/>
                <w:sz w:val="20"/>
                <w:szCs w:val="20"/>
              </w:rPr>
              <w:t xml:space="preserve"> </w:t>
            </w:r>
            <w:r w:rsidR="00C10B6F">
              <w:rPr>
                <w:color w:val="000000"/>
                <w:sz w:val="20"/>
                <w:szCs w:val="20"/>
              </w:rPr>
              <w:t>longer c</w:t>
            </w:r>
            <w:r w:rsidR="00421F72">
              <w:rPr>
                <w:color w:val="000000"/>
                <w:sz w:val="20"/>
                <w:szCs w:val="20"/>
              </w:rPr>
              <w:t xml:space="preserve">omplaint handling </w:t>
            </w:r>
            <w:r w:rsidR="008F6459">
              <w:rPr>
                <w:color w:val="000000"/>
                <w:sz w:val="20"/>
                <w:szCs w:val="20"/>
              </w:rPr>
              <w:t>processes</w:t>
            </w:r>
            <w:r w:rsidR="00F60DCE">
              <w:rPr>
                <w:color w:val="000000"/>
                <w:sz w:val="20"/>
                <w:szCs w:val="20"/>
              </w:rPr>
              <w:t>.</w:t>
            </w:r>
            <w:r w:rsidR="009D2565">
              <w:rPr>
                <w:color w:val="000000"/>
                <w:sz w:val="20"/>
                <w:szCs w:val="20"/>
              </w:rPr>
              <w:t xml:space="preserve"> </w:t>
            </w:r>
          </w:p>
          <w:p w14:paraId="651A1E82" w14:textId="72B06609" w:rsidR="008B424B" w:rsidRDefault="00F60DCE">
            <w:pPr>
              <w:spacing w:after="120" w:line="240" w:lineRule="auto"/>
              <w:rPr>
                <w:color w:val="000000"/>
                <w:sz w:val="20"/>
                <w:szCs w:val="20"/>
              </w:rPr>
            </w:pPr>
            <w:r>
              <w:rPr>
                <w:color w:val="000000"/>
                <w:sz w:val="20"/>
                <w:szCs w:val="20"/>
              </w:rPr>
              <w:t>However, r</w:t>
            </w:r>
            <w:r w:rsidR="00B2180C">
              <w:rPr>
                <w:color w:val="000000"/>
                <w:sz w:val="20"/>
                <w:szCs w:val="20"/>
              </w:rPr>
              <w:t>esearch findings and stakeholder feedback</w:t>
            </w:r>
            <w:r w:rsidR="00A221FD">
              <w:rPr>
                <w:color w:val="000000"/>
                <w:sz w:val="20"/>
                <w:szCs w:val="20"/>
              </w:rPr>
              <w:t xml:space="preserve"> </w:t>
            </w:r>
            <w:r w:rsidR="009D1905">
              <w:rPr>
                <w:color w:val="000000"/>
                <w:sz w:val="20"/>
                <w:szCs w:val="20"/>
              </w:rPr>
              <w:t>has shown that a</w:t>
            </w:r>
            <w:r w:rsidR="00AB61B3">
              <w:rPr>
                <w:color w:val="000000"/>
                <w:sz w:val="20"/>
                <w:szCs w:val="20"/>
              </w:rPr>
              <w:t>ll c</w:t>
            </w:r>
            <w:r w:rsidR="00774B32">
              <w:rPr>
                <w:color w:val="000000"/>
                <w:sz w:val="20"/>
                <w:szCs w:val="20"/>
              </w:rPr>
              <w:t xml:space="preserve">onsumers </w:t>
            </w:r>
            <w:r w:rsidR="00B33293">
              <w:rPr>
                <w:color w:val="000000"/>
                <w:sz w:val="20"/>
                <w:szCs w:val="20"/>
              </w:rPr>
              <w:t xml:space="preserve">can </w:t>
            </w:r>
            <w:r w:rsidR="00774B32">
              <w:rPr>
                <w:color w:val="000000"/>
                <w:sz w:val="20"/>
                <w:szCs w:val="20"/>
              </w:rPr>
              <w:t xml:space="preserve">benefit from </w:t>
            </w:r>
            <w:r w:rsidR="0036765D">
              <w:rPr>
                <w:color w:val="000000"/>
                <w:sz w:val="20"/>
                <w:szCs w:val="20"/>
              </w:rPr>
              <w:t xml:space="preserve">clear and prominent </w:t>
            </w:r>
            <w:r w:rsidR="00935D50">
              <w:rPr>
                <w:color w:val="000000"/>
                <w:sz w:val="20"/>
                <w:szCs w:val="20"/>
              </w:rPr>
              <w:t xml:space="preserve">information about </w:t>
            </w:r>
            <w:r w:rsidR="00354927">
              <w:rPr>
                <w:color w:val="000000"/>
                <w:sz w:val="20"/>
                <w:szCs w:val="20"/>
              </w:rPr>
              <w:t xml:space="preserve">dispute </w:t>
            </w:r>
            <w:r w:rsidR="004B40DE">
              <w:rPr>
                <w:color w:val="000000"/>
                <w:sz w:val="20"/>
                <w:szCs w:val="20"/>
              </w:rPr>
              <w:t>resolution services available to them</w:t>
            </w:r>
            <w:r w:rsidR="00CE1768">
              <w:rPr>
                <w:color w:val="000000"/>
                <w:sz w:val="20"/>
                <w:szCs w:val="20"/>
              </w:rPr>
              <w:t xml:space="preserve">. </w:t>
            </w:r>
            <w:r w:rsidR="00B80074">
              <w:rPr>
                <w:color w:val="000000"/>
                <w:sz w:val="20"/>
                <w:szCs w:val="20"/>
              </w:rPr>
              <w:t xml:space="preserve">Consumers experiencing vulnerability </w:t>
            </w:r>
            <w:r w:rsidR="00277E5A">
              <w:rPr>
                <w:color w:val="000000"/>
                <w:sz w:val="20"/>
                <w:szCs w:val="20"/>
              </w:rPr>
              <w:t xml:space="preserve">stand to </w:t>
            </w:r>
            <w:r w:rsidR="00DD5F85">
              <w:rPr>
                <w:color w:val="000000"/>
                <w:sz w:val="20"/>
                <w:szCs w:val="20"/>
              </w:rPr>
              <w:t>benefit the most from enhanced</w:t>
            </w:r>
            <w:r w:rsidR="00C9526A">
              <w:rPr>
                <w:color w:val="000000"/>
                <w:sz w:val="20"/>
                <w:szCs w:val="20"/>
              </w:rPr>
              <w:t xml:space="preserve"> </w:t>
            </w:r>
            <w:r w:rsidR="004944ED">
              <w:rPr>
                <w:color w:val="000000"/>
                <w:sz w:val="20"/>
                <w:szCs w:val="20"/>
              </w:rPr>
              <w:t>dispute resolution awareness</w:t>
            </w:r>
            <w:r w:rsidR="00A14C90">
              <w:rPr>
                <w:color w:val="000000"/>
                <w:sz w:val="20"/>
                <w:szCs w:val="20"/>
              </w:rPr>
              <w:t xml:space="preserve">, </w:t>
            </w:r>
            <w:r w:rsidR="008D07AE">
              <w:rPr>
                <w:color w:val="000000"/>
                <w:sz w:val="20"/>
                <w:szCs w:val="20"/>
              </w:rPr>
              <w:t>given</w:t>
            </w:r>
            <w:r w:rsidR="00A14C90">
              <w:rPr>
                <w:color w:val="000000"/>
                <w:sz w:val="20"/>
                <w:szCs w:val="20"/>
              </w:rPr>
              <w:t xml:space="preserve"> they </w:t>
            </w:r>
            <w:r w:rsidR="008D07AE">
              <w:rPr>
                <w:color w:val="000000"/>
                <w:sz w:val="20"/>
                <w:szCs w:val="20"/>
              </w:rPr>
              <w:t xml:space="preserve">might </w:t>
            </w:r>
            <w:r w:rsidR="00092EE8">
              <w:rPr>
                <w:color w:val="000000"/>
                <w:sz w:val="20"/>
                <w:szCs w:val="20"/>
              </w:rPr>
              <w:t xml:space="preserve">not be fully informed </w:t>
            </w:r>
            <w:r w:rsidR="0054697E">
              <w:rPr>
                <w:color w:val="000000"/>
                <w:sz w:val="20"/>
                <w:szCs w:val="20"/>
              </w:rPr>
              <w:t>about the</w:t>
            </w:r>
            <w:r w:rsidR="002E28A3">
              <w:rPr>
                <w:color w:val="000000"/>
                <w:sz w:val="20"/>
                <w:szCs w:val="20"/>
              </w:rPr>
              <w:t>ir</w:t>
            </w:r>
            <w:r w:rsidR="00C601E2">
              <w:rPr>
                <w:color w:val="000000"/>
                <w:sz w:val="20"/>
                <w:szCs w:val="20"/>
              </w:rPr>
              <w:t xml:space="preserve"> consumer protections</w:t>
            </w:r>
            <w:r w:rsidR="002E28A3">
              <w:rPr>
                <w:color w:val="000000"/>
                <w:sz w:val="20"/>
                <w:szCs w:val="20"/>
              </w:rPr>
              <w:t xml:space="preserve">, or ways to seek </w:t>
            </w:r>
            <w:r w:rsidR="008660DA">
              <w:rPr>
                <w:color w:val="000000"/>
                <w:sz w:val="20"/>
                <w:szCs w:val="20"/>
              </w:rPr>
              <w:t>assistance.</w:t>
            </w:r>
            <w:r w:rsidR="00C601E2">
              <w:rPr>
                <w:color w:val="000000"/>
                <w:sz w:val="20"/>
                <w:szCs w:val="20"/>
              </w:rPr>
              <w:t xml:space="preserve"> </w:t>
            </w:r>
          </w:p>
        </w:tc>
        <w:tc>
          <w:tcPr>
            <w:tcW w:w="1161" w:type="dxa"/>
            <w:shd w:val="clear" w:color="auto" w:fill="F2F2F2"/>
          </w:tcPr>
          <w:p w14:paraId="5072C4AE" w14:textId="158F1E94" w:rsidR="00AB5DD9" w:rsidRDefault="00AB5DD9">
            <w:pPr>
              <w:spacing w:after="120" w:line="240" w:lineRule="auto"/>
              <w:ind w:right="314"/>
              <w:jc w:val="right"/>
              <w:rPr>
                <w:color w:val="000000"/>
                <w:sz w:val="20"/>
                <w:szCs w:val="20"/>
              </w:rPr>
            </w:pPr>
            <w:r>
              <w:rPr>
                <w:color w:val="000000"/>
                <w:sz w:val="20"/>
                <w:szCs w:val="20"/>
              </w:rPr>
              <w:lastRenderedPageBreak/>
              <w:t>3</w:t>
            </w:r>
          </w:p>
        </w:tc>
        <w:tc>
          <w:tcPr>
            <w:tcW w:w="1276" w:type="dxa"/>
            <w:shd w:val="clear" w:color="auto" w:fill="F2F2F2"/>
            <w:tcMar>
              <w:top w:w="0" w:type="dxa"/>
              <w:left w:w="123" w:type="dxa"/>
              <w:bottom w:w="0" w:type="dxa"/>
              <w:right w:w="123" w:type="dxa"/>
            </w:tcMar>
            <w:hideMark/>
          </w:tcPr>
          <w:p w14:paraId="3611603B" w14:textId="0B58F255" w:rsidR="008B424B" w:rsidRDefault="008B424B">
            <w:pPr>
              <w:spacing w:after="120" w:line="240" w:lineRule="auto"/>
              <w:ind w:right="314"/>
              <w:jc w:val="right"/>
              <w:rPr>
                <w:color w:val="000000"/>
                <w:sz w:val="20"/>
                <w:szCs w:val="20"/>
              </w:rPr>
            </w:pPr>
            <w:r w:rsidRPr="00F602F7">
              <w:rPr>
                <w:color w:val="000000"/>
                <w:sz w:val="20"/>
                <w:szCs w:val="20"/>
              </w:rPr>
              <w:t>1.</w:t>
            </w:r>
            <w:r w:rsidR="00F602F7" w:rsidRPr="00F602F7">
              <w:rPr>
                <w:color w:val="000000"/>
                <w:sz w:val="20"/>
                <w:szCs w:val="20"/>
              </w:rPr>
              <w:t>5</w:t>
            </w:r>
          </w:p>
        </w:tc>
      </w:tr>
      <w:tr w:rsidR="008B424B" w14:paraId="2788E985" w14:textId="77777777" w:rsidTr="00D409D4">
        <w:tc>
          <w:tcPr>
            <w:tcW w:w="745" w:type="dxa"/>
            <w:tcMar>
              <w:top w:w="0" w:type="dxa"/>
              <w:left w:w="0" w:type="dxa"/>
              <w:bottom w:w="0" w:type="dxa"/>
              <w:right w:w="0" w:type="dxa"/>
            </w:tcMar>
            <w:hideMark/>
          </w:tcPr>
          <w:p w14:paraId="1113A3FE" w14:textId="77777777" w:rsidR="008B424B" w:rsidRDefault="008B424B">
            <w:pPr>
              <w:spacing w:after="120" w:line="240" w:lineRule="auto"/>
              <w:rPr>
                <w:color w:val="000000"/>
                <w:sz w:val="20"/>
                <w:szCs w:val="20"/>
              </w:rPr>
            </w:pPr>
            <w:r>
              <w:rPr>
                <w:color w:val="000000"/>
                <w:sz w:val="20"/>
                <w:szCs w:val="20"/>
              </w:rPr>
              <w:t>G.1</w:t>
            </w:r>
          </w:p>
        </w:tc>
        <w:tc>
          <w:tcPr>
            <w:tcW w:w="1949" w:type="dxa"/>
            <w:tcMar>
              <w:top w:w="0" w:type="dxa"/>
              <w:left w:w="123" w:type="dxa"/>
              <w:bottom w:w="0" w:type="dxa"/>
              <w:right w:w="123" w:type="dxa"/>
            </w:tcMar>
            <w:hideMark/>
          </w:tcPr>
          <w:p w14:paraId="62FD6970" w14:textId="77777777" w:rsidR="008B424B" w:rsidRDefault="008B424B">
            <w:pPr>
              <w:spacing w:after="120" w:line="240" w:lineRule="auto"/>
              <w:rPr>
                <w:color w:val="000000"/>
                <w:sz w:val="20"/>
                <w:szCs w:val="20"/>
              </w:rPr>
            </w:pPr>
            <w:r>
              <w:rPr>
                <w:color w:val="000000"/>
                <w:sz w:val="20"/>
                <w:szCs w:val="20"/>
              </w:rPr>
              <w:t>Cost to industry</w:t>
            </w:r>
          </w:p>
          <w:p w14:paraId="34E1F26E" w14:textId="77777777" w:rsidR="00A95630" w:rsidRDefault="00A95630">
            <w:pPr>
              <w:spacing w:after="120" w:line="240" w:lineRule="auto"/>
              <w:rPr>
                <w:color w:val="000000"/>
                <w:sz w:val="20"/>
                <w:szCs w:val="20"/>
              </w:rPr>
            </w:pPr>
          </w:p>
          <w:p w14:paraId="39870F81" w14:textId="0740F001" w:rsidR="008B424B" w:rsidRPr="00A95630" w:rsidRDefault="00A95630">
            <w:pPr>
              <w:spacing w:after="120" w:line="240" w:lineRule="auto"/>
              <w:rPr>
                <w:b/>
                <w:color w:val="000000"/>
                <w:sz w:val="20"/>
                <w:szCs w:val="20"/>
              </w:rPr>
            </w:pPr>
            <w:r w:rsidRPr="00A95630">
              <w:rPr>
                <w:b/>
                <w:bCs/>
                <w:color w:val="000000"/>
                <w:sz w:val="20"/>
                <w:szCs w:val="20"/>
              </w:rPr>
              <w:t>(weighting 40%)</w:t>
            </w:r>
          </w:p>
        </w:tc>
        <w:tc>
          <w:tcPr>
            <w:tcW w:w="4536" w:type="dxa"/>
            <w:tcMar>
              <w:top w:w="0" w:type="dxa"/>
              <w:left w:w="123" w:type="dxa"/>
              <w:bottom w:w="0" w:type="dxa"/>
              <w:right w:w="123" w:type="dxa"/>
            </w:tcMar>
            <w:hideMark/>
          </w:tcPr>
          <w:p w14:paraId="4CB20CFD" w14:textId="7F5C1A76" w:rsidR="0050155C" w:rsidRDefault="0050155C" w:rsidP="0050155C">
            <w:pPr>
              <w:spacing w:after="120" w:line="240" w:lineRule="auto"/>
              <w:rPr>
                <w:color w:val="000000"/>
                <w:sz w:val="20"/>
                <w:szCs w:val="20"/>
              </w:rPr>
            </w:pPr>
            <w:r>
              <w:rPr>
                <w:color w:val="000000"/>
                <w:sz w:val="20"/>
                <w:szCs w:val="20"/>
              </w:rPr>
              <w:t xml:space="preserve">Given that the industry funds EWOV, a greater level of disputes would increase the cost of funding the scheme, with businesses involved </w:t>
            </w:r>
            <w:r w:rsidR="004D7D12">
              <w:rPr>
                <w:color w:val="000000"/>
                <w:sz w:val="20"/>
                <w:szCs w:val="20"/>
              </w:rPr>
              <w:t xml:space="preserve">in </w:t>
            </w:r>
            <w:r>
              <w:rPr>
                <w:color w:val="000000"/>
                <w:sz w:val="20"/>
                <w:szCs w:val="20"/>
              </w:rPr>
              <w:t>a higher number of dispute</w:t>
            </w:r>
            <w:r w:rsidR="00BB5A9D">
              <w:rPr>
                <w:color w:val="000000"/>
                <w:sz w:val="20"/>
                <w:szCs w:val="20"/>
              </w:rPr>
              <w:t>s</w:t>
            </w:r>
            <w:r>
              <w:rPr>
                <w:color w:val="000000"/>
                <w:sz w:val="20"/>
                <w:szCs w:val="20"/>
              </w:rPr>
              <w:t xml:space="preserve"> contributing more to the scheme</w:t>
            </w:r>
            <w:r w:rsidR="001F07FB">
              <w:rPr>
                <w:color w:val="000000"/>
                <w:sz w:val="20"/>
                <w:szCs w:val="20"/>
              </w:rPr>
              <w:t xml:space="preserve"> in the short term</w:t>
            </w:r>
            <w:r>
              <w:rPr>
                <w:color w:val="000000"/>
                <w:sz w:val="20"/>
                <w:szCs w:val="20"/>
              </w:rPr>
              <w:t>.</w:t>
            </w:r>
            <w:r w:rsidR="001F07FB">
              <w:rPr>
                <w:color w:val="000000"/>
                <w:sz w:val="20"/>
                <w:szCs w:val="20"/>
              </w:rPr>
              <w:t xml:space="preserve"> </w:t>
            </w:r>
            <w:r w:rsidR="000C4732">
              <w:rPr>
                <w:color w:val="000000"/>
                <w:sz w:val="20"/>
                <w:szCs w:val="20"/>
              </w:rPr>
              <w:t>The cost for industry is expected to be low</w:t>
            </w:r>
            <w:r w:rsidR="00B0279F">
              <w:rPr>
                <w:color w:val="000000"/>
                <w:sz w:val="20"/>
                <w:szCs w:val="20"/>
              </w:rPr>
              <w:t xml:space="preserve">. </w:t>
            </w:r>
            <w:r w:rsidR="004F638C">
              <w:rPr>
                <w:color w:val="000000"/>
                <w:sz w:val="20"/>
                <w:szCs w:val="20"/>
              </w:rPr>
              <w:t>However,</w:t>
            </w:r>
            <w:r w:rsidR="00E60452">
              <w:rPr>
                <w:color w:val="000000"/>
                <w:sz w:val="20"/>
                <w:szCs w:val="20"/>
              </w:rPr>
              <w:t xml:space="preserve"> </w:t>
            </w:r>
            <w:r w:rsidR="00DE2049">
              <w:rPr>
                <w:color w:val="000000"/>
                <w:sz w:val="20"/>
                <w:szCs w:val="20"/>
              </w:rPr>
              <w:t>whil</w:t>
            </w:r>
            <w:r w:rsidR="00511EA1">
              <w:rPr>
                <w:color w:val="000000"/>
                <w:sz w:val="20"/>
                <w:szCs w:val="20"/>
              </w:rPr>
              <w:t>e</w:t>
            </w:r>
            <w:r w:rsidR="00DE2049">
              <w:rPr>
                <w:color w:val="000000"/>
                <w:sz w:val="20"/>
                <w:szCs w:val="20"/>
              </w:rPr>
              <w:t xml:space="preserve"> acknowledging the </w:t>
            </w:r>
            <w:r w:rsidR="00804211">
              <w:rPr>
                <w:color w:val="000000"/>
                <w:sz w:val="20"/>
                <w:szCs w:val="20"/>
              </w:rPr>
              <w:t xml:space="preserve">assessment challenges, </w:t>
            </w:r>
            <w:r w:rsidR="00E60452">
              <w:rPr>
                <w:color w:val="000000"/>
                <w:sz w:val="20"/>
                <w:szCs w:val="20"/>
              </w:rPr>
              <w:t xml:space="preserve">over the long term, accessible and effective external dispute resolution </w:t>
            </w:r>
            <w:r w:rsidR="00EE076F">
              <w:rPr>
                <w:color w:val="000000"/>
                <w:sz w:val="20"/>
                <w:szCs w:val="20"/>
              </w:rPr>
              <w:t xml:space="preserve">may </w:t>
            </w:r>
            <w:r w:rsidR="0008117A">
              <w:rPr>
                <w:color w:val="000000"/>
                <w:sz w:val="20"/>
                <w:szCs w:val="20"/>
              </w:rPr>
              <w:t xml:space="preserve">be </w:t>
            </w:r>
            <w:r w:rsidR="00EE076F">
              <w:rPr>
                <w:color w:val="000000"/>
                <w:sz w:val="20"/>
                <w:szCs w:val="20"/>
              </w:rPr>
              <w:t xml:space="preserve">a </w:t>
            </w:r>
            <w:r w:rsidR="00E60452">
              <w:rPr>
                <w:color w:val="000000"/>
                <w:sz w:val="20"/>
                <w:szCs w:val="20"/>
              </w:rPr>
              <w:t xml:space="preserve">net positive for </w:t>
            </w:r>
            <w:r w:rsidR="007B4B7B">
              <w:rPr>
                <w:color w:val="000000"/>
                <w:sz w:val="20"/>
                <w:szCs w:val="20"/>
              </w:rPr>
              <w:t>industry</w:t>
            </w:r>
            <w:r w:rsidR="004F638C">
              <w:rPr>
                <w:color w:val="000000"/>
                <w:sz w:val="20"/>
                <w:szCs w:val="20"/>
              </w:rPr>
              <w:t>.</w:t>
            </w:r>
            <w:r w:rsidR="00E60452">
              <w:rPr>
                <w:color w:val="000000"/>
                <w:sz w:val="20"/>
                <w:szCs w:val="20"/>
              </w:rPr>
              <w:t xml:space="preserve"> </w:t>
            </w:r>
            <w:r w:rsidR="00EA6937" w:rsidRPr="00EA6937">
              <w:rPr>
                <w:color w:val="000000"/>
                <w:sz w:val="20"/>
                <w:szCs w:val="20"/>
              </w:rPr>
              <w:t>For instance</w:t>
            </w:r>
            <w:r w:rsidR="0061161F">
              <w:rPr>
                <w:color w:val="000000"/>
                <w:sz w:val="20"/>
                <w:szCs w:val="20"/>
              </w:rPr>
              <w:t>,</w:t>
            </w:r>
            <w:r w:rsidR="00EA6937" w:rsidRPr="00EA6937">
              <w:rPr>
                <w:color w:val="000000"/>
                <w:sz w:val="20"/>
                <w:szCs w:val="20"/>
              </w:rPr>
              <w:t xml:space="preserve"> it could reduce litigation costs, improve industry reputation and uplift practices and standards over time</w:t>
            </w:r>
          </w:p>
          <w:p w14:paraId="0D6AA59A" w14:textId="617FBEFF" w:rsidR="008B424B" w:rsidRDefault="001C4D29">
            <w:pPr>
              <w:spacing w:after="120" w:line="240" w:lineRule="auto"/>
              <w:rPr>
                <w:color w:val="000000"/>
                <w:sz w:val="20"/>
                <w:szCs w:val="20"/>
              </w:rPr>
            </w:pPr>
            <w:r>
              <w:rPr>
                <w:color w:val="000000"/>
                <w:sz w:val="20"/>
                <w:szCs w:val="20"/>
              </w:rPr>
              <w:t>Implementing this option</w:t>
            </w:r>
            <w:r w:rsidR="008B424B">
              <w:rPr>
                <w:color w:val="000000"/>
                <w:sz w:val="20"/>
                <w:szCs w:val="20"/>
              </w:rPr>
              <w:t xml:space="preserve"> will mostly entail </w:t>
            </w:r>
            <w:r w:rsidR="004B187E">
              <w:rPr>
                <w:color w:val="000000"/>
                <w:sz w:val="20"/>
                <w:szCs w:val="20"/>
              </w:rPr>
              <w:t>a</w:t>
            </w:r>
            <w:r w:rsidR="008B424B">
              <w:rPr>
                <w:color w:val="000000"/>
                <w:sz w:val="20"/>
                <w:szCs w:val="20"/>
              </w:rPr>
              <w:t xml:space="preserve"> once-off change</w:t>
            </w:r>
            <w:r>
              <w:rPr>
                <w:color w:val="000000"/>
                <w:sz w:val="20"/>
                <w:szCs w:val="20"/>
              </w:rPr>
              <w:t xml:space="preserve"> to billing templates</w:t>
            </w:r>
            <w:r w:rsidR="008B424B">
              <w:rPr>
                <w:color w:val="000000"/>
                <w:sz w:val="20"/>
                <w:szCs w:val="20"/>
              </w:rPr>
              <w:t>.</w:t>
            </w:r>
            <w:r>
              <w:rPr>
                <w:color w:val="000000"/>
                <w:sz w:val="20"/>
                <w:szCs w:val="20"/>
              </w:rPr>
              <w:t xml:space="preserve"> </w:t>
            </w:r>
            <w:r w:rsidR="000B45BE">
              <w:rPr>
                <w:color w:val="000000"/>
                <w:sz w:val="20"/>
                <w:szCs w:val="20"/>
              </w:rPr>
              <w:t>It is not expected to impose an ongoing cost for retailers.</w:t>
            </w:r>
            <w:r>
              <w:rPr>
                <w:color w:val="000000"/>
                <w:sz w:val="20"/>
                <w:szCs w:val="20"/>
              </w:rPr>
              <w:t xml:space="preserve"> Many retailers also already include these detai</w:t>
            </w:r>
            <w:r w:rsidR="000B45BE">
              <w:rPr>
                <w:color w:val="000000"/>
                <w:sz w:val="20"/>
                <w:szCs w:val="20"/>
              </w:rPr>
              <w:t>ls on their bills in Victoria</w:t>
            </w:r>
            <w:r w:rsidR="000874C1">
              <w:rPr>
                <w:color w:val="000000"/>
                <w:sz w:val="20"/>
                <w:szCs w:val="20"/>
              </w:rPr>
              <w:t xml:space="preserve">. From our analysis, we understand that at least seven retailers are already providing this information. </w:t>
            </w:r>
            <w:r w:rsidR="000B45BE">
              <w:rPr>
                <w:color w:val="000000"/>
                <w:sz w:val="20"/>
                <w:szCs w:val="20"/>
              </w:rPr>
              <w:t xml:space="preserve"> </w:t>
            </w:r>
            <w:r w:rsidR="000874C1">
              <w:rPr>
                <w:color w:val="000000"/>
                <w:sz w:val="20"/>
                <w:szCs w:val="20"/>
              </w:rPr>
              <w:t>Some retailers may also already include this information</w:t>
            </w:r>
            <w:r w:rsidR="000B45BE">
              <w:rPr>
                <w:color w:val="000000"/>
                <w:sz w:val="20"/>
                <w:szCs w:val="20"/>
              </w:rPr>
              <w:t xml:space="preserve"> in </w:t>
            </w:r>
            <w:r w:rsidR="00575458">
              <w:rPr>
                <w:color w:val="000000"/>
                <w:sz w:val="20"/>
                <w:szCs w:val="20"/>
              </w:rPr>
              <w:t xml:space="preserve">their bills for </w:t>
            </w:r>
            <w:r w:rsidR="000B45BE">
              <w:rPr>
                <w:color w:val="000000"/>
                <w:sz w:val="20"/>
                <w:szCs w:val="20"/>
              </w:rPr>
              <w:t xml:space="preserve">other jurisdictions where </w:t>
            </w:r>
            <w:r w:rsidR="00575458">
              <w:rPr>
                <w:color w:val="000000"/>
                <w:sz w:val="20"/>
                <w:szCs w:val="20"/>
              </w:rPr>
              <w:t xml:space="preserve">these requirements already exist (noting they relate to the ombudsman details of the relevant states, not EWOV). As a result, </w:t>
            </w:r>
            <w:r w:rsidR="0087511B">
              <w:rPr>
                <w:color w:val="000000"/>
                <w:sz w:val="20"/>
                <w:szCs w:val="20"/>
              </w:rPr>
              <w:t>retailers are expected to incur</w:t>
            </w:r>
            <w:r w:rsidR="00575458">
              <w:rPr>
                <w:color w:val="000000"/>
                <w:sz w:val="20"/>
                <w:szCs w:val="20"/>
              </w:rPr>
              <w:t xml:space="preserve"> a</w:t>
            </w:r>
            <w:r w:rsidR="008B424B">
              <w:rPr>
                <w:color w:val="000000"/>
                <w:sz w:val="20"/>
                <w:szCs w:val="20"/>
              </w:rPr>
              <w:t xml:space="preserve"> relatively small </w:t>
            </w:r>
            <w:r w:rsidR="0087511B">
              <w:rPr>
                <w:color w:val="000000"/>
                <w:sz w:val="20"/>
                <w:szCs w:val="20"/>
              </w:rPr>
              <w:t>cost</w:t>
            </w:r>
            <w:r w:rsidR="008B424B">
              <w:rPr>
                <w:color w:val="000000"/>
                <w:sz w:val="20"/>
                <w:szCs w:val="20"/>
              </w:rPr>
              <w:t>.</w:t>
            </w:r>
          </w:p>
        </w:tc>
        <w:tc>
          <w:tcPr>
            <w:tcW w:w="1161" w:type="dxa"/>
          </w:tcPr>
          <w:p w14:paraId="269FE12B" w14:textId="23FFACDC" w:rsidR="00AB5DD9" w:rsidRDefault="00AB5DD9">
            <w:pPr>
              <w:spacing w:after="120" w:line="240" w:lineRule="auto"/>
              <w:ind w:right="314"/>
              <w:jc w:val="right"/>
              <w:rPr>
                <w:color w:val="000000"/>
                <w:sz w:val="20"/>
                <w:szCs w:val="20"/>
              </w:rPr>
            </w:pPr>
            <w:r>
              <w:rPr>
                <w:color w:val="000000"/>
                <w:sz w:val="20"/>
                <w:szCs w:val="20"/>
              </w:rPr>
              <w:t>-0.5</w:t>
            </w:r>
          </w:p>
        </w:tc>
        <w:tc>
          <w:tcPr>
            <w:tcW w:w="1276" w:type="dxa"/>
            <w:tcMar>
              <w:top w:w="0" w:type="dxa"/>
              <w:left w:w="123" w:type="dxa"/>
              <w:bottom w:w="0" w:type="dxa"/>
              <w:right w:w="123" w:type="dxa"/>
            </w:tcMar>
            <w:hideMark/>
          </w:tcPr>
          <w:p w14:paraId="4F5FC156" w14:textId="77777777" w:rsidR="008B424B" w:rsidRDefault="008B424B">
            <w:pPr>
              <w:spacing w:after="120" w:line="240" w:lineRule="auto"/>
              <w:ind w:right="314"/>
              <w:jc w:val="right"/>
              <w:rPr>
                <w:color w:val="000000"/>
                <w:sz w:val="20"/>
                <w:szCs w:val="20"/>
              </w:rPr>
            </w:pPr>
            <w:r>
              <w:rPr>
                <w:color w:val="000000"/>
                <w:sz w:val="20"/>
                <w:szCs w:val="20"/>
              </w:rPr>
              <w:t>-0.2</w:t>
            </w:r>
          </w:p>
        </w:tc>
      </w:tr>
      <w:tr w:rsidR="008B424B" w14:paraId="48C51D2C" w14:textId="77777777" w:rsidTr="00D409D4">
        <w:tc>
          <w:tcPr>
            <w:tcW w:w="745" w:type="dxa"/>
            <w:shd w:val="clear" w:color="auto" w:fill="F2F2F2"/>
            <w:tcMar>
              <w:top w:w="0" w:type="dxa"/>
              <w:left w:w="0" w:type="dxa"/>
              <w:bottom w:w="0" w:type="dxa"/>
              <w:right w:w="0" w:type="dxa"/>
            </w:tcMar>
            <w:hideMark/>
          </w:tcPr>
          <w:p w14:paraId="4A734EA9" w14:textId="77777777" w:rsidR="008B424B" w:rsidRDefault="008B424B">
            <w:pPr>
              <w:spacing w:after="120" w:line="240" w:lineRule="auto"/>
              <w:rPr>
                <w:color w:val="000000"/>
                <w:sz w:val="20"/>
                <w:szCs w:val="20"/>
              </w:rPr>
            </w:pPr>
            <w:r>
              <w:rPr>
                <w:color w:val="000000"/>
                <w:sz w:val="20"/>
                <w:szCs w:val="20"/>
              </w:rPr>
              <w:t>G.1</w:t>
            </w:r>
          </w:p>
        </w:tc>
        <w:tc>
          <w:tcPr>
            <w:tcW w:w="1949" w:type="dxa"/>
            <w:shd w:val="clear" w:color="auto" w:fill="F2F2F2"/>
            <w:tcMar>
              <w:top w:w="0" w:type="dxa"/>
              <w:left w:w="123" w:type="dxa"/>
              <w:bottom w:w="0" w:type="dxa"/>
              <w:right w:w="123" w:type="dxa"/>
            </w:tcMar>
            <w:hideMark/>
          </w:tcPr>
          <w:p w14:paraId="1B9B5849" w14:textId="77777777" w:rsidR="008B424B" w:rsidRDefault="008B424B">
            <w:pPr>
              <w:spacing w:after="120" w:line="240" w:lineRule="auto"/>
              <w:rPr>
                <w:color w:val="000000"/>
                <w:sz w:val="20"/>
                <w:szCs w:val="20"/>
              </w:rPr>
            </w:pPr>
            <w:r>
              <w:rPr>
                <w:color w:val="000000"/>
                <w:sz w:val="20"/>
                <w:szCs w:val="20"/>
              </w:rPr>
              <w:t>Cost to government</w:t>
            </w:r>
          </w:p>
          <w:p w14:paraId="7E2A25DC" w14:textId="77777777" w:rsidR="00A95630" w:rsidRDefault="00A95630">
            <w:pPr>
              <w:spacing w:after="120" w:line="240" w:lineRule="auto"/>
              <w:rPr>
                <w:color w:val="000000"/>
                <w:sz w:val="20"/>
                <w:szCs w:val="20"/>
              </w:rPr>
            </w:pPr>
          </w:p>
          <w:p w14:paraId="449D7DD7" w14:textId="3B47F9EC" w:rsidR="008B424B" w:rsidRPr="00A95630" w:rsidRDefault="00A95630">
            <w:pPr>
              <w:spacing w:after="120" w:line="240" w:lineRule="auto"/>
              <w:rPr>
                <w:b/>
                <w:color w:val="000000"/>
                <w:sz w:val="20"/>
                <w:szCs w:val="20"/>
              </w:rPr>
            </w:pPr>
            <w:r w:rsidRPr="00A95630">
              <w:rPr>
                <w:b/>
                <w:bCs/>
                <w:color w:val="000000"/>
                <w:sz w:val="20"/>
                <w:szCs w:val="20"/>
              </w:rPr>
              <w:t>(weighting 10%)</w:t>
            </w:r>
          </w:p>
        </w:tc>
        <w:tc>
          <w:tcPr>
            <w:tcW w:w="4536" w:type="dxa"/>
            <w:shd w:val="clear" w:color="auto" w:fill="F2F2F2"/>
            <w:tcMar>
              <w:top w:w="0" w:type="dxa"/>
              <w:left w:w="123" w:type="dxa"/>
              <w:bottom w:w="0" w:type="dxa"/>
              <w:right w:w="123" w:type="dxa"/>
            </w:tcMar>
            <w:hideMark/>
          </w:tcPr>
          <w:p w14:paraId="68F16FC7" w14:textId="2ECEE10C" w:rsidR="008B424B" w:rsidRDefault="008B424B">
            <w:pPr>
              <w:spacing w:after="120" w:line="240" w:lineRule="auto"/>
              <w:rPr>
                <w:color w:val="000000"/>
                <w:sz w:val="20"/>
                <w:szCs w:val="20"/>
              </w:rPr>
            </w:pPr>
            <w:r>
              <w:rPr>
                <w:color w:val="000000"/>
                <w:sz w:val="20"/>
                <w:szCs w:val="20"/>
              </w:rPr>
              <w:t>Industry funds the operation of EWOV so government costs will be minimal. Some costs may be incurred to ensure that energy retailers are complying with this proposal. A small negative score is assigned to the criterion.</w:t>
            </w:r>
          </w:p>
        </w:tc>
        <w:tc>
          <w:tcPr>
            <w:tcW w:w="1161" w:type="dxa"/>
            <w:shd w:val="clear" w:color="auto" w:fill="F2F2F2"/>
          </w:tcPr>
          <w:p w14:paraId="4D24E886" w14:textId="33F685F2" w:rsidR="00AB5DD9" w:rsidRDefault="00AB5DD9">
            <w:pPr>
              <w:spacing w:after="120" w:line="240" w:lineRule="auto"/>
              <w:ind w:right="314"/>
              <w:jc w:val="right"/>
              <w:rPr>
                <w:color w:val="000000"/>
                <w:sz w:val="20"/>
                <w:szCs w:val="20"/>
              </w:rPr>
            </w:pPr>
            <w:r>
              <w:rPr>
                <w:color w:val="000000"/>
                <w:sz w:val="20"/>
                <w:szCs w:val="20"/>
              </w:rPr>
              <w:t>-0.</w:t>
            </w:r>
            <w:r w:rsidR="0028726C">
              <w:rPr>
                <w:color w:val="000000"/>
                <w:sz w:val="20"/>
                <w:szCs w:val="20"/>
              </w:rPr>
              <w:t>1</w:t>
            </w:r>
          </w:p>
        </w:tc>
        <w:tc>
          <w:tcPr>
            <w:tcW w:w="1276" w:type="dxa"/>
            <w:shd w:val="clear" w:color="auto" w:fill="F2F2F2"/>
            <w:tcMar>
              <w:top w:w="0" w:type="dxa"/>
              <w:left w:w="123" w:type="dxa"/>
              <w:bottom w:w="0" w:type="dxa"/>
              <w:right w:w="123" w:type="dxa"/>
            </w:tcMar>
            <w:hideMark/>
          </w:tcPr>
          <w:p w14:paraId="115A1ADC" w14:textId="137D586D" w:rsidR="008B424B" w:rsidRDefault="008B424B">
            <w:pPr>
              <w:spacing w:after="120" w:line="240" w:lineRule="auto"/>
              <w:ind w:right="314"/>
              <w:jc w:val="right"/>
              <w:rPr>
                <w:color w:val="000000"/>
                <w:sz w:val="20"/>
                <w:szCs w:val="20"/>
              </w:rPr>
            </w:pPr>
            <w:r>
              <w:rPr>
                <w:color w:val="000000"/>
                <w:sz w:val="20"/>
                <w:szCs w:val="20"/>
              </w:rPr>
              <w:t>-0.0</w:t>
            </w:r>
            <w:r w:rsidR="0028726C">
              <w:rPr>
                <w:color w:val="000000"/>
                <w:sz w:val="20"/>
                <w:szCs w:val="20"/>
              </w:rPr>
              <w:t>1</w:t>
            </w:r>
          </w:p>
        </w:tc>
      </w:tr>
      <w:tr w:rsidR="008B424B" w14:paraId="05904BB8" w14:textId="77777777" w:rsidTr="007C68CA">
        <w:trPr>
          <w:trHeight w:val="132"/>
        </w:trPr>
        <w:tc>
          <w:tcPr>
            <w:tcW w:w="745" w:type="dxa"/>
            <w:tcBorders>
              <w:top w:val="single" w:sz="4" w:space="0" w:color="4986A0"/>
              <w:bottom w:val="single" w:sz="4" w:space="0" w:color="4986A0"/>
            </w:tcBorders>
            <w:tcMar>
              <w:top w:w="0" w:type="dxa"/>
              <w:left w:w="0" w:type="dxa"/>
              <w:bottom w:w="0" w:type="dxa"/>
              <w:right w:w="0" w:type="dxa"/>
            </w:tcMar>
          </w:tcPr>
          <w:p w14:paraId="4CFD041D" w14:textId="77777777" w:rsidR="008B424B" w:rsidRDefault="008B424B">
            <w:pPr>
              <w:spacing w:after="120" w:line="240" w:lineRule="auto"/>
              <w:rPr>
                <w:b/>
                <w:bCs/>
                <w:color w:val="366477"/>
                <w:sz w:val="20"/>
                <w:szCs w:val="20"/>
              </w:rPr>
            </w:pPr>
          </w:p>
        </w:tc>
        <w:tc>
          <w:tcPr>
            <w:tcW w:w="1949" w:type="dxa"/>
            <w:tcBorders>
              <w:top w:val="single" w:sz="4" w:space="0" w:color="4986A0"/>
              <w:bottom w:val="single" w:sz="4" w:space="0" w:color="4986A0"/>
            </w:tcBorders>
            <w:tcMar>
              <w:top w:w="0" w:type="dxa"/>
              <w:left w:w="123" w:type="dxa"/>
              <w:bottom w:w="0" w:type="dxa"/>
              <w:right w:w="123" w:type="dxa"/>
            </w:tcMar>
          </w:tcPr>
          <w:p w14:paraId="2193B24A" w14:textId="77777777" w:rsidR="008B424B" w:rsidRDefault="008B424B">
            <w:pPr>
              <w:spacing w:after="120" w:line="240" w:lineRule="auto"/>
              <w:rPr>
                <w:b/>
                <w:bCs/>
                <w:color w:val="366477"/>
                <w:sz w:val="20"/>
                <w:szCs w:val="20"/>
              </w:rPr>
            </w:pPr>
          </w:p>
        </w:tc>
        <w:tc>
          <w:tcPr>
            <w:tcW w:w="4536" w:type="dxa"/>
            <w:tcBorders>
              <w:top w:val="single" w:sz="4" w:space="0" w:color="4986A0"/>
              <w:bottom w:val="single" w:sz="4" w:space="0" w:color="4986A0"/>
            </w:tcBorders>
            <w:tcMar>
              <w:top w:w="0" w:type="dxa"/>
              <w:left w:w="123" w:type="dxa"/>
              <w:bottom w:w="0" w:type="dxa"/>
              <w:right w:w="123" w:type="dxa"/>
            </w:tcMar>
            <w:hideMark/>
          </w:tcPr>
          <w:p w14:paraId="3A2B8DFC" w14:textId="77777777" w:rsidR="008B424B" w:rsidRDefault="008B424B">
            <w:pPr>
              <w:spacing w:after="120" w:line="240" w:lineRule="auto"/>
              <w:jc w:val="right"/>
              <w:rPr>
                <w:color w:val="000000"/>
                <w:sz w:val="20"/>
                <w:szCs w:val="20"/>
              </w:rPr>
            </w:pPr>
            <w:r>
              <w:rPr>
                <w:b/>
                <w:bCs/>
                <w:i/>
                <w:iCs/>
                <w:color w:val="366477"/>
                <w:sz w:val="20"/>
                <w:szCs w:val="20"/>
              </w:rPr>
              <w:t>Total</w:t>
            </w:r>
          </w:p>
        </w:tc>
        <w:tc>
          <w:tcPr>
            <w:tcW w:w="1161" w:type="dxa"/>
            <w:tcBorders>
              <w:top w:val="single" w:sz="4" w:space="0" w:color="4986A0"/>
              <w:bottom w:val="single" w:sz="4" w:space="0" w:color="4986A0"/>
            </w:tcBorders>
          </w:tcPr>
          <w:p w14:paraId="3728B429" w14:textId="77777777" w:rsidR="00AB5DD9" w:rsidRDefault="00AB5DD9">
            <w:pPr>
              <w:spacing w:after="120" w:line="240" w:lineRule="auto"/>
              <w:ind w:right="314"/>
              <w:jc w:val="right"/>
              <w:rPr>
                <w:b/>
                <w:bCs/>
                <w:color w:val="000000"/>
                <w:sz w:val="20"/>
                <w:szCs w:val="20"/>
              </w:rPr>
            </w:pPr>
          </w:p>
        </w:tc>
        <w:tc>
          <w:tcPr>
            <w:tcW w:w="1276" w:type="dxa"/>
            <w:tcBorders>
              <w:top w:val="single" w:sz="4" w:space="0" w:color="4986A0"/>
              <w:bottom w:val="single" w:sz="4" w:space="0" w:color="4986A0"/>
            </w:tcBorders>
            <w:tcMar>
              <w:top w:w="0" w:type="dxa"/>
              <w:left w:w="123" w:type="dxa"/>
              <w:bottom w:w="0" w:type="dxa"/>
              <w:right w:w="123" w:type="dxa"/>
            </w:tcMar>
            <w:hideMark/>
          </w:tcPr>
          <w:p w14:paraId="33F2D2DE" w14:textId="4AB61A53" w:rsidR="008B424B" w:rsidRDefault="008B424B">
            <w:pPr>
              <w:spacing w:after="120" w:line="240" w:lineRule="auto"/>
              <w:ind w:right="314"/>
              <w:jc w:val="right"/>
              <w:rPr>
                <w:color w:val="000000"/>
                <w:sz w:val="20"/>
                <w:szCs w:val="20"/>
              </w:rPr>
            </w:pPr>
            <w:r>
              <w:rPr>
                <w:b/>
                <w:bCs/>
                <w:color w:val="000000"/>
                <w:sz w:val="20"/>
                <w:szCs w:val="20"/>
              </w:rPr>
              <w:t>+</w:t>
            </w:r>
            <w:r w:rsidR="007F3220">
              <w:rPr>
                <w:b/>
                <w:bCs/>
                <w:color w:val="000000"/>
                <w:sz w:val="20"/>
                <w:szCs w:val="20"/>
              </w:rPr>
              <w:t>1</w:t>
            </w:r>
            <w:r>
              <w:rPr>
                <w:b/>
                <w:bCs/>
                <w:color w:val="000000"/>
                <w:sz w:val="20"/>
                <w:szCs w:val="20"/>
              </w:rPr>
              <w:t>.</w:t>
            </w:r>
            <w:r w:rsidR="007F3220">
              <w:rPr>
                <w:b/>
                <w:bCs/>
                <w:color w:val="000000"/>
                <w:sz w:val="20"/>
                <w:szCs w:val="20"/>
              </w:rPr>
              <w:t>2</w:t>
            </w:r>
            <w:r w:rsidR="00B12CC4">
              <w:rPr>
                <w:b/>
                <w:bCs/>
                <w:color w:val="000000"/>
                <w:sz w:val="20"/>
                <w:szCs w:val="20"/>
              </w:rPr>
              <w:t>9</w:t>
            </w:r>
          </w:p>
        </w:tc>
      </w:tr>
    </w:tbl>
    <w:p w14:paraId="16C0657B" w14:textId="6D8E1526" w:rsidR="004C55E6" w:rsidRDefault="004C55E6" w:rsidP="004C55E6">
      <w:pPr>
        <w:pStyle w:val="Heading2numbered"/>
      </w:pPr>
      <w:bookmarkStart w:id="321" w:name="_Toc196294892"/>
      <w:bookmarkStart w:id="322" w:name="_Toc196989471"/>
      <w:bookmarkStart w:id="323" w:name="_Toc196998695"/>
      <w:bookmarkStart w:id="324" w:name="_Toc197355739"/>
      <w:bookmarkStart w:id="325" w:name="_Toc195617230"/>
      <w:bookmarkStart w:id="326" w:name="_Toc195642916"/>
      <w:bookmarkStart w:id="327" w:name="_Toc195692630"/>
      <w:bookmarkStart w:id="328" w:name="_Toc195701925"/>
      <w:bookmarkStart w:id="329" w:name="_Toc197959475"/>
      <w:bookmarkEnd w:id="321"/>
      <w:bookmarkEnd w:id="322"/>
      <w:bookmarkEnd w:id="323"/>
      <w:bookmarkEnd w:id="324"/>
      <w:bookmarkEnd w:id="325"/>
      <w:bookmarkEnd w:id="326"/>
      <w:bookmarkEnd w:id="327"/>
      <w:bookmarkEnd w:id="328"/>
      <w:r>
        <w:lastRenderedPageBreak/>
        <w:t>Summary and preferred option</w:t>
      </w:r>
      <w:bookmarkEnd w:id="329"/>
    </w:p>
    <w:p w14:paraId="77D2B86D" w14:textId="3464D0F2" w:rsidR="0046441E" w:rsidRDefault="0046441E" w:rsidP="0046441E">
      <w:r>
        <w:t xml:space="preserve">The MCA scoring of </w:t>
      </w:r>
      <w:r w:rsidR="0096295B">
        <w:t>1.</w:t>
      </w:r>
      <w:r w:rsidR="004F5D51">
        <w:t>29</w:t>
      </w:r>
      <w:r>
        <w:t xml:space="preserve"> is positive, suggesting that this option should be adopted. Providing EWOV’s telephone contact number is designed to provide additional information to customers facing </w:t>
      </w:r>
      <w:r w:rsidR="000C1FF0">
        <w:t>payment difficulties</w:t>
      </w:r>
      <w:r>
        <w:t xml:space="preserve"> (or </w:t>
      </w:r>
      <w:r w:rsidR="000C1FF0">
        <w:t xml:space="preserve">who </w:t>
      </w:r>
      <w:r>
        <w:t xml:space="preserve">have other complaints) by lowering ‘search costs’. They may also be unaware of the services offered by the ombudsman. Additional information, such as website links and information about the EWOV complaints process, is not included in order to minimise business costs, while improving accessibility to the ombudsman’s services. The score is relatively small reflecting the generally </w:t>
      </w:r>
      <w:r w:rsidR="00F128B8">
        <w:t>small-scale</w:t>
      </w:r>
      <w:r>
        <w:t xml:space="preserve"> nature of this proposal.</w:t>
      </w:r>
    </w:p>
    <w:p w14:paraId="1A1B51C9" w14:textId="25556274" w:rsidR="00FE7BF9" w:rsidRDefault="00FE7BF9" w:rsidP="000C1FF0">
      <w:pPr>
        <w:pStyle w:val="Figure-Table-BoxSubtitle"/>
        <w:ind w:left="0"/>
      </w:pPr>
      <w:r w:rsidRPr="00993F18">
        <w:rPr>
          <w:rStyle w:val="Figure-Table-BoxHeadingChar"/>
        </w:rPr>
        <w:t xml:space="preserve">Table </w:t>
      </w:r>
      <w:r w:rsidR="003F0FF3" w:rsidRPr="00993F18">
        <w:rPr>
          <w:rStyle w:val="Figure-Table-BoxHeadingChar"/>
        </w:rPr>
        <w:t>3</w:t>
      </w:r>
      <w:r w:rsidR="005F731C" w:rsidRPr="00993F18">
        <w:rPr>
          <w:rStyle w:val="Figure-Table-BoxHeadingChar"/>
        </w:rPr>
        <w:t>4</w:t>
      </w:r>
      <w:r w:rsidRPr="00993F18">
        <w:rPr>
          <w:rStyle w:val="Figure-Table-BoxHeadingChar"/>
        </w:rPr>
        <w:t>:</w:t>
      </w:r>
      <w:r w:rsidRPr="00993F18">
        <w:t xml:space="preserve"> Summary of MCA assessment ‒ Improving awareness of dispute resolution services</w:t>
      </w:r>
    </w:p>
    <w:tbl>
      <w:tblPr>
        <w:tblW w:w="0" w:type="auto"/>
        <w:tblBorders>
          <w:insideH w:val="single" w:sz="8" w:space="0" w:color="FFFFFF"/>
        </w:tblBorders>
        <w:tblCellMar>
          <w:left w:w="0" w:type="dxa"/>
          <w:right w:w="0" w:type="dxa"/>
        </w:tblCellMar>
        <w:tblLook w:val="04A0" w:firstRow="1" w:lastRow="0" w:firstColumn="1" w:lastColumn="0" w:noHBand="0" w:noVBand="1"/>
      </w:tblPr>
      <w:tblGrid>
        <w:gridCol w:w="1011"/>
        <w:gridCol w:w="6912"/>
        <w:gridCol w:w="1715"/>
      </w:tblGrid>
      <w:tr w:rsidR="00AD73FA" w:rsidRPr="00AD73FA" w14:paraId="48C7CDE2" w14:textId="77777777" w:rsidTr="00F46BBA">
        <w:tc>
          <w:tcPr>
            <w:tcW w:w="1011" w:type="dxa"/>
            <w:tcBorders>
              <w:bottom w:val="single" w:sz="8" w:space="0" w:color="FFFFFF"/>
            </w:tcBorders>
            <w:shd w:val="clear" w:color="auto" w:fill="4986A0"/>
            <w:tcMar>
              <w:top w:w="85" w:type="dxa"/>
              <w:left w:w="95" w:type="dxa"/>
              <w:bottom w:w="85" w:type="dxa"/>
              <w:right w:w="67" w:type="dxa"/>
            </w:tcMar>
            <w:hideMark/>
          </w:tcPr>
          <w:p w14:paraId="12E91783" w14:textId="77777777" w:rsidR="00AD73FA" w:rsidRPr="00AD73FA" w:rsidRDefault="00AD73FA" w:rsidP="000C1FF0">
            <w:pPr>
              <w:spacing w:after="120" w:line="240" w:lineRule="auto"/>
              <w:rPr>
                <w:color w:val="000000"/>
                <w:sz w:val="20"/>
                <w:szCs w:val="20"/>
              </w:rPr>
            </w:pPr>
            <w:r w:rsidRPr="00AD73FA">
              <w:rPr>
                <w:b/>
                <w:bCs/>
                <w:color w:val="FFFFFF"/>
                <w:sz w:val="20"/>
                <w:szCs w:val="20"/>
              </w:rPr>
              <w:t>Option</w:t>
            </w:r>
          </w:p>
        </w:tc>
        <w:tc>
          <w:tcPr>
            <w:tcW w:w="6912" w:type="dxa"/>
            <w:tcBorders>
              <w:bottom w:val="single" w:sz="8" w:space="0" w:color="FFFFFF"/>
            </w:tcBorders>
            <w:shd w:val="clear" w:color="auto" w:fill="4986A0"/>
            <w:tcMar>
              <w:top w:w="85" w:type="dxa"/>
              <w:left w:w="95" w:type="dxa"/>
              <w:bottom w:w="85" w:type="dxa"/>
              <w:right w:w="67" w:type="dxa"/>
            </w:tcMar>
            <w:hideMark/>
          </w:tcPr>
          <w:p w14:paraId="1337B936" w14:textId="77777777" w:rsidR="00AD73FA" w:rsidRPr="00AD73FA" w:rsidRDefault="00AD73FA" w:rsidP="000C1FF0">
            <w:pPr>
              <w:spacing w:after="120" w:line="240" w:lineRule="auto"/>
              <w:rPr>
                <w:color w:val="000000"/>
                <w:sz w:val="20"/>
                <w:szCs w:val="20"/>
              </w:rPr>
            </w:pPr>
            <w:r w:rsidRPr="00AD73FA">
              <w:rPr>
                <w:b/>
                <w:bCs/>
                <w:color w:val="FFFFFF"/>
                <w:sz w:val="20"/>
                <w:szCs w:val="20"/>
              </w:rPr>
              <w:t>Description</w:t>
            </w:r>
          </w:p>
        </w:tc>
        <w:tc>
          <w:tcPr>
            <w:tcW w:w="1715" w:type="dxa"/>
            <w:tcBorders>
              <w:bottom w:val="single" w:sz="8" w:space="0" w:color="FFFFFF"/>
            </w:tcBorders>
            <w:shd w:val="clear" w:color="auto" w:fill="4986A0"/>
            <w:tcMar>
              <w:top w:w="85" w:type="dxa"/>
              <w:left w:w="95" w:type="dxa"/>
              <w:bottom w:w="85" w:type="dxa"/>
              <w:right w:w="67" w:type="dxa"/>
            </w:tcMar>
            <w:hideMark/>
          </w:tcPr>
          <w:p w14:paraId="5BC8FE12" w14:textId="77777777" w:rsidR="00AD73FA" w:rsidRPr="00AD73FA" w:rsidRDefault="00AD73FA" w:rsidP="000C1FF0">
            <w:pPr>
              <w:spacing w:after="120" w:line="240" w:lineRule="auto"/>
              <w:rPr>
                <w:color w:val="000000"/>
                <w:sz w:val="20"/>
                <w:szCs w:val="20"/>
              </w:rPr>
            </w:pPr>
            <w:r w:rsidRPr="00AD73FA">
              <w:rPr>
                <w:b/>
                <w:bCs/>
                <w:color w:val="FFFFFF"/>
                <w:sz w:val="20"/>
                <w:szCs w:val="20"/>
              </w:rPr>
              <w:t>Weighted score</w:t>
            </w:r>
          </w:p>
        </w:tc>
      </w:tr>
      <w:tr w:rsidR="00AD73FA" w:rsidRPr="00800122" w14:paraId="78099CBF" w14:textId="77777777" w:rsidTr="00F46BBA">
        <w:trPr>
          <w:trHeight w:val="358"/>
        </w:trPr>
        <w:tc>
          <w:tcPr>
            <w:tcW w:w="1011"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34322CAC" w14:textId="77777777" w:rsidR="00AD73FA" w:rsidRPr="00800122" w:rsidRDefault="00AD73FA" w:rsidP="000C1FF0">
            <w:pPr>
              <w:spacing w:after="120" w:line="240" w:lineRule="auto"/>
              <w:rPr>
                <w:color w:val="000000"/>
                <w:sz w:val="20"/>
                <w:szCs w:val="20"/>
              </w:rPr>
            </w:pPr>
          </w:p>
        </w:tc>
        <w:tc>
          <w:tcPr>
            <w:tcW w:w="6912"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03E88699" w14:textId="77777777" w:rsidR="00AD73FA" w:rsidRPr="00800122" w:rsidRDefault="00AD73FA" w:rsidP="000C1FF0">
            <w:pPr>
              <w:spacing w:after="120" w:line="240" w:lineRule="auto"/>
              <w:rPr>
                <w:color w:val="000000"/>
                <w:sz w:val="20"/>
                <w:szCs w:val="20"/>
              </w:rPr>
            </w:pPr>
            <w:r w:rsidRPr="00800122">
              <w:rPr>
                <w:color w:val="000000"/>
                <w:sz w:val="20"/>
                <w:szCs w:val="20"/>
              </w:rPr>
              <w:t>Base case ‒ current arrangements</w:t>
            </w:r>
          </w:p>
        </w:tc>
        <w:tc>
          <w:tcPr>
            <w:tcW w:w="1715" w:type="dxa"/>
            <w:tcBorders>
              <w:top w:val="single" w:sz="8" w:space="0" w:color="FFFFFF"/>
              <w:bottom w:val="single" w:sz="8" w:space="0" w:color="FFFFFF"/>
            </w:tcBorders>
            <w:shd w:val="clear" w:color="auto" w:fill="F2F2F2"/>
            <w:tcMar>
              <w:top w:w="85" w:type="dxa"/>
              <w:left w:w="95" w:type="dxa"/>
              <w:bottom w:w="85" w:type="dxa"/>
              <w:right w:w="67" w:type="dxa"/>
            </w:tcMar>
            <w:hideMark/>
          </w:tcPr>
          <w:p w14:paraId="0A805355" w14:textId="77777777" w:rsidR="00AD73FA" w:rsidRPr="00800122" w:rsidRDefault="00AD73FA" w:rsidP="000C1FF0">
            <w:pPr>
              <w:spacing w:after="120" w:line="240" w:lineRule="auto"/>
              <w:jc w:val="center"/>
              <w:rPr>
                <w:color w:val="000000"/>
                <w:sz w:val="20"/>
                <w:szCs w:val="20"/>
              </w:rPr>
            </w:pPr>
            <w:r w:rsidRPr="00800122">
              <w:rPr>
                <w:color w:val="000000"/>
                <w:sz w:val="20"/>
                <w:szCs w:val="20"/>
              </w:rPr>
              <w:t>0.0</w:t>
            </w:r>
          </w:p>
        </w:tc>
      </w:tr>
      <w:tr w:rsidR="00AD73FA" w:rsidRPr="00800122" w14:paraId="56B7E357" w14:textId="77777777" w:rsidTr="00F46BBA">
        <w:trPr>
          <w:trHeight w:val="427"/>
        </w:trPr>
        <w:tc>
          <w:tcPr>
            <w:tcW w:w="1011" w:type="dxa"/>
            <w:tcBorders>
              <w:top w:val="single" w:sz="8" w:space="0" w:color="FFFFFF"/>
            </w:tcBorders>
            <w:shd w:val="clear" w:color="auto" w:fill="FFE8C8" w:themeFill="accent4" w:themeFillTint="33"/>
            <w:tcMar>
              <w:top w:w="85" w:type="dxa"/>
              <w:left w:w="95" w:type="dxa"/>
              <w:bottom w:w="85" w:type="dxa"/>
              <w:right w:w="67" w:type="dxa"/>
            </w:tcMar>
            <w:hideMark/>
          </w:tcPr>
          <w:p w14:paraId="23CF466C" w14:textId="77777777" w:rsidR="00AD73FA" w:rsidRPr="00800122" w:rsidRDefault="00AD73FA" w:rsidP="000C1FF0">
            <w:pPr>
              <w:spacing w:after="120" w:line="240" w:lineRule="auto"/>
              <w:rPr>
                <w:color w:val="000000"/>
                <w:sz w:val="20"/>
                <w:szCs w:val="20"/>
              </w:rPr>
            </w:pPr>
            <w:r w:rsidRPr="00800122">
              <w:rPr>
                <w:color w:val="000000"/>
                <w:sz w:val="20"/>
                <w:szCs w:val="20"/>
              </w:rPr>
              <w:t>G.</w:t>
            </w:r>
            <w:r w:rsidR="00261751">
              <w:rPr>
                <w:color w:val="000000"/>
                <w:sz w:val="20"/>
                <w:szCs w:val="20"/>
              </w:rPr>
              <w:t>1</w:t>
            </w:r>
          </w:p>
        </w:tc>
        <w:tc>
          <w:tcPr>
            <w:tcW w:w="6912" w:type="dxa"/>
            <w:tcBorders>
              <w:top w:val="single" w:sz="8" w:space="0" w:color="FFFFFF"/>
            </w:tcBorders>
            <w:shd w:val="clear" w:color="auto" w:fill="FFE8C8" w:themeFill="accent4" w:themeFillTint="33"/>
            <w:tcMar>
              <w:top w:w="85" w:type="dxa"/>
              <w:left w:w="95" w:type="dxa"/>
              <w:bottom w:w="85" w:type="dxa"/>
              <w:right w:w="67" w:type="dxa"/>
            </w:tcMar>
            <w:hideMark/>
          </w:tcPr>
          <w:p w14:paraId="61CD5A99" w14:textId="77777777" w:rsidR="00AD73FA" w:rsidRPr="00800122" w:rsidRDefault="00AD73FA" w:rsidP="000C1FF0">
            <w:pPr>
              <w:spacing w:after="120" w:line="240" w:lineRule="auto"/>
              <w:rPr>
                <w:color w:val="000000"/>
                <w:sz w:val="20"/>
                <w:szCs w:val="20"/>
              </w:rPr>
            </w:pPr>
            <w:r w:rsidRPr="00800122">
              <w:rPr>
                <w:color w:val="000000"/>
                <w:sz w:val="20"/>
                <w:szCs w:val="20"/>
              </w:rPr>
              <w:t>Include EWOV phone number on front page of bills</w:t>
            </w:r>
          </w:p>
        </w:tc>
        <w:tc>
          <w:tcPr>
            <w:tcW w:w="1715" w:type="dxa"/>
            <w:tcBorders>
              <w:top w:val="single" w:sz="8" w:space="0" w:color="FFFFFF"/>
            </w:tcBorders>
            <w:shd w:val="clear" w:color="auto" w:fill="FFE8C8" w:themeFill="accent4" w:themeFillTint="33"/>
            <w:tcMar>
              <w:top w:w="85" w:type="dxa"/>
              <w:left w:w="95" w:type="dxa"/>
              <w:bottom w:w="85" w:type="dxa"/>
              <w:right w:w="67" w:type="dxa"/>
            </w:tcMar>
            <w:hideMark/>
          </w:tcPr>
          <w:p w14:paraId="1E1996B8" w14:textId="1AB0AD4E" w:rsidR="00AD73FA" w:rsidRPr="00800122" w:rsidRDefault="008E4F06" w:rsidP="000C1FF0">
            <w:pPr>
              <w:spacing w:after="120" w:line="240" w:lineRule="auto"/>
              <w:jc w:val="center"/>
              <w:rPr>
                <w:color w:val="000000"/>
                <w:sz w:val="20"/>
                <w:szCs w:val="20"/>
              </w:rPr>
            </w:pPr>
            <w:r>
              <w:rPr>
                <w:b/>
                <w:color w:val="000000"/>
                <w:sz w:val="20"/>
                <w:szCs w:val="20"/>
              </w:rPr>
              <w:t>1.2</w:t>
            </w:r>
            <w:r w:rsidR="004F5D51">
              <w:rPr>
                <w:b/>
                <w:color w:val="000000"/>
                <w:sz w:val="20"/>
                <w:szCs w:val="20"/>
              </w:rPr>
              <w:t>9</w:t>
            </w:r>
            <w:r w:rsidR="00C655ED">
              <w:rPr>
                <w:b/>
                <w:bCs/>
                <w:color w:val="000000"/>
                <w:sz w:val="20"/>
                <w:szCs w:val="20"/>
              </w:rPr>
              <w:t xml:space="preserve"> (preferred)</w:t>
            </w:r>
          </w:p>
        </w:tc>
      </w:tr>
    </w:tbl>
    <w:p w14:paraId="3349111E" w14:textId="77777777" w:rsidR="004F6D9F" w:rsidRDefault="004F6D9F" w:rsidP="004F6D9F">
      <w:pPr>
        <w:sectPr w:rsidR="004F6D9F" w:rsidSect="00AD51BD">
          <w:footerReference w:type="default" r:id="rId58"/>
          <w:type w:val="continuous"/>
          <w:pgSz w:w="11906" w:h="16838" w:code="9"/>
          <w:pgMar w:top="1134" w:right="1134" w:bottom="1134" w:left="1134" w:header="709" w:footer="692" w:gutter="0"/>
          <w:cols w:space="708"/>
          <w:docGrid w:linePitch="360"/>
        </w:sectPr>
      </w:pPr>
    </w:p>
    <w:p w14:paraId="1B01C775" w14:textId="7C834C44" w:rsidR="007F21F5" w:rsidRPr="00983891" w:rsidRDefault="007C68CA" w:rsidP="00632B34">
      <w:pPr>
        <w:pStyle w:val="Heading1numbered"/>
      </w:pPr>
      <w:bookmarkStart w:id="330" w:name="_Toc196294894"/>
      <w:bookmarkStart w:id="331" w:name="_Toc196989473"/>
      <w:bookmarkStart w:id="332" w:name="_Toc196998697"/>
      <w:bookmarkStart w:id="333" w:name="_Toc197355647"/>
      <w:bookmarkStart w:id="334" w:name="_Toc197355741"/>
      <w:bookmarkStart w:id="335" w:name="_Toc196294895"/>
      <w:bookmarkStart w:id="336" w:name="_Toc196989474"/>
      <w:bookmarkStart w:id="337" w:name="_Toc196998698"/>
      <w:bookmarkStart w:id="338" w:name="_Toc197355648"/>
      <w:bookmarkStart w:id="339" w:name="_Toc197355742"/>
      <w:bookmarkStart w:id="340" w:name="_Toc197959476"/>
      <w:bookmarkEnd w:id="330"/>
      <w:bookmarkEnd w:id="331"/>
      <w:bookmarkEnd w:id="332"/>
      <w:bookmarkEnd w:id="333"/>
      <w:bookmarkEnd w:id="334"/>
      <w:bookmarkEnd w:id="335"/>
      <w:bookmarkEnd w:id="336"/>
      <w:bookmarkEnd w:id="337"/>
      <w:bookmarkEnd w:id="338"/>
      <w:bookmarkEnd w:id="339"/>
      <w:r>
        <w:lastRenderedPageBreak/>
        <w:t>I</w:t>
      </w:r>
      <w:r w:rsidR="007F21F5" w:rsidRPr="00983891">
        <w:t xml:space="preserve">mpact of </w:t>
      </w:r>
      <w:r w:rsidR="00632B34">
        <w:t>preferred options</w:t>
      </w:r>
      <w:bookmarkEnd w:id="340"/>
    </w:p>
    <w:p w14:paraId="2E4D87CE" w14:textId="2D4B31D2" w:rsidR="00AA56FF" w:rsidRDefault="00AD277D" w:rsidP="00AA56FF">
      <w:pPr>
        <w:pStyle w:val="Heading2numbered"/>
      </w:pPr>
      <w:bookmarkStart w:id="341" w:name="_Toc197959477"/>
      <w:r>
        <w:t xml:space="preserve">Summary </w:t>
      </w:r>
      <w:r w:rsidR="00AA56FF">
        <w:t>of preferred options</w:t>
      </w:r>
      <w:bookmarkEnd w:id="341"/>
    </w:p>
    <w:p w14:paraId="357D586C" w14:textId="12968BBE" w:rsidR="00AA56FF" w:rsidRDefault="00AD277D" w:rsidP="00AA56FF">
      <w:r>
        <w:t>We evaluated all options using a multi-criteria assessment (</w:t>
      </w:r>
      <w:r w:rsidR="00AA56FF">
        <w:t>MCA</w:t>
      </w:r>
      <w:r>
        <w:t>) tool, with our preferred option having the highest score</w:t>
      </w:r>
      <w:r w:rsidR="00AA56FF">
        <w:t xml:space="preserve">. </w:t>
      </w:r>
      <w:r w:rsidR="00DB076D">
        <w:t>This is summarised in the table below.</w:t>
      </w:r>
    </w:p>
    <w:p w14:paraId="24B5FE61" w14:textId="57032472" w:rsidR="00AA56FF" w:rsidRDefault="00AA56FF" w:rsidP="00AA56FF">
      <w:r>
        <w:t xml:space="preserve">The proposed changes will </w:t>
      </w:r>
      <w:r w:rsidR="00F84B81">
        <w:t xml:space="preserve">help customers pay less for energy and enhance </w:t>
      </w:r>
      <w:r w:rsidR="00F851E7">
        <w:t xml:space="preserve">consumer </w:t>
      </w:r>
      <w:r w:rsidR="00F84B81">
        <w:t>protections.</w:t>
      </w:r>
      <w:r>
        <w:t xml:space="preserve"> Some customers will directly benefit from </w:t>
      </w:r>
      <w:r w:rsidR="0080715D">
        <w:t>moving</w:t>
      </w:r>
      <w:r w:rsidR="005E3A66">
        <w:t xml:space="preserve"> </w:t>
      </w:r>
      <w:r>
        <w:t>to lower</w:t>
      </w:r>
      <w:r w:rsidR="00260974">
        <w:t>-</w:t>
      </w:r>
      <w:r>
        <w:t xml:space="preserve">priced energy </w:t>
      </w:r>
      <w:r w:rsidR="00260974">
        <w:t>plans</w:t>
      </w:r>
      <w:r>
        <w:t xml:space="preserve">. Other customers </w:t>
      </w:r>
      <w:r w:rsidR="00EE084B">
        <w:t xml:space="preserve">will be better </w:t>
      </w:r>
      <w:r>
        <w:t xml:space="preserve">supported to switch to </w:t>
      </w:r>
      <w:r w:rsidR="00EE084B">
        <w:t xml:space="preserve">the </w:t>
      </w:r>
      <w:r>
        <w:t xml:space="preserve">best offer, </w:t>
      </w:r>
      <w:r w:rsidR="00EE084B">
        <w:t xml:space="preserve">to access </w:t>
      </w:r>
      <w:r>
        <w:t>concessions</w:t>
      </w:r>
      <w:r w:rsidR="003C5B1E">
        <w:t xml:space="preserve"> or </w:t>
      </w:r>
      <w:r w:rsidR="00BC026E">
        <w:t>independent</w:t>
      </w:r>
      <w:r w:rsidR="003C5B1E">
        <w:t xml:space="preserve"> dispute resolution services</w:t>
      </w:r>
      <w:r>
        <w:t xml:space="preserve">. </w:t>
      </w:r>
    </w:p>
    <w:p w14:paraId="347BA602" w14:textId="5FF01F62" w:rsidR="00AA56FF" w:rsidRDefault="00EE084B" w:rsidP="00AA56FF">
      <w:r>
        <w:t xml:space="preserve">The </w:t>
      </w:r>
      <w:r w:rsidR="00B76121">
        <w:t xml:space="preserve">proposed changes will </w:t>
      </w:r>
      <w:r w:rsidR="00AA56FF">
        <w:t xml:space="preserve">also impact energy retailers. </w:t>
      </w:r>
      <w:r w:rsidR="00AC5E6A">
        <w:t>Retailers will incur implementation costs</w:t>
      </w:r>
      <w:r w:rsidR="00BD0AF8">
        <w:t xml:space="preserve">. </w:t>
      </w:r>
      <w:r w:rsidR="003A43FF">
        <w:t>R</w:t>
      </w:r>
      <w:r w:rsidR="00AA56FF">
        <w:t xml:space="preserve">etailers </w:t>
      </w:r>
      <w:r w:rsidR="003A43FF">
        <w:t>might</w:t>
      </w:r>
      <w:r w:rsidR="00AA56FF">
        <w:t xml:space="preserve"> </w:t>
      </w:r>
      <w:r w:rsidR="00AC5E6A">
        <w:t xml:space="preserve">also </w:t>
      </w:r>
      <w:r w:rsidR="00AA56FF">
        <w:t>face reduced revenue as customers move to more affordable plans</w:t>
      </w:r>
      <w:r w:rsidR="00751E7D">
        <w:t xml:space="preserve"> and may seek to recover this from other customers</w:t>
      </w:r>
      <w:r w:rsidR="00B76121">
        <w:t xml:space="preserve">. </w:t>
      </w:r>
      <w:r w:rsidR="00AA56FF">
        <w:t xml:space="preserve">In economic terms, this is known as a ‘transfer’ </w:t>
      </w:r>
      <w:r w:rsidR="0038079F">
        <w:t>and doesn’</w:t>
      </w:r>
      <w:r w:rsidR="00F56D4F">
        <w:t>t</w:t>
      </w:r>
      <w:r w:rsidR="0038079F">
        <w:t xml:space="preserve"> result in </w:t>
      </w:r>
      <w:r w:rsidR="00F56D4F">
        <w:t>overall</w:t>
      </w:r>
      <w:r w:rsidR="00AA56FF">
        <w:t xml:space="preserve"> net costs and benefit</w:t>
      </w:r>
      <w:r w:rsidR="00CE5133">
        <w:t>s</w:t>
      </w:r>
      <w:r w:rsidR="00AA56FF">
        <w:t xml:space="preserve">. </w:t>
      </w:r>
      <w:r w:rsidR="000E055A">
        <w:t xml:space="preserve">Customers who </w:t>
      </w:r>
      <w:r w:rsidR="00986D5A">
        <w:t>may be paying higher prices (a ‘loyalty penalty’) will benefit from</w:t>
      </w:r>
      <w:r w:rsidR="00AA56FF">
        <w:t xml:space="preserve"> </w:t>
      </w:r>
      <w:r w:rsidR="00C04011">
        <w:t xml:space="preserve">retailers rebalancing </w:t>
      </w:r>
      <w:r w:rsidR="001C245F">
        <w:t xml:space="preserve">their </w:t>
      </w:r>
      <w:r w:rsidR="007A0842">
        <w:t>revenue</w:t>
      </w:r>
      <w:r w:rsidR="001C245F">
        <w:t>. I</w:t>
      </w:r>
      <w:r w:rsidR="008A254E">
        <w:t>n this context, it is also</w:t>
      </w:r>
      <w:r w:rsidR="00BF7A51">
        <w:t xml:space="preserve"> important to recognise that </w:t>
      </w:r>
      <w:r w:rsidR="00DB076D">
        <w:t xml:space="preserve">the benefits to </w:t>
      </w:r>
      <w:r w:rsidR="00AA56FF">
        <w:t xml:space="preserve">consumers </w:t>
      </w:r>
      <w:r w:rsidR="00DB076D">
        <w:t xml:space="preserve">experiencing vulnerability </w:t>
      </w:r>
      <w:r w:rsidR="00D92F60">
        <w:t xml:space="preserve">are </w:t>
      </w:r>
      <w:r w:rsidR="00AA56FF">
        <w:t xml:space="preserve">worth more than an extra dollar to </w:t>
      </w:r>
      <w:r w:rsidR="00DB076D">
        <w:t>energy retailers</w:t>
      </w:r>
      <w:r w:rsidR="0073231F">
        <w:t xml:space="preserve"> as explained in section 4.5</w:t>
      </w:r>
      <w:r w:rsidR="00AA56FF">
        <w:t>.</w:t>
      </w:r>
      <w:r w:rsidR="00385517">
        <w:t>2</w:t>
      </w:r>
      <w:r w:rsidR="00AA56FF">
        <w:t>.</w:t>
      </w:r>
    </w:p>
    <w:p w14:paraId="4CF0CE1B" w14:textId="19F0E552" w:rsidR="00AA56FF" w:rsidRPr="007323DD" w:rsidRDefault="00DB076D" w:rsidP="00AA56FF">
      <w:r>
        <w:t>Therefore</w:t>
      </w:r>
      <w:r w:rsidR="00AA56FF">
        <w:t xml:space="preserve">, we </w:t>
      </w:r>
      <w:r w:rsidR="00D92F60">
        <w:t xml:space="preserve">consider </w:t>
      </w:r>
      <w:r w:rsidR="00AA56FF">
        <w:t>that the overall benefits of the reforms outweigh the costs</w:t>
      </w:r>
      <w:r>
        <w:t>.</w:t>
      </w:r>
    </w:p>
    <w:p w14:paraId="74F9BF1C" w14:textId="5437B01C" w:rsidR="00AA56FF" w:rsidRDefault="00AA56FF" w:rsidP="00993F18">
      <w:pPr>
        <w:pStyle w:val="Figure-Table-BoxSubtitle"/>
        <w:ind w:left="0"/>
      </w:pPr>
      <w:r w:rsidRPr="00993F18">
        <w:rPr>
          <w:rStyle w:val="Figure-Table-BoxHeadingChar"/>
        </w:rPr>
        <w:t>Table 3</w:t>
      </w:r>
      <w:r w:rsidR="005F731C" w:rsidRPr="00993F18">
        <w:rPr>
          <w:rStyle w:val="Figure-Table-BoxHeadingChar"/>
        </w:rPr>
        <w:t>5</w:t>
      </w:r>
      <w:r w:rsidRPr="00993F18">
        <w:rPr>
          <w:rStyle w:val="Figure-Table-BoxHeadingChar"/>
        </w:rPr>
        <w:t>:</w:t>
      </w:r>
      <w:r w:rsidRPr="00993F18">
        <w:t xml:space="preserve"> Summary of MCA assessment and preferred options</w:t>
      </w:r>
    </w:p>
    <w:tbl>
      <w:tblPr>
        <w:tblStyle w:val="TableGrid"/>
        <w:tblW w:w="9639" w:type="dxa"/>
        <w:tblLook w:val="04A0" w:firstRow="1" w:lastRow="0" w:firstColumn="1" w:lastColumn="0" w:noHBand="0" w:noVBand="1"/>
      </w:tblPr>
      <w:tblGrid>
        <w:gridCol w:w="2268"/>
        <w:gridCol w:w="5670"/>
        <w:gridCol w:w="1701"/>
      </w:tblGrid>
      <w:tr w:rsidR="00AA56FF" w14:paraId="58C0880B" w14:textId="77777777">
        <w:trPr>
          <w:cnfStyle w:val="100000000000" w:firstRow="1" w:lastRow="0" w:firstColumn="0" w:lastColumn="0" w:oddVBand="0" w:evenVBand="0" w:oddHBand="0" w:evenHBand="0" w:firstRowFirstColumn="0" w:firstRowLastColumn="0" w:lastRowFirstColumn="0" w:lastRowLastColumn="0"/>
        </w:trPr>
        <w:tc>
          <w:tcPr>
            <w:tcW w:w="2268" w:type="dxa"/>
          </w:tcPr>
          <w:p w14:paraId="550FC53E" w14:textId="77777777" w:rsidR="00AA56FF" w:rsidRPr="00FC5634" w:rsidRDefault="00AA56FF">
            <w:pPr>
              <w:spacing w:before="0" w:after="120" w:line="240" w:lineRule="auto"/>
              <w:rPr>
                <w:sz w:val="20"/>
                <w:szCs w:val="20"/>
              </w:rPr>
            </w:pPr>
            <w:r w:rsidRPr="00FC5634">
              <w:rPr>
                <w:sz w:val="20"/>
                <w:szCs w:val="20"/>
              </w:rPr>
              <w:t>Reform topic</w:t>
            </w:r>
          </w:p>
        </w:tc>
        <w:tc>
          <w:tcPr>
            <w:tcW w:w="5670" w:type="dxa"/>
          </w:tcPr>
          <w:p w14:paraId="590EC9D1" w14:textId="499A31C9" w:rsidR="00AA56FF" w:rsidRPr="00FC5634" w:rsidRDefault="00AA56FF">
            <w:pPr>
              <w:spacing w:before="0" w:after="120" w:line="240" w:lineRule="auto"/>
              <w:rPr>
                <w:sz w:val="20"/>
                <w:szCs w:val="20"/>
              </w:rPr>
            </w:pPr>
            <w:r w:rsidRPr="00FC5634">
              <w:rPr>
                <w:sz w:val="20"/>
                <w:szCs w:val="20"/>
              </w:rPr>
              <w:t xml:space="preserve">Preferred option </w:t>
            </w:r>
          </w:p>
        </w:tc>
        <w:tc>
          <w:tcPr>
            <w:tcW w:w="1701" w:type="dxa"/>
          </w:tcPr>
          <w:p w14:paraId="27613F27" w14:textId="77777777" w:rsidR="00AA56FF" w:rsidRDefault="00AA56FF">
            <w:pPr>
              <w:spacing w:before="0" w:after="120" w:line="240" w:lineRule="auto"/>
              <w:jc w:val="center"/>
              <w:rPr>
                <w:sz w:val="20"/>
                <w:szCs w:val="20"/>
              </w:rPr>
            </w:pPr>
            <w:r>
              <w:rPr>
                <w:sz w:val="20"/>
                <w:szCs w:val="20"/>
              </w:rPr>
              <w:t>Weighted score</w:t>
            </w:r>
          </w:p>
        </w:tc>
      </w:tr>
      <w:tr w:rsidR="00AA56FF" w:rsidRPr="00AB2DDB" w14:paraId="292028E0" w14:textId="77777777">
        <w:trPr>
          <w:cnfStyle w:val="000000100000" w:firstRow="0" w:lastRow="0" w:firstColumn="0" w:lastColumn="0" w:oddVBand="0" w:evenVBand="0" w:oddHBand="1" w:evenHBand="0" w:firstRowFirstColumn="0" w:firstRowLastColumn="0" w:lastRowFirstColumn="0" w:lastRowLastColumn="0"/>
        </w:trPr>
        <w:tc>
          <w:tcPr>
            <w:tcW w:w="2268" w:type="dxa"/>
            <w:vMerge w:val="restart"/>
            <w:shd w:val="clear" w:color="auto" w:fill="E3E3E4" w:themeFill="background2" w:themeFillTint="33"/>
          </w:tcPr>
          <w:p w14:paraId="6D2FF5C5" w14:textId="77777777" w:rsidR="00AA56FF" w:rsidRPr="00FC5634" w:rsidRDefault="00AA56FF" w:rsidP="00B43F3C">
            <w:pPr>
              <w:numPr>
                <w:ilvl w:val="0"/>
                <w:numId w:val="21"/>
              </w:numPr>
              <w:spacing w:before="0" w:after="120" w:line="240" w:lineRule="auto"/>
              <w:ind w:left="482"/>
              <w:rPr>
                <w:b/>
                <w:sz w:val="20"/>
                <w:szCs w:val="20"/>
              </w:rPr>
            </w:pPr>
            <w:r w:rsidRPr="00FC5634">
              <w:rPr>
                <w:b/>
                <w:sz w:val="20"/>
                <w:szCs w:val="20"/>
              </w:rPr>
              <w:t xml:space="preserve">Automatic best offer for customers experiencing payment difficulty </w:t>
            </w:r>
          </w:p>
        </w:tc>
        <w:tc>
          <w:tcPr>
            <w:tcW w:w="5670" w:type="dxa"/>
            <w:shd w:val="clear" w:color="auto" w:fill="E3E3E4" w:themeFill="background2" w:themeFillTint="33"/>
          </w:tcPr>
          <w:p w14:paraId="63F4765C" w14:textId="2763FC76" w:rsidR="00AA56FF" w:rsidRPr="00FC5634" w:rsidRDefault="00AA56FF">
            <w:pPr>
              <w:spacing w:before="0" w:after="120" w:line="240" w:lineRule="auto"/>
              <w:rPr>
                <w:b/>
                <w:i/>
                <w:sz w:val="20"/>
                <w:szCs w:val="20"/>
              </w:rPr>
            </w:pPr>
            <w:r w:rsidRPr="00FC5634">
              <w:rPr>
                <w:b/>
                <w:i/>
                <w:sz w:val="20"/>
                <w:szCs w:val="20"/>
              </w:rPr>
              <w:t xml:space="preserve">Eligibility – </w:t>
            </w:r>
            <w:r w:rsidRPr="00FC5634">
              <w:rPr>
                <w:b/>
                <w:sz w:val="20"/>
                <w:szCs w:val="20"/>
              </w:rPr>
              <w:t xml:space="preserve">Option AA.2 </w:t>
            </w:r>
            <w:r w:rsidRPr="00FC5634">
              <w:rPr>
                <w:bCs/>
                <w:sz w:val="20"/>
                <w:szCs w:val="20"/>
              </w:rPr>
              <w:t>–</w:t>
            </w:r>
            <w:r w:rsidRPr="00FC5634">
              <w:rPr>
                <w:sz w:val="20"/>
                <w:szCs w:val="20"/>
              </w:rPr>
              <w:t xml:space="preserve"> </w:t>
            </w:r>
            <w:r w:rsidR="00B75E98">
              <w:rPr>
                <w:sz w:val="20"/>
                <w:szCs w:val="20"/>
              </w:rPr>
              <w:t>C</w:t>
            </w:r>
            <w:r w:rsidRPr="00FC5634">
              <w:rPr>
                <w:sz w:val="20"/>
                <w:szCs w:val="20"/>
              </w:rPr>
              <w:t xml:space="preserve">ustomers receiving tailored assistance and customers in arrears </w:t>
            </w:r>
            <w:r w:rsidR="00B75E98">
              <w:rPr>
                <w:sz w:val="20"/>
                <w:szCs w:val="20"/>
              </w:rPr>
              <w:t xml:space="preserve">for </w:t>
            </w:r>
            <w:r w:rsidR="00F91962">
              <w:rPr>
                <w:sz w:val="20"/>
                <w:szCs w:val="20"/>
              </w:rPr>
              <w:t>at least</w:t>
            </w:r>
            <w:r w:rsidR="00B75E98">
              <w:rPr>
                <w:sz w:val="20"/>
                <w:szCs w:val="20"/>
              </w:rPr>
              <w:t xml:space="preserve"> </w:t>
            </w:r>
            <w:r w:rsidR="00612800">
              <w:rPr>
                <w:sz w:val="20"/>
                <w:szCs w:val="20"/>
              </w:rPr>
              <w:t>three</w:t>
            </w:r>
            <w:r w:rsidR="00B75E98">
              <w:rPr>
                <w:sz w:val="20"/>
                <w:szCs w:val="20"/>
              </w:rPr>
              <w:t xml:space="preserve"> months</w:t>
            </w:r>
            <w:r w:rsidR="00612800">
              <w:rPr>
                <w:sz w:val="20"/>
                <w:szCs w:val="20"/>
              </w:rPr>
              <w:t xml:space="preserve"> </w:t>
            </w:r>
            <w:r w:rsidR="00B75E98">
              <w:rPr>
                <w:sz w:val="20"/>
                <w:szCs w:val="20"/>
              </w:rPr>
              <w:t xml:space="preserve">and </w:t>
            </w:r>
            <w:r w:rsidR="009C58E6">
              <w:rPr>
                <w:sz w:val="20"/>
                <w:szCs w:val="20"/>
              </w:rPr>
              <w:t>with arrears of</w:t>
            </w:r>
            <w:r w:rsidRPr="00FC5634">
              <w:rPr>
                <w:sz w:val="20"/>
                <w:szCs w:val="20"/>
              </w:rPr>
              <w:t xml:space="preserve"> </w:t>
            </w:r>
            <w:r>
              <w:rPr>
                <w:sz w:val="20"/>
                <w:szCs w:val="20"/>
              </w:rPr>
              <w:t>$1,000</w:t>
            </w:r>
            <w:r w:rsidR="009C58E6">
              <w:rPr>
                <w:sz w:val="20"/>
                <w:szCs w:val="20"/>
              </w:rPr>
              <w:t xml:space="preserve"> or more</w:t>
            </w:r>
            <w:r w:rsidR="00B75E98">
              <w:rPr>
                <w:sz w:val="20"/>
                <w:szCs w:val="20"/>
              </w:rPr>
              <w:t>.</w:t>
            </w:r>
          </w:p>
        </w:tc>
        <w:tc>
          <w:tcPr>
            <w:tcW w:w="1701" w:type="dxa"/>
            <w:vMerge w:val="restart"/>
            <w:shd w:val="clear" w:color="auto" w:fill="E3E3E4" w:themeFill="background2" w:themeFillTint="33"/>
            <w:vAlign w:val="center"/>
          </w:tcPr>
          <w:p w14:paraId="346D8190" w14:textId="06F55791" w:rsidR="00AA56FF" w:rsidRDefault="0003239D">
            <w:pPr>
              <w:spacing w:before="0" w:after="120" w:line="240" w:lineRule="auto"/>
              <w:jc w:val="center"/>
              <w:rPr>
                <w:sz w:val="20"/>
                <w:szCs w:val="20"/>
              </w:rPr>
            </w:pPr>
            <w:r>
              <w:rPr>
                <w:sz w:val="20"/>
                <w:szCs w:val="20"/>
              </w:rPr>
              <w:t>1.</w:t>
            </w:r>
            <w:r w:rsidR="004E2CB4">
              <w:rPr>
                <w:sz w:val="20"/>
                <w:szCs w:val="20"/>
              </w:rPr>
              <w:t>02</w:t>
            </w:r>
            <w:r w:rsidR="00151F3F">
              <w:rPr>
                <w:sz w:val="20"/>
                <w:szCs w:val="20"/>
              </w:rPr>
              <w:t>5</w:t>
            </w:r>
          </w:p>
          <w:p w14:paraId="6810387E" w14:textId="77777777" w:rsidR="00AA56FF" w:rsidRDefault="00AA56FF">
            <w:pPr>
              <w:spacing w:before="0" w:after="120" w:line="240" w:lineRule="auto"/>
              <w:jc w:val="center"/>
              <w:rPr>
                <w:sz w:val="20"/>
                <w:szCs w:val="20"/>
              </w:rPr>
            </w:pPr>
          </w:p>
          <w:p w14:paraId="5154290B" w14:textId="77777777" w:rsidR="00AA56FF" w:rsidRDefault="00AA56FF">
            <w:pPr>
              <w:spacing w:before="0" w:after="120" w:line="240" w:lineRule="auto"/>
              <w:jc w:val="center"/>
              <w:rPr>
                <w:sz w:val="20"/>
                <w:szCs w:val="20"/>
              </w:rPr>
            </w:pPr>
          </w:p>
          <w:p w14:paraId="24B75AB9" w14:textId="45BDB45F" w:rsidR="00AA56FF" w:rsidRDefault="0087317E">
            <w:pPr>
              <w:spacing w:before="0" w:after="120" w:line="240" w:lineRule="auto"/>
              <w:jc w:val="center"/>
              <w:rPr>
                <w:bCs/>
                <w:iCs/>
                <w:sz w:val="20"/>
                <w:szCs w:val="20"/>
              </w:rPr>
            </w:pPr>
            <w:r>
              <w:rPr>
                <w:sz w:val="20"/>
                <w:szCs w:val="20"/>
              </w:rPr>
              <w:t>0</w:t>
            </w:r>
            <w:r w:rsidR="00C83E92">
              <w:rPr>
                <w:sz w:val="20"/>
                <w:szCs w:val="20"/>
              </w:rPr>
              <w:t>.</w:t>
            </w:r>
            <w:r>
              <w:rPr>
                <w:sz w:val="20"/>
                <w:szCs w:val="20"/>
              </w:rPr>
              <w:t>7</w:t>
            </w:r>
          </w:p>
        </w:tc>
      </w:tr>
      <w:tr w:rsidR="00AA56FF" w:rsidRPr="00FC5634" w14:paraId="3AB82EC1" w14:textId="77777777">
        <w:trPr>
          <w:cnfStyle w:val="000000010000" w:firstRow="0" w:lastRow="0" w:firstColumn="0" w:lastColumn="0" w:oddVBand="0" w:evenVBand="0" w:oddHBand="0" w:evenHBand="1" w:firstRowFirstColumn="0" w:firstRowLastColumn="0" w:lastRowFirstColumn="0" w:lastRowLastColumn="0"/>
        </w:trPr>
        <w:tc>
          <w:tcPr>
            <w:tcW w:w="2268" w:type="dxa"/>
            <w:vMerge/>
          </w:tcPr>
          <w:p w14:paraId="51CCDFA8" w14:textId="77777777" w:rsidR="00AA56FF" w:rsidRPr="00FC5634" w:rsidRDefault="00AA56FF">
            <w:pPr>
              <w:spacing w:before="0" w:after="120" w:line="240" w:lineRule="auto"/>
              <w:ind w:left="482"/>
              <w:rPr>
                <w:sz w:val="20"/>
                <w:szCs w:val="20"/>
              </w:rPr>
            </w:pPr>
          </w:p>
        </w:tc>
        <w:tc>
          <w:tcPr>
            <w:tcW w:w="5670" w:type="dxa"/>
          </w:tcPr>
          <w:p w14:paraId="3BAD1868" w14:textId="19BD6DC4" w:rsidR="00AA56FF" w:rsidRPr="00FC5634" w:rsidRDefault="00AA56FF">
            <w:pPr>
              <w:spacing w:before="0" w:after="120" w:line="240" w:lineRule="auto"/>
              <w:rPr>
                <w:b/>
                <w:i/>
                <w:sz w:val="20"/>
                <w:szCs w:val="20"/>
              </w:rPr>
            </w:pPr>
            <w:r w:rsidRPr="00FC5634">
              <w:rPr>
                <w:b/>
                <w:i/>
                <w:sz w:val="20"/>
                <w:szCs w:val="20"/>
              </w:rPr>
              <w:t xml:space="preserve">Implementation </w:t>
            </w:r>
            <w:r w:rsidR="008815E7">
              <w:rPr>
                <w:rFonts w:cstheme="minorHAnsi"/>
                <w:b/>
                <w:i/>
                <w:sz w:val="20"/>
                <w:szCs w:val="20"/>
              </w:rPr>
              <w:t>–</w:t>
            </w:r>
            <w:r w:rsidRPr="00FC5634">
              <w:rPr>
                <w:b/>
                <w:i/>
                <w:sz w:val="20"/>
                <w:szCs w:val="20"/>
              </w:rPr>
              <w:t xml:space="preserve"> </w:t>
            </w:r>
            <w:r w:rsidRPr="00FC5634">
              <w:rPr>
                <w:b/>
                <w:sz w:val="20"/>
                <w:szCs w:val="20"/>
              </w:rPr>
              <w:t xml:space="preserve">Option A.1 </w:t>
            </w:r>
            <w:r w:rsidRPr="00FC5634">
              <w:rPr>
                <w:sz w:val="20"/>
                <w:szCs w:val="20"/>
              </w:rPr>
              <w:t>–</w:t>
            </w:r>
            <w:r w:rsidRPr="00FC5634">
              <w:rPr>
                <w:b/>
                <w:i/>
                <w:sz w:val="20"/>
                <w:szCs w:val="20"/>
              </w:rPr>
              <w:t xml:space="preserve"> </w:t>
            </w:r>
            <w:r w:rsidRPr="00FC5634">
              <w:rPr>
                <w:sz w:val="20"/>
                <w:szCs w:val="20"/>
              </w:rPr>
              <w:t xml:space="preserve">Automatic switch to best offer for all customers experiencing payment difficulty who meet the chosen eligibility </w:t>
            </w:r>
            <w:r w:rsidRPr="00FC5634">
              <w:rPr>
                <w:bCs/>
                <w:iCs/>
                <w:sz w:val="20"/>
                <w:szCs w:val="20"/>
              </w:rPr>
              <w:t>criteria</w:t>
            </w:r>
            <w:r w:rsidR="00B75E98">
              <w:rPr>
                <w:bCs/>
                <w:iCs/>
                <w:sz w:val="20"/>
                <w:szCs w:val="20"/>
              </w:rPr>
              <w:t>.</w:t>
            </w:r>
          </w:p>
        </w:tc>
        <w:tc>
          <w:tcPr>
            <w:tcW w:w="1701" w:type="dxa"/>
            <w:vMerge/>
            <w:vAlign w:val="center"/>
          </w:tcPr>
          <w:p w14:paraId="7A8E2897" w14:textId="77777777" w:rsidR="00AA56FF" w:rsidRPr="00FC5634" w:rsidRDefault="00AA56FF">
            <w:pPr>
              <w:spacing w:before="0" w:after="120" w:line="240" w:lineRule="auto"/>
              <w:jc w:val="center"/>
              <w:rPr>
                <w:b/>
                <w:i/>
                <w:sz w:val="20"/>
                <w:szCs w:val="20"/>
              </w:rPr>
            </w:pPr>
          </w:p>
        </w:tc>
      </w:tr>
      <w:tr w:rsidR="00AA56FF" w:rsidRPr="0070788C" w14:paraId="359F1D31" w14:textId="77777777">
        <w:trPr>
          <w:cnfStyle w:val="000000100000" w:firstRow="0" w:lastRow="0" w:firstColumn="0" w:lastColumn="0" w:oddVBand="0" w:evenVBand="0" w:oddHBand="1" w:evenHBand="0" w:firstRowFirstColumn="0" w:firstRowLastColumn="0" w:lastRowFirstColumn="0" w:lastRowLastColumn="0"/>
        </w:trPr>
        <w:tc>
          <w:tcPr>
            <w:tcW w:w="2268" w:type="dxa"/>
          </w:tcPr>
          <w:p w14:paraId="46E66C5E" w14:textId="77777777" w:rsidR="00AA56FF" w:rsidRPr="00FC5634" w:rsidRDefault="00AA56FF" w:rsidP="00B43F3C">
            <w:pPr>
              <w:numPr>
                <w:ilvl w:val="0"/>
                <w:numId w:val="21"/>
              </w:numPr>
              <w:spacing w:before="0" w:after="120" w:line="240" w:lineRule="auto"/>
              <w:ind w:left="482"/>
              <w:rPr>
                <w:b/>
                <w:sz w:val="20"/>
                <w:szCs w:val="20"/>
              </w:rPr>
            </w:pPr>
            <w:r w:rsidRPr="00FC5634">
              <w:rPr>
                <w:b/>
                <w:sz w:val="20"/>
                <w:szCs w:val="20"/>
              </w:rPr>
              <w:t>Improving access to cheaper offers</w:t>
            </w:r>
          </w:p>
        </w:tc>
        <w:tc>
          <w:tcPr>
            <w:tcW w:w="5670" w:type="dxa"/>
          </w:tcPr>
          <w:p w14:paraId="10D82C37" w14:textId="0D2CFB12" w:rsidR="00AA56FF" w:rsidRPr="00FC5634" w:rsidRDefault="00AA56FF">
            <w:pPr>
              <w:spacing w:before="0" w:after="120" w:line="240" w:lineRule="auto"/>
              <w:rPr>
                <w:sz w:val="20"/>
                <w:szCs w:val="20"/>
              </w:rPr>
            </w:pPr>
            <w:r w:rsidRPr="00FC5634">
              <w:rPr>
                <w:b/>
                <w:sz w:val="20"/>
                <w:szCs w:val="20"/>
              </w:rPr>
              <w:t xml:space="preserve">Option B.2 </w:t>
            </w:r>
            <w:r w:rsidRPr="00FC5634">
              <w:rPr>
                <w:sz w:val="20"/>
                <w:szCs w:val="20"/>
              </w:rPr>
              <w:t>–</w:t>
            </w:r>
            <w:r w:rsidRPr="00FC5634">
              <w:rPr>
                <w:b/>
                <w:sz w:val="20"/>
                <w:szCs w:val="20"/>
              </w:rPr>
              <w:t xml:space="preserve"> </w:t>
            </w:r>
            <w:r w:rsidRPr="00FC5634">
              <w:rPr>
                <w:sz w:val="20"/>
                <w:szCs w:val="20"/>
              </w:rPr>
              <w:t>Requir</w:t>
            </w:r>
            <w:r w:rsidR="00B75E98">
              <w:rPr>
                <w:sz w:val="20"/>
                <w:szCs w:val="20"/>
              </w:rPr>
              <w:t>e</w:t>
            </w:r>
            <w:r w:rsidRPr="00FC5634">
              <w:rPr>
                <w:sz w:val="20"/>
                <w:szCs w:val="20"/>
              </w:rPr>
              <w:t xml:space="preserve"> retailers to ensure plans are not restricted based on payment method (e.g. direct debit) or communication method (e.g. e-billing), and limit </w:t>
            </w:r>
            <w:r>
              <w:rPr>
                <w:sz w:val="20"/>
                <w:szCs w:val="20"/>
              </w:rPr>
              <w:t xml:space="preserve">conditional </w:t>
            </w:r>
            <w:r w:rsidRPr="00FC5634">
              <w:rPr>
                <w:sz w:val="20"/>
                <w:szCs w:val="20"/>
              </w:rPr>
              <w:t>fees and discounts to reasonable costs</w:t>
            </w:r>
          </w:p>
        </w:tc>
        <w:tc>
          <w:tcPr>
            <w:tcW w:w="1701" w:type="dxa"/>
            <w:vAlign w:val="center"/>
          </w:tcPr>
          <w:p w14:paraId="5024FA31" w14:textId="1328B619" w:rsidR="00AA56FF" w:rsidRDefault="00AA56FF">
            <w:pPr>
              <w:spacing w:before="0" w:after="120" w:line="240" w:lineRule="auto"/>
              <w:jc w:val="center"/>
              <w:rPr>
                <w:sz w:val="20"/>
                <w:szCs w:val="20"/>
              </w:rPr>
            </w:pPr>
            <w:r>
              <w:rPr>
                <w:sz w:val="20"/>
                <w:szCs w:val="20"/>
              </w:rPr>
              <w:t>0.</w:t>
            </w:r>
            <w:r w:rsidR="00473CB5">
              <w:rPr>
                <w:sz w:val="20"/>
                <w:szCs w:val="20"/>
              </w:rPr>
              <w:t>6</w:t>
            </w:r>
            <w:r>
              <w:rPr>
                <w:sz w:val="20"/>
                <w:szCs w:val="20"/>
              </w:rPr>
              <w:t>65</w:t>
            </w:r>
          </w:p>
        </w:tc>
      </w:tr>
      <w:tr w:rsidR="00AA56FF" w:rsidRPr="0070788C" w14:paraId="5C5C246A" w14:textId="77777777">
        <w:trPr>
          <w:cnfStyle w:val="000000010000" w:firstRow="0" w:lastRow="0" w:firstColumn="0" w:lastColumn="0" w:oddVBand="0" w:evenVBand="0" w:oddHBand="0" w:evenHBand="1" w:firstRowFirstColumn="0" w:firstRowLastColumn="0" w:lastRowFirstColumn="0" w:lastRowLastColumn="0"/>
        </w:trPr>
        <w:tc>
          <w:tcPr>
            <w:tcW w:w="2268" w:type="dxa"/>
          </w:tcPr>
          <w:p w14:paraId="342FB027" w14:textId="77777777" w:rsidR="00AA56FF" w:rsidRPr="00FC5634" w:rsidRDefault="00AA56FF" w:rsidP="00B43F3C">
            <w:pPr>
              <w:numPr>
                <w:ilvl w:val="0"/>
                <w:numId w:val="21"/>
              </w:numPr>
              <w:spacing w:before="0" w:after="120" w:line="240" w:lineRule="auto"/>
              <w:ind w:left="482"/>
              <w:rPr>
                <w:b/>
                <w:sz w:val="20"/>
                <w:szCs w:val="20"/>
              </w:rPr>
            </w:pPr>
            <w:r w:rsidRPr="00FC5634">
              <w:rPr>
                <w:b/>
                <w:sz w:val="20"/>
                <w:szCs w:val="20"/>
              </w:rPr>
              <w:t>Improved ability to switch to best offer</w:t>
            </w:r>
          </w:p>
        </w:tc>
        <w:tc>
          <w:tcPr>
            <w:tcW w:w="5670" w:type="dxa"/>
          </w:tcPr>
          <w:p w14:paraId="2485895C" w14:textId="77777777" w:rsidR="00AA56FF" w:rsidRPr="00FC5634" w:rsidRDefault="00AA56FF">
            <w:pPr>
              <w:spacing w:before="0" w:after="120" w:line="240" w:lineRule="auto"/>
              <w:rPr>
                <w:sz w:val="20"/>
                <w:szCs w:val="20"/>
              </w:rPr>
            </w:pPr>
            <w:r w:rsidRPr="00FC5634">
              <w:rPr>
                <w:b/>
                <w:sz w:val="20"/>
                <w:szCs w:val="20"/>
              </w:rPr>
              <w:t xml:space="preserve">Option C.2 </w:t>
            </w:r>
            <w:r w:rsidRPr="00FC5634">
              <w:rPr>
                <w:sz w:val="20"/>
                <w:szCs w:val="20"/>
              </w:rPr>
              <w:t>–</w:t>
            </w:r>
            <w:r w:rsidRPr="00FC5634">
              <w:rPr>
                <w:b/>
                <w:sz w:val="20"/>
                <w:szCs w:val="20"/>
              </w:rPr>
              <w:t xml:space="preserve"> </w:t>
            </w:r>
            <w:r w:rsidRPr="00FC5634">
              <w:rPr>
                <w:sz w:val="20"/>
                <w:szCs w:val="20"/>
              </w:rPr>
              <w:t xml:space="preserve">Outcomes-based approach </w:t>
            </w:r>
            <w:r w:rsidRPr="00ED0764">
              <w:rPr>
                <w:bCs/>
                <w:sz w:val="20"/>
                <w:szCs w:val="20"/>
              </w:rPr>
              <w:t>requiring a retailer to have effective processes for customers to switch to the best offer, with minimum requirements for a retailer’s processes (e.g. having a website and a telephone process; allowing customers to compare plans)</w:t>
            </w:r>
          </w:p>
        </w:tc>
        <w:tc>
          <w:tcPr>
            <w:tcW w:w="1701" w:type="dxa"/>
            <w:vAlign w:val="center"/>
          </w:tcPr>
          <w:p w14:paraId="31F342F3" w14:textId="7204EB6F" w:rsidR="00AA56FF" w:rsidRPr="00800122" w:rsidRDefault="00AA56FF">
            <w:pPr>
              <w:spacing w:before="0" w:after="120" w:line="240" w:lineRule="auto"/>
              <w:jc w:val="center"/>
              <w:rPr>
                <w:sz w:val="20"/>
                <w:szCs w:val="20"/>
              </w:rPr>
            </w:pPr>
            <w:r>
              <w:rPr>
                <w:sz w:val="20"/>
                <w:szCs w:val="20"/>
              </w:rPr>
              <w:t>0.6</w:t>
            </w:r>
            <w:r w:rsidR="009C4F68">
              <w:rPr>
                <w:sz w:val="20"/>
                <w:szCs w:val="20"/>
              </w:rPr>
              <w:t>7</w:t>
            </w:r>
          </w:p>
        </w:tc>
      </w:tr>
      <w:tr w:rsidR="00AA56FF" w:rsidRPr="0070788C" w14:paraId="65E0879F" w14:textId="77777777">
        <w:trPr>
          <w:cnfStyle w:val="000000100000" w:firstRow="0" w:lastRow="0" w:firstColumn="0" w:lastColumn="0" w:oddVBand="0" w:evenVBand="0" w:oddHBand="1" w:evenHBand="0" w:firstRowFirstColumn="0" w:firstRowLastColumn="0" w:lastRowFirstColumn="0" w:lastRowLastColumn="0"/>
        </w:trPr>
        <w:tc>
          <w:tcPr>
            <w:tcW w:w="2268" w:type="dxa"/>
          </w:tcPr>
          <w:p w14:paraId="55EDE2EE" w14:textId="77777777" w:rsidR="00AA56FF" w:rsidRPr="00FC5634" w:rsidRDefault="00AA56FF" w:rsidP="00B43F3C">
            <w:pPr>
              <w:numPr>
                <w:ilvl w:val="0"/>
                <w:numId w:val="21"/>
              </w:numPr>
              <w:spacing w:before="0" w:after="120" w:line="240" w:lineRule="auto"/>
              <w:ind w:left="482"/>
              <w:rPr>
                <w:b/>
                <w:sz w:val="20"/>
                <w:szCs w:val="20"/>
              </w:rPr>
            </w:pPr>
            <w:r w:rsidRPr="00FC5634">
              <w:rPr>
                <w:b/>
                <w:sz w:val="20"/>
                <w:szCs w:val="20"/>
              </w:rPr>
              <w:t xml:space="preserve">Protections for customers </w:t>
            </w:r>
            <w:r w:rsidRPr="00FC5634">
              <w:rPr>
                <w:b/>
                <w:sz w:val="20"/>
                <w:szCs w:val="20"/>
              </w:rPr>
              <w:lastRenderedPageBreak/>
              <w:t>paying high prices</w:t>
            </w:r>
          </w:p>
        </w:tc>
        <w:tc>
          <w:tcPr>
            <w:tcW w:w="5670" w:type="dxa"/>
          </w:tcPr>
          <w:p w14:paraId="222797EF" w14:textId="77777777" w:rsidR="00AA56FF" w:rsidRPr="00FC5634" w:rsidRDefault="00AA56FF">
            <w:pPr>
              <w:spacing w:before="0" w:after="120" w:line="240" w:lineRule="auto"/>
              <w:rPr>
                <w:sz w:val="20"/>
                <w:szCs w:val="20"/>
              </w:rPr>
            </w:pPr>
            <w:r w:rsidRPr="00FC5634">
              <w:rPr>
                <w:b/>
                <w:sz w:val="20"/>
                <w:szCs w:val="20"/>
              </w:rPr>
              <w:lastRenderedPageBreak/>
              <w:t xml:space="preserve">Option D.2 </w:t>
            </w:r>
            <w:r w:rsidRPr="00FC5634">
              <w:rPr>
                <w:sz w:val="20"/>
                <w:szCs w:val="20"/>
              </w:rPr>
              <w:t>–</w:t>
            </w:r>
            <w:r w:rsidRPr="00FC5634">
              <w:rPr>
                <w:b/>
                <w:sz w:val="20"/>
                <w:szCs w:val="20"/>
              </w:rPr>
              <w:t xml:space="preserve"> </w:t>
            </w:r>
            <w:r w:rsidRPr="00FC5634">
              <w:rPr>
                <w:sz w:val="20"/>
                <w:szCs w:val="20"/>
              </w:rPr>
              <w:t xml:space="preserve">Principles-based approach requiring retailers to take reasonable steps to ensure customers on older contracts </w:t>
            </w:r>
            <w:r w:rsidRPr="00FC5634">
              <w:rPr>
                <w:sz w:val="20"/>
                <w:szCs w:val="20"/>
              </w:rPr>
              <w:lastRenderedPageBreak/>
              <w:t>are paying a reasonable price, including a flexible definition of reasonable price</w:t>
            </w:r>
          </w:p>
        </w:tc>
        <w:tc>
          <w:tcPr>
            <w:tcW w:w="1701" w:type="dxa"/>
            <w:vAlign w:val="center"/>
          </w:tcPr>
          <w:p w14:paraId="63FC6CA3" w14:textId="1BDE91E9" w:rsidR="00AA56FF" w:rsidRPr="00800122" w:rsidRDefault="00AA56FF">
            <w:pPr>
              <w:spacing w:before="0" w:after="120" w:line="240" w:lineRule="auto"/>
              <w:jc w:val="center"/>
              <w:rPr>
                <w:sz w:val="20"/>
                <w:szCs w:val="20"/>
              </w:rPr>
            </w:pPr>
            <w:r>
              <w:rPr>
                <w:sz w:val="20"/>
                <w:szCs w:val="20"/>
              </w:rPr>
              <w:lastRenderedPageBreak/>
              <w:t>1.</w:t>
            </w:r>
            <w:r w:rsidR="004816E9">
              <w:rPr>
                <w:sz w:val="20"/>
                <w:szCs w:val="20"/>
              </w:rPr>
              <w:t>0</w:t>
            </w:r>
            <w:r>
              <w:rPr>
                <w:sz w:val="20"/>
                <w:szCs w:val="20"/>
              </w:rPr>
              <w:t>2</w:t>
            </w:r>
          </w:p>
        </w:tc>
      </w:tr>
      <w:tr w:rsidR="00AA56FF" w:rsidRPr="0070788C" w14:paraId="6E730060" w14:textId="77777777">
        <w:trPr>
          <w:cnfStyle w:val="000000010000" w:firstRow="0" w:lastRow="0" w:firstColumn="0" w:lastColumn="0" w:oddVBand="0" w:evenVBand="0" w:oddHBand="0" w:evenHBand="1" w:firstRowFirstColumn="0" w:firstRowLastColumn="0" w:lastRowFirstColumn="0" w:lastRowLastColumn="0"/>
        </w:trPr>
        <w:tc>
          <w:tcPr>
            <w:tcW w:w="2268" w:type="dxa"/>
          </w:tcPr>
          <w:p w14:paraId="71BFD9DE" w14:textId="77777777" w:rsidR="00AA56FF" w:rsidRPr="00FC5634" w:rsidRDefault="00AA56FF" w:rsidP="00B43F3C">
            <w:pPr>
              <w:numPr>
                <w:ilvl w:val="0"/>
                <w:numId w:val="21"/>
              </w:numPr>
              <w:spacing w:before="0" w:after="120" w:line="240" w:lineRule="auto"/>
              <w:ind w:left="482"/>
              <w:rPr>
                <w:b/>
                <w:sz w:val="20"/>
                <w:szCs w:val="20"/>
              </w:rPr>
            </w:pPr>
            <w:r w:rsidRPr="00FC5634">
              <w:rPr>
                <w:b/>
                <w:sz w:val="20"/>
                <w:szCs w:val="20"/>
              </w:rPr>
              <w:t>Improving the application of concessions on bills</w:t>
            </w:r>
          </w:p>
        </w:tc>
        <w:tc>
          <w:tcPr>
            <w:tcW w:w="5670" w:type="dxa"/>
          </w:tcPr>
          <w:p w14:paraId="68160432" w14:textId="64DFE20E" w:rsidR="00AA56FF" w:rsidRPr="00FC5634" w:rsidRDefault="00AA56FF">
            <w:pPr>
              <w:spacing w:before="0" w:after="120" w:line="240" w:lineRule="auto"/>
              <w:rPr>
                <w:sz w:val="20"/>
                <w:szCs w:val="20"/>
              </w:rPr>
            </w:pPr>
            <w:r w:rsidRPr="00FC5634">
              <w:rPr>
                <w:b/>
                <w:sz w:val="20"/>
                <w:szCs w:val="20"/>
              </w:rPr>
              <w:t xml:space="preserve">Option E.2 – </w:t>
            </w:r>
            <w:r w:rsidRPr="00FC5634">
              <w:rPr>
                <w:sz w:val="20"/>
                <w:szCs w:val="20"/>
              </w:rPr>
              <w:t>Principles-based requirement for retailers to request concession eligibility information from customers at all times when it is relevant to do so and minimum requirements to request this information at specific contact points (</w:t>
            </w:r>
            <w:r>
              <w:rPr>
                <w:sz w:val="20"/>
                <w:szCs w:val="20"/>
              </w:rPr>
              <w:t>for example,</w:t>
            </w:r>
            <w:r w:rsidRPr="00FC5634">
              <w:rPr>
                <w:sz w:val="20"/>
                <w:szCs w:val="20"/>
              </w:rPr>
              <w:t xml:space="preserve"> at sign up)</w:t>
            </w:r>
            <w:r w:rsidR="00B75E98">
              <w:rPr>
                <w:sz w:val="20"/>
                <w:szCs w:val="20"/>
              </w:rPr>
              <w:t>.</w:t>
            </w:r>
          </w:p>
        </w:tc>
        <w:tc>
          <w:tcPr>
            <w:tcW w:w="1701" w:type="dxa"/>
            <w:vAlign w:val="center"/>
          </w:tcPr>
          <w:p w14:paraId="2FABD765" w14:textId="11A88728" w:rsidR="00AA56FF" w:rsidRDefault="001808E9">
            <w:pPr>
              <w:spacing w:before="0" w:after="120" w:line="240" w:lineRule="auto"/>
              <w:jc w:val="center"/>
              <w:rPr>
                <w:sz w:val="20"/>
                <w:szCs w:val="20"/>
              </w:rPr>
            </w:pPr>
            <w:r>
              <w:rPr>
                <w:sz w:val="20"/>
                <w:szCs w:val="20"/>
              </w:rPr>
              <w:t>0</w:t>
            </w:r>
            <w:r w:rsidR="00004424">
              <w:rPr>
                <w:sz w:val="20"/>
                <w:szCs w:val="20"/>
              </w:rPr>
              <w:t>.</w:t>
            </w:r>
            <w:r>
              <w:rPr>
                <w:sz w:val="20"/>
                <w:szCs w:val="20"/>
              </w:rPr>
              <w:t>8</w:t>
            </w:r>
            <w:r w:rsidR="008473C6">
              <w:rPr>
                <w:sz w:val="20"/>
                <w:szCs w:val="20"/>
              </w:rPr>
              <w:t>25</w:t>
            </w:r>
          </w:p>
        </w:tc>
      </w:tr>
      <w:tr w:rsidR="00AA56FF" w:rsidRPr="0070788C" w14:paraId="7DE4B199" w14:textId="77777777">
        <w:trPr>
          <w:cnfStyle w:val="000000100000" w:firstRow="0" w:lastRow="0" w:firstColumn="0" w:lastColumn="0" w:oddVBand="0" w:evenVBand="0" w:oddHBand="1" w:evenHBand="0" w:firstRowFirstColumn="0" w:firstRowLastColumn="0" w:lastRowFirstColumn="0" w:lastRowLastColumn="0"/>
          <w:trHeight w:val="1100"/>
        </w:trPr>
        <w:tc>
          <w:tcPr>
            <w:tcW w:w="2268" w:type="dxa"/>
          </w:tcPr>
          <w:p w14:paraId="4CE2560A" w14:textId="77777777" w:rsidR="00AA56FF" w:rsidRPr="00FC5634" w:rsidRDefault="00AA56FF" w:rsidP="00B43F3C">
            <w:pPr>
              <w:numPr>
                <w:ilvl w:val="0"/>
                <w:numId w:val="21"/>
              </w:numPr>
              <w:spacing w:before="0" w:after="120" w:line="240" w:lineRule="auto"/>
              <w:ind w:left="482"/>
              <w:rPr>
                <w:b/>
                <w:sz w:val="20"/>
                <w:szCs w:val="20"/>
              </w:rPr>
            </w:pPr>
            <w:r w:rsidRPr="00FC5634">
              <w:rPr>
                <w:b/>
                <w:sz w:val="20"/>
                <w:szCs w:val="20"/>
              </w:rPr>
              <w:t>Extending protections for customers on legacy contracts</w:t>
            </w:r>
          </w:p>
        </w:tc>
        <w:tc>
          <w:tcPr>
            <w:tcW w:w="5670" w:type="dxa"/>
          </w:tcPr>
          <w:p w14:paraId="220B9E84" w14:textId="382903E6" w:rsidR="00AA56FF" w:rsidRPr="00FC5634" w:rsidRDefault="00AA56FF">
            <w:pPr>
              <w:spacing w:before="0" w:after="120" w:line="240" w:lineRule="auto"/>
              <w:rPr>
                <w:b/>
                <w:sz w:val="20"/>
                <w:szCs w:val="20"/>
              </w:rPr>
            </w:pPr>
            <w:r w:rsidRPr="00FC5634">
              <w:rPr>
                <w:b/>
                <w:sz w:val="20"/>
                <w:szCs w:val="20"/>
              </w:rPr>
              <w:t xml:space="preserve">Option F.1 </w:t>
            </w:r>
            <w:r w:rsidRPr="00FC5634">
              <w:rPr>
                <w:sz w:val="20"/>
                <w:szCs w:val="20"/>
              </w:rPr>
              <w:t>–</w:t>
            </w:r>
            <w:r w:rsidRPr="00FC5634">
              <w:rPr>
                <w:b/>
                <w:sz w:val="20"/>
                <w:szCs w:val="20"/>
              </w:rPr>
              <w:t xml:space="preserve"> </w:t>
            </w:r>
            <w:r w:rsidRPr="00FC5634">
              <w:rPr>
                <w:sz w:val="20"/>
                <w:szCs w:val="20"/>
              </w:rPr>
              <w:t>Extend protections to all contracts (extending to contracts into before 1 July 2020)</w:t>
            </w:r>
            <w:r w:rsidR="00B75E98">
              <w:rPr>
                <w:sz w:val="20"/>
                <w:szCs w:val="20"/>
              </w:rPr>
              <w:t>.</w:t>
            </w:r>
          </w:p>
        </w:tc>
        <w:tc>
          <w:tcPr>
            <w:tcW w:w="1701" w:type="dxa"/>
            <w:vAlign w:val="center"/>
          </w:tcPr>
          <w:p w14:paraId="32CD0279" w14:textId="77777777" w:rsidR="00AA56FF" w:rsidRDefault="00AA56FF">
            <w:pPr>
              <w:spacing w:before="0" w:after="120" w:line="240" w:lineRule="auto"/>
              <w:jc w:val="center"/>
              <w:rPr>
                <w:sz w:val="20"/>
                <w:szCs w:val="20"/>
              </w:rPr>
            </w:pPr>
            <w:r>
              <w:rPr>
                <w:sz w:val="20"/>
                <w:szCs w:val="20"/>
              </w:rPr>
              <w:t>1.075</w:t>
            </w:r>
          </w:p>
        </w:tc>
      </w:tr>
      <w:tr w:rsidR="00AA56FF" w:rsidRPr="0070788C" w14:paraId="160F855D" w14:textId="77777777">
        <w:trPr>
          <w:cnfStyle w:val="000000010000" w:firstRow="0" w:lastRow="0" w:firstColumn="0" w:lastColumn="0" w:oddVBand="0" w:evenVBand="0" w:oddHBand="0" w:evenHBand="1" w:firstRowFirstColumn="0" w:firstRowLastColumn="0" w:lastRowFirstColumn="0" w:lastRowLastColumn="0"/>
          <w:trHeight w:val="1100"/>
        </w:trPr>
        <w:tc>
          <w:tcPr>
            <w:tcW w:w="2268" w:type="dxa"/>
          </w:tcPr>
          <w:p w14:paraId="497E2C06" w14:textId="77777777" w:rsidR="00AA56FF" w:rsidRPr="00FC5634" w:rsidRDefault="00AA56FF" w:rsidP="00B43F3C">
            <w:pPr>
              <w:numPr>
                <w:ilvl w:val="0"/>
                <w:numId w:val="21"/>
              </w:numPr>
              <w:spacing w:before="0" w:after="120" w:line="240" w:lineRule="auto"/>
              <w:ind w:left="482"/>
              <w:rPr>
                <w:b/>
                <w:sz w:val="20"/>
                <w:szCs w:val="20"/>
              </w:rPr>
            </w:pPr>
            <w:r w:rsidRPr="00FC5634">
              <w:rPr>
                <w:b/>
                <w:sz w:val="20"/>
                <w:szCs w:val="20"/>
              </w:rPr>
              <w:t>Improving awareness of independent dispute resolution services</w:t>
            </w:r>
          </w:p>
        </w:tc>
        <w:tc>
          <w:tcPr>
            <w:tcW w:w="5670" w:type="dxa"/>
          </w:tcPr>
          <w:p w14:paraId="086BBC52" w14:textId="1E3BEF56" w:rsidR="00AA56FF" w:rsidRPr="00FC5634" w:rsidRDefault="00AA56FF">
            <w:pPr>
              <w:spacing w:before="0" w:after="120" w:line="240" w:lineRule="auto"/>
              <w:rPr>
                <w:sz w:val="20"/>
                <w:szCs w:val="20"/>
              </w:rPr>
            </w:pPr>
            <w:r w:rsidRPr="00FC5634">
              <w:rPr>
                <w:b/>
                <w:sz w:val="20"/>
                <w:szCs w:val="20"/>
              </w:rPr>
              <w:t>Option G.</w:t>
            </w:r>
            <w:r w:rsidRPr="00800122">
              <w:rPr>
                <w:b/>
                <w:sz w:val="20"/>
                <w:szCs w:val="20"/>
              </w:rPr>
              <w:t>1</w:t>
            </w:r>
            <w:r w:rsidRPr="00FC5634">
              <w:rPr>
                <w:sz w:val="20"/>
                <w:szCs w:val="20"/>
              </w:rPr>
              <w:t xml:space="preserve"> –</w:t>
            </w:r>
            <w:r w:rsidRPr="00FC5634">
              <w:rPr>
                <w:b/>
                <w:sz w:val="20"/>
                <w:szCs w:val="20"/>
              </w:rPr>
              <w:t xml:space="preserve"> </w:t>
            </w:r>
            <w:r w:rsidR="00B75E98">
              <w:rPr>
                <w:sz w:val="20"/>
                <w:szCs w:val="20"/>
              </w:rPr>
              <w:t>R</w:t>
            </w:r>
            <w:r w:rsidRPr="00FC5634">
              <w:rPr>
                <w:sz w:val="20"/>
                <w:szCs w:val="20"/>
              </w:rPr>
              <w:t>equir</w:t>
            </w:r>
            <w:r w:rsidR="00B75E98">
              <w:rPr>
                <w:sz w:val="20"/>
                <w:szCs w:val="20"/>
              </w:rPr>
              <w:t>e</w:t>
            </w:r>
            <w:r w:rsidRPr="00FC5634">
              <w:rPr>
                <w:sz w:val="20"/>
                <w:szCs w:val="20"/>
              </w:rPr>
              <w:t xml:space="preserve"> the inclusion of EWOV’s phone number on the front page of bills</w:t>
            </w:r>
            <w:r w:rsidR="00B75E98">
              <w:rPr>
                <w:sz w:val="20"/>
                <w:szCs w:val="20"/>
              </w:rPr>
              <w:t>.</w:t>
            </w:r>
          </w:p>
        </w:tc>
        <w:tc>
          <w:tcPr>
            <w:tcW w:w="1701" w:type="dxa"/>
            <w:vAlign w:val="center"/>
          </w:tcPr>
          <w:p w14:paraId="28245CF9" w14:textId="0955C40E" w:rsidR="00AA56FF" w:rsidRDefault="00AA56FF">
            <w:pPr>
              <w:spacing w:before="0" w:after="120" w:line="240" w:lineRule="auto"/>
              <w:jc w:val="center"/>
              <w:rPr>
                <w:sz w:val="20"/>
                <w:szCs w:val="20"/>
              </w:rPr>
            </w:pPr>
            <w:r>
              <w:rPr>
                <w:sz w:val="20"/>
                <w:szCs w:val="20"/>
              </w:rPr>
              <w:t>1.2</w:t>
            </w:r>
            <w:r w:rsidR="0036542C">
              <w:rPr>
                <w:sz w:val="20"/>
                <w:szCs w:val="20"/>
              </w:rPr>
              <w:t>9</w:t>
            </w:r>
          </w:p>
        </w:tc>
      </w:tr>
      <w:tr w:rsidR="00AA56FF" w:rsidRPr="00800122" w14:paraId="792BBD55" w14:textId="77777777" w:rsidTr="05C6F72E">
        <w:trPr>
          <w:cnfStyle w:val="000000100000" w:firstRow="0" w:lastRow="0" w:firstColumn="0" w:lastColumn="0" w:oddVBand="0" w:evenVBand="0" w:oddHBand="1" w:evenHBand="0" w:firstRowFirstColumn="0" w:firstRowLastColumn="0" w:lastRowFirstColumn="0" w:lastRowLastColumn="0"/>
          <w:trHeight w:val="401"/>
        </w:trPr>
        <w:tc>
          <w:tcPr>
            <w:tcW w:w="7938" w:type="dxa"/>
            <w:gridSpan w:val="2"/>
            <w:shd w:val="clear" w:color="auto" w:fill="4986A0" w:themeFill="accent3"/>
          </w:tcPr>
          <w:p w14:paraId="6C7C1082" w14:textId="77777777" w:rsidR="00AA56FF" w:rsidRPr="00800122" w:rsidRDefault="00AA56FF">
            <w:pPr>
              <w:spacing w:before="0" w:after="120" w:line="240" w:lineRule="auto"/>
              <w:rPr>
                <w:b/>
                <w:color w:val="FFFFFF" w:themeColor="background1"/>
                <w:sz w:val="20"/>
                <w:szCs w:val="20"/>
              </w:rPr>
            </w:pPr>
            <w:r>
              <w:rPr>
                <w:b/>
                <w:bCs/>
                <w:color w:val="FFFFFF" w:themeColor="background1"/>
                <w:sz w:val="20"/>
                <w:szCs w:val="20"/>
              </w:rPr>
              <w:t>Other proposed changes</w:t>
            </w:r>
          </w:p>
        </w:tc>
        <w:tc>
          <w:tcPr>
            <w:tcW w:w="1701" w:type="dxa"/>
            <w:shd w:val="clear" w:color="auto" w:fill="4986A0" w:themeFill="accent3"/>
            <w:vAlign w:val="center"/>
          </w:tcPr>
          <w:p w14:paraId="6E922F41" w14:textId="77777777" w:rsidR="00AA56FF" w:rsidRPr="00800122" w:rsidRDefault="00AA56FF">
            <w:pPr>
              <w:spacing w:before="0" w:after="120" w:line="240" w:lineRule="auto"/>
              <w:jc w:val="center"/>
              <w:rPr>
                <w:b/>
                <w:color w:val="FFFFFF" w:themeColor="background1"/>
                <w:sz w:val="20"/>
                <w:szCs w:val="20"/>
              </w:rPr>
            </w:pPr>
          </w:p>
        </w:tc>
      </w:tr>
      <w:tr w:rsidR="00AA56FF" w:rsidRPr="0070788C" w14:paraId="7EF5DE7A" w14:textId="77777777">
        <w:trPr>
          <w:cnfStyle w:val="000000010000" w:firstRow="0" w:lastRow="0" w:firstColumn="0" w:lastColumn="0" w:oddVBand="0" w:evenVBand="0" w:oddHBand="0" w:evenHBand="1" w:firstRowFirstColumn="0" w:firstRowLastColumn="0" w:lastRowFirstColumn="0" w:lastRowLastColumn="0"/>
          <w:trHeight w:val="1100"/>
        </w:trPr>
        <w:tc>
          <w:tcPr>
            <w:tcW w:w="2268" w:type="dxa"/>
          </w:tcPr>
          <w:p w14:paraId="1E0B554D" w14:textId="77777777" w:rsidR="00AA56FF" w:rsidRPr="006C761A" w:rsidRDefault="00AA56FF" w:rsidP="00B43F3C">
            <w:pPr>
              <w:numPr>
                <w:ilvl w:val="0"/>
                <w:numId w:val="21"/>
              </w:numPr>
              <w:spacing w:before="0" w:after="120" w:line="240" w:lineRule="auto"/>
              <w:ind w:left="482"/>
              <w:rPr>
                <w:b/>
                <w:sz w:val="20"/>
                <w:szCs w:val="20"/>
              </w:rPr>
            </w:pPr>
            <w:r>
              <w:rPr>
                <w:b/>
                <w:sz w:val="20"/>
                <w:szCs w:val="20"/>
              </w:rPr>
              <w:t>Increasing the minimum disconnection amount</w:t>
            </w:r>
          </w:p>
        </w:tc>
        <w:tc>
          <w:tcPr>
            <w:tcW w:w="5670" w:type="dxa"/>
          </w:tcPr>
          <w:p w14:paraId="33D42259" w14:textId="117818A2" w:rsidR="00AA56FF" w:rsidRPr="00315696" w:rsidRDefault="00AA56FF">
            <w:pPr>
              <w:spacing w:before="0" w:after="120" w:line="240" w:lineRule="auto"/>
              <w:rPr>
                <w:sz w:val="20"/>
                <w:szCs w:val="20"/>
              </w:rPr>
            </w:pPr>
            <w:r w:rsidRPr="00FC5634">
              <w:rPr>
                <w:sz w:val="20"/>
                <w:szCs w:val="20"/>
              </w:rPr>
              <w:t>Increas</w:t>
            </w:r>
            <w:r w:rsidR="00B75E98">
              <w:rPr>
                <w:sz w:val="20"/>
                <w:szCs w:val="20"/>
              </w:rPr>
              <w:t>e</w:t>
            </w:r>
            <w:r w:rsidRPr="00FC5634">
              <w:rPr>
                <w:sz w:val="20"/>
                <w:szCs w:val="20"/>
              </w:rPr>
              <w:t xml:space="preserve"> the minimum debt threshold for disconnections from $300 to $500</w:t>
            </w:r>
            <w:r w:rsidR="00B75E98">
              <w:rPr>
                <w:sz w:val="20"/>
                <w:szCs w:val="20"/>
              </w:rPr>
              <w:t>.</w:t>
            </w:r>
          </w:p>
        </w:tc>
        <w:tc>
          <w:tcPr>
            <w:tcW w:w="1701" w:type="dxa"/>
            <w:vAlign w:val="center"/>
          </w:tcPr>
          <w:p w14:paraId="6C366CB9" w14:textId="77777777" w:rsidR="00AA56FF" w:rsidRPr="00800122" w:rsidRDefault="00AA56FF">
            <w:pPr>
              <w:spacing w:before="0" w:after="120" w:line="240" w:lineRule="auto"/>
              <w:jc w:val="center"/>
              <w:rPr>
                <w:sz w:val="20"/>
                <w:szCs w:val="20"/>
              </w:rPr>
            </w:pPr>
            <w:r>
              <w:rPr>
                <w:sz w:val="20"/>
                <w:szCs w:val="20"/>
              </w:rPr>
              <w:t>N/A</w:t>
            </w:r>
          </w:p>
        </w:tc>
      </w:tr>
      <w:tr w:rsidR="00AA56FF" w:rsidRPr="00800122" w14:paraId="7BD03399" w14:textId="77777777">
        <w:trPr>
          <w:cnfStyle w:val="000000100000" w:firstRow="0" w:lastRow="0" w:firstColumn="0" w:lastColumn="0" w:oddVBand="0" w:evenVBand="0" w:oddHBand="1" w:evenHBand="0" w:firstRowFirstColumn="0" w:firstRowLastColumn="0" w:lastRowFirstColumn="0" w:lastRowLastColumn="0"/>
          <w:trHeight w:val="1100"/>
        </w:trPr>
        <w:tc>
          <w:tcPr>
            <w:tcW w:w="2268" w:type="dxa"/>
          </w:tcPr>
          <w:p w14:paraId="3964F677" w14:textId="77777777" w:rsidR="00AA56FF" w:rsidRPr="000D1795" w:rsidRDefault="00AA56FF" w:rsidP="00B43F3C">
            <w:pPr>
              <w:numPr>
                <w:ilvl w:val="0"/>
                <w:numId w:val="21"/>
              </w:numPr>
              <w:spacing w:before="0" w:after="120" w:line="240" w:lineRule="auto"/>
              <w:ind w:left="482"/>
              <w:rPr>
                <w:b/>
                <w:sz w:val="20"/>
                <w:szCs w:val="20"/>
              </w:rPr>
            </w:pPr>
            <w:r>
              <w:rPr>
                <w:b/>
                <w:sz w:val="20"/>
                <w:szCs w:val="20"/>
              </w:rPr>
              <w:t>Increasing the best offer threshold</w:t>
            </w:r>
          </w:p>
        </w:tc>
        <w:tc>
          <w:tcPr>
            <w:tcW w:w="5670" w:type="dxa"/>
          </w:tcPr>
          <w:p w14:paraId="71500EB7" w14:textId="4755C103" w:rsidR="00AA56FF" w:rsidRPr="00C75DCC" w:rsidRDefault="00AA56FF">
            <w:pPr>
              <w:spacing w:before="0" w:after="120" w:line="240" w:lineRule="auto"/>
              <w:rPr>
                <w:b/>
                <w:bCs/>
                <w:sz w:val="20"/>
                <w:szCs w:val="20"/>
                <w:highlight w:val="yellow"/>
              </w:rPr>
            </w:pPr>
            <w:r w:rsidRPr="000D1795">
              <w:rPr>
                <w:sz w:val="20"/>
                <w:szCs w:val="20"/>
              </w:rPr>
              <w:t>Increas</w:t>
            </w:r>
            <w:r w:rsidR="00B75E98">
              <w:rPr>
                <w:sz w:val="20"/>
                <w:szCs w:val="20"/>
              </w:rPr>
              <w:t>e</w:t>
            </w:r>
            <w:r w:rsidRPr="000D1795">
              <w:rPr>
                <w:sz w:val="20"/>
                <w:szCs w:val="20"/>
              </w:rPr>
              <w:t xml:space="preserve"> the minimum </w:t>
            </w:r>
            <w:r>
              <w:rPr>
                <w:sz w:val="20"/>
                <w:szCs w:val="20"/>
              </w:rPr>
              <w:t>potential savings for a negative best offer check from $22 to $50</w:t>
            </w:r>
            <w:r w:rsidR="00B75E98">
              <w:rPr>
                <w:sz w:val="20"/>
                <w:szCs w:val="20"/>
              </w:rPr>
              <w:t>.</w:t>
            </w:r>
          </w:p>
        </w:tc>
        <w:tc>
          <w:tcPr>
            <w:tcW w:w="1701" w:type="dxa"/>
            <w:vAlign w:val="center"/>
          </w:tcPr>
          <w:p w14:paraId="27517A5E" w14:textId="77777777" w:rsidR="00AA56FF" w:rsidRPr="00800122" w:rsidRDefault="00AA56FF">
            <w:pPr>
              <w:spacing w:before="0" w:after="120" w:line="240" w:lineRule="auto"/>
              <w:jc w:val="center"/>
              <w:rPr>
                <w:sz w:val="20"/>
                <w:szCs w:val="20"/>
              </w:rPr>
            </w:pPr>
            <w:r>
              <w:rPr>
                <w:sz w:val="20"/>
                <w:szCs w:val="20"/>
              </w:rPr>
              <w:t>N/A</w:t>
            </w:r>
          </w:p>
        </w:tc>
      </w:tr>
    </w:tbl>
    <w:p w14:paraId="7D587169" w14:textId="77777777" w:rsidR="00AA56FF" w:rsidRPr="00ED7302" w:rsidRDefault="00AA56FF" w:rsidP="00AA56FF">
      <w:pPr>
        <w:pStyle w:val="Heading2numbered"/>
      </w:pPr>
      <w:bookmarkStart w:id="342" w:name="_Toc195617234"/>
      <w:bookmarkStart w:id="343" w:name="_Toc195642920"/>
      <w:bookmarkStart w:id="344" w:name="_Toc197959478"/>
      <w:bookmarkEnd w:id="342"/>
      <w:bookmarkEnd w:id="343"/>
      <w:r>
        <w:t>Impact on consumers</w:t>
      </w:r>
      <w:bookmarkEnd w:id="344"/>
    </w:p>
    <w:p w14:paraId="104746F6" w14:textId="57B06A0B" w:rsidR="00FD580D" w:rsidRDefault="00AA56FF" w:rsidP="00AA56FF">
      <w:r>
        <w:t xml:space="preserve">Customers experiencing payment difficulty will benefit the most from the proposed reforms. </w:t>
      </w:r>
      <w:r w:rsidR="001E7B7D">
        <w:t xml:space="preserve">Based on our analysis of historical data, we </w:t>
      </w:r>
      <w:r w:rsidR="00387BD1">
        <w:t xml:space="preserve">have </w:t>
      </w:r>
      <w:r w:rsidR="001E7B7D">
        <w:t>estimate</w:t>
      </w:r>
      <w:r w:rsidR="00387BD1">
        <w:t>d</w:t>
      </w:r>
      <w:r w:rsidR="001E7B7D">
        <w:t xml:space="preserve"> the potential savings that these customers </w:t>
      </w:r>
      <w:r w:rsidR="00387BD1">
        <w:t>might</w:t>
      </w:r>
      <w:r w:rsidR="001E7B7D">
        <w:t xml:space="preserve"> receive:</w:t>
      </w:r>
    </w:p>
    <w:p w14:paraId="23C1A741" w14:textId="3B5AA766" w:rsidR="00121360" w:rsidRPr="00CC4DD3" w:rsidRDefault="00AB2A45" w:rsidP="00A92E17">
      <w:pPr>
        <w:pStyle w:val="ListBullet"/>
      </w:pPr>
      <w:r w:rsidRPr="00CC4DD3">
        <w:t xml:space="preserve">Automatic </w:t>
      </w:r>
      <w:r w:rsidR="00850788" w:rsidRPr="00CC4DD3">
        <w:t>best offer for customers experiencing payment difficulty</w:t>
      </w:r>
      <w:r w:rsidR="00407EF1" w:rsidRPr="00CC4DD3">
        <w:t xml:space="preserve"> (see section 5.3.5)</w:t>
      </w:r>
    </w:p>
    <w:p w14:paraId="28B0779D" w14:textId="172EEFB4" w:rsidR="00BC126C" w:rsidRDefault="001B662A" w:rsidP="00B17459">
      <w:pPr>
        <w:pStyle w:val="ListBullet2"/>
        <w:numPr>
          <w:ilvl w:val="0"/>
          <w:numId w:val="0"/>
        </w:numPr>
        <w:ind w:left="720"/>
        <w:contextualSpacing w:val="0"/>
      </w:pPr>
      <w:r>
        <w:t>Th</w:t>
      </w:r>
      <w:r w:rsidR="00150170">
        <w:t>ese reforms</w:t>
      </w:r>
      <w:r>
        <w:t xml:space="preserve"> </w:t>
      </w:r>
      <w:r w:rsidR="008B3772">
        <w:t xml:space="preserve">could </w:t>
      </w:r>
      <w:r w:rsidR="000D379A">
        <w:t xml:space="preserve">deliver total savings of </w:t>
      </w:r>
      <w:r w:rsidR="00F6647C">
        <w:t>$</w:t>
      </w:r>
      <w:r w:rsidR="00FF1AE6">
        <w:t>16</w:t>
      </w:r>
      <w:r w:rsidR="00F6647C">
        <w:t>.</w:t>
      </w:r>
      <w:r w:rsidR="00FF1AE6">
        <w:t>8</w:t>
      </w:r>
      <w:r w:rsidR="00F6647C">
        <w:t xml:space="preserve"> million for electricity and </w:t>
      </w:r>
      <w:r w:rsidR="00F34A6A">
        <w:t>$11.</w:t>
      </w:r>
      <w:r w:rsidR="00FF1AE6">
        <w:t>0</w:t>
      </w:r>
      <w:r w:rsidR="00F34A6A">
        <w:t xml:space="preserve"> million for gas</w:t>
      </w:r>
      <w:r w:rsidR="00800A24">
        <w:t xml:space="preserve"> </w:t>
      </w:r>
      <w:r w:rsidR="00D14F83">
        <w:t>for customers experiencing payment difficulty and not already on their retailer’s best offer.</w:t>
      </w:r>
      <w:r w:rsidR="00800A24">
        <w:t xml:space="preserve"> </w:t>
      </w:r>
      <w:r w:rsidR="00D14F83">
        <w:t xml:space="preserve">This includes </w:t>
      </w:r>
      <w:r w:rsidR="00800A24">
        <w:t>customer</w:t>
      </w:r>
      <w:r w:rsidR="00D14F83">
        <w:t>s</w:t>
      </w:r>
      <w:r w:rsidR="00800A24">
        <w:t xml:space="preserve"> experiencing payment difficulty</w:t>
      </w:r>
      <w:r w:rsidR="00F34A6A">
        <w:t xml:space="preserve"> </w:t>
      </w:r>
      <w:r w:rsidR="00BF4AF2">
        <w:t xml:space="preserve">and already receiving tailored assistance, as well as </w:t>
      </w:r>
      <w:r w:rsidR="00023DDF">
        <w:t xml:space="preserve">customers not receiving assistance but </w:t>
      </w:r>
      <w:r w:rsidR="00D14F83">
        <w:t xml:space="preserve">in </w:t>
      </w:r>
      <w:r w:rsidR="00023DDF">
        <w:t xml:space="preserve">arrears </w:t>
      </w:r>
      <w:r w:rsidR="00A73684">
        <w:t>for at least three months</w:t>
      </w:r>
      <w:r w:rsidR="00023DDF">
        <w:t xml:space="preserve"> </w:t>
      </w:r>
      <w:r w:rsidR="002765D3">
        <w:t>and with arrears of</w:t>
      </w:r>
      <w:r w:rsidR="00023DDF">
        <w:t xml:space="preserve"> $1000 </w:t>
      </w:r>
      <w:r w:rsidR="002765D3">
        <w:t>of more.</w:t>
      </w:r>
      <w:r w:rsidR="00D14F83">
        <w:t xml:space="preserve"> </w:t>
      </w:r>
    </w:p>
    <w:p w14:paraId="7BE5326E" w14:textId="3A78768D" w:rsidR="00B50067" w:rsidRDefault="00B50067" w:rsidP="00B17459">
      <w:pPr>
        <w:pStyle w:val="ListBullet2"/>
        <w:numPr>
          <w:ilvl w:val="0"/>
          <w:numId w:val="0"/>
        </w:numPr>
        <w:ind w:left="720"/>
        <w:contextualSpacing w:val="0"/>
      </w:pPr>
      <w:r>
        <w:t xml:space="preserve">The benefits for these customers are greater still, because a dollar saved by consumers facing </w:t>
      </w:r>
      <w:r w:rsidR="00722FE0">
        <w:t xml:space="preserve">payment difficulty </w:t>
      </w:r>
      <w:r>
        <w:t xml:space="preserve">is worth more than an extra dollar to a customer who is better off. </w:t>
      </w:r>
      <w:r>
        <w:lastRenderedPageBreak/>
        <w:t>There are further wellbeing and psychological benefits for customers receiving debt relief.</w:t>
      </w:r>
      <w:r>
        <w:rPr>
          <w:rStyle w:val="FootnoteReference"/>
        </w:rPr>
        <w:footnoteReference w:id="251"/>
      </w:r>
    </w:p>
    <w:p w14:paraId="64B11074" w14:textId="433789EF" w:rsidR="00803403" w:rsidRPr="00CC4DD3" w:rsidRDefault="00407EF1" w:rsidP="00A92E17">
      <w:pPr>
        <w:pStyle w:val="ListBullet"/>
      </w:pPr>
      <w:r w:rsidRPr="00CC4DD3">
        <w:t>Protections for customers paying higher prices (see section 8.4.1)</w:t>
      </w:r>
    </w:p>
    <w:p w14:paraId="65A757DF" w14:textId="6E0D3BBF" w:rsidR="00E63F21" w:rsidRDefault="00387BD1" w:rsidP="00B17459">
      <w:pPr>
        <w:pStyle w:val="ListBullet2"/>
        <w:numPr>
          <w:ilvl w:val="0"/>
          <w:numId w:val="0"/>
        </w:numPr>
        <w:ind w:left="720"/>
      </w:pPr>
      <w:r>
        <w:t>This</w:t>
      </w:r>
      <w:r w:rsidR="00B50067">
        <w:t xml:space="preserve"> reform could </w:t>
      </w:r>
      <w:r w:rsidR="00D625AA">
        <w:t xml:space="preserve">conservatively </w:t>
      </w:r>
      <w:r w:rsidR="00107E72">
        <w:t>help</w:t>
      </w:r>
      <w:r w:rsidR="00E63F21">
        <w:t xml:space="preserve"> </w:t>
      </w:r>
      <w:r w:rsidR="00F93786">
        <w:t xml:space="preserve">between </w:t>
      </w:r>
      <w:r w:rsidR="00E63F21">
        <w:t>27</w:t>
      </w:r>
      <w:r w:rsidR="00320864">
        <w:t xml:space="preserve">,000 </w:t>
      </w:r>
      <w:r w:rsidR="00D625AA">
        <w:t xml:space="preserve">and </w:t>
      </w:r>
      <w:r w:rsidR="00675584">
        <w:t xml:space="preserve">53,000 electricity customers. </w:t>
      </w:r>
      <w:r w:rsidR="00702DC4">
        <w:t>C</w:t>
      </w:r>
      <w:r w:rsidR="00675584">
        <w:t xml:space="preserve">ustomers </w:t>
      </w:r>
      <w:r w:rsidR="00857553">
        <w:t xml:space="preserve">paying </w:t>
      </w:r>
      <w:r w:rsidR="00702DC4">
        <w:t xml:space="preserve">10% above the VDO could save </w:t>
      </w:r>
      <w:r w:rsidR="00BC5293">
        <w:t xml:space="preserve">on average </w:t>
      </w:r>
      <w:r w:rsidR="00702DC4">
        <w:t>$229</w:t>
      </w:r>
      <w:r w:rsidR="00857553">
        <w:t xml:space="preserve"> </w:t>
      </w:r>
      <w:r w:rsidR="007D7F41">
        <w:t>per year</w:t>
      </w:r>
      <w:r w:rsidR="00C527C5">
        <w:t xml:space="preserve">, while customers paying </w:t>
      </w:r>
      <w:r w:rsidR="00857553">
        <w:t>25% above the VDO</w:t>
      </w:r>
      <w:r w:rsidR="00C21475">
        <w:t xml:space="preserve"> </w:t>
      </w:r>
      <w:r w:rsidR="001E2297">
        <w:t xml:space="preserve">could </w:t>
      </w:r>
      <w:r w:rsidR="00C527C5">
        <w:t>save</w:t>
      </w:r>
      <w:r w:rsidR="001E2297">
        <w:t xml:space="preserve"> on average $365 </w:t>
      </w:r>
      <w:r w:rsidR="004868E9">
        <w:t xml:space="preserve">annually </w:t>
      </w:r>
      <w:r w:rsidR="00C527C5">
        <w:t>(depending on the retailer they are with)</w:t>
      </w:r>
      <w:r w:rsidR="001E2297">
        <w:t xml:space="preserve">. </w:t>
      </w:r>
      <w:r w:rsidR="00E55015">
        <w:t>Collectively, t</w:t>
      </w:r>
      <w:r w:rsidR="00E63F21">
        <w:t xml:space="preserve">his </w:t>
      </w:r>
      <w:r w:rsidR="00E55015">
        <w:t>reform</w:t>
      </w:r>
      <w:r w:rsidR="00E63F21">
        <w:t xml:space="preserve"> </w:t>
      </w:r>
      <w:r w:rsidR="004340CD">
        <w:t>is estimated to deliver</w:t>
      </w:r>
      <w:r w:rsidR="00E63F21">
        <w:t xml:space="preserve"> </w:t>
      </w:r>
      <w:r w:rsidR="00B50067">
        <w:t xml:space="preserve">customer savings of </w:t>
      </w:r>
      <w:r w:rsidR="00E55015">
        <w:t xml:space="preserve">between </w:t>
      </w:r>
      <w:r w:rsidR="00E63F21">
        <w:t>$</w:t>
      </w:r>
      <w:r w:rsidR="007605DC">
        <w:t xml:space="preserve">10.1 million and </w:t>
      </w:r>
      <w:r w:rsidR="00631773">
        <w:t>$</w:t>
      </w:r>
      <w:r w:rsidR="007605DC">
        <w:t xml:space="preserve">12.2 million </w:t>
      </w:r>
      <w:r w:rsidR="00B50067">
        <w:t>in a year</w:t>
      </w:r>
      <w:r w:rsidR="00E63F21">
        <w:t>.</w:t>
      </w:r>
    </w:p>
    <w:p w14:paraId="0B374685" w14:textId="52878C40" w:rsidR="00655F28" w:rsidDel="00B50067" w:rsidRDefault="001C41C8" w:rsidP="00AA56FF">
      <w:r>
        <w:t>O</w:t>
      </w:r>
      <w:r w:rsidR="00655F28">
        <w:t xml:space="preserve">ther proposed reforms </w:t>
      </w:r>
      <w:r>
        <w:t>are also expected to</w:t>
      </w:r>
      <w:r w:rsidR="00655F28">
        <w:t xml:space="preserve"> benefi</w:t>
      </w:r>
      <w:r>
        <w:t>t</w:t>
      </w:r>
      <w:r w:rsidR="00655F28">
        <w:t xml:space="preserve"> customers but will depend on </w:t>
      </w:r>
      <w:r w:rsidR="004377B3">
        <w:t>how</w:t>
      </w:r>
      <w:r w:rsidR="00655F28">
        <w:t xml:space="preserve"> customers respond to the changes. For example, more customers </w:t>
      </w:r>
      <w:r w:rsidR="00C9511F">
        <w:t xml:space="preserve">who are not currently on their retailer’s best offer </w:t>
      </w:r>
      <w:r w:rsidR="00655F28">
        <w:t>may actively switch to th</w:t>
      </w:r>
      <w:r w:rsidR="002B6901">
        <w:t>e</w:t>
      </w:r>
      <w:r w:rsidR="00655F28">
        <w:t xml:space="preserve"> best offer</w:t>
      </w:r>
      <w:r w:rsidR="002738DC">
        <w:t xml:space="preserve">. As </w:t>
      </w:r>
      <w:r w:rsidR="005049EB">
        <w:t xml:space="preserve">outlined in Section 5.3.5, </w:t>
      </w:r>
      <w:r w:rsidR="00655F28">
        <w:t xml:space="preserve">our </w:t>
      </w:r>
      <w:r w:rsidR="00AA56FF">
        <w:t xml:space="preserve">analysis suggests that </w:t>
      </w:r>
      <w:r w:rsidR="00655F28">
        <w:t xml:space="preserve">the average </w:t>
      </w:r>
      <w:r w:rsidR="00B57B05">
        <w:t xml:space="preserve">electricity customer </w:t>
      </w:r>
      <w:r w:rsidR="00D72E13">
        <w:t xml:space="preserve">not on the best offer could save $225 annually </w:t>
      </w:r>
      <w:r w:rsidR="00BF64E3">
        <w:t xml:space="preserve">from making this switch, while the average gas customer could save </w:t>
      </w:r>
      <w:r w:rsidR="00CE1729">
        <w:t>around $182.</w:t>
      </w:r>
      <w:r w:rsidR="00AA56FF">
        <w:t xml:space="preserve"> </w:t>
      </w:r>
      <w:r w:rsidR="00025682">
        <w:t xml:space="preserve">More </w:t>
      </w:r>
      <w:r w:rsidR="00655F28">
        <w:t xml:space="preserve">customers may </w:t>
      </w:r>
      <w:r w:rsidR="0074132C">
        <w:t xml:space="preserve">also </w:t>
      </w:r>
      <w:r w:rsidR="004377B3">
        <w:t>access</w:t>
      </w:r>
      <w:r w:rsidR="00025682">
        <w:t xml:space="preserve"> energy concessions</w:t>
      </w:r>
      <w:r w:rsidR="00655F28">
        <w:t xml:space="preserve"> </w:t>
      </w:r>
      <w:r w:rsidR="00025682">
        <w:t xml:space="preserve">and receive the benefits they </w:t>
      </w:r>
      <w:r w:rsidR="00C84F8C">
        <w:t xml:space="preserve">are </w:t>
      </w:r>
      <w:r w:rsidR="00025682">
        <w:t>entitled</w:t>
      </w:r>
      <w:r w:rsidR="00C04330">
        <w:t xml:space="preserve"> to</w:t>
      </w:r>
      <w:r w:rsidR="00025682">
        <w:t>.</w:t>
      </w:r>
    </w:p>
    <w:p w14:paraId="3B1CC66D" w14:textId="0CF1BB7F" w:rsidR="00AA56FF" w:rsidRDefault="00AA56FF" w:rsidP="00AA56FF">
      <w:r>
        <w:t xml:space="preserve">Many Victorian customers will also benefit from being </w:t>
      </w:r>
      <w:r w:rsidR="00111601">
        <w:t xml:space="preserve">directly </w:t>
      </w:r>
      <w:r>
        <w:t>supported by retailers. Customers face costs when spending time engaging with the energy market. A reduction in customer transaction costs will be a genuine benefit for consumers.</w:t>
      </w:r>
      <w:r>
        <w:rPr>
          <w:rStyle w:val="FootnoteReference"/>
        </w:rPr>
        <w:footnoteReference w:id="252"/>
      </w:r>
      <w:r w:rsidR="00A13863">
        <w:t xml:space="preserve"> </w:t>
      </w:r>
      <w:r w:rsidR="00E6796A">
        <w:t xml:space="preserve">This will also provide benefits due to </w:t>
      </w:r>
      <w:r w:rsidR="00A13863">
        <w:t>improved consumer trust in the energy sector.</w:t>
      </w:r>
    </w:p>
    <w:p w14:paraId="2CC1B47D" w14:textId="20C34AF6" w:rsidR="00AA56FF" w:rsidRDefault="00AA56FF" w:rsidP="00AA56FF">
      <w:pPr>
        <w:pStyle w:val="Heading4"/>
      </w:pPr>
      <w:r>
        <w:t>Small business impacts (consumers)</w:t>
      </w:r>
    </w:p>
    <w:p w14:paraId="1E35EB3D" w14:textId="3B3D87E2" w:rsidR="00AA56FF" w:rsidRDefault="00AA56FF" w:rsidP="00AA56FF">
      <w:r>
        <w:t xml:space="preserve">Small business customers will benefit from proposed reforms, particularly </w:t>
      </w:r>
      <w:r w:rsidR="00DA3039">
        <w:t xml:space="preserve">from new rules on </w:t>
      </w:r>
      <w:r w:rsidR="0048761A">
        <w:t xml:space="preserve">payment methods, </w:t>
      </w:r>
      <w:r>
        <w:t xml:space="preserve">discounting practices, and supporting customers </w:t>
      </w:r>
      <w:r w:rsidR="00DA3039">
        <w:t xml:space="preserve">to </w:t>
      </w:r>
      <w:r>
        <w:t xml:space="preserve">switch to the best offer. </w:t>
      </w:r>
      <w:r w:rsidR="00A8252A">
        <w:t xml:space="preserve">Small businesses will also benefit from protections for </w:t>
      </w:r>
      <w:r w:rsidR="000F00B3">
        <w:t>customers on older contracts paying high prices.</w:t>
      </w:r>
    </w:p>
    <w:p w14:paraId="158E561C" w14:textId="4292AEA3" w:rsidR="00AA56FF" w:rsidRDefault="00AA56FF" w:rsidP="00AA56FF">
      <w:r>
        <w:t>However, small business customers will not benefit from reforms that directly support residential consumers experiencing payment difficulty</w:t>
      </w:r>
      <w:r w:rsidR="00AE7164">
        <w:t>, such as automatic switches to the best offer</w:t>
      </w:r>
      <w:r>
        <w:t>. Existing protections for payment difficulty (including energy concessions) are only for residential customers.</w:t>
      </w:r>
    </w:p>
    <w:p w14:paraId="108A2693" w14:textId="77777777" w:rsidR="00AA56FF" w:rsidRDefault="00AA56FF" w:rsidP="00AA56FF">
      <w:pPr>
        <w:pStyle w:val="Heading2numbered"/>
      </w:pPr>
      <w:bookmarkStart w:id="345" w:name="_Toc197959479"/>
      <w:r>
        <w:lastRenderedPageBreak/>
        <w:t>Impact on energy retailers</w:t>
      </w:r>
      <w:bookmarkEnd w:id="345"/>
    </w:p>
    <w:p w14:paraId="2634372E" w14:textId="7B06E60B" w:rsidR="00C27495" w:rsidRDefault="00C27495" w:rsidP="00C27495">
      <w:pPr>
        <w:pStyle w:val="Heading4"/>
      </w:pPr>
      <w:r>
        <w:t>Implementation costs</w:t>
      </w:r>
    </w:p>
    <w:p w14:paraId="4A4240B2" w14:textId="1F463776" w:rsidR="000C7C63" w:rsidRDefault="00AA56FF" w:rsidP="00AA56FF">
      <w:r>
        <w:t xml:space="preserve">While industry data was not readily obtainable, some retailers suggested that costs to change billing systems can be </w:t>
      </w:r>
      <w:r w:rsidR="008472A9">
        <w:t>substantial</w:t>
      </w:r>
      <w:r>
        <w:t xml:space="preserve">. </w:t>
      </w:r>
      <w:r w:rsidR="000C7C63">
        <w:t xml:space="preserve">Retailers may also face increased compliance costs to implement staff training, legal fees, and systems updates. </w:t>
      </w:r>
      <w:r>
        <w:t>These impacts will depend on each retailer’s individual systems</w:t>
      </w:r>
      <w:r w:rsidR="00BC497D">
        <w:t xml:space="preserve"> and processes,</w:t>
      </w:r>
      <w:r>
        <w:t xml:space="preserve"> and its response to the reforms. </w:t>
      </w:r>
    </w:p>
    <w:p w14:paraId="2548F263" w14:textId="5B50DB37" w:rsidR="00BB25A6" w:rsidRDefault="00BB25A6" w:rsidP="000C7C63">
      <w:r>
        <w:t xml:space="preserve">While the proposed changes will add to the </w:t>
      </w:r>
      <w:r w:rsidR="003715E3">
        <w:t>cost of regulation</w:t>
      </w:r>
      <w:r>
        <w:t xml:space="preserve"> and increase </w:t>
      </w:r>
      <w:r w:rsidR="006C6421">
        <w:t xml:space="preserve">the </w:t>
      </w:r>
      <w:r>
        <w:t>cost of doing business</w:t>
      </w:r>
      <w:r w:rsidR="006C6421">
        <w:t xml:space="preserve">, </w:t>
      </w:r>
      <w:r>
        <w:t xml:space="preserve">these costs </w:t>
      </w:r>
      <w:r w:rsidR="006C6421">
        <w:t>are expected to</w:t>
      </w:r>
      <w:r>
        <w:t xml:space="preserve"> </w:t>
      </w:r>
      <w:r w:rsidR="002E0662">
        <w:t>be</w:t>
      </w:r>
      <w:r>
        <w:t xml:space="preserve"> a small proportion of total business costs. </w:t>
      </w:r>
      <w:r w:rsidR="002E0662">
        <w:t xml:space="preserve">We recognise that these </w:t>
      </w:r>
      <w:r>
        <w:t>cost</w:t>
      </w:r>
      <w:r w:rsidR="002E0662">
        <w:t>s</w:t>
      </w:r>
      <w:r>
        <w:t xml:space="preserve"> </w:t>
      </w:r>
      <w:r w:rsidR="002E0662">
        <w:t>can affect</w:t>
      </w:r>
      <w:r>
        <w:t xml:space="preserve"> investment decisions and service and staffing levels. </w:t>
      </w:r>
    </w:p>
    <w:p w14:paraId="723039F1" w14:textId="104C660F" w:rsidR="00AA56FF" w:rsidRDefault="00F53446" w:rsidP="00AA56FF">
      <w:r>
        <w:t xml:space="preserve">The impact of some reforms </w:t>
      </w:r>
      <w:r w:rsidR="002E0662">
        <w:t xml:space="preserve">will </w:t>
      </w:r>
      <w:r>
        <w:t xml:space="preserve">vary across energy retailers. </w:t>
      </w:r>
      <w:r w:rsidR="00B87F8C">
        <w:t>As mentioned in section 1.2.3, there are three large retailers in Victoria (AGL, Origin Energy and EnergyAustralia) that account for the majority of residential and small business customers. Medium (between one to five per cent market share) and small (less than one per cent market share) retailers account for the remainder of Victorian customers.</w:t>
      </w:r>
      <w:r w:rsidR="00E30EB0">
        <w:rPr>
          <w:rStyle w:val="FootnoteReference"/>
        </w:rPr>
        <w:footnoteReference w:id="253"/>
      </w:r>
      <w:r w:rsidR="00B87F8C">
        <w:t xml:space="preserve"> </w:t>
      </w:r>
      <w:r w:rsidR="00233AAB">
        <w:t>R</w:t>
      </w:r>
      <w:r w:rsidR="00AA56FF">
        <w:t xml:space="preserve">etailers who have more customers affected </w:t>
      </w:r>
      <w:r>
        <w:t xml:space="preserve">by </w:t>
      </w:r>
      <w:r w:rsidR="00AA56FF">
        <w:t>the reforms (and benefit from the reforms) are likely to face greater implementation costs. Retailers could also take preventative measures to limit implementation costs.</w:t>
      </w:r>
    </w:p>
    <w:p w14:paraId="46A663BF" w14:textId="10D08F71" w:rsidR="00AA56FF" w:rsidRDefault="00AA56FF" w:rsidP="00AA56FF">
      <w:pPr>
        <w:pStyle w:val="Heading4"/>
      </w:pPr>
      <w:r>
        <w:t>Potential impact on the energy retail market</w:t>
      </w:r>
    </w:p>
    <w:p w14:paraId="1BD93220" w14:textId="6992E53C" w:rsidR="00767907" w:rsidRPr="001D3D11" w:rsidRDefault="00767907" w:rsidP="00627A81">
      <w:r w:rsidRPr="001D3D11">
        <w:t>Our proposed reforms aim to address key problems in the energy retail market that result in acute harm to consumers</w:t>
      </w:r>
      <w:r w:rsidR="008F57C5">
        <w:t xml:space="preserve">, </w:t>
      </w:r>
      <w:r w:rsidRPr="001D3D11">
        <w:t>erod</w:t>
      </w:r>
      <w:r w:rsidR="008F57C5">
        <w:t>ing</w:t>
      </w:r>
      <w:r w:rsidRPr="001D3D11">
        <w:t xml:space="preserve"> consumer trust </w:t>
      </w:r>
      <w:r w:rsidR="00EC1BA0">
        <w:t>in</w:t>
      </w:r>
      <w:r w:rsidR="00D71B7A" w:rsidRPr="001D3D11">
        <w:t xml:space="preserve"> the energy </w:t>
      </w:r>
      <w:r w:rsidR="00A41FB5">
        <w:t>market</w:t>
      </w:r>
      <w:r w:rsidR="00D71B7A" w:rsidRPr="001D3D11">
        <w:t>.</w:t>
      </w:r>
      <w:r w:rsidR="00D2402A" w:rsidRPr="001D3D11">
        <w:t xml:space="preserve"> This is particularly </w:t>
      </w:r>
      <w:r w:rsidR="008F57C5">
        <w:t xml:space="preserve">relevant </w:t>
      </w:r>
      <w:r w:rsidR="00D2402A" w:rsidRPr="001D3D11">
        <w:t>whe</w:t>
      </w:r>
      <w:r w:rsidR="00F86F78">
        <w:t xml:space="preserve">n consumers experiencing </w:t>
      </w:r>
      <w:r w:rsidR="00A41FB5">
        <w:t>payment difficulty</w:t>
      </w:r>
      <w:r w:rsidR="00F86F78">
        <w:t xml:space="preserve"> </w:t>
      </w:r>
      <w:r w:rsidR="00955EC5">
        <w:t xml:space="preserve">or other vulnerabilities </w:t>
      </w:r>
      <w:r w:rsidR="00F86F78">
        <w:t>are impacted</w:t>
      </w:r>
      <w:r w:rsidR="008A35ED">
        <w:t xml:space="preserve">, including </w:t>
      </w:r>
      <w:r w:rsidR="00D2402A" w:rsidRPr="001D3D11">
        <w:t xml:space="preserve">customers paying unreasonably higher prices </w:t>
      </w:r>
      <w:r w:rsidR="00011365">
        <w:t>and</w:t>
      </w:r>
      <w:r w:rsidR="00D2402A" w:rsidRPr="001D3D11">
        <w:t xml:space="preserve"> </w:t>
      </w:r>
      <w:r w:rsidR="008C7A5A">
        <w:t>those</w:t>
      </w:r>
      <w:r w:rsidR="001B2365" w:rsidRPr="001D3D11">
        <w:t xml:space="preserve"> </w:t>
      </w:r>
      <w:r w:rsidR="00011365">
        <w:t>receiving tailored</w:t>
      </w:r>
      <w:r w:rsidR="001B2365" w:rsidRPr="001D3D11">
        <w:t xml:space="preserve"> </w:t>
      </w:r>
      <w:r w:rsidR="002C6F73">
        <w:t>assistance</w:t>
      </w:r>
      <w:r w:rsidR="00011365">
        <w:t xml:space="preserve"> </w:t>
      </w:r>
      <w:r w:rsidR="001C185A">
        <w:t>but</w:t>
      </w:r>
      <w:r w:rsidR="001B2365" w:rsidRPr="001D3D11">
        <w:t xml:space="preserve"> are not on their retailer’s best offer (</w:t>
      </w:r>
      <w:r w:rsidR="00385B2B" w:rsidRPr="001D3D11">
        <w:t>sections 2.1.1 and 2.1.2)</w:t>
      </w:r>
      <w:r w:rsidR="001B2365" w:rsidRPr="001D3D11">
        <w:t>.</w:t>
      </w:r>
    </w:p>
    <w:p w14:paraId="00977971" w14:textId="7CD81485" w:rsidR="00627A81" w:rsidRPr="001D3D11" w:rsidRDefault="008B5B6F" w:rsidP="00627A81">
      <w:r w:rsidRPr="001D3D11">
        <w:t xml:space="preserve">In these cases, retailers are </w:t>
      </w:r>
      <w:r w:rsidR="006D1868">
        <w:t xml:space="preserve">generating additional </w:t>
      </w:r>
      <w:r w:rsidRPr="001D3D11">
        <w:t>revenue from customers</w:t>
      </w:r>
      <w:r w:rsidR="00B750B3">
        <w:t xml:space="preserve"> </w:t>
      </w:r>
      <w:r w:rsidR="00955EC5">
        <w:t xml:space="preserve">experiencing vulnerability </w:t>
      </w:r>
      <w:r w:rsidRPr="001D3D11">
        <w:t xml:space="preserve">who cannot </w:t>
      </w:r>
      <w:r w:rsidR="00606227" w:rsidRPr="001D3D11">
        <w:t xml:space="preserve">engage with the </w:t>
      </w:r>
      <w:r w:rsidR="0019440B">
        <w:t xml:space="preserve">energy </w:t>
      </w:r>
      <w:r w:rsidR="00606227" w:rsidRPr="001D3D11">
        <w:t xml:space="preserve">market. </w:t>
      </w:r>
      <w:r w:rsidR="00F3074B">
        <w:t xml:space="preserve"> </w:t>
      </w:r>
    </w:p>
    <w:p w14:paraId="709797CE" w14:textId="46077697" w:rsidR="004D751A" w:rsidRDefault="004D751A" w:rsidP="004D751A">
      <w:r>
        <w:t xml:space="preserve">Some of our reforms (particularly those outlined in chapters 5, 6, 8 and 10) are designed to reduce consumer harm by addressing pricing practices that disadvantage disengaged or vulnerable customers. These </w:t>
      </w:r>
      <w:r w:rsidR="00182F8C">
        <w:t>proposed</w:t>
      </w:r>
      <w:r>
        <w:t xml:space="preserve"> changes may reduce revenue for some retailers as affected customers move to fairer prices. Retailers may seek to recover some of this lost revenue by increasing prices for other customers, but their ability to do so is constrained by effective competition. In such cases, this represents a redistribution of revenue between customers, not an overall increase in system-wide costs.</w:t>
      </w:r>
    </w:p>
    <w:p w14:paraId="362FB795" w14:textId="34A8A56F" w:rsidR="009F5B66" w:rsidRPr="001D3D11" w:rsidRDefault="004D751A" w:rsidP="004D751A">
      <w:r>
        <w:lastRenderedPageBreak/>
        <w:t xml:space="preserve">It is important to note that retailers already segment their customer base and price differently across groups. To the extent that retailers absorb some of the foregone revenue, this has been treated as a cost to them in our MCA assessment. </w:t>
      </w:r>
      <w:r w:rsidR="00325A9F">
        <w:t>The MCA considers bo</w:t>
      </w:r>
      <w:r w:rsidR="005308E7">
        <w:t>th foregone revenue and costs transferred</w:t>
      </w:r>
      <w:r w:rsidR="002501AC">
        <w:t xml:space="preserve"> to other customers</w:t>
      </w:r>
      <w:r w:rsidR="00727DA4">
        <w:t xml:space="preserve">. </w:t>
      </w:r>
      <w:r>
        <w:t>However, these costs are offset by the savings to customers benefit</w:t>
      </w:r>
      <w:r w:rsidR="00ED2500">
        <w:t>t</w:t>
      </w:r>
      <w:r>
        <w:t>ing from the reforms. As a result, the reforms are not expected to lead to additional overall costs</w:t>
      </w:r>
      <w:r w:rsidR="00B87B39">
        <w:t>,</w:t>
      </w:r>
      <w:r w:rsidR="00E40B51">
        <w:t xml:space="preserve"> </w:t>
      </w:r>
      <w:r>
        <w:t>but they will ensure that vulnerable customers are protected from overpaying and that long-term customers currently paying a ‘loyalty penalty’ face fairer pricing.</w:t>
      </w:r>
    </w:p>
    <w:p w14:paraId="7CA16586" w14:textId="35D5E265" w:rsidR="00874472" w:rsidRDefault="00C1116A" w:rsidP="00563B37">
      <w:r w:rsidRPr="000F3521">
        <w:t xml:space="preserve">Our analysis indicates that only a few retailers </w:t>
      </w:r>
      <w:r w:rsidR="00B654E6" w:rsidRPr="000F3521">
        <w:t>have</w:t>
      </w:r>
      <w:r w:rsidR="00AD6ECE" w:rsidRPr="000F3521">
        <w:t xml:space="preserve"> a larger proportion of their customers</w:t>
      </w:r>
      <w:r w:rsidR="002D44E4" w:rsidRPr="000F3521">
        <w:t xml:space="preserve"> impacted by these </w:t>
      </w:r>
      <w:r w:rsidR="00E84E3F" w:rsidRPr="000F3521">
        <w:t xml:space="preserve">business </w:t>
      </w:r>
      <w:r w:rsidR="006F1A75" w:rsidRPr="000F3521">
        <w:t>practices</w:t>
      </w:r>
      <w:r w:rsidR="00AD6ECE" w:rsidRPr="000F3521">
        <w:t xml:space="preserve">. </w:t>
      </w:r>
      <w:r w:rsidR="000814FD" w:rsidRPr="000F3521">
        <w:t xml:space="preserve">The new proposed rules will require all retailers </w:t>
      </w:r>
      <w:r w:rsidR="00627A81" w:rsidRPr="000F3521">
        <w:t>to compete more fairly</w:t>
      </w:r>
      <w:r w:rsidR="000814FD" w:rsidRPr="000F3521">
        <w:t xml:space="preserve"> for customers</w:t>
      </w:r>
      <w:r w:rsidR="00C61302" w:rsidRPr="000F3521">
        <w:t xml:space="preserve">, restricting cross-subsidisation and protecting </w:t>
      </w:r>
      <w:r w:rsidR="000814FD" w:rsidRPr="000F3521">
        <w:t>existing customers</w:t>
      </w:r>
      <w:r w:rsidR="00627A81" w:rsidRPr="000F3521">
        <w:t xml:space="preserve">. </w:t>
      </w:r>
      <w:r w:rsidR="00AF4268" w:rsidRPr="000F3521">
        <w:t>T</w:t>
      </w:r>
      <w:r w:rsidR="00A26208" w:rsidRPr="000F3521">
        <w:t xml:space="preserve">he </w:t>
      </w:r>
      <w:r w:rsidR="00563B37" w:rsidRPr="000F3521">
        <w:t xml:space="preserve">few retailers </w:t>
      </w:r>
      <w:r w:rsidR="00A26208" w:rsidRPr="000F3521">
        <w:t xml:space="preserve">that </w:t>
      </w:r>
      <w:r w:rsidR="00D429B8" w:rsidRPr="000F3521">
        <w:t>are more affected</w:t>
      </w:r>
      <w:r w:rsidR="00A26208" w:rsidRPr="000F3521">
        <w:t xml:space="preserve"> </w:t>
      </w:r>
      <w:r w:rsidR="00AF4268" w:rsidRPr="000F3521">
        <w:t>would</w:t>
      </w:r>
      <w:r w:rsidR="00563B37" w:rsidRPr="000F3521">
        <w:t xml:space="preserve"> need to consider whether to pass on </w:t>
      </w:r>
      <w:r w:rsidR="00963519" w:rsidRPr="000F3521">
        <w:t>reductions in</w:t>
      </w:r>
      <w:r w:rsidR="00563B37" w:rsidRPr="000F3521">
        <w:t xml:space="preserve"> revenue to other customers. Some retailers may choose to directly bear these costs. </w:t>
      </w:r>
      <w:r w:rsidR="007B59C7" w:rsidRPr="000F3521">
        <w:t>Other r</w:t>
      </w:r>
      <w:r w:rsidR="00874472" w:rsidRPr="000F3521">
        <w:t xml:space="preserve">etailers may pass through some or all implementation costs to </w:t>
      </w:r>
      <w:r w:rsidR="008C5122" w:rsidRPr="000F3521">
        <w:t>their</w:t>
      </w:r>
      <w:r w:rsidR="00874472" w:rsidRPr="000F3521">
        <w:t xml:space="preserve"> customers. Such a cost pass-through will be spread across a larger customer base</w:t>
      </w:r>
      <w:r w:rsidR="00AC5BBC">
        <w:t xml:space="preserve">. </w:t>
      </w:r>
      <w:r w:rsidR="00AC5BBC" w:rsidRPr="00AC5BBC">
        <w:t xml:space="preserve">While it’s not possible to quantify </w:t>
      </w:r>
      <w:r w:rsidR="008E757B">
        <w:t xml:space="preserve">the impact of passing costs through to </w:t>
      </w:r>
      <w:r w:rsidR="007F37D1">
        <w:t>other customers</w:t>
      </w:r>
      <w:r w:rsidR="00AC5BBC" w:rsidRPr="00AC5BBC">
        <w:t xml:space="preserve">, </w:t>
      </w:r>
      <w:r w:rsidR="009212A7">
        <w:t xml:space="preserve">noting that retailers’ behaviour and business decisions </w:t>
      </w:r>
      <w:r w:rsidR="00874FEF">
        <w:t xml:space="preserve">cannot be predicted and any analysis would be </w:t>
      </w:r>
      <w:r w:rsidR="009212A7">
        <w:t xml:space="preserve">highly </w:t>
      </w:r>
      <w:r w:rsidR="004D29C5">
        <w:t>speculative</w:t>
      </w:r>
      <w:r w:rsidR="009212A7">
        <w:t xml:space="preserve">, we expect </w:t>
      </w:r>
      <w:r w:rsidR="004D29C5">
        <w:t>potential</w:t>
      </w:r>
      <w:r w:rsidR="000D5B36">
        <w:t xml:space="preserve"> cost transfer</w:t>
      </w:r>
      <w:r w:rsidR="004D29C5">
        <w:t>s</w:t>
      </w:r>
      <w:r w:rsidR="000D5B36">
        <w:t xml:space="preserve"> to result</w:t>
      </w:r>
      <w:r w:rsidR="00874472" w:rsidRPr="000F3521">
        <w:t xml:space="preserve"> in relatively small to moderate bill increases. For example, our analysis suggests that </w:t>
      </w:r>
      <w:r w:rsidR="004D29C5">
        <w:t>for the most impact</w:t>
      </w:r>
      <w:r w:rsidR="00AF4F12">
        <w:t>f</w:t>
      </w:r>
      <w:r w:rsidR="004D29C5">
        <w:t>ul proposed reform (automatically switching eli</w:t>
      </w:r>
      <w:r w:rsidR="00AF4F12">
        <w:t>gi</w:t>
      </w:r>
      <w:r w:rsidR="004D29C5">
        <w:t xml:space="preserve">ble </w:t>
      </w:r>
      <w:r w:rsidR="00AF4F12">
        <w:t>customers</w:t>
      </w:r>
      <w:r w:rsidR="004D29C5">
        <w:t xml:space="preserve"> to the best offer)</w:t>
      </w:r>
      <w:r w:rsidR="00105243">
        <w:t xml:space="preserve">, </w:t>
      </w:r>
      <w:r w:rsidR="00874472" w:rsidRPr="000F3521">
        <w:t>under Option AA.2, if costs are fully passed through to other customers, this could result in average bill increases of 0.4 per cent for electricity customers and 0.26 per cent for gas customers.</w:t>
      </w:r>
      <w:r w:rsidR="00874472" w:rsidRPr="000F3521">
        <w:rPr>
          <w:rStyle w:val="FootnoteReference"/>
        </w:rPr>
        <w:footnoteReference w:id="254"/>
      </w:r>
      <w:r w:rsidR="00874472" w:rsidRPr="000F3521">
        <w:t xml:space="preserve"> </w:t>
      </w:r>
      <w:r w:rsidR="00C272D9" w:rsidRPr="000F3521">
        <w:t xml:space="preserve">Actual </w:t>
      </w:r>
      <w:r w:rsidR="00527EAC" w:rsidRPr="000F3521">
        <w:t>cost transfers are likely to be lower as</w:t>
      </w:r>
      <w:r w:rsidR="00C272D9" w:rsidRPr="000F3521">
        <w:t xml:space="preserve"> </w:t>
      </w:r>
      <w:r w:rsidR="00847540" w:rsidRPr="000F3521">
        <w:t>retailers</w:t>
      </w:r>
      <w:r w:rsidR="00874472" w:rsidRPr="000F3521">
        <w:t xml:space="preserve"> may choose to limit passing costs onto other customers in response to competitive pressures.</w:t>
      </w:r>
    </w:p>
    <w:p w14:paraId="396ECC05" w14:textId="01354DFF" w:rsidR="00AA56FF" w:rsidRDefault="001D3D11" w:rsidP="00AA56FF">
      <w:r>
        <w:t>We also note that t</w:t>
      </w:r>
      <w:r w:rsidR="00AA56FF">
        <w:t xml:space="preserve">he retail energy market is already a highly regulated sector. Some of the proposed reforms in Victoria are </w:t>
      </w:r>
      <w:r w:rsidR="00DA4F32">
        <w:t xml:space="preserve">similar to </w:t>
      </w:r>
      <w:r w:rsidR="00AA56FF">
        <w:t xml:space="preserve">changes </w:t>
      </w:r>
      <w:r w:rsidR="007951BC">
        <w:t xml:space="preserve">in other </w:t>
      </w:r>
      <w:r w:rsidR="001E5DC5">
        <w:t>jurisdictions</w:t>
      </w:r>
      <w:r w:rsidR="00AA56FF">
        <w:t xml:space="preserve"> that the AEMC is currently consulting on. It is unlikely </w:t>
      </w:r>
      <w:r w:rsidR="00B13EF8">
        <w:t xml:space="preserve">that </w:t>
      </w:r>
      <w:r w:rsidR="00AA56FF">
        <w:t xml:space="preserve">the Victorian </w:t>
      </w:r>
      <w:r w:rsidR="00B13EF8">
        <w:t xml:space="preserve">energy </w:t>
      </w:r>
      <w:r w:rsidR="00AA56FF">
        <w:t>market will be significantly more burdensome than other jurisdictions.</w:t>
      </w:r>
      <w:r w:rsidR="00C33980">
        <w:t xml:space="preserve"> </w:t>
      </w:r>
      <w:r w:rsidR="00AA56FF">
        <w:t>While there is not enough information to assess the impact of the proposed reforms on the retail energy sector, similar reforms in the past have not resulted in structural changes to the sector.</w:t>
      </w:r>
    </w:p>
    <w:p w14:paraId="1E7D1950" w14:textId="01CD9B1D" w:rsidR="00AA56FF" w:rsidRDefault="00AA56FF" w:rsidP="00AA56FF">
      <w:pPr>
        <w:pStyle w:val="Heading4"/>
      </w:pPr>
      <w:r>
        <w:lastRenderedPageBreak/>
        <w:t>Small business impacts (retailers)</w:t>
      </w:r>
    </w:p>
    <w:p w14:paraId="4040CD2E" w14:textId="695B1D0C" w:rsidR="00AA56FF" w:rsidRDefault="00AA56FF" w:rsidP="00AA56FF">
      <w:r>
        <w:t>Small businesses are generally considered those with fewer than 20 employees or turnover of less than $10 million per year.</w:t>
      </w:r>
      <w:r w:rsidRPr="00563489">
        <w:rPr>
          <w:vertAlign w:val="superscript"/>
        </w:rPr>
        <w:footnoteReference w:id="255"/>
      </w:r>
      <w:r>
        <w:t xml:space="preserve"> </w:t>
      </w:r>
      <w:r w:rsidR="009016DF" w:rsidRPr="009016DF">
        <w:t>Noting that we do not have the data to determine how many retailers would meet this definition for a ‘small business</w:t>
      </w:r>
      <w:r w:rsidR="009016DF">
        <w:t>, i</w:t>
      </w:r>
      <w:r w:rsidR="0038683C">
        <w:t>t is unlikely that any retailer</w:t>
      </w:r>
      <w:r w:rsidR="00244487">
        <w:t>s in Victoria</w:t>
      </w:r>
      <w:r w:rsidR="0038683C">
        <w:t xml:space="preserve"> would meet that </w:t>
      </w:r>
      <w:r w:rsidR="006248ED">
        <w:t xml:space="preserve">definition. </w:t>
      </w:r>
      <w:r>
        <w:t>Smaller retailers may experience disproportionate effects from regulatory requirements for a range of reasons, including limited resources to comply with regulatory changes. However, the costs to implement the proposed reforms are likely to be less costly and complex for retailers with fewer customers. For example, some small retailers may have disproportionately few customers experiencing payment difficulty.</w:t>
      </w:r>
      <w:r w:rsidR="000D62A9">
        <w:rPr>
          <w:rStyle w:val="FootnoteReference"/>
        </w:rPr>
        <w:footnoteReference w:id="256"/>
      </w:r>
    </w:p>
    <w:p w14:paraId="2EC12709" w14:textId="0A7A81C2" w:rsidR="00AA56FF" w:rsidRDefault="00AA56FF" w:rsidP="00AA56FF">
      <w:pPr>
        <w:pStyle w:val="Heading2numbered"/>
      </w:pPr>
      <w:bookmarkStart w:id="346" w:name="_Toc196998703"/>
      <w:bookmarkStart w:id="347" w:name="_Toc197355747"/>
      <w:bookmarkStart w:id="348" w:name="_Toc196998704"/>
      <w:bookmarkStart w:id="349" w:name="_Toc197355748"/>
      <w:bookmarkStart w:id="350" w:name="_Toc196998705"/>
      <w:bookmarkStart w:id="351" w:name="_Toc197355749"/>
      <w:bookmarkStart w:id="352" w:name="_Toc196998706"/>
      <w:bookmarkStart w:id="353" w:name="_Toc197355750"/>
      <w:bookmarkStart w:id="354" w:name="_Toc195701932"/>
      <w:bookmarkStart w:id="355" w:name="_Toc197959480"/>
      <w:bookmarkEnd w:id="346"/>
      <w:bookmarkEnd w:id="347"/>
      <w:bookmarkEnd w:id="348"/>
      <w:bookmarkEnd w:id="349"/>
      <w:bookmarkEnd w:id="350"/>
      <w:bookmarkEnd w:id="351"/>
      <w:bookmarkEnd w:id="352"/>
      <w:bookmarkEnd w:id="353"/>
      <w:bookmarkEnd w:id="354"/>
      <w:r>
        <w:t>Competition impacts</w:t>
      </w:r>
      <w:bookmarkEnd w:id="355"/>
    </w:p>
    <w:p w14:paraId="0F86C1CD" w14:textId="77777777" w:rsidR="00AA56FF" w:rsidRDefault="00AA56FF" w:rsidP="00AA56FF">
      <w:r>
        <w:t>Victoria is party to the Competition Principles Agreement, which requires that any new primary or subordinate legislation should not restrict competition unless it can be demonstrated that the Government’s objectives can only be achieved by restricting competition and that the benefits of the restriction outweigh the costs.</w:t>
      </w:r>
    </w:p>
    <w:p w14:paraId="3FC59383" w14:textId="3B216FC3" w:rsidR="00AA56FF" w:rsidRDefault="00AA56FF" w:rsidP="00AA56FF">
      <w:r>
        <w:t>In some cases, regulation can affect competition by preventing or limiting the ability of businesses and individuals to enter and compete within particular markets. The primary cost of a restriction on competition is that it can reduce the incentives for businesses to act in ways that benefit consumers, which can result in lower innovation and productivity, reduced choice of products and/or higher prices.</w:t>
      </w:r>
    </w:p>
    <w:p w14:paraId="19B8F1B8" w14:textId="0CC95CB1" w:rsidR="00AA56FF" w:rsidRDefault="00AA56FF" w:rsidP="00AA56FF">
      <w:r>
        <w:t xml:space="preserve">Ways in which regulations may restrict competition include creating barriers to entry for new firms, controls on the amount, quality or price of products or services, increases in business costs for some firms but not others or otherwise advantaging some firms over others in the same market. </w:t>
      </w:r>
    </w:p>
    <w:p w14:paraId="4CE71DF9" w14:textId="5924AB19" w:rsidR="00CE322E" w:rsidRDefault="00E86F0D" w:rsidP="00AA56FF">
      <w:r>
        <w:t>On the other hand, regulation</w:t>
      </w:r>
      <w:r w:rsidR="00CE322E">
        <w:t xml:space="preserve"> </w:t>
      </w:r>
      <w:r w:rsidR="009D7C9B">
        <w:t xml:space="preserve">may improve competition and increase incentives for businesses to act in ways that benefit consumers. </w:t>
      </w:r>
      <w:r w:rsidR="0043703D">
        <w:t>This can</w:t>
      </w:r>
      <w:r>
        <w:t xml:space="preserve"> </w:t>
      </w:r>
      <w:r w:rsidR="00045B75">
        <w:t>be</w:t>
      </w:r>
      <w:r w:rsidR="0043703D">
        <w:t xml:space="preserve"> </w:t>
      </w:r>
      <w:r w:rsidR="00580803">
        <w:t xml:space="preserve">through </w:t>
      </w:r>
      <w:r w:rsidR="00243887">
        <w:t xml:space="preserve">rules requiring </w:t>
      </w:r>
      <w:r w:rsidR="00580803">
        <w:t xml:space="preserve">that all businesses compete on a more level playing field, </w:t>
      </w:r>
      <w:r w:rsidR="00F11B8E">
        <w:t xml:space="preserve">or through preventing firms from unreasonably discriminating between consumer groups. For example, </w:t>
      </w:r>
      <w:r w:rsidR="00E84D1D">
        <w:t xml:space="preserve">by reducing the ability of businesses to </w:t>
      </w:r>
      <w:r w:rsidR="001F54C2">
        <w:t xml:space="preserve">impose </w:t>
      </w:r>
      <w:r w:rsidR="00383A11">
        <w:t>a</w:t>
      </w:r>
      <w:r w:rsidR="001F54C2">
        <w:t xml:space="preserve"> ‘loyalty penalty’ on some customers, </w:t>
      </w:r>
      <w:r w:rsidR="00383A11">
        <w:t xml:space="preserve">regulations may make it easier for </w:t>
      </w:r>
      <w:r w:rsidR="00D5620C">
        <w:t xml:space="preserve">new firms to enter the market or may benefit firms that do not overcharge loyal customers </w:t>
      </w:r>
      <w:r w:rsidR="00C06752">
        <w:t>to subsidise</w:t>
      </w:r>
      <w:r w:rsidR="00D5620C">
        <w:t xml:space="preserve"> cheaper offers to attract new customers.</w:t>
      </w:r>
    </w:p>
    <w:p w14:paraId="671DCD40" w14:textId="77777777" w:rsidR="00AA56FF" w:rsidRDefault="00AA56FF" w:rsidP="00AA56FF">
      <w:r>
        <w:lastRenderedPageBreak/>
        <w:t>The relevant market subject to the competition test is the retail market for electricity and gas services, with consideration for customers of those services.</w:t>
      </w:r>
    </w:p>
    <w:p w14:paraId="0582EE88" w14:textId="5622C906" w:rsidR="00AA56FF" w:rsidRDefault="00AA56FF" w:rsidP="00AA56FF">
      <w:r>
        <w:t>For the purposes of the competition test, a measure is likely to have an impact on competition if any of the questions in the table below can be answered in the affirmative.</w:t>
      </w:r>
    </w:p>
    <w:p w14:paraId="35B0525E" w14:textId="76684090" w:rsidR="00156CC1" w:rsidRPr="002804F4" w:rsidRDefault="00156CC1" w:rsidP="002773DF">
      <w:pPr>
        <w:pStyle w:val="Figure-Table-BoxSubtitle"/>
        <w:ind w:left="0"/>
      </w:pPr>
      <w:r w:rsidRPr="002804F4">
        <w:rPr>
          <w:rStyle w:val="Figure-Table-BoxHeadingChar"/>
        </w:rPr>
        <w:t>Table 3</w:t>
      </w:r>
      <w:r w:rsidR="005F731C" w:rsidRPr="002804F4">
        <w:rPr>
          <w:rStyle w:val="Figure-Table-BoxHeadingChar"/>
        </w:rPr>
        <w:t>6</w:t>
      </w:r>
      <w:r w:rsidRPr="002804F4">
        <w:rPr>
          <w:rStyle w:val="Figure-Table-BoxHeadingChar"/>
        </w:rPr>
        <w:t>:</w:t>
      </w:r>
      <w:r w:rsidRPr="002804F4">
        <w:t xml:space="preserve"> </w:t>
      </w:r>
      <w:r w:rsidR="002E5A72" w:rsidRPr="002804F4">
        <w:t>Competition impact assessment</w:t>
      </w:r>
    </w:p>
    <w:tbl>
      <w:tblPr>
        <w:tblW w:w="9781" w:type="dxa"/>
        <w:tblBorders>
          <w:insideH w:val="single" w:sz="4" w:space="0" w:color="000000"/>
        </w:tblBorders>
        <w:tblCellMar>
          <w:left w:w="0" w:type="dxa"/>
          <w:right w:w="0" w:type="dxa"/>
        </w:tblCellMar>
        <w:tblLook w:val="04A0" w:firstRow="1" w:lastRow="0" w:firstColumn="1" w:lastColumn="0" w:noHBand="0" w:noVBand="1"/>
      </w:tblPr>
      <w:tblGrid>
        <w:gridCol w:w="4111"/>
        <w:gridCol w:w="1701"/>
        <w:gridCol w:w="3969"/>
      </w:tblGrid>
      <w:tr w:rsidR="00AA56FF" w14:paraId="71481BCD" w14:textId="77777777">
        <w:trPr>
          <w:tblHeader/>
        </w:trPr>
        <w:tc>
          <w:tcPr>
            <w:tcW w:w="4111" w:type="dxa"/>
            <w:tcBorders>
              <w:bottom w:val="nil"/>
            </w:tcBorders>
            <w:shd w:val="clear" w:color="auto" w:fill="4986A0"/>
            <w:tcMar>
              <w:top w:w="0" w:type="dxa"/>
              <w:left w:w="118" w:type="dxa"/>
              <w:bottom w:w="0" w:type="dxa"/>
              <w:right w:w="118" w:type="dxa"/>
            </w:tcMar>
            <w:hideMark/>
          </w:tcPr>
          <w:p w14:paraId="411BC511" w14:textId="77777777" w:rsidR="00AA56FF" w:rsidRDefault="00AA56FF">
            <w:pPr>
              <w:keepNext/>
              <w:spacing w:after="70"/>
              <w:rPr>
                <w:color w:val="000000"/>
                <w:sz w:val="20"/>
                <w:szCs w:val="20"/>
              </w:rPr>
            </w:pPr>
            <w:r w:rsidRPr="00800122">
              <w:rPr>
                <w:sz w:val="20"/>
                <w:szCs w:val="20"/>
              </w:rPr>
              <w:t xml:space="preserve"> </w:t>
            </w:r>
            <w:r>
              <w:rPr>
                <w:b/>
                <w:bCs/>
                <w:color w:val="FFFFFF"/>
                <w:sz w:val="20"/>
                <w:szCs w:val="20"/>
              </w:rPr>
              <w:t>Test question</w:t>
            </w:r>
          </w:p>
        </w:tc>
        <w:tc>
          <w:tcPr>
            <w:tcW w:w="1701" w:type="dxa"/>
            <w:tcBorders>
              <w:bottom w:val="nil"/>
            </w:tcBorders>
            <w:shd w:val="clear" w:color="auto" w:fill="4986A0"/>
            <w:tcMar>
              <w:top w:w="0" w:type="dxa"/>
              <w:left w:w="118" w:type="dxa"/>
              <w:bottom w:w="0" w:type="dxa"/>
              <w:right w:w="118" w:type="dxa"/>
            </w:tcMar>
            <w:hideMark/>
          </w:tcPr>
          <w:p w14:paraId="6163E4A8" w14:textId="77777777" w:rsidR="00AA56FF" w:rsidRDefault="00AA56FF">
            <w:pPr>
              <w:keepNext/>
              <w:spacing w:after="70"/>
              <w:jc w:val="center"/>
              <w:rPr>
                <w:color w:val="000000"/>
                <w:sz w:val="20"/>
                <w:szCs w:val="20"/>
              </w:rPr>
            </w:pPr>
            <w:r>
              <w:rPr>
                <w:b/>
                <w:bCs/>
                <w:color w:val="FFFFFF"/>
                <w:sz w:val="20"/>
                <w:szCs w:val="20"/>
              </w:rPr>
              <w:t>Assessment</w:t>
            </w:r>
          </w:p>
        </w:tc>
        <w:tc>
          <w:tcPr>
            <w:tcW w:w="3969" w:type="dxa"/>
            <w:tcBorders>
              <w:bottom w:val="nil"/>
            </w:tcBorders>
            <w:shd w:val="clear" w:color="auto" w:fill="4986A0"/>
            <w:tcMar>
              <w:top w:w="0" w:type="dxa"/>
              <w:left w:w="118" w:type="dxa"/>
              <w:bottom w:w="0" w:type="dxa"/>
              <w:right w:w="118" w:type="dxa"/>
            </w:tcMar>
            <w:hideMark/>
          </w:tcPr>
          <w:p w14:paraId="5047E5CF" w14:textId="77777777" w:rsidR="00AA56FF" w:rsidRDefault="00AA56FF">
            <w:pPr>
              <w:keepNext/>
              <w:spacing w:after="70"/>
              <w:jc w:val="center"/>
              <w:rPr>
                <w:color w:val="000000"/>
                <w:sz w:val="20"/>
                <w:szCs w:val="20"/>
              </w:rPr>
            </w:pPr>
            <w:r>
              <w:rPr>
                <w:b/>
                <w:bCs/>
                <w:color w:val="FFFFFF"/>
                <w:sz w:val="20"/>
                <w:szCs w:val="20"/>
              </w:rPr>
              <w:t>Reason</w:t>
            </w:r>
          </w:p>
        </w:tc>
      </w:tr>
      <w:tr w:rsidR="00AA56FF" w14:paraId="0FCACB8F" w14:textId="77777777">
        <w:tc>
          <w:tcPr>
            <w:tcW w:w="4111" w:type="dxa"/>
            <w:tcBorders>
              <w:top w:val="nil"/>
              <w:bottom w:val="single" w:sz="4" w:space="0" w:color="000000"/>
            </w:tcBorders>
            <w:shd w:val="clear" w:color="auto" w:fill="FFFFFF"/>
            <w:tcMar>
              <w:top w:w="0" w:type="dxa"/>
              <w:left w:w="118" w:type="dxa"/>
              <w:bottom w:w="0" w:type="dxa"/>
              <w:right w:w="118" w:type="dxa"/>
            </w:tcMar>
            <w:hideMark/>
          </w:tcPr>
          <w:p w14:paraId="765F6CFF" w14:textId="77777777" w:rsidR="00AA56FF" w:rsidRDefault="00AA56FF">
            <w:pPr>
              <w:spacing w:before="40" w:after="60"/>
              <w:rPr>
                <w:color w:val="000000"/>
                <w:sz w:val="20"/>
                <w:szCs w:val="20"/>
              </w:rPr>
            </w:pPr>
            <w:r w:rsidRPr="005A4BDD">
              <w:rPr>
                <w:color w:val="000000"/>
                <w:sz w:val="20"/>
                <w:szCs w:val="20"/>
              </w:rPr>
              <w:t xml:space="preserve">Is the proposed measure likely to affect the market structure of the affected sector(s) – </w:t>
            </w:r>
            <w:r>
              <w:rPr>
                <w:color w:val="000000"/>
                <w:sz w:val="20"/>
                <w:szCs w:val="20"/>
              </w:rPr>
              <w:t>that is,</w:t>
            </w:r>
            <w:r w:rsidRPr="005A4BDD">
              <w:rPr>
                <w:color w:val="000000"/>
                <w:sz w:val="20"/>
                <w:szCs w:val="20"/>
              </w:rPr>
              <w:t xml:space="preserve"> will it reduce the number of participants in the market, or increase the size of incumbent firms? </w:t>
            </w:r>
          </w:p>
        </w:tc>
        <w:tc>
          <w:tcPr>
            <w:tcW w:w="1701" w:type="dxa"/>
            <w:tcBorders>
              <w:top w:val="nil"/>
              <w:bottom w:val="single" w:sz="4" w:space="0" w:color="000000"/>
            </w:tcBorders>
            <w:shd w:val="clear" w:color="auto" w:fill="F5F7D4"/>
            <w:tcMar>
              <w:top w:w="0" w:type="dxa"/>
              <w:left w:w="118" w:type="dxa"/>
              <w:bottom w:w="0" w:type="dxa"/>
              <w:right w:w="118" w:type="dxa"/>
            </w:tcMar>
            <w:hideMark/>
          </w:tcPr>
          <w:p w14:paraId="45E577A2" w14:textId="77777777" w:rsidR="00AA56FF" w:rsidRDefault="00AA56FF">
            <w:pPr>
              <w:spacing w:before="40" w:after="60"/>
              <w:jc w:val="center"/>
              <w:rPr>
                <w:color w:val="000000"/>
                <w:sz w:val="20"/>
                <w:szCs w:val="20"/>
              </w:rPr>
            </w:pPr>
            <w:r w:rsidRPr="00800122">
              <w:rPr>
                <w:color w:val="000000"/>
                <w:sz w:val="20"/>
                <w:szCs w:val="20"/>
              </w:rPr>
              <w:t>No</w:t>
            </w:r>
          </w:p>
        </w:tc>
        <w:tc>
          <w:tcPr>
            <w:tcW w:w="3969" w:type="dxa"/>
            <w:tcBorders>
              <w:top w:val="nil"/>
              <w:bottom w:val="single" w:sz="4" w:space="0" w:color="000000"/>
            </w:tcBorders>
            <w:tcMar>
              <w:top w:w="0" w:type="dxa"/>
              <w:left w:w="118" w:type="dxa"/>
              <w:bottom w:w="0" w:type="dxa"/>
              <w:right w:w="118" w:type="dxa"/>
            </w:tcMar>
          </w:tcPr>
          <w:p w14:paraId="0F2B6B94" w14:textId="77777777" w:rsidR="00AA56FF" w:rsidRDefault="00AA56FF">
            <w:pPr>
              <w:spacing w:before="40" w:after="60"/>
              <w:rPr>
                <w:color w:val="000000"/>
                <w:sz w:val="20"/>
                <w:szCs w:val="20"/>
              </w:rPr>
            </w:pPr>
            <w:r w:rsidRPr="00800122">
              <w:rPr>
                <w:color w:val="000000"/>
                <w:sz w:val="20"/>
                <w:szCs w:val="20"/>
              </w:rPr>
              <w:t>The package of proposals largely builds on broad systems and processes that are already in place. Notwithstanding this, in the context of the energy market these are of a relatively limited scale. It is not anticipated that the proposals will change to market structure by reducing the number of participants in the market, or increasing the size of incumbent firms.</w:t>
            </w:r>
          </w:p>
        </w:tc>
      </w:tr>
      <w:tr w:rsidR="00AA56FF" w14:paraId="77D33C08" w14:textId="77777777">
        <w:tc>
          <w:tcPr>
            <w:tcW w:w="4111" w:type="dxa"/>
            <w:tcBorders>
              <w:top w:val="single" w:sz="4" w:space="0" w:color="000000"/>
              <w:bottom w:val="single" w:sz="4" w:space="0" w:color="000000"/>
            </w:tcBorders>
            <w:shd w:val="clear" w:color="auto" w:fill="FFFFFF"/>
            <w:tcMar>
              <w:top w:w="0" w:type="dxa"/>
              <w:left w:w="118" w:type="dxa"/>
              <w:bottom w:w="0" w:type="dxa"/>
              <w:right w:w="118" w:type="dxa"/>
            </w:tcMar>
            <w:hideMark/>
          </w:tcPr>
          <w:p w14:paraId="71EFE8AA" w14:textId="77777777" w:rsidR="00AA56FF" w:rsidRDefault="00AA56FF">
            <w:pPr>
              <w:spacing w:before="40" w:after="60"/>
              <w:rPr>
                <w:color w:val="000000"/>
                <w:sz w:val="20"/>
                <w:szCs w:val="20"/>
              </w:rPr>
            </w:pPr>
            <w:r w:rsidRPr="00800122">
              <w:rPr>
                <w:color w:val="000000"/>
                <w:sz w:val="20"/>
                <w:szCs w:val="20"/>
              </w:rPr>
              <w:t>Will it be more difficult for new firms or individuals to enter the industry after the imposition of the proposed measure?</w:t>
            </w:r>
          </w:p>
        </w:tc>
        <w:tc>
          <w:tcPr>
            <w:tcW w:w="1701" w:type="dxa"/>
            <w:tcBorders>
              <w:top w:val="single" w:sz="4" w:space="0" w:color="000000"/>
              <w:bottom w:val="single" w:sz="4" w:space="0" w:color="000000"/>
            </w:tcBorders>
            <w:shd w:val="clear" w:color="auto" w:fill="F5F7D4"/>
            <w:tcMar>
              <w:top w:w="0" w:type="dxa"/>
              <w:left w:w="118" w:type="dxa"/>
              <w:bottom w:w="0" w:type="dxa"/>
              <w:right w:w="118" w:type="dxa"/>
            </w:tcMar>
          </w:tcPr>
          <w:p w14:paraId="1BBDB90C" w14:textId="77777777" w:rsidR="00AA56FF" w:rsidRDefault="00AA56FF">
            <w:pPr>
              <w:spacing w:before="40" w:after="60"/>
              <w:jc w:val="center"/>
              <w:rPr>
                <w:color w:val="000000"/>
                <w:sz w:val="20"/>
                <w:szCs w:val="20"/>
              </w:rPr>
            </w:pPr>
            <w:r w:rsidRPr="00800122">
              <w:rPr>
                <w:color w:val="000000"/>
                <w:sz w:val="20"/>
                <w:szCs w:val="20"/>
              </w:rPr>
              <w:t xml:space="preserve">No </w:t>
            </w:r>
          </w:p>
        </w:tc>
        <w:tc>
          <w:tcPr>
            <w:tcW w:w="3969" w:type="dxa"/>
            <w:tcBorders>
              <w:top w:val="single" w:sz="4" w:space="0" w:color="000000"/>
              <w:bottom w:val="single" w:sz="4" w:space="0" w:color="000000"/>
            </w:tcBorders>
            <w:tcMar>
              <w:top w:w="0" w:type="dxa"/>
              <w:left w:w="118" w:type="dxa"/>
              <w:bottom w:w="0" w:type="dxa"/>
              <w:right w:w="118" w:type="dxa"/>
            </w:tcMar>
          </w:tcPr>
          <w:p w14:paraId="5870BB6D" w14:textId="3561C098" w:rsidR="00AA56FF" w:rsidRDefault="00AA56FF">
            <w:pPr>
              <w:spacing w:before="40" w:after="60"/>
              <w:rPr>
                <w:color w:val="000000"/>
                <w:sz w:val="20"/>
                <w:szCs w:val="20"/>
              </w:rPr>
            </w:pPr>
            <w:r w:rsidRPr="00800122">
              <w:rPr>
                <w:color w:val="000000"/>
                <w:sz w:val="20"/>
                <w:szCs w:val="20"/>
              </w:rPr>
              <w:t xml:space="preserve">The package of proposals should not make </w:t>
            </w:r>
            <w:r>
              <w:rPr>
                <w:color w:val="000000"/>
                <w:sz w:val="20"/>
                <w:szCs w:val="20"/>
              </w:rPr>
              <w:t>it</w:t>
            </w:r>
            <w:r w:rsidRPr="00800122">
              <w:rPr>
                <w:color w:val="000000"/>
                <w:sz w:val="20"/>
                <w:szCs w:val="20"/>
              </w:rPr>
              <w:t xml:space="preserve"> more difficult for new firms or individuals to enter the industry. </w:t>
            </w:r>
            <w:r w:rsidR="00F133B6" w:rsidRPr="00F133B6">
              <w:rPr>
                <w:color w:val="000000"/>
                <w:sz w:val="20"/>
                <w:szCs w:val="20"/>
              </w:rPr>
              <w:t xml:space="preserve">The additional regulatory burden imposed by the proposed changes </w:t>
            </w:r>
            <w:r w:rsidR="00F133B6">
              <w:rPr>
                <w:color w:val="000000"/>
                <w:sz w:val="20"/>
                <w:szCs w:val="20"/>
              </w:rPr>
              <w:t>is</w:t>
            </w:r>
            <w:r w:rsidR="00F133B6" w:rsidRPr="00F133B6">
              <w:rPr>
                <w:color w:val="000000"/>
                <w:sz w:val="20"/>
                <w:szCs w:val="20"/>
              </w:rPr>
              <w:t xml:space="preserve"> very small compared with other costs associated with a new </w:t>
            </w:r>
            <w:r w:rsidR="00F133B6">
              <w:rPr>
                <w:color w:val="000000"/>
                <w:sz w:val="20"/>
                <w:szCs w:val="20"/>
              </w:rPr>
              <w:t>business</w:t>
            </w:r>
            <w:r w:rsidR="00F133B6" w:rsidRPr="00F133B6">
              <w:rPr>
                <w:color w:val="000000"/>
                <w:sz w:val="20"/>
                <w:szCs w:val="20"/>
              </w:rPr>
              <w:t xml:space="preserve"> proposing to enter the market</w:t>
            </w:r>
            <w:r w:rsidR="00F133B6">
              <w:rPr>
                <w:color w:val="000000"/>
                <w:sz w:val="20"/>
                <w:szCs w:val="20"/>
              </w:rPr>
              <w:t xml:space="preserve">. </w:t>
            </w:r>
            <w:r w:rsidRPr="00800122">
              <w:rPr>
                <w:color w:val="000000"/>
                <w:sz w:val="20"/>
                <w:szCs w:val="20"/>
              </w:rPr>
              <w:t>The relatively limited scale of the reform should not impose barrier</w:t>
            </w:r>
            <w:r w:rsidR="001367D9">
              <w:rPr>
                <w:color w:val="000000"/>
                <w:sz w:val="20"/>
                <w:szCs w:val="20"/>
              </w:rPr>
              <w:t>s</w:t>
            </w:r>
            <w:r w:rsidRPr="00800122">
              <w:rPr>
                <w:color w:val="000000"/>
                <w:sz w:val="20"/>
                <w:szCs w:val="20"/>
              </w:rPr>
              <w:t xml:space="preserve"> to enter the retail energy market</w:t>
            </w:r>
            <w:r w:rsidR="00E003DA">
              <w:rPr>
                <w:color w:val="000000"/>
                <w:sz w:val="20"/>
                <w:szCs w:val="20"/>
              </w:rPr>
              <w:t xml:space="preserve"> and are not expected to </w:t>
            </w:r>
            <w:r w:rsidR="007E1AF9">
              <w:rPr>
                <w:color w:val="000000"/>
                <w:sz w:val="20"/>
                <w:szCs w:val="20"/>
              </w:rPr>
              <w:t>modify the commission’s retail licensing process</w:t>
            </w:r>
            <w:r w:rsidRPr="00800122">
              <w:rPr>
                <w:color w:val="000000"/>
                <w:sz w:val="20"/>
                <w:szCs w:val="20"/>
              </w:rPr>
              <w:t>.</w:t>
            </w:r>
            <w:r w:rsidR="001367D9">
              <w:rPr>
                <w:color w:val="000000"/>
                <w:sz w:val="20"/>
                <w:szCs w:val="20"/>
              </w:rPr>
              <w:t xml:space="preserve"> </w:t>
            </w:r>
            <w:r w:rsidR="005F09D7">
              <w:rPr>
                <w:color w:val="000000"/>
                <w:sz w:val="20"/>
                <w:szCs w:val="20"/>
              </w:rPr>
              <w:t>The proposals addressing the ‘loyalty penalty’ may benefit firms entering the market</w:t>
            </w:r>
            <w:r w:rsidR="00E77E5B">
              <w:rPr>
                <w:color w:val="000000"/>
                <w:sz w:val="20"/>
                <w:szCs w:val="20"/>
              </w:rPr>
              <w:t>, as</w:t>
            </w:r>
            <w:r w:rsidR="00BB5E87">
              <w:rPr>
                <w:color w:val="000000"/>
                <w:sz w:val="20"/>
                <w:szCs w:val="20"/>
              </w:rPr>
              <w:t xml:space="preserve"> they would</w:t>
            </w:r>
            <w:r w:rsidR="00A819C3">
              <w:rPr>
                <w:color w:val="000000"/>
                <w:sz w:val="20"/>
                <w:szCs w:val="20"/>
              </w:rPr>
              <w:t xml:space="preserve"> reduce </w:t>
            </w:r>
            <w:r w:rsidR="00410159">
              <w:rPr>
                <w:color w:val="000000"/>
                <w:sz w:val="20"/>
                <w:szCs w:val="20"/>
              </w:rPr>
              <w:t>incumbents’</w:t>
            </w:r>
            <w:r w:rsidR="001F2F35">
              <w:rPr>
                <w:color w:val="000000"/>
                <w:sz w:val="20"/>
                <w:szCs w:val="20"/>
              </w:rPr>
              <w:t xml:space="preserve"> </w:t>
            </w:r>
            <w:r w:rsidR="00B32353">
              <w:rPr>
                <w:color w:val="000000"/>
                <w:sz w:val="20"/>
                <w:szCs w:val="20"/>
              </w:rPr>
              <w:t>advantages which can be obtained by overcharging loyal customers to subsidise cheaper offers to attract new customers.</w:t>
            </w:r>
            <w:r w:rsidR="00410159">
              <w:rPr>
                <w:color w:val="000000"/>
                <w:sz w:val="20"/>
                <w:szCs w:val="20"/>
              </w:rPr>
              <w:t xml:space="preserve"> </w:t>
            </w:r>
          </w:p>
        </w:tc>
      </w:tr>
      <w:tr w:rsidR="00AA56FF" w14:paraId="1DA558D5" w14:textId="77777777">
        <w:tc>
          <w:tcPr>
            <w:tcW w:w="4111" w:type="dxa"/>
            <w:tcBorders>
              <w:top w:val="single" w:sz="4" w:space="0" w:color="000000"/>
              <w:bottom w:val="single" w:sz="4" w:space="0" w:color="000000"/>
            </w:tcBorders>
            <w:shd w:val="clear" w:color="auto" w:fill="FFFFFF"/>
            <w:tcMar>
              <w:top w:w="0" w:type="dxa"/>
              <w:left w:w="118" w:type="dxa"/>
              <w:bottom w:w="0" w:type="dxa"/>
              <w:right w:w="118" w:type="dxa"/>
            </w:tcMar>
            <w:hideMark/>
          </w:tcPr>
          <w:p w14:paraId="7DB2ED46" w14:textId="77777777" w:rsidR="00AA56FF" w:rsidRDefault="00AA56FF">
            <w:pPr>
              <w:spacing w:before="40" w:after="60"/>
              <w:rPr>
                <w:color w:val="000000"/>
                <w:sz w:val="20"/>
                <w:szCs w:val="20"/>
              </w:rPr>
            </w:pPr>
            <w:r w:rsidRPr="005A4BDD">
              <w:rPr>
                <w:color w:val="000000"/>
                <w:sz w:val="20"/>
                <w:szCs w:val="20"/>
              </w:rPr>
              <w:t xml:space="preserve">Will the costs/benefits associated with the proposed measure affect some firms or individuals substantially more than others (e.g. </w:t>
            </w:r>
            <w:r w:rsidRPr="00800122">
              <w:rPr>
                <w:color w:val="000000"/>
                <w:sz w:val="20"/>
                <w:szCs w:val="20"/>
              </w:rPr>
              <w:t>small firms, part-time participants in occupations etc)?</w:t>
            </w:r>
          </w:p>
        </w:tc>
        <w:tc>
          <w:tcPr>
            <w:tcW w:w="1701" w:type="dxa"/>
            <w:tcBorders>
              <w:top w:val="single" w:sz="4" w:space="0" w:color="000000"/>
              <w:bottom w:val="single" w:sz="4" w:space="0" w:color="000000"/>
            </w:tcBorders>
            <w:shd w:val="clear" w:color="auto" w:fill="F5F7D4"/>
            <w:tcMar>
              <w:top w:w="0" w:type="dxa"/>
              <w:left w:w="118" w:type="dxa"/>
              <w:bottom w:w="0" w:type="dxa"/>
              <w:right w:w="118" w:type="dxa"/>
            </w:tcMar>
          </w:tcPr>
          <w:p w14:paraId="544585B3" w14:textId="21D7359D" w:rsidR="00AA56FF" w:rsidRDefault="00CF4C71">
            <w:pPr>
              <w:spacing w:before="40" w:after="60"/>
              <w:jc w:val="center"/>
              <w:rPr>
                <w:color w:val="000000"/>
                <w:sz w:val="20"/>
                <w:szCs w:val="20"/>
              </w:rPr>
            </w:pPr>
            <w:r>
              <w:rPr>
                <w:color w:val="000000"/>
                <w:sz w:val="20"/>
                <w:szCs w:val="20"/>
              </w:rPr>
              <w:t>Possible</w:t>
            </w:r>
          </w:p>
        </w:tc>
        <w:tc>
          <w:tcPr>
            <w:tcW w:w="3969" w:type="dxa"/>
            <w:tcBorders>
              <w:top w:val="single" w:sz="4" w:space="0" w:color="000000"/>
              <w:bottom w:val="single" w:sz="4" w:space="0" w:color="000000"/>
            </w:tcBorders>
            <w:tcMar>
              <w:top w:w="0" w:type="dxa"/>
              <w:left w:w="118" w:type="dxa"/>
              <w:bottom w:w="0" w:type="dxa"/>
              <w:right w:w="118" w:type="dxa"/>
            </w:tcMar>
          </w:tcPr>
          <w:p w14:paraId="0A26F3D4" w14:textId="77777777" w:rsidR="00AA56FF" w:rsidRPr="00800122" w:rsidRDefault="00AA56FF">
            <w:pPr>
              <w:spacing w:before="40" w:after="60"/>
              <w:rPr>
                <w:color w:val="000000"/>
                <w:sz w:val="20"/>
                <w:szCs w:val="20"/>
              </w:rPr>
            </w:pPr>
            <w:r w:rsidRPr="00800122">
              <w:rPr>
                <w:color w:val="000000"/>
                <w:sz w:val="20"/>
                <w:szCs w:val="20"/>
              </w:rPr>
              <w:t xml:space="preserve">While energy retailers do vary in size, </w:t>
            </w:r>
            <w:r>
              <w:rPr>
                <w:color w:val="000000"/>
                <w:sz w:val="20"/>
                <w:szCs w:val="20"/>
              </w:rPr>
              <w:t>retailers are generally sophisticated businesses</w:t>
            </w:r>
            <w:r w:rsidRPr="00800122">
              <w:rPr>
                <w:color w:val="000000"/>
                <w:sz w:val="20"/>
                <w:szCs w:val="20"/>
              </w:rPr>
              <w:t xml:space="preserve">. </w:t>
            </w:r>
            <w:r>
              <w:rPr>
                <w:color w:val="000000"/>
                <w:sz w:val="20"/>
                <w:szCs w:val="20"/>
              </w:rPr>
              <w:t>S</w:t>
            </w:r>
            <w:r w:rsidRPr="00800122">
              <w:rPr>
                <w:color w:val="000000"/>
                <w:sz w:val="20"/>
                <w:szCs w:val="20"/>
              </w:rPr>
              <w:t xml:space="preserve">ome smaller </w:t>
            </w:r>
            <w:r>
              <w:rPr>
                <w:color w:val="000000"/>
                <w:sz w:val="20"/>
                <w:szCs w:val="20"/>
              </w:rPr>
              <w:t xml:space="preserve">retailers </w:t>
            </w:r>
            <w:r w:rsidRPr="00800122">
              <w:rPr>
                <w:color w:val="000000"/>
                <w:sz w:val="20"/>
                <w:szCs w:val="20"/>
              </w:rPr>
              <w:t>may proportionally feel the cost impact more than other</w:t>
            </w:r>
            <w:r>
              <w:rPr>
                <w:color w:val="000000"/>
                <w:sz w:val="20"/>
                <w:szCs w:val="20"/>
              </w:rPr>
              <w:t>s</w:t>
            </w:r>
            <w:r w:rsidRPr="00800122">
              <w:rPr>
                <w:color w:val="000000"/>
                <w:sz w:val="20"/>
                <w:szCs w:val="20"/>
              </w:rPr>
              <w:t xml:space="preserve">. </w:t>
            </w:r>
          </w:p>
          <w:p w14:paraId="1364D0A7" w14:textId="58308FAA" w:rsidR="00AA56FF" w:rsidRDefault="00AA56FF">
            <w:pPr>
              <w:spacing w:before="40" w:after="60"/>
              <w:rPr>
                <w:color w:val="000000"/>
                <w:sz w:val="20"/>
                <w:szCs w:val="20"/>
              </w:rPr>
            </w:pPr>
            <w:r w:rsidRPr="00800122">
              <w:rPr>
                <w:color w:val="000000"/>
                <w:sz w:val="20"/>
                <w:szCs w:val="20"/>
              </w:rPr>
              <w:lastRenderedPageBreak/>
              <w:t xml:space="preserve">The benefits of the proposals are </w:t>
            </w:r>
            <w:r>
              <w:rPr>
                <w:color w:val="000000"/>
                <w:sz w:val="20"/>
                <w:szCs w:val="20"/>
              </w:rPr>
              <w:t xml:space="preserve">more </w:t>
            </w:r>
            <w:r w:rsidRPr="00800122">
              <w:rPr>
                <w:color w:val="000000"/>
                <w:sz w:val="20"/>
                <w:szCs w:val="20"/>
              </w:rPr>
              <w:t xml:space="preserve">likely to </w:t>
            </w:r>
            <w:r>
              <w:rPr>
                <w:color w:val="000000"/>
                <w:sz w:val="20"/>
                <w:szCs w:val="20"/>
              </w:rPr>
              <w:t>benefit</w:t>
            </w:r>
            <w:r w:rsidRPr="00800122">
              <w:rPr>
                <w:color w:val="000000"/>
                <w:sz w:val="20"/>
                <w:szCs w:val="20"/>
              </w:rPr>
              <w:t xml:space="preserve"> customers </w:t>
            </w:r>
            <w:r>
              <w:rPr>
                <w:color w:val="000000"/>
                <w:sz w:val="20"/>
                <w:szCs w:val="20"/>
              </w:rPr>
              <w:t>experiencing vulnerability</w:t>
            </w:r>
            <w:r w:rsidR="00667AB4">
              <w:rPr>
                <w:color w:val="000000"/>
                <w:sz w:val="20"/>
                <w:szCs w:val="20"/>
              </w:rPr>
              <w:t xml:space="preserve"> or who have barriers (such as language or digital accessibility) to engage with the energy market.</w:t>
            </w:r>
          </w:p>
        </w:tc>
      </w:tr>
      <w:tr w:rsidR="00AA56FF" w14:paraId="588C68CF" w14:textId="77777777">
        <w:tc>
          <w:tcPr>
            <w:tcW w:w="4111" w:type="dxa"/>
            <w:tcBorders>
              <w:top w:val="single" w:sz="4" w:space="0" w:color="000000"/>
              <w:bottom w:val="single" w:sz="4" w:space="0" w:color="000000"/>
            </w:tcBorders>
            <w:shd w:val="clear" w:color="auto" w:fill="FFFFFF"/>
            <w:tcMar>
              <w:top w:w="0" w:type="dxa"/>
              <w:left w:w="118" w:type="dxa"/>
              <w:bottom w:w="0" w:type="dxa"/>
              <w:right w:w="118" w:type="dxa"/>
            </w:tcMar>
            <w:hideMark/>
          </w:tcPr>
          <w:p w14:paraId="6B4DA5C3" w14:textId="78D3A1FC" w:rsidR="00AA56FF" w:rsidRDefault="00AA56FF">
            <w:pPr>
              <w:spacing w:before="40" w:after="60"/>
              <w:rPr>
                <w:color w:val="000000"/>
                <w:sz w:val="20"/>
                <w:szCs w:val="20"/>
              </w:rPr>
            </w:pPr>
            <w:r w:rsidRPr="00800122">
              <w:rPr>
                <w:color w:val="000000"/>
                <w:sz w:val="20"/>
                <w:szCs w:val="20"/>
              </w:rPr>
              <w:lastRenderedPageBreak/>
              <w:t>Will the proposed measure restrict the ability of businesses to choose the price, quality, range or location of their products?</w:t>
            </w:r>
          </w:p>
        </w:tc>
        <w:tc>
          <w:tcPr>
            <w:tcW w:w="1701" w:type="dxa"/>
            <w:tcBorders>
              <w:top w:val="single" w:sz="4" w:space="0" w:color="000000"/>
              <w:bottom w:val="single" w:sz="4" w:space="0" w:color="000000"/>
            </w:tcBorders>
            <w:shd w:val="clear" w:color="auto" w:fill="F5F7D4"/>
            <w:tcMar>
              <w:top w:w="0" w:type="dxa"/>
              <w:left w:w="118" w:type="dxa"/>
              <w:bottom w:w="0" w:type="dxa"/>
              <w:right w:w="118" w:type="dxa"/>
            </w:tcMar>
          </w:tcPr>
          <w:p w14:paraId="1CDD277F" w14:textId="3F61A225" w:rsidR="00AA56FF" w:rsidRDefault="008C6FDD">
            <w:pPr>
              <w:spacing w:before="40" w:after="60"/>
              <w:jc w:val="center"/>
              <w:rPr>
                <w:color w:val="000000"/>
                <w:sz w:val="20"/>
                <w:szCs w:val="20"/>
              </w:rPr>
            </w:pPr>
            <w:r>
              <w:rPr>
                <w:color w:val="000000"/>
                <w:sz w:val="20"/>
                <w:szCs w:val="20"/>
              </w:rPr>
              <w:t>Yes</w:t>
            </w:r>
          </w:p>
        </w:tc>
        <w:tc>
          <w:tcPr>
            <w:tcW w:w="3969" w:type="dxa"/>
            <w:tcBorders>
              <w:top w:val="single" w:sz="4" w:space="0" w:color="000000"/>
              <w:bottom w:val="single" w:sz="4" w:space="0" w:color="000000"/>
            </w:tcBorders>
            <w:tcMar>
              <w:top w:w="0" w:type="dxa"/>
              <w:left w:w="118" w:type="dxa"/>
              <w:bottom w:w="0" w:type="dxa"/>
              <w:right w:w="118" w:type="dxa"/>
            </w:tcMar>
          </w:tcPr>
          <w:p w14:paraId="6B40FE23" w14:textId="5A045F79" w:rsidR="00AA56FF" w:rsidRDefault="00C555D1">
            <w:pPr>
              <w:spacing w:before="40" w:after="60"/>
              <w:rPr>
                <w:color w:val="000000"/>
                <w:sz w:val="20"/>
                <w:szCs w:val="20"/>
              </w:rPr>
            </w:pPr>
            <w:r>
              <w:rPr>
                <w:color w:val="000000"/>
                <w:sz w:val="20"/>
                <w:szCs w:val="20"/>
              </w:rPr>
              <w:t xml:space="preserve">Most of the proposed reforms are not expected to impact the </w:t>
            </w:r>
            <w:r w:rsidRPr="00800122">
              <w:rPr>
                <w:color w:val="000000"/>
                <w:sz w:val="20"/>
                <w:szCs w:val="20"/>
              </w:rPr>
              <w:t xml:space="preserve">price, quality, range or location of </w:t>
            </w:r>
            <w:r>
              <w:rPr>
                <w:color w:val="000000"/>
                <w:sz w:val="20"/>
                <w:szCs w:val="20"/>
              </w:rPr>
              <w:t xml:space="preserve">new energy plans. </w:t>
            </w:r>
            <w:r w:rsidR="00AA56FF" w:rsidRPr="00800122">
              <w:rPr>
                <w:color w:val="000000"/>
                <w:sz w:val="20"/>
                <w:szCs w:val="20"/>
              </w:rPr>
              <w:t xml:space="preserve">The proposal to eliminate restricting certain discounts by payment method will affect the ability of some retailers to choose their price. </w:t>
            </w:r>
            <w:r w:rsidR="00720A77">
              <w:rPr>
                <w:color w:val="000000"/>
                <w:sz w:val="20"/>
                <w:szCs w:val="20"/>
              </w:rPr>
              <w:t>However,</w:t>
            </w:r>
            <w:r w:rsidR="00AA56FF">
              <w:rPr>
                <w:color w:val="000000"/>
                <w:sz w:val="20"/>
                <w:szCs w:val="20"/>
              </w:rPr>
              <w:t xml:space="preserve"> these reforms are targeted to a few retailers’ practices.</w:t>
            </w:r>
          </w:p>
          <w:p w14:paraId="4593BD5F" w14:textId="77777777" w:rsidR="00AA56FF" w:rsidRDefault="00AA56FF">
            <w:pPr>
              <w:spacing w:before="40" w:after="60"/>
              <w:rPr>
                <w:color w:val="000000"/>
                <w:sz w:val="20"/>
                <w:szCs w:val="20"/>
              </w:rPr>
            </w:pPr>
            <w:r>
              <w:rPr>
                <w:color w:val="000000"/>
                <w:sz w:val="20"/>
                <w:szCs w:val="20"/>
              </w:rPr>
              <w:t>M</w:t>
            </w:r>
            <w:r w:rsidRPr="00800122">
              <w:rPr>
                <w:color w:val="000000"/>
                <w:sz w:val="20"/>
                <w:szCs w:val="20"/>
              </w:rPr>
              <w:t xml:space="preserve">ore broadly, the package of proposals </w:t>
            </w:r>
            <w:r>
              <w:rPr>
                <w:color w:val="000000"/>
                <w:sz w:val="20"/>
                <w:szCs w:val="20"/>
              </w:rPr>
              <w:t>are</w:t>
            </w:r>
            <w:r w:rsidRPr="00800122">
              <w:rPr>
                <w:color w:val="000000"/>
                <w:sz w:val="20"/>
                <w:szCs w:val="20"/>
              </w:rPr>
              <w:t xml:space="preserve"> aimed at </w:t>
            </w:r>
            <w:r>
              <w:rPr>
                <w:color w:val="000000"/>
                <w:sz w:val="20"/>
                <w:szCs w:val="20"/>
              </w:rPr>
              <w:t xml:space="preserve">helping customers </w:t>
            </w:r>
            <w:r w:rsidRPr="00800122">
              <w:rPr>
                <w:color w:val="000000"/>
                <w:sz w:val="20"/>
                <w:szCs w:val="20"/>
              </w:rPr>
              <w:t xml:space="preserve">access </w:t>
            </w:r>
            <w:r>
              <w:rPr>
                <w:color w:val="000000"/>
                <w:sz w:val="20"/>
                <w:szCs w:val="20"/>
              </w:rPr>
              <w:t xml:space="preserve">retailers’ </w:t>
            </w:r>
            <w:r w:rsidRPr="00800122">
              <w:rPr>
                <w:i/>
                <w:color w:val="000000"/>
                <w:sz w:val="20"/>
                <w:szCs w:val="20"/>
              </w:rPr>
              <w:t>existing</w:t>
            </w:r>
            <w:r w:rsidRPr="00800122">
              <w:rPr>
                <w:color w:val="000000"/>
                <w:sz w:val="20"/>
                <w:szCs w:val="20"/>
              </w:rPr>
              <w:t xml:space="preserve"> </w:t>
            </w:r>
            <w:r>
              <w:rPr>
                <w:color w:val="000000"/>
                <w:sz w:val="20"/>
                <w:szCs w:val="20"/>
              </w:rPr>
              <w:t>energy plans and prices</w:t>
            </w:r>
            <w:r w:rsidRPr="00800122">
              <w:rPr>
                <w:color w:val="000000"/>
                <w:sz w:val="20"/>
                <w:szCs w:val="20"/>
              </w:rPr>
              <w:t>.</w:t>
            </w:r>
          </w:p>
          <w:p w14:paraId="37627E19" w14:textId="46368375" w:rsidR="00AA56FF" w:rsidRDefault="00EE5FA1">
            <w:pPr>
              <w:spacing w:before="40" w:after="60"/>
              <w:rPr>
                <w:color w:val="000000"/>
                <w:sz w:val="20"/>
                <w:szCs w:val="20"/>
              </w:rPr>
            </w:pPr>
            <w:r>
              <w:rPr>
                <w:color w:val="000000"/>
                <w:sz w:val="20"/>
                <w:szCs w:val="20"/>
              </w:rPr>
              <w:t xml:space="preserve">Some of the proposed reforms, such as automatically switching customers to the best offer </w:t>
            </w:r>
            <w:r w:rsidR="00406F62">
              <w:rPr>
                <w:color w:val="000000"/>
                <w:sz w:val="20"/>
                <w:szCs w:val="20"/>
              </w:rPr>
              <w:t xml:space="preserve">and </w:t>
            </w:r>
            <w:r w:rsidR="00BC555F">
              <w:rPr>
                <w:color w:val="000000"/>
                <w:sz w:val="20"/>
                <w:szCs w:val="20"/>
              </w:rPr>
              <w:t xml:space="preserve">protections for customers </w:t>
            </w:r>
            <w:r w:rsidR="00AC1965">
              <w:rPr>
                <w:color w:val="000000"/>
                <w:sz w:val="20"/>
                <w:szCs w:val="20"/>
              </w:rPr>
              <w:t>on older contracts paying higher prices,</w:t>
            </w:r>
            <w:r w:rsidR="00895738">
              <w:rPr>
                <w:color w:val="000000"/>
                <w:sz w:val="20"/>
                <w:szCs w:val="20"/>
              </w:rPr>
              <w:t xml:space="preserve"> could impact the price of existing plans. </w:t>
            </w:r>
            <w:r w:rsidR="00914BCE">
              <w:rPr>
                <w:color w:val="000000"/>
                <w:sz w:val="20"/>
                <w:szCs w:val="20"/>
              </w:rPr>
              <w:t xml:space="preserve">In relation to older contracts </w:t>
            </w:r>
            <w:r w:rsidR="00975D7E">
              <w:rPr>
                <w:color w:val="000000"/>
                <w:sz w:val="20"/>
                <w:szCs w:val="20"/>
              </w:rPr>
              <w:t xml:space="preserve">with higher prices, the proposed reform may impact the range of products if, following a review, a retailer has to move customers to cheaper plans. </w:t>
            </w:r>
            <w:r w:rsidR="00895738">
              <w:rPr>
                <w:color w:val="000000"/>
                <w:sz w:val="20"/>
                <w:szCs w:val="20"/>
              </w:rPr>
              <w:t xml:space="preserve">Based on our analysis, only a small proportion of customers and retailers would be impacted. </w:t>
            </w:r>
          </w:p>
        </w:tc>
      </w:tr>
      <w:tr w:rsidR="00AA56FF" w14:paraId="438DCE14" w14:textId="77777777">
        <w:tc>
          <w:tcPr>
            <w:tcW w:w="4111" w:type="dxa"/>
            <w:tcBorders>
              <w:top w:val="single" w:sz="4" w:space="0" w:color="000000"/>
              <w:bottom w:val="single" w:sz="4" w:space="0" w:color="000000"/>
            </w:tcBorders>
            <w:shd w:val="clear" w:color="auto" w:fill="FFFFFF"/>
            <w:tcMar>
              <w:top w:w="0" w:type="dxa"/>
              <w:left w:w="118" w:type="dxa"/>
              <w:bottom w:w="0" w:type="dxa"/>
              <w:right w:w="118" w:type="dxa"/>
            </w:tcMar>
            <w:hideMark/>
          </w:tcPr>
          <w:p w14:paraId="1D9DC456" w14:textId="77777777" w:rsidR="00AA56FF" w:rsidRDefault="00AA56FF">
            <w:pPr>
              <w:spacing w:before="40" w:after="60"/>
              <w:rPr>
                <w:color w:val="000000"/>
                <w:sz w:val="20"/>
                <w:szCs w:val="20"/>
              </w:rPr>
            </w:pPr>
            <w:r w:rsidRPr="00800122">
              <w:rPr>
                <w:color w:val="000000"/>
                <w:sz w:val="20"/>
                <w:szCs w:val="20"/>
              </w:rPr>
              <w:t>Will the proposed measure lead to higher ongoing costs for new entrants that existing firms do not have to meet?</w:t>
            </w:r>
          </w:p>
        </w:tc>
        <w:tc>
          <w:tcPr>
            <w:tcW w:w="1701" w:type="dxa"/>
            <w:tcBorders>
              <w:top w:val="single" w:sz="4" w:space="0" w:color="000000"/>
              <w:bottom w:val="single" w:sz="4" w:space="0" w:color="000000"/>
            </w:tcBorders>
            <w:shd w:val="clear" w:color="auto" w:fill="F5F7D4"/>
            <w:tcMar>
              <w:top w:w="0" w:type="dxa"/>
              <w:left w:w="118" w:type="dxa"/>
              <w:bottom w:w="0" w:type="dxa"/>
              <w:right w:w="118" w:type="dxa"/>
            </w:tcMar>
          </w:tcPr>
          <w:p w14:paraId="4881E9BD" w14:textId="77777777" w:rsidR="00AA56FF" w:rsidRDefault="00AA56FF">
            <w:pPr>
              <w:spacing w:before="40" w:after="60"/>
              <w:jc w:val="center"/>
              <w:rPr>
                <w:color w:val="000000"/>
                <w:sz w:val="20"/>
                <w:szCs w:val="20"/>
              </w:rPr>
            </w:pPr>
            <w:r w:rsidRPr="00800122">
              <w:rPr>
                <w:color w:val="000000"/>
                <w:sz w:val="20"/>
                <w:szCs w:val="20"/>
              </w:rPr>
              <w:t>No</w:t>
            </w:r>
          </w:p>
        </w:tc>
        <w:tc>
          <w:tcPr>
            <w:tcW w:w="3969" w:type="dxa"/>
            <w:tcBorders>
              <w:top w:val="single" w:sz="4" w:space="0" w:color="000000"/>
              <w:bottom w:val="single" w:sz="4" w:space="0" w:color="000000"/>
            </w:tcBorders>
            <w:tcMar>
              <w:top w:w="0" w:type="dxa"/>
              <w:left w:w="118" w:type="dxa"/>
              <w:bottom w:w="0" w:type="dxa"/>
              <w:right w:w="118" w:type="dxa"/>
            </w:tcMar>
          </w:tcPr>
          <w:p w14:paraId="3AF0D0FA" w14:textId="77777777" w:rsidR="00AA56FF" w:rsidRDefault="00AA56FF">
            <w:pPr>
              <w:spacing w:before="40" w:after="60"/>
              <w:rPr>
                <w:color w:val="000000"/>
                <w:sz w:val="20"/>
                <w:szCs w:val="20"/>
              </w:rPr>
            </w:pPr>
            <w:r w:rsidRPr="00800122">
              <w:rPr>
                <w:color w:val="000000"/>
                <w:sz w:val="20"/>
                <w:szCs w:val="20"/>
              </w:rPr>
              <w:t>The proposals will apply to new entrants and existing energy retailers equally. Industry incumbents will have no inherent cost advantage over new entrants.</w:t>
            </w:r>
          </w:p>
        </w:tc>
      </w:tr>
      <w:tr w:rsidR="00AA56FF" w14:paraId="325C1429" w14:textId="77777777">
        <w:tc>
          <w:tcPr>
            <w:tcW w:w="4111" w:type="dxa"/>
            <w:tcBorders>
              <w:top w:val="single" w:sz="4" w:space="0" w:color="000000"/>
              <w:bottom w:val="single" w:sz="4" w:space="0" w:color="000000"/>
            </w:tcBorders>
            <w:shd w:val="clear" w:color="auto" w:fill="FFFFFF"/>
            <w:tcMar>
              <w:top w:w="0" w:type="dxa"/>
              <w:left w:w="118" w:type="dxa"/>
              <w:bottom w:w="0" w:type="dxa"/>
              <w:right w:w="118" w:type="dxa"/>
            </w:tcMar>
            <w:hideMark/>
          </w:tcPr>
          <w:p w14:paraId="3227A524" w14:textId="77777777" w:rsidR="00AA56FF" w:rsidRDefault="00AA56FF">
            <w:pPr>
              <w:spacing w:before="40" w:after="60"/>
              <w:rPr>
                <w:color w:val="000000"/>
                <w:sz w:val="20"/>
                <w:szCs w:val="20"/>
              </w:rPr>
            </w:pPr>
            <w:r w:rsidRPr="00800122">
              <w:rPr>
                <w:color w:val="000000"/>
                <w:sz w:val="20"/>
                <w:szCs w:val="20"/>
              </w:rPr>
              <w:t>Is the ability or incentive to innovate or develop new products or services likely to be affected by the proposed measure?</w:t>
            </w:r>
          </w:p>
        </w:tc>
        <w:tc>
          <w:tcPr>
            <w:tcW w:w="1701" w:type="dxa"/>
            <w:tcBorders>
              <w:top w:val="single" w:sz="4" w:space="0" w:color="000000"/>
              <w:bottom w:val="single" w:sz="4" w:space="0" w:color="000000"/>
            </w:tcBorders>
            <w:shd w:val="clear" w:color="auto" w:fill="F5F7D4"/>
            <w:tcMar>
              <w:top w:w="0" w:type="dxa"/>
              <w:left w:w="118" w:type="dxa"/>
              <w:bottom w:w="0" w:type="dxa"/>
              <w:right w:w="118" w:type="dxa"/>
            </w:tcMar>
          </w:tcPr>
          <w:p w14:paraId="35F721AF" w14:textId="77777777" w:rsidR="00AA56FF" w:rsidRDefault="00AA56FF">
            <w:pPr>
              <w:spacing w:before="40" w:after="60"/>
              <w:jc w:val="center"/>
              <w:rPr>
                <w:color w:val="000000"/>
                <w:sz w:val="20"/>
                <w:szCs w:val="20"/>
              </w:rPr>
            </w:pPr>
            <w:r w:rsidRPr="00800122">
              <w:rPr>
                <w:color w:val="000000"/>
                <w:sz w:val="20"/>
                <w:szCs w:val="20"/>
              </w:rPr>
              <w:t>Possible</w:t>
            </w:r>
          </w:p>
        </w:tc>
        <w:tc>
          <w:tcPr>
            <w:tcW w:w="3969" w:type="dxa"/>
            <w:tcBorders>
              <w:top w:val="single" w:sz="4" w:space="0" w:color="000000"/>
              <w:bottom w:val="single" w:sz="4" w:space="0" w:color="000000"/>
            </w:tcBorders>
            <w:tcMar>
              <w:top w:w="0" w:type="dxa"/>
              <w:left w:w="118" w:type="dxa"/>
              <w:bottom w:w="0" w:type="dxa"/>
              <w:right w:w="118" w:type="dxa"/>
            </w:tcMar>
          </w:tcPr>
          <w:p w14:paraId="64D3F49D" w14:textId="57C743B4" w:rsidR="00AA56FF" w:rsidRDefault="00AA56FF">
            <w:pPr>
              <w:spacing w:before="40" w:after="60"/>
              <w:rPr>
                <w:color w:val="000000"/>
                <w:sz w:val="20"/>
                <w:szCs w:val="20"/>
              </w:rPr>
            </w:pPr>
            <w:r w:rsidRPr="00800122">
              <w:rPr>
                <w:color w:val="000000"/>
                <w:sz w:val="20"/>
                <w:szCs w:val="20"/>
              </w:rPr>
              <w:t xml:space="preserve">While not stifling innovation by itself, the proposal to require payments in-person, over the telephone, or with paper bills, may cause these payments methods to last longer in the marketplace rather than be replaced by other more economically </w:t>
            </w:r>
            <w:r w:rsidRPr="00800122">
              <w:rPr>
                <w:color w:val="000000"/>
                <w:sz w:val="20"/>
                <w:szCs w:val="20"/>
              </w:rPr>
              <w:lastRenderedPageBreak/>
              <w:t>efficient payment methods such as e-billing or direct debit.</w:t>
            </w:r>
          </w:p>
        </w:tc>
      </w:tr>
    </w:tbl>
    <w:p w14:paraId="63A2408B" w14:textId="2B4CC0AC" w:rsidR="00F07CE4" w:rsidRDefault="00AA56FF" w:rsidP="00F07CE4">
      <w:pPr>
        <w:sectPr w:rsidR="00F07CE4" w:rsidSect="00AD51BD">
          <w:headerReference w:type="default" r:id="rId59"/>
          <w:footerReference w:type="default" r:id="rId60"/>
          <w:type w:val="continuous"/>
          <w:pgSz w:w="11906" w:h="16838" w:code="9"/>
          <w:pgMar w:top="1134" w:right="1134" w:bottom="1134" w:left="1134" w:header="709" w:footer="692" w:gutter="0"/>
          <w:cols w:space="708"/>
          <w:docGrid w:linePitch="360"/>
        </w:sectPr>
      </w:pPr>
      <w:r>
        <w:lastRenderedPageBreak/>
        <w:t xml:space="preserve">Overall, the proposals also promote </w:t>
      </w:r>
      <w:r w:rsidR="005729C7">
        <w:t xml:space="preserve">fairer and more effective </w:t>
      </w:r>
      <w:r>
        <w:t xml:space="preserve">competition in the energy market. Retailers will be bound by the same rules that </w:t>
      </w:r>
      <w:r w:rsidR="00C635D6">
        <w:t xml:space="preserve">protect </w:t>
      </w:r>
      <w:r>
        <w:t xml:space="preserve">certain customers </w:t>
      </w:r>
      <w:r w:rsidR="00C635D6">
        <w:t xml:space="preserve">from </w:t>
      </w:r>
      <w:r>
        <w:t>facing unreasonably high</w:t>
      </w:r>
      <w:r w:rsidR="008E4461">
        <w:t xml:space="preserve"> </w:t>
      </w:r>
      <w:r>
        <w:t>prices. This should prevent the current practice of some retailers gaining more revenue from customers experiencing vulnerability. The proposed reforms will also support customers to switch to better offers and reduce transaction costs</w:t>
      </w:r>
      <w:r w:rsidR="003A5998">
        <w:t xml:space="preserve">, which is expected to </w:t>
      </w:r>
      <w:r>
        <w:t>lower switching costs and increase competitive pressure in the retail market.</w:t>
      </w:r>
    </w:p>
    <w:p w14:paraId="14AD2D21" w14:textId="008B7672" w:rsidR="00F07CE4" w:rsidRPr="00710792" w:rsidRDefault="006A16DE" w:rsidP="00F07CE4">
      <w:pPr>
        <w:pStyle w:val="Heading1numbered"/>
        <w:rPr>
          <w:rFonts w:eastAsiaTheme="minorHAnsi"/>
        </w:rPr>
      </w:pPr>
      <w:r>
        <w:lastRenderedPageBreak/>
        <w:t xml:space="preserve"> </w:t>
      </w:r>
      <w:bookmarkStart w:id="356" w:name="_Toc197959481"/>
      <w:r w:rsidR="00F07CE4">
        <w:t>Implementation and evaluation</w:t>
      </w:r>
      <w:bookmarkEnd w:id="356"/>
      <w:r w:rsidR="00F07CE4">
        <w:t xml:space="preserve"> </w:t>
      </w:r>
    </w:p>
    <w:p w14:paraId="6E070E63" w14:textId="2865FE21" w:rsidR="00212AD1" w:rsidRDefault="009C0259" w:rsidP="00212AD1">
      <w:r>
        <w:t>This chapter outlines the actions that</w:t>
      </w:r>
      <w:r w:rsidR="002E35BA">
        <w:t xml:space="preserve"> </w:t>
      </w:r>
      <w:r w:rsidR="00A270B1">
        <w:t xml:space="preserve">the commission and retailers </w:t>
      </w:r>
      <w:r w:rsidR="00654B17">
        <w:t xml:space="preserve">would take </w:t>
      </w:r>
      <w:r w:rsidR="00A270B1">
        <w:t xml:space="preserve">to undertake to implement the proposed reforms. It also </w:t>
      </w:r>
      <w:r w:rsidR="00E65C86">
        <w:t xml:space="preserve">outlines our </w:t>
      </w:r>
      <w:r w:rsidR="00900D51">
        <w:t xml:space="preserve">approach to </w:t>
      </w:r>
      <w:r w:rsidR="00463CEA">
        <w:t>compliance</w:t>
      </w:r>
      <w:r w:rsidR="00900D51">
        <w:t xml:space="preserve">, </w:t>
      </w:r>
      <w:r w:rsidR="00463CEA">
        <w:t xml:space="preserve">enforcement and </w:t>
      </w:r>
      <w:r w:rsidR="00900D51">
        <w:t xml:space="preserve">evaluation of the </w:t>
      </w:r>
      <w:r w:rsidR="007C448E">
        <w:t xml:space="preserve">reforms. </w:t>
      </w:r>
    </w:p>
    <w:p w14:paraId="07FFA778" w14:textId="77777777" w:rsidR="002D1678" w:rsidRDefault="002D1678" w:rsidP="002D1678">
      <w:pPr>
        <w:pStyle w:val="Heading2numbered"/>
      </w:pPr>
      <w:bookmarkStart w:id="357" w:name="_Toc197959482"/>
      <w:r>
        <w:t>Implementation</w:t>
      </w:r>
      <w:bookmarkEnd w:id="357"/>
    </w:p>
    <w:p w14:paraId="3379FA6B" w14:textId="23349893" w:rsidR="00486602" w:rsidRDefault="00304ABD" w:rsidP="00486602">
      <w:pPr>
        <w:pStyle w:val="Heading3numbered"/>
      </w:pPr>
      <w:r>
        <w:t xml:space="preserve">Consultation </w:t>
      </w:r>
      <w:r w:rsidR="00A65A3C">
        <w:t>timeline</w:t>
      </w:r>
      <w:r>
        <w:t>s</w:t>
      </w:r>
    </w:p>
    <w:p w14:paraId="608D3D44" w14:textId="0C1888A0" w:rsidR="007500FE" w:rsidRDefault="007500FE" w:rsidP="007500FE">
      <w:r>
        <w:t xml:space="preserve">We propose that the reforms </w:t>
      </w:r>
      <w:r w:rsidR="00900D51">
        <w:t>are</w:t>
      </w:r>
      <w:r>
        <w:t xml:space="preserve"> implemented through amendments to the Energy Retail Code of Practice. </w:t>
      </w:r>
      <w:r w:rsidRPr="00546628">
        <w:t xml:space="preserve">We are working with the Victorian Government to assess if any </w:t>
      </w:r>
      <w:r w:rsidR="00F523F5">
        <w:t>subordinate legislation</w:t>
      </w:r>
      <w:r w:rsidRPr="00546628">
        <w:t xml:space="preserve"> or legislative amendments are required to </w:t>
      </w:r>
      <w:r w:rsidR="0062194C">
        <w:t>support</w:t>
      </w:r>
      <w:r>
        <w:t xml:space="preserve"> </w:t>
      </w:r>
      <w:r w:rsidRPr="00546628">
        <w:t>the proposed reforms</w:t>
      </w:r>
      <w:r>
        <w:t xml:space="preserve"> (or subsequent suggestions from stakeholders). </w:t>
      </w:r>
    </w:p>
    <w:p w14:paraId="6DBC5C1C" w14:textId="3924E82F" w:rsidR="00DA607D" w:rsidRDefault="00304ABD" w:rsidP="00DA607D">
      <w:r>
        <w:t xml:space="preserve">We are seeking formal feedback on the proposed draft amendments and this RIS during a </w:t>
      </w:r>
      <w:r w:rsidRPr="001A7A55">
        <w:t>six-week public consultation period</w:t>
      </w:r>
      <w:r>
        <w:t xml:space="preserve">. </w:t>
      </w:r>
      <w:r w:rsidR="00985BD3">
        <w:t xml:space="preserve">We </w:t>
      </w:r>
      <w:r w:rsidR="00976BF1">
        <w:t xml:space="preserve">also </w:t>
      </w:r>
      <w:r>
        <w:t>intend to run targeted engagements and workshops with stakeholders.</w:t>
      </w:r>
      <w:r w:rsidR="00DA607D">
        <w:t xml:space="preserve"> </w:t>
      </w:r>
    </w:p>
    <w:p w14:paraId="25743D5C" w14:textId="785E3BDC" w:rsidR="007500FE" w:rsidRPr="00486602" w:rsidRDefault="00DA607D" w:rsidP="007500FE">
      <w:r>
        <w:t xml:space="preserve">We will provide information via our </w:t>
      </w:r>
      <w:r w:rsidR="00304ABD">
        <w:t xml:space="preserve">website, news updates and media releases to inform stakeholders and the wider public of the changes to the code. </w:t>
      </w:r>
      <w:r>
        <w:t xml:space="preserve">Once the reforms are finalised, we will update </w:t>
      </w:r>
      <w:r w:rsidR="00304ABD">
        <w:t xml:space="preserve">information to </w:t>
      </w:r>
      <w:r>
        <w:t xml:space="preserve">help </w:t>
      </w:r>
      <w:r w:rsidR="00304ABD">
        <w:t xml:space="preserve">consumers and consumer organisations </w:t>
      </w:r>
      <w:r>
        <w:t xml:space="preserve">understand their new </w:t>
      </w:r>
      <w:r w:rsidR="00304ABD">
        <w:t>rights and support.</w:t>
      </w:r>
      <w:r w:rsidR="00304ABD">
        <w:rPr>
          <w:rStyle w:val="FootnoteReference"/>
        </w:rPr>
        <w:footnoteReference w:id="257"/>
      </w:r>
      <w:r w:rsidR="005F731C">
        <w:t xml:space="preserve"> </w:t>
      </w:r>
      <w:r w:rsidR="007500FE" w:rsidRPr="00FF05AF">
        <w:t>Table</w:t>
      </w:r>
      <w:r w:rsidR="00970655" w:rsidRPr="00FF05AF">
        <w:t xml:space="preserve"> 3</w:t>
      </w:r>
      <w:r w:rsidR="005F731C" w:rsidRPr="00FF05AF">
        <w:t>7</w:t>
      </w:r>
      <w:r w:rsidR="007500FE" w:rsidRPr="00FF05AF">
        <w:t xml:space="preserve"> outlines</w:t>
      </w:r>
      <w:r w:rsidR="007500FE">
        <w:t xml:space="preserve"> timings for consultation on the proposed reforms. </w:t>
      </w:r>
    </w:p>
    <w:p w14:paraId="290A0C71" w14:textId="0A6753C1" w:rsidR="001675C6" w:rsidRPr="00571CE6" w:rsidRDefault="00571CE6" w:rsidP="002773DF">
      <w:pPr>
        <w:pStyle w:val="Figure-Table-BoxSubtitle"/>
        <w:ind w:left="0"/>
        <w:rPr>
          <w:highlight w:val="yellow"/>
        </w:rPr>
      </w:pPr>
      <w:r w:rsidRPr="002773DF">
        <w:rPr>
          <w:rStyle w:val="Figure-Table-BoxHeadingChar"/>
        </w:rPr>
        <w:t>Table</w:t>
      </w:r>
      <w:r w:rsidR="00970655" w:rsidRPr="002773DF">
        <w:rPr>
          <w:rStyle w:val="Figure-Table-BoxHeadingChar"/>
        </w:rPr>
        <w:t xml:space="preserve"> 3</w:t>
      </w:r>
      <w:r w:rsidR="005F731C" w:rsidRPr="002773DF">
        <w:rPr>
          <w:rStyle w:val="Figure-Table-BoxHeadingChar"/>
        </w:rPr>
        <w:t>7</w:t>
      </w:r>
      <w:r w:rsidRPr="002773DF">
        <w:rPr>
          <w:rStyle w:val="Figure-Table-BoxHeadingChar"/>
        </w:rPr>
        <w:t>:</w:t>
      </w:r>
      <w:r w:rsidRPr="002773DF">
        <w:t xml:space="preserve"> Key steps prior to </w:t>
      </w:r>
      <w:r w:rsidR="005F336E" w:rsidRPr="002773DF">
        <w:t>amendments to the code</w:t>
      </w:r>
    </w:p>
    <w:tbl>
      <w:tblPr>
        <w:tblStyle w:val="TableGrid"/>
        <w:tblW w:w="0" w:type="auto"/>
        <w:tblLook w:val="04A0" w:firstRow="1" w:lastRow="0" w:firstColumn="1" w:lastColumn="0" w:noHBand="0" w:noVBand="1"/>
      </w:tblPr>
      <w:tblGrid>
        <w:gridCol w:w="6237"/>
        <w:gridCol w:w="3401"/>
      </w:tblGrid>
      <w:tr w:rsidR="003633F6" w14:paraId="53E42754" w14:textId="77777777" w:rsidTr="001675C6">
        <w:trPr>
          <w:cnfStyle w:val="100000000000" w:firstRow="1" w:lastRow="0" w:firstColumn="0" w:lastColumn="0" w:oddVBand="0" w:evenVBand="0" w:oddHBand="0" w:evenHBand="0" w:firstRowFirstColumn="0" w:firstRowLastColumn="0" w:lastRowFirstColumn="0" w:lastRowLastColumn="0"/>
        </w:trPr>
        <w:tc>
          <w:tcPr>
            <w:tcW w:w="6237" w:type="dxa"/>
          </w:tcPr>
          <w:p w14:paraId="6126DA80" w14:textId="2AC28A78" w:rsidR="003633F6" w:rsidRDefault="003633F6" w:rsidP="00486602">
            <w:r>
              <w:t>Action</w:t>
            </w:r>
          </w:p>
        </w:tc>
        <w:tc>
          <w:tcPr>
            <w:tcW w:w="3401" w:type="dxa"/>
          </w:tcPr>
          <w:p w14:paraId="2A993DCA" w14:textId="0D0000C3" w:rsidR="003633F6" w:rsidRDefault="003633F6" w:rsidP="00486602">
            <w:r>
              <w:t>Anticipated timeframe</w:t>
            </w:r>
          </w:p>
        </w:tc>
      </w:tr>
      <w:tr w:rsidR="003633F6" w14:paraId="5D2CA3D9" w14:textId="77777777" w:rsidTr="001675C6">
        <w:trPr>
          <w:cnfStyle w:val="000000100000" w:firstRow="0" w:lastRow="0" w:firstColumn="0" w:lastColumn="0" w:oddVBand="0" w:evenVBand="0" w:oddHBand="1" w:evenHBand="0" w:firstRowFirstColumn="0" w:firstRowLastColumn="0" w:lastRowFirstColumn="0" w:lastRowLastColumn="0"/>
        </w:trPr>
        <w:tc>
          <w:tcPr>
            <w:tcW w:w="6237" w:type="dxa"/>
          </w:tcPr>
          <w:p w14:paraId="72C59D26" w14:textId="35A246F6" w:rsidR="003633F6" w:rsidRDefault="003633F6" w:rsidP="00486602">
            <w:r>
              <w:t>RIS release</w:t>
            </w:r>
          </w:p>
        </w:tc>
        <w:tc>
          <w:tcPr>
            <w:tcW w:w="3401" w:type="dxa"/>
          </w:tcPr>
          <w:p w14:paraId="222AC0A1" w14:textId="1A2F6F55" w:rsidR="003633F6" w:rsidRPr="008961E4" w:rsidRDefault="00FF05AF" w:rsidP="00486602">
            <w:r w:rsidRPr="008961E4">
              <w:t>1</w:t>
            </w:r>
            <w:r w:rsidR="00EC2FF3">
              <w:t>6</w:t>
            </w:r>
            <w:r w:rsidRPr="008961E4">
              <w:t xml:space="preserve"> </w:t>
            </w:r>
            <w:r w:rsidR="003633F6" w:rsidRPr="008961E4">
              <w:t>May 2025</w:t>
            </w:r>
          </w:p>
        </w:tc>
      </w:tr>
      <w:tr w:rsidR="003633F6" w14:paraId="3F6C8269" w14:textId="77777777" w:rsidTr="001675C6">
        <w:trPr>
          <w:cnfStyle w:val="000000010000" w:firstRow="0" w:lastRow="0" w:firstColumn="0" w:lastColumn="0" w:oddVBand="0" w:evenVBand="0" w:oddHBand="0" w:evenHBand="1" w:firstRowFirstColumn="0" w:firstRowLastColumn="0" w:lastRowFirstColumn="0" w:lastRowLastColumn="0"/>
        </w:trPr>
        <w:tc>
          <w:tcPr>
            <w:tcW w:w="6237" w:type="dxa"/>
          </w:tcPr>
          <w:p w14:paraId="1496A0FD" w14:textId="659D5D1B" w:rsidR="003633F6" w:rsidRDefault="003633F6" w:rsidP="00486602">
            <w:r>
              <w:t>Consultation period</w:t>
            </w:r>
          </w:p>
        </w:tc>
        <w:tc>
          <w:tcPr>
            <w:tcW w:w="3401" w:type="dxa"/>
          </w:tcPr>
          <w:p w14:paraId="71AAC5A0" w14:textId="40918919" w:rsidR="003633F6" w:rsidRPr="008961E4" w:rsidRDefault="00FF05AF" w:rsidP="00486602">
            <w:r w:rsidRPr="008961E4">
              <w:t>1</w:t>
            </w:r>
            <w:r w:rsidR="00EC2FF3">
              <w:t>6</w:t>
            </w:r>
            <w:r w:rsidRPr="008961E4">
              <w:t xml:space="preserve"> </w:t>
            </w:r>
            <w:r w:rsidR="003633F6" w:rsidRPr="008961E4">
              <w:t xml:space="preserve">May – </w:t>
            </w:r>
            <w:r w:rsidRPr="008961E4">
              <w:t xml:space="preserve">26 </w:t>
            </w:r>
            <w:r w:rsidR="003633F6" w:rsidRPr="008961E4">
              <w:t>June 2025</w:t>
            </w:r>
          </w:p>
        </w:tc>
      </w:tr>
      <w:tr w:rsidR="003633F6" w14:paraId="1DE84C1D" w14:textId="77777777" w:rsidTr="001675C6">
        <w:trPr>
          <w:cnfStyle w:val="000000100000" w:firstRow="0" w:lastRow="0" w:firstColumn="0" w:lastColumn="0" w:oddVBand="0" w:evenVBand="0" w:oddHBand="1" w:evenHBand="0" w:firstRowFirstColumn="0" w:firstRowLastColumn="0" w:lastRowFirstColumn="0" w:lastRowLastColumn="0"/>
        </w:trPr>
        <w:tc>
          <w:tcPr>
            <w:tcW w:w="6237" w:type="dxa"/>
          </w:tcPr>
          <w:p w14:paraId="40D3D694" w14:textId="0E3E48D2" w:rsidR="003633F6" w:rsidRDefault="00D852A1" w:rsidP="00486602">
            <w:r>
              <w:t xml:space="preserve">Consideration of submissions and stakeholder </w:t>
            </w:r>
            <w:r w:rsidR="001675C6">
              <w:t>feedback</w:t>
            </w:r>
          </w:p>
        </w:tc>
        <w:tc>
          <w:tcPr>
            <w:tcW w:w="3401" w:type="dxa"/>
          </w:tcPr>
          <w:p w14:paraId="19DBBCD7" w14:textId="549980C4" w:rsidR="003633F6" w:rsidRDefault="00D852A1" w:rsidP="00486602">
            <w:r>
              <w:t>June – July 2025</w:t>
            </w:r>
          </w:p>
        </w:tc>
      </w:tr>
      <w:tr w:rsidR="003633F6" w14:paraId="2A9F9125" w14:textId="77777777" w:rsidTr="001675C6">
        <w:trPr>
          <w:cnfStyle w:val="000000010000" w:firstRow="0" w:lastRow="0" w:firstColumn="0" w:lastColumn="0" w:oddVBand="0" w:evenVBand="0" w:oddHBand="0" w:evenHBand="1" w:firstRowFirstColumn="0" w:firstRowLastColumn="0" w:lastRowFirstColumn="0" w:lastRowLastColumn="0"/>
        </w:trPr>
        <w:tc>
          <w:tcPr>
            <w:tcW w:w="6237" w:type="dxa"/>
          </w:tcPr>
          <w:p w14:paraId="73BCBD5D" w14:textId="63C7DC2B" w:rsidR="003633F6" w:rsidRDefault="001675C6" w:rsidP="00486602">
            <w:r>
              <w:t>Amendments to the code and release of final decision</w:t>
            </w:r>
          </w:p>
        </w:tc>
        <w:tc>
          <w:tcPr>
            <w:tcW w:w="3401" w:type="dxa"/>
          </w:tcPr>
          <w:p w14:paraId="2AB987E8" w14:textId="30E4C64B" w:rsidR="003633F6" w:rsidRDefault="001675C6" w:rsidP="00486602">
            <w:r>
              <w:t>August 2025</w:t>
            </w:r>
          </w:p>
        </w:tc>
      </w:tr>
    </w:tbl>
    <w:p w14:paraId="002E108E" w14:textId="1F962DE6" w:rsidR="00DA607D" w:rsidRDefault="00DA607D" w:rsidP="00DA607D">
      <w:r>
        <w:lastRenderedPageBreak/>
        <w:t xml:space="preserve">The commission may need to update related guidelines to support retailers’ compliance. </w:t>
      </w:r>
      <w:r w:rsidR="002B6C8F">
        <w:t xml:space="preserve">We will </w:t>
      </w:r>
      <w:r>
        <w:t xml:space="preserve">update </w:t>
      </w:r>
      <w:r w:rsidR="002B6C8F">
        <w:t>these</w:t>
      </w:r>
      <w:r>
        <w:t xml:space="preserve"> guidelines after our final decision in August 2025</w:t>
      </w:r>
      <w:r w:rsidR="002B6C8F">
        <w:t>, if required</w:t>
      </w:r>
      <w:r>
        <w:t xml:space="preserve">. </w:t>
      </w:r>
    </w:p>
    <w:p w14:paraId="3A846D5C" w14:textId="356D7666" w:rsidR="00DA607D" w:rsidRDefault="00DA607D" w:rsidP="00DA607D">
      <w:pPr>
        <w:pStyle w:val="Heading3numbered"/>
      </w:pPr>
      <w:r>
        <w:t>Implementation timeframes</w:t>
      </w:r>
    </w:p>
    <w:p w14:paraId="1130ED16" w14:textId="1FE85E84" w:rsidR="00E23D27" w:rsidRPr="00B23E93" w:rsidRDefault="00E23D27" w:rsidP="00E23D27">
      <w:r>
        <w:t>We propose a two-stage commencement process to give time for retailers to prepare</w:t>
      </w:r>
      <w:r w:rsidR="00DA607D">
        <w:t xml:space="preserve"> for the new reforms</w:t>
      </w:r>
      <w:r>
        <w:t xml:space="preserve">. </w:t>
      </w:r>
      <w:r w:rsidR="002B6C8F">
        <w:t xml:space="preserve">We propose </w:t>
      </w:r>
      <w:r w:rsidR="00E72362">
        <w:t xml:space="preserve">that </w:t>
      </w:r>
      <w:r w:rsidR="003C0A72">
        <w:t xml:space="preserve">reforms that </w:t>
      </w:r>
      <w:r w:rsidR="00E72362">
        <w:t>require fewer</w:t>
      </w:r>
      <w:r w:rsidR="002B6C8F">
        <w:t xml:space="preserve"> changes </w:t>
      </w:r>
      <w:r w:rsidR="00E72362">
        <w:t xml:space="preserve">to </w:t>
      </w:r>
      <w:r w:rsidR="00057203">
        <w:t xml:space="preserve">retailers’ </w:t>
      </w:r>
      <w:r w:rsidR="002B6C8F">
        <w:t>system</w:t>
      </w:r>
      <w:r w:rsidR="00057203">
        <w:t>s</w:t>
      </w:r>
      <w:r w:rsidR="002B6C8F">
        <w:t xml:space="preserve"> </w:t>
      </w:r>
      <w:r w:rsidR="003C0A72">
        <w:t xml:space="preserve">and processes to commence </w:t>
      </w:r>
      <w:r w:rsidR="002B6C8F">
        <w:t xml:space="preserve">on </w:t>
      </w:r>
      <w:r>
        <w:rPr>
          <w:b/>
          <w:bCs/>
        </w:rPr>
        <w:t>1 January 2026</w:t>
      </w:r>
      <w:r>
        <w:t xml:space="preserve">. Reforms that are more complex to implement are proposed to commence on </w:t>
      </w:r>
      <w:r>
        <w:rPr>
          <w:b/>
          <w:bCs/>
        </w:rPr>
        <w:t>1 July 2026</w:t>
      </w:r>
      <w:r>
        <w:t xml:space="preserve">. </w:t>
      </w:r>
      <w:r w:rsidRPr="001A7A55">
        <w:t>Table</w:t>
      </w:r>
      <w:r w:rsidR="00970655" w:rsidRPr="001A7A55">
        <w:t xml:space="preserve"> 3</w:t>
      </w:r>
      <w:r w:rsidR="005F731C" w:rsidRPr="001A7A55">
        <w:t>8</w:t>
      </w:r>
      <w:r>
        <w:t xml:space="preserve"> outlines the proposed commencement timings.</w:t>
      </w:r>
    </w:p>
    <w:p w14:paraId="6088CAC1" w14:textId="373C04E1" w:rsidR="00B046A7" w:rsidRPr="002773DF" w:rsidRDefault="00B046A7" w:rsidP="002773DF">
      <w:pPr>
        <w:pStyle w:val="Figure-Table-BoxSubtitle"/>
        <w:ind w:left="0"/>
      </w:pPr>
      <w:r w:rsidRPr="002773DF">
        <w:rPr>
          <w:rStyle w:val="Figure-Table-BoxHeadingChar"/>
        </w:rPr>
        <w:t xml:space="preserve">Table </w:t>
      </w:r>
      <w:r w:rsidR="00970655" w:rsidRPr="002773DF">
        <w:rPr>
          <w:rStyle w:val="Figure-Table-BoxHeadingChar"/>
        </w:rPr>
        <w:t>3</w:t>
      </w:r>
      <w:r w:rsidR="005F731C" w:rsidRPr="002773DF">
        <w:rPr>
          <w:rStyle w:val="Figure-Table-BoxHeadingChar"/>
        </w:rPr>
        <w:t>8</w:t>
      </w:r>
      <w:r w:rsidRPr="002773DF">
        <w:rPr>
          <w:rStyle w:val="Figure-Table-BoxHeadingChar"/>
        </w:rPr>
        <w:t>:</w:t>
      </w:r>
      <w:r w:rsidRPr="002773DF">
        <w:t xml:space="preserve"> </w:t>
      </w:r>
      <w:r w:rsidR="00AD4432" w:rsidRPr="002773DF">
        <w:t>Proposed commencement approach</w:t>
      </w:r>
    </w:p>
    <w:tbl>
      <w:tblPr>
        <w:tblStyle w:val="TableGrid"/>
        <w:tblW w:w="0" w:type="auto"/>
        <w:tblLook w:val="04A0" w:firstRow="1" w:lastRow="0" w:firstColumn="1" w:lastColumn="0" w:noHBand="0" w:noVBand="1"/>
      </w:tblPr>
      <w:tblGrid>
        <w:gridCol w:w="2552"/>
        <w:gridCol w:w="7086"/>
      </w:tblGrid>
      <w:tr w:rsidR="000D7110" w14:paraId="31E6E871" w14:textId="77777777" w:rsidTr="00607044">
        <w:trPr>
          <w:cnfStyle w:val="100000000000" w:firstRow="1" w:lastRow="0" w:firstColumn="0" w:lastColumn="0" w:oddVBand="0" w:evenVBand="0" w:oddHBand="0" w:evenHBand="0" w:firstRowFirstColumn="0" w:firstRowLastColumn="0" w:lastRowFirstColumn="0" w:lastRowLastColumn="0"/>
        </w:trPr>
        <w:tc>
          <w:tcPr>
            <w:tcW w:w="2552" w:type="dxa"/>
          </w:tcPr>
          <w:p w14:paraId="3F25D6D0" w14:textId="6DCC8240" w:rsidR="000D7110" w:rsidRDefault="00AE64EE" w:rsidP="00212AD1">
            <w:r>
              <w:t>Proposed commencement date</w:t>
            </w:r>
          </w:p>
        </w:tc>
        <w:tc>
          <w:tcPr>
            <w:tcW w:w="7086" w:type="dxa"/>
          </w:tcPr>
          <w:p w14:paraId="29AECC78" w14:textId="6F8376B6" w:rsidR="000D7110" w:rsidRDefault="005776BB" w:rsidP="00212AD1">
            <w:r>
              <w:t>Reforms</w:t>
            </w:r>
            <w:r w:rsidR="00241DBF">
              <w:t xml:space="preserve"> </w:t>
            </w:r>
            <w:r w:rsidR="00241DBF">
              <w:rPr>
                <w:rStyle w:val="FootnoteReference"/>
              </w:rPr>
              <w:footnoteReference w:id="258"/>
            </w:r>
          </w:p>
        </w:tc>
      </w:tr>
      <w:tr w:rsidR="000D7110" w14:paraId="63061270" w14:textId="77777777" w:rsidTr="00607044">
        <w:trPr>
          <w:cnfStyle w:val="000000100000" w:firstRow="0" w:lastRow="0" w:firstColumn="0" w:lastColumn="0" w:oddVBand="0" w:evenVBand="0" w:oddHBand="1" w:evenHBand="0" w:firstRowFirstColumn="0" w:firstRowLastColumn="0" w:lastRowFirstColumn="0" w:lastRowLastColumn="0"/>
        </w:trPr>
        <w:tc>
          <w:tcPr>
            <w:tcW w:w="2552" w:type="dxa"/>
            <w:vAlign w:val="center"/>
          </w:tcPr>
          <w:p w14:paraId="414E659C" w14:textId="2CB3950D" w:rsidR="000D7110" w:rsidRDefault="00C67707" w:rsidP="008D15A2">
            <w:pPr>
              <w:jc w:val="center"/>
              <w:rPr>
                <w:b/>
                <w:bCs/>
              </w:rPr>
            </w:pPr>
            <w:r>
              <w:rPr>
                <w:b/>
                <w:bCs/>
              </w:rPr>
              <w:t>1 January</w:t>
            </w:r>
            <w:r w:rsidR="008D15A2" w:rsidRPr="008D15A2">
              <w:rPr>
                <w:b/>
                <w:bCs/>
              </w:rPr>
              <w:t xml:space="preserve"> 202</w:t>
            </w:r>
            <w:r>
              <w:rPr>
                <w:b/>
                <w:bCs/>
              </w:rPr>
              <w:t>6</w:t>
            </w:r>
          </w:p>
          <w:p w14:paraId="02701085" w14:textId="7356E9B3" w:rsidR="000D7110" w:rsidRPr="008D15A2" w:rsidRDefault="0062773E" w:rsidP="008D15A2">
            <w:pPr>
              <w:jc w:val="center"/>
              <w:rPr>
                <w:b/>
                <w:bCs/>
              </w:rPr>
            </w:pPr>
            <w:r>
              <w:rPr>
                <w:b/>
                <w:bCs/>
              </w:rPr>
              <w:t>(Tranche 1)</w:t>
            </w:r>
          </w:p>
        </w:tc>
        <w:tc>
          <w:tcPr>
            <w:tcW w:w="7086" w:type="dxa"/>
          </w:tcPr>
          <w:p w14:paraId="05D88210" w14:textId="0069F1C3" w:rsidR="00401B50" w:rsidRDefault="00401B50" w:rsidP="00D409D4">
            <w:pPr>
              <w:pStyle w:val="ListParagraph"/>
              <w:numPr>
                <w:ilvl w:val="0"/>
                <w:numId w:val="14"/>
              </w:numPr>
              <w:ind w:left="482" w:hanging="357"/>
              <w:contextualSpacing w:val="0"/>
            </w:pPr>
            <w:r>
              <w:t xml:space="preserve">Protections for customers </w:t>
            </w:r>
            <w:r w:rsidR="00826C6B">
              <w:t>paying higher prices</w:t>
            </w:r>
            <w:r>
              <w:t xml:space="preserve"> </w:t>
            </w:r>
            <w:r>
              <w:rPr>
                <w:b/>
                <w:bCs/>
              </w:rPr>
              <w:t>(Chapter 8)</w:t>
            </w:r>
          </w:p>
          <w:p w14:paraId="2EAF925D" w14:textId="7B6C77BD" w:rsidR="004B1F22" w:rsidRPr="004B1F22" w:rsidRDefault="004B1F22" w:rsidP="00D409D4">
            <w:pPr>
              <w:pStyle w:val="ListParagraph"/>
              <w:numPr>
                <w:ilvl w:val="0"/>
                <w:numId w:val="14"/>
              </w:numPr>
              <w:ind w:left="482" w:hanging="357"/>
              <w:contextualSpacing w:val="0"/>
            </w:pPr>
            <w:r>
              <w:t xml:space="preserve">Improving the application of concessions </w:t>
            </w:r>
            <w:r w:rsidR="00826C6B">
              <w:t>on</w:t>
            </w:r>
            <w:r>
              <w:t xml:space="preserve"> bills </w:t>
            </w:r>
            <w:r>
              <w:rPr>
                <w:b/>
                <w:bCs/>
              </w:rPr>
              <w:t xml:space="preserve">(Chapter </w:t>
            </w:r>
            <w:r w:rsidR="004B6728">
              <w:rPr>
                <w:b/>
                <w:bCs/>
              </w:rPr>
              <w:t>9</w:t>
            </w:r>
            <w:r>
              <w:rPr>
                <w:b/>
                <w:bCs/>
              </w:rPr>
              <w:t>)</w:t>
            </w:r>
          </w:p>
          <w:p w14:paraId="69CBCB23" w14:textId="0B3A8CD2" w:rsidR="00E21A3A" w:rsidRDefault="00E21A3A" w:rsidP="00D409D4">
            <w:pPr>
              <w:pStyle w:val="ListParagraph"/>
              <w:numPr>
                <w:ilvl w:val="0"/>
                <w:numId w:val="14"/>
              </w:numPr>
              <w:ind w:left="482" w:hanging="357"/>
              <w:contextualSpacing w:val="0"/>
            </w:pPr>
            <w:r>
              <w:t xml:space="preserve">Extending protections </w:t>
            </w:r>
            <w:r w:rsidR="002735EB">
              <w:t>for customers on</w:t>
            </w:r>
            <w:r>
              <w:t xml:space="preserve"> legacy contracts (pay-on-time discounts and benefit periods</w:t>
            </w:r>
            <w:r w:rsidR="00A21B7B">
              <w:t>)</w:t>
            </w:r>
            <w:r>
              <w:t xml:space="preserve"> </w:t>
            </w:r>
            <w:r>
              <w:rPr>
                <w:b/>
                <w:bCs/>
              </w:rPr>
              <w:t>(Chapter 10)</w:t>
            </w:r>
          </w:p>
          <w:p w14:paraId="7C770952" w14:textId="77777777" w:rsidR="000D7110" w:rsidRPr="00800122" w:rsidRDefault="004B1F22" w:rsidP="00D409D4">
            <w:pPr>
              <w:pStyle w:val="ListParagraph"/>
              <w:numPr>
                <w:ilvl w:val="0"/>
                <w:numId w:val="14"/>
              </w:numPr>
              <w:ind w:left="482" w:hanging="357"/>
              <w:contextualSpacing w:val="0"/>
            </w:pPr>
            <w:r>
              <w:t>Including EWOV’s phone number on bills</w:t>
            </w:r>
            <w:r w:rsidR="004B6728">
              <w:t xml:space="preserve"> </w:t>
            </w:r>
            <w:r w:rsidR="004B6728">
              <w:rPr>
                <w:b/>
                <w:bCs/>
              </w:rPr>
              <w:t xml:space="preserve">(Chapter </w:t>
            </w:r>
            <w:r w:rsidR="002C3230">
              <w:rPr>
                <w:b/>
                <w:bCs/>
              </w:rPr>
              <w:t>11)</w:t>
            </w:r>
          </w:p>
          <w:p w14:paraId="20366D26" w14:textId="74B80839" w:rsidR="000D7110" w:rsidRDefault="00334750" w:rsidP="00D409D4">
            <w:pPr>
              <w:pStyle w:val="ListParagraph"/>
              <w:numPr>
                <w:ilvl w:val="0"/>
                <w:numId w:val="14"/>
              </w:numPr>
              <w:ind w:left="482" w:hanging="357"/>
              <w:contextualSpacing w:val="0"/>
            </w:pPr>
            <w:r w:rsidRPr="002F1C45">
              <w:t xml:space="preserve">Revised </w:t>
            </w:r>
            <w:r w:rsidR="002F1C45" w:rsidRPr="002F1C45">
              <w:rPr>
                <w:bCs/>
              </w:rPr>
              <w:t xml:space="preserve">best offer check and </w:t>
            </w:r>
            <w:r w:rsidRPr="002F1C45">
              <w:t xml:space="preserve">minimum disconnection </w:t>
            </w:r>
            <w:r w:rsidRPr="002F1C45">
              <w:rPr>
                <w:bCs/>
              </w:rPr>
              <w:t>threshold</w:t>
            </w:r>
            <w:r w:rsidR="002F1C45" w:rsidRPr="002F1C45">
              <w:rPr>
                <w:bCs/>
              </w:rPr>
              <w:t>s</w:t>
            </w:r>
            <w:r>
              <w:rPr>
                <w:b/>
              </w:rPr>
              <w:t xml:space="preserve"> (</w:t>
            </w:r>
            <w:r w:rsidR="002F1C45">
              <w:rPr>
                <w:b/>
              </w:rPr>
              <w:t>Section 4.3</w:t>
            </w:r>
            <w:r w:rsidR="00090DC6">
              <w:rPr>
                <w:b/>
              </w:rPr>
              <w:t>)</w:t>
            </w:r>
          </w:p>
        </w:tc>
      </w:tr>
      <w:tr w:rsidR="000D7110" w14:paraId="1EECB610" w14:textId="77777777" w:rsidTr="00607044">
        <w:trPr>
          <w:cnfStyle w:val="000000010000" w:firstRow="0" w:lastRow="0" w:firstColumn="0" w:lastColumn="0" w:oddVBand="0" w:evenVBand="0" w:oddHBand="0" w:evenHBand="1" w:firstRowFirstColumn="0" w:firstRowLastColumn="0" w:lastRowFirstColumn="0" w:lastRowLastColumn="0"/>
          <w:trHeight w:val="59"/>
        </w:trPr>
        <w:tc>
          <w:tcPr>
            <w:tcW w:w="2552" w:type="dxa"/>
            <w:vAlign w:val="center"/>
          </w:tcPr>
          <w:p w14:paraId="6E2AA5D5" w14:textId="77777777" w:rsidR="000D7110" w:rsidRDefault="008D15A2" w:rsidP="008D15A2">
            <w:pPr>
              <w:jc w:val="center"/>
              <w:rPr>
                <w:b/>
                <w:bCs/>
              </w:rPr>
            </w:pPr>
            <w:r w:rsidRPr="008D15A2">
              <w:rPr>
                <w:b/>
                <w:bCs/>
              </w:rPr>
              <w:t>1 July 2026</w:t>
            </w:r>
          </w:p>
          <w:p w14:paraId="7AFE360A" w14:textId="7DC04BBE" w:rsidR="000D7110" w:rsidRPr="008D15A2" w:rsidRDefault="0062773E" w:rsidP="008D15A2">
            <w:pPr>
              <w:jc w:val="center"/>
              <w:rPr>
                <w:b/>
                <w:bCs/>
              </w:rPr>
            </w:pPr>
            <w:r>
              <w:rPr>
                <w:b/>
                <w:bCs/>
              </w:rPr>
              <w:t>(Tranche 2)</w:t>
            </w:r>
          </w:p>
        </w:tc>
        <w:tc>
          <w:tcPr>
            <w:tcW w:w="7086" w:type="dxa"/>
          </w:tcPr>
          <w:p w14:paraId="62644706" w14:textId="6038F93A" w:rsidR="00506F12" w:rsidRDefault="00506F12" w:rsidP="00D409D4">
            <w:pPr>
              <w:pStyle w:val="ListParagraph"/>
              <w:numPr>
                <w:ilvl w:val="0"/>
                <w:numId w:val="14"/>
              </w:numPr>
              <w:ind w:left="482" w:hanging="357"/>
              <w:contextualSpacing w:val="0"/>
            </w:pPr>
            <w:r>
              <w:t xml:space="preserve">Automatic switch to the best offer for customers </w:t>
            </w:r>
            <w:r w:rsidR="00112027">
              <w:t>experiencing</w:t>
            </w:r>
            <w:r>
              <w:t xml:space="preserve"> payment difficulty</w:t>
            </w:r>
            <w:r w:rsidR="009777C3">
              <w:t xml:space="preserve"> </w:t>
            </w:r>
            <w:r w:rsidR="009777C3">
              <w:rPr>
                <w:b/>
                <w:bCs/>
              </w:rPr>
              <w:t>(Chapter 5)</w:t>
            </w:r>
            <w:r w:rsidR="009777C3">
              <w:t xml:space="preserve"> </w:t>
            </w:r>
          </w:p>
          <w:p w14:paraId="3C05A492" w14:textId="04BE14F8" w:rsidR="00506F12" w:rsidRDefault="00506F12" w:rsidP="00D409D4">
            <w:pPr>
              <w:pStyle w:val="ListParagraph"/>
              <w:numPr>
                <w:ilvl w:val="0"/>
                <w:numId w:val="14"/>
              </w:numPr>
              <w:ind w:left="482" w:hanging="357"/>
              <w:contextualSpacing w:val="0"/>
            </w:pPr>
            <w:r>
              <w:t xml:space="preserve">Improving access to cheaper </w:t>
            </w:r>
            <w:r w:rsidR="00AB45AE">
              <w:t>offer</w:t>
            </w:r>
            <w:r>
              <w:t>s</w:t>
            </w:r>
            <w:r w:rsidR="009777C3">
              <w:t xml:space="preserve"> </w:t>
            </w:r>
            <w:r w:rsidR="009777C3">
              <w:rPr>
                <w:b/>
                <w:bCs/>
              </w:rPr>
              <w:t>(Chapter 6)</w:t>
            </w:r>
          </w:p>
          <w:p w14:paraId="056C184B" w14:textId="3C224167" w:rsidR="000D7110" w:rsidRDefault="00506F12" w:rsidP="00D409D4">
            <w:pPr>
              <w:pStyle w:val="ListParagraph"/>
              <w:numPr>
                <w:ilvl w:val="0"/>
                <w:numId w:val="14"/>
              </w:numPr>
              <w:ind w:left="482" w:hanging="357"/>
              <w:contextualSpacing w:val="0"/>
            </w:pPr>
            <w:r>
              <w:t>Improving the ability to switch to the best offer</w:t>
            </w:r>
            <w:r w:rsidR="009777C3">
              <w:t xml:space="preserve"> </w:t>
            </w:r>
            <w:r w:rsidR="009777C3">
              <w:rPr>
                <w:b/>
                <w:bCs/>
              </w:rPr>
              <w:t>(Chapter 7)</w:t>
            </w:r>
          </w:p>
        </w:tc>
      </w:tr>
    </w:tbl>
    <w:p w14:paraId="58A2A3E3" w14:textId="01020CFB" w:rsidR="00F07CE4" w:rsidDel="005C0C6D" w:rsidRDefault="005A688E" w:rsidP="00F07CE4">
      <w:pPr>
        <w:pStyle w:val="Heading2numbered"/>
      </w:pPr>
      <w:bookmarkStart w:id="358" w:name="_Toc195692641"/>
      <w:bookmarkStart w:id="359" w:name="_Toc195701936"/>
      <w:bookmarkStart w:id="360" w:name="_Toc195692642"/>
      <w:bookmarkStart w:id="361" w:name="_Toc195701937"/>
      <w:bookmarkStart w:id="362" w:name="_Toc195692643"/>
      <w:bookmarkStart w:id="363" w:name="_Toc195701938"/>
      <w:bookmarkStart w:id="364" w:name="_Toc195692644"/>
      <w:bookmarkStart w:id="365" w:name="_Toc195701939"/>
      <w:bookmarkStart w:id="366" w:name="_Toc195692645"/>
      <w:bookmarkStart w:id="367" w:name="_Toc195701940"/>
      <w:bookmarkStart w:id="368" w:name="_Toc195692646"/>
      <w:bookmarkStart w:id="369" w:name="_Toc195701941"/>
      <w:bookmarkStart w:id="370" w:name="_Toc195692647"/>
      <w:bookmarkStart w:id="371" w:name="_Toc195701942"/>
      <w:bookmarkStart w:id="372" w:name="_Toc195692648"/>
      <w:bookmarkStart w:id="373" w:name="_Toc195701943"/>
      <w:bookmarkStart w:id="374" w:name="_Toc195692649"/>
      <w:bookmarkStart w:id="375" w:name="_Toc195701944"/>
      <w:bookmarkStart w:id="376" w:name="_Toc195692650"/>
      <w:bookmarkStart w:id="377" w:name="_Toc195701945"/>
      <w:bookmarkStart w:id="378" w:name="_Toc197959483"/>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5A688E" w:rsidDel="00541316">
        <w:t>Compliance</w:t>
      </w:r>
      <w:r w:rsidR="00BD5FA7" w:rsidDel="00541316">
        <w:t xml:space="preserve"> </w:t>
      </w:r>
      <w:r w:rsidR="00DA607D" w:rsidDel="00541316">
        <w:t xml:space="preserve">with </w:t>
      </w:r>
      <w:r w:rsidR="00DA607D" w:rsidDel="005C0C6D">
        <w:t>the new rules</w:t>
      </w:r>
      <w:bookmarkEnd w:id="378"/>
    </w:p>
    <w:p w14:paraId="7009E191" w14:textId="2CCFFFF0" w:rsidR="00233ED3" w:rsidDel="005C0C6D" w:rsidRDefault="00233ED3" w:rsidP="007723A7">
      <w:pPr>
        <w:pStyle w:val="Heading4"/>
      </w:pPr>
      <w:r w:rsidDel="005C0C6D">
        <w:t>The commission will support retailers to comply</w:t>
      </w:r>
    </w:p>
    <w:p w14:paraId="71E80FCC" w14:textId="71A48E16" w:rsidR="00B8109C" w:rsidDel="005C0C6D" w:rsidRDefault="007723A7" w:rsidP="00B8109C">
      <w:r>
        <w:t>The commission</w:t>
      </w:r>
      <w:r w:rsidR="003138AF">
        <w:t xml:space="preserve">’s </w:t>
      </w:r>
      <w:r w:rsidR="003138AF" w:rsidDel="005C0C6D">
        <w:t xml:space="preserve">primary focus is for customers to receive the benefits associated with the </w:t>
      </w:r>
      <w:r w:rsidR="003138AF">
        <w:t>proposed r</w:t>
      </w:r>
      <w:r w:rsidR="003138AF" w:rsidDel="005C0C6D">
        <w:t>ules</w:t>
      </w:r>
      <w:r w:rsidR="003138AF">
        <w:t xml:space="preserve">. We </w:t>
      </w:r>
      <w:r>
        <w:t>expect Victorian retailers to comply with all the new obligations</w:t>
      </w:r>
      <w:r w:rsidR="00D5177D">
        <w:t xml:space="preserve"> and</w:t>
      </w:r>
      <w:r>
        <w:t xml:space="preserve"> we </w:t>
      </w:r>
      <w:r w:rsidR="00B8109C" w:rsidDel="005C0C6D">
        <w:t xml:space="preserve">will </w:t>
      </w:r>
      <w:r w:rsidR="00B8109C" w:rsidDel="005C0C6D">
        <w:lastRenderedPageBreak/>
        <w:t xml:space="preserve">support </w:t>
      </w:r>
      <w:r w:rsidR="00B8109C">
        <w:t>retailers</w:t>
      </w:r>
      <w:r>
        <w:t>’ compliance</w:t>
      </w:r>
      <w:r w:rsidR="00B8109C" w:rsidDel="005C0C6D">
        <w:t xml:space="preserve"> with the new rules. However, </w:t>
      </w:r>
      <w:r w:rsidR="00EC364E">
        <w:t xml:space="preserve">in case of non-compliance, </w:t>
      </w:r>
      <w:r w:rsidR="00B8109C" w:rsidDel="005C0C6D">
        <w:t xml:space="preserve">we have legislative powers to take strong enforcement action </w:t>
      </w:r>
      <w:r w:rsidR="00EC688E" w:rsidDel="005C0C6D">
        <w:t>if necessary</w:t>
      </w:r>
      <w:r w:rsidR="00B8109C" w:rsidDel="005C0C6D">
        <w:t>.</w:t>
      </w:r>
      <w:r w:rsidR="00156E1C" w:rsidDel="005C0C6D">
        <w:t xml:space="preserve"> </w:t>
      </w:r>
    </w:p>
    <w:p w14:paraId="0CEDDD7A" w14:textId="5F6B9CD5" w:rsidR="00541316" w:rsidDel="00541316" w:rsidRDefault="00DD7E30" w:rsidP="00EC7270">
      <w:r w:rsidDel="005C0C6D">
        <w:t xml:space="preserve">We take a risk-based approach to our compliance and enforcement actions, </w:t>
      </w:r>
      <w:r w:rsidR="00EC688E" w:rsidDel="005C0C6D">
        <w:t xml:space="preserve">as </w:t>
      </w:r>
      <w:r w:rsidDel="005C0C6D">
        <w:t>outlined in our Compliance and Enforcement Policy.</w:t>
      </w:r>
      <w:r w:rsidR="00E92423">
        <w:rPr>
          <w:rStyle w:val="FootnoteReference"/>
        </w:rPr>
        <w:footnoteReference w:id="259"/>
      </w:r>
      <w:r w:rsidR="00D93631" w:rsidDel="005C0C6D">
        <w:t xml:space="preserve"> </w:t>
      </w:r>
      <w:r w:rsidR="00EC688E" w:rsidDel="005C0C6D">
        <w:t>W</w:t>
      </w:r>
      <w:r w:rsidR="00D93631" w:rsidDel="005C0C6D">
        <w:t xml:space="preserve">e </w:t>
      </w:r>
      <w:r w:rsidR="00EC688E" w:rsidDel="005C0C6D">
        <w:t xml:space="preserve">will </w:t>
      </w:r>
      <w:r w:rsidR="00D93631" w:rsidDel="005C0C6D">
        <w:t xml:space="preserve">focus our efforts </w:t>
      </w:r>
      <w:r w:rsidR="00EC7270" w:rsidDel="005C0C6D">
        <w:t>on non-</w:t>
      </w:r>
      <w:r w:rsidR="00266CB9" w:rsidDel="005C0C6D">
        <w:t>compliance</w:t>
      </w:r>
      <w:r w:rsidR="00EC7270" w:rsidDel="005C0C6D">
        <w:t xml:space="preserve"> that </w:t>
      </w:r>
      <w:r w:rsidR="00D93631" w:rsidDel="005C0C6D">
        <w:t>cause</w:t>
      </w:r>
      <w:r w:rsidR="00EC7270" w:rsidDel="005C0C6D">
        <w:t>s</w:t>
      </w:r>
      <w:r w:rsidR="00D93631" w:rsidDel="005C0C6D">
        <w:t xml:space="preserve"> </w:t>
      </w:r>
      <w:r w:rsidR="0092617E" w:rsidDel="005C0C6D">
        <w:t xml:space="preserve">significant </w:t>
      </w:r>
      <w:r w:rsidR="00D93631" w:rsidDel="005C0C6D">
        <w:t xml:space="preserve">harm </w:t>
      </w:r>
      <w:r w:rsidR="00EC7270" w:rsidDel="005C0C6D">
        <w:t xml:space="preserve">or present widespread risk </w:t>
      </w:r>
      <w:r w:rsidR="00D93631" w:rsidDel="005C0C6D">
        <w:t>to consumers</w:t>
      </w:r>
      <w:r w:rsidR="00DF452D">
        <w:t>.</w:t>
      </w:r>
      <w:r w:rsidR="00D93631" w:rsidDel="005C0C6D">
        <w:t xml:space="preserve"> </w:t>
      </w:r>
      <w:r w:rsidR="00DF452D">
        <w:t>T</w:t>
      </w:r>
      <w:r w:rsidR="00EC7270" w:rsidDel="005C0C6D">
        <w:t xml:space="preserve">his is supported by our </w:t>
      </w:r>
      <w:r w:rsidDel="005C0C6D">
        <w:t>compliance and enforcement</w:t>
      </w:r>
      <w:r w:rsidR="00EC7270" w:rsidDel="005C0C6D">
        <w:t xml:space="preserve"> priorities</w:t>
      </w:r>
      <w:r w:rsidDel="005C0C6D">
        <w:t>.</w:t>
      </w:r>
      <w:r w:rsidDel="005C0C6D">
        <w:rPr>
          <w:rStyle w:val="FootnoteReference"/>
        </w:rPr>
        <w:footnoteReference w:id="260"/>
      </w:r>
    </w:p>
    <w:p w14:paraId="10FBE7CB" w14:textId="4644ED6F" w:rsidR="002E56E2" w:rsidDel="005C0C6D" w:rsidRDefault="002E56E2" w:rsidP="002C1DED">
      <w:r w:rsidDel="005C0C6D">
        <w:t xml:space="preserve">We </w:t>
      </w:r>
      <w:r w:rsidR="00EC688E" w:rsidDel="005C0C6D">
        <w:t>also</w:t>
      </w:r>
      <w:r w:rsidDel="005C0C6D">
        <w:t xml:space="preserve"> undertake proactive compliance programs when we identify a potential risk to Victorian energy consumers (see case studies 1 and 2). These programs </w:t>
      </w:r>
      <w:r w:rsidR="002C1DED" w:rsidDel="005C0C6D">
        <w:t xml:space="preserve">help retailers improve </w:t>
      </w:r>
      <w:r w:rsidR="006F3983" w:rsidDel="005C0C6D">
        <w:t xml:space="preserve">its </w:t>
      </w:r>
      <w:r w:rsidR="002C1DED" w:rsidDel="005C0C6D">
        <w:t>compliance</w:t>
      </w:r>
      <w:r w:rsidR="006F3983" w:rsidDel="005C0C6D">
        <w:t xml:space="preserve"> </w:t>
      </w:r>
      <w:r w:rsidR="002C1DED" w:rsidDel="005C0C6D">
        <w:t>or</w:t>
      </w:r>
      <w:r w:rsidDel="005C0C6D">
        <w:t xml:space="preserve"> quickly remediate </w:t>
      </w:r>
      <w:r w:rsidR="002C1DED" w:rsidDel="005C0C6D">
        <w:t xml:space="preserve">non-compliance </w:t>
      </w:r>
      <w:r w:rsidDel="005C0C6D">
        <w:t>and redress customers.</w:t>
      </w:r>
    </w:p>
    <w:p w14:paraId="32D4CDF9" w14:textId="0B64199A" w:rsidR="00CD2C19" w:rsidRPr="00800122" w:rsidDel="005C0C6D" w:rsidRDefault="00CD2C19" w:rsidP="00CD2C19">
      <w:pPr>
        <w:pStyle w:val="Pull-out"/>
        <w:rPr>
          <w:b/>
        </w:rPr>
      </w:pPr>
      <w:r w:rsidRPr="00800122" w:rsidDel="005C0C6D">
        <w:rPr>
          <w:b/>
        </w:rPr>
        <w:t xml:space="preserve">Case study </w:t>
      </w:r>
      <w:r w:rsidDel="005C0C6D">
        <w:rPr>
          <w:b/>
        </w:rPr>
        <w:t>1</w:t>
      </w:r>
      <w:r w:rsidRPr="00800122" w:rsidDel="005C0C6D">
        <w:rPr>
          <w:b/>
        </w:rPr>
        <w:t>: Best offer compliance program</w:t>
      </w:r>
    </w:p>
    <w:p w14:paraId="28EEA88B" w14:textId="60BC08F7" w:rsidR="00CD2C19" w:rsidRPr="00E3644B" w:rsidDel="005C0C6D" w:rsidRDefault="00CD2C19" w:rsidP="00CD2C19">
      <w:pPr>
        <w:pStyle w:val="Pull-out"/>
        <w:rPr>
          <w:i/>
          <w:iCs/>
        </w:rPr>
      </w:pPr>
      <w:r w:rsidRPr="00E47C76" w:rsidDel="005C0C6D">
        <w:t>The best offer compliance program reviewed how well retailers were complying with their obligation to tell customers</w:t>
      </w:r>
      <w:r w:rsidR="001B2B6E">
        <w:t>,</w:t>
      </w:r>
      <w:r w:rsidRPr="00E47C76" w:rsidDel="005C0C6D">
        <w:t xml:space="preserve"> via their bills</w:t>
      </w:r>
      <w:r w:rsidR="001B2B6E">
        <w:t>,</w:t>
      </w:r>
      <w:r w:rsidRPr="00E47C76" w:rsidDel="005C0C6D">
        <w:t xml:space="preserve"> whether they are on their retailer’s best offer. We found that some retailers could improve the way they communicated best offers to Victorian energy customers. In response, we published a best offer guideline, which provides guidance to energy retailers on how they provide information about their best energy offer with customers.</w:t>
      </w:r>
    </w:p>
    <w:p w14:paraId="6DC33574" w14:textId="2AAFC74D" w:rsidR="00467003" w:rsidRPr="00800122" w:rsidDel="005C0C6D" w:rsidRDefault="00467003" w:rsidP="00467003">
      <w:pPr>
        <w:pStyle w:val="Pull-out"/>
        <w:rPr>
          <w:b/>
        </w:rPr>
      </w:pPr>
      <w:r w:rsidRPr="00800122" w:rsidDel="005C0C6D">
        <w:rPr>
          <w:b/>
        </w:rPr>
        <w:t xml:space="preserve">Case study </w:t>
      </w:r>
      <w:r w:rsidDel="005C0C6D">
        <w:rPr>
          <w:b/>
        </w:rPr>
        <w:t>2</w:t>
      </w:r>
      <w:r w:rsidRPr="00800122" w:rsidDel="005C0C6D">
        <w:rPr>
          <w:b/>
        </w:rPr>
        <w:t>: Disconnection compliance reviews</w:t>
      </w:r>
    </w:p>
    <w:p w14:paraId="74E69986" w14:textId="77777777" w:rsidR="00467003" w:rsidDel="005C0C6D" w:rsidRDefault="00467003" w:rsidP="00467003">
      <w:pPr>
        <w:pStyle w:val="Pull-out"/>
      </w:pPr>
      <w:r w:rsidDel="005C0C6D">
        <w:t>The commission conducted compliance reviews of three retailers regarding their processes and procedures when considering the disconnection of customers in certain circumstances. The reviews required the retailers to appoint independent auditors to check their practices with respect to specific energy rules and laws.</w:t>
      </w:r>
    </w:p>
    <w:p w14:paraId="4D9CA995" w14:textId="77777777" w:rsidR="00467003" w:rsidDel="005C0C6D" w:rsidRDefault="00467003" w:rsidP="00467003">
      <w:pPr>
        <w:pStyle w:val="Pull-out"/>
      </w:pPr>
      <w:r w:rsidDel="005C0C6D">
        <w:t>The retailers were selected based on our analysis of performance data and compliance breaches self-reported to the commission. We published the compliance review findings in December 2023 and held an industry forum, so that all retailers could gain insights and benefits from the findings of the reviews.</w:t>
      </w:r>
    </w:p>
    <w:p w14:paraId="0E22955E" w14:textId="77777777" w:rsidR="00467003" w:rsidRPr="00800122" w:rsidDel="005C0C6D" w:rsidRDefault="00467003" w:rsidP="00467003">
      <w:pPr>
        <w:pStyle w:val="Pull-out"/>
        <w:rPr>
          <w:i/>
        </w:rPr>
      </w:pPr>
      <w:r w:rsidRPr="00800122" w:rsidDel="005C0C6D">
        <w:rPr>
          <w:i/>
        </w:rPr>
        <w:t xml:space="preserve">Essential Services Commission: </w:t>
      </w:r>
      <w:hyperlink r:id="rId61" w:history="1">
        <w:r w:rsidRPr="005151D9" w:rsidDel="005C0C6D">
          <w:rPr>
            <w:rStyle w:val="Hyperlink"/>
            <w:i/>
          </w:rPr>
          <w:t>Annual Report 2023</w:t>
        </w:r>
        <w:r w:rsidRPr="005151D9" w:rsidDel="005C0C6D">
          <w:rPr>
            <w:rStyle w:val="Hyperlink"/>
            <w:rFonts w:cstheme="minorHAnsi"/>
            <w:i/>
          </w:rPr>
          <w:t>–</w:t>
        </w:r>
        <w:r w:rsidRPr="005151D9" w:rsidDel="005C0C6D">
          <w:rPr>
            <w:rStyle w:val="Hyperlink"/>
            <w:i/>
          </w:rPr>
          <w:t>24</w:t>
        </w:r>
      </w:hyperlink>
      <w:r w:rsidRPr="00800122" w:rsidDel="005C0C6D">
        <w:rPr>
          <w:i/>
        </w:rPr>
        <w:t>, p. 15</w:t>
      </w:r>
      <w:r w:rsidDel="005C0C6D">
        <w:rPr>
          <w:i/>
        </w:rPr>
        <w:t>.</w:t>
      </w:r>
    </w:p>
    <w:p w14:paraId="75ED1DF7" w14:textId="3015B495" w:rsidR="002C1DED" w:rsidDel="005C0C6D" w:rsidRDefault="002C1DED" w:rsidP="007723A7">
      <w:pPr>
        <w:pStyle w:val="Heading4"/>
      </w:pPr>
      <w:r w:rsidDel="005C0C6D">
        <w:lastRenderedPageBreak/>
        <w:t>The commission will enforce the rules where necessary</w:t>
      </w:r>
    </w:p>
    <w:p w14:paraId="00A53741" w14:textId="4EF01052" w:rsidR="006A4703" w:rsidDel="005C0C6D" w:rsidRDefault="00456CC0" w:rsidP="00FC21FD">
      <w:r w:rsidDel="005C0C6D">
        <w:t xml:space="preserve">It is important that we can enforce </w:t>
      </w:r>
      <w:r w:rsidR="005C7D60" w:rsidDel="005C0C6D">
        <w:t>any new provision that provides protections for customers</w:t>
      </w:r>
      <w:r w:rsidR="00FD5724" w:rsidDel="005C0C6D">
        <w:t>.</w:t>
      </w:r>
      <w:r w:rsidR="005C5AAF" w:rsidDel="005C0C6D">
        <w:t xml:space="preserve"> </w:t>
      </w:r>
      <w:r w:rsidR="005C7D60" w:rsidDel="005C0C6D">
        <w:t>We propose that all the proposed obligations are civil penalty requirements.</w:t>
      </w:r>
      <w:r w:rsidR="006A4703" w:rsidDel="005C0C6D">
        <w:rPr>
          <w:rStyle w:val="FootnoteReference"/>
        </w:rPr>
        <w:footnoteReference w:id="261"/>
      </w:r>
      <w:r w:rsidR="00FC21FD" w:rsidDel="005C0C6D">
        <w:t xml:space="preserve"> </w:t>
      </w:r>
      <w:r w:rsidR="00FC3A57">
        <w:t xml:space="preserve">Among other potential </w:t>
      </w:r>
      <w:r w:rsidR="007C46CD">
        <w:t>tools</w:t>
      </w:r>
      <w:r w:rsidR="00FC3A57">
        <w:t xml:space="preserve"> for a breach </w:t>
      </w:r>
      <w:r w:rsidR="000A2F97">
        <w:t>of</w:t>
      </w:r>
      <w:r w:rsidR="00FC3A57">
        <w:t xml:space="preserve"> </w:t>
      </w:r>
      <w:r w:rsidR="00143112">
        <w:t>the proposed new provisions</w:t>
      </w:r>
      <w:r w:rsidR="00FC3A57">
        <w:t xml:space="preserve">, </w:t>
      </w:r>
      <w:r w:rsidR="00B86684">
        <w:t xml:space="preserve">the commission </w:t>
      </w:r>
      <w:r w:rsidR="00143112">
        <w:t>would be able to</w:t>
      </w:r>
      <w:r w:rsidR="00FC3A57">
        <w:t xml:space="preserve"> </w:t>
      </w:r>
      <w:r w:rsidR="00B86684">
        <w:t>issue a civil penalty notice and a court may impose civil penalties</w:t>
      </w:r>
      <w:r w:rsidR="00FC3A57">
        <w:t xml:space="preserve"> for the contravention of a civil penalty requirement</w:t>
      </w:r>
      <w:r w:rsidR="00B86684">
        <w:t>.</w:t>
      </w:r>
      <w:r w:rsidR="000A2F97">
        <w:t xml:space="preserve"> </w:t>
      </w:r>
      <w:r w:rsidR="006A4703" w:rsidDel="005C0C6D">
        <w:t>This will allow us to take strong enforcement action on non-compliance that causes serious harm to customers. Our compliance and enforcement priorities signal the type of harms that we will focus our enforcement action on.</w:t>
      </w:r>
      <w:r w:rsidR="006A4703" w:rsidDel="005C0C6D">
        <w:rPr>
          <w:rStyle w:val="FootnoteReference"/>
        </w:rPr>
        <w:footnoteReference w:id="262"/>
      </w:r>
    </w:p>
    <w:p w14:paraId="727620B1" w14:textId="7A6B8212" w:rsidR="00F07CE4" w:rsidRDefault="00AC2409" w:rsidP="00F07CE4">
      <w:pPr>
        <w:pStyle w:val="Heading2numbered"/>
      </w:pPr>
      <w:bookmarkStart w:id="379" w:name="_Toc195692652"/>
      <w:bookmarkStart w:id="380" w:name="_Toc195701947"/>
      <w:bookmarkStart w:id="381" w:name="_Toc195692653"/>
      <w:bookmarkStart w:id="382" w:name="_Toc195701948"/>
      <w:bookmarkStart w:id="383" w:name="_Toc195692654"/>
      <w:bookmarkStart w:id="384" w:name="_Toc195701949"/>
      <w:bookmarkStart w:id="385" w:name="_Toc195692655"/>
      <w:bookmarkStart w:id="386" w:name="_Toc195701950"/>
      <w:bookmarkStart w:id="387" w:name="_Toc197959484"/>
      <w:bookmarkEnd w:id="379"/>
      <w:bookmarkEnd w:id="380"/>
      <w:bookmarkEnd w:id="381"/>
      <w:bookmarkEnd w:id="382"/>
      <w:bookmarkEnd w:id="383"/>
      <w:bookmarkEnd w:id="384"/>
      <w:bookmarkEnd w:id="385"/>
      <w:bookmarkEnd w:id="386"/>
      <w:r>
        <w:t>Evaluation strategy</w:t>
      </w:r>
      <w:bookmarkEnd w:id="387"/>
    </w:p>
    <w:p w14:paraId="33795270" w14:textId="0DCC4E04" w:rsidR="00682B9B" w:rsidRDefault="008F10A8" w:rsidP="008F10A8">
      <w:r>
        <w:t>The commission regularly assess</w:t>
      </w:r>
      <w:r w:rsidR="004A0CE4">
        <w:t>es</w:t>
      </w:r>
      <w:r>
        <w:t xml:space="preserve"> the performance of the energy market and licensed entities. </w:t>
      </w:r>
      <w:r w:rsidR="00821D3F">
        <w:t xml:space="preserve">We regularly </w:t>
      </w:r>
      <w:r w:rsidR="00FD7DE5">
        <w:t>analyse</w:t>
      </w:r>
      <w:r w:rsidR="00821D3F">
        <w:t xml:space="preserve"> market </w:t>
      </w:r>
      <w:r>
        <w:t>data to inform the commission</w:t>
      </w:r>
      <w:r w:rsidR="00221E76">
        <w:t xml:space="preserve">’s </w:t>
      </w:r>
      <w:r>
        <w:t xml:space="preserve">compliance and enforcement </w:t>
      </w:r>
      <w:r w:rsidR="00221E76">
        <w:t>actions,</w:t>
      </w:r>
      <w:r>
        <w:t xml:space="preserve"> and reform</w:t>
      </w:r>
      <w:r w:rsidR="00221E76">
        <w:t>s</w:t>
      </w:r>
      <w:r>
        <w:t xml:space="preserve">. </w:t>
      </w:r>
      <w:r w:rsidR="00221E76">
        <w:t xml:space="preserve">We also </w:t>
      </w:r>
      <w:r w:rsidR="00682B9B">
        <w:t>share these findings publicly on our website through written reports</w:t>
      </w:r>
      <w:r w:rsidR="000E79CF">
        <w:t xml:space="preserve">, </w:t>
      </w:r>
      <w:r w:rsidR="00682B9B">
        <w:t>articles</w:t>
      </w:r>
      <w:r w:rsidR="000E79CF">
        <w:t>, and a public dashboard</w:t>
      </w:r>
      <w:r w:rsidR="00682B9B">
        <w:t xml:space="preserve">. </w:t>
      </w:r>
      <w:r w:rsidR="000E79CF">
        <w:t xml:space="preserve">This information can be found at </w:t>
      </w:r>
      <w:r w:rsidR="00682B9B">
        <w:t xml:space="preserve">our </w:t>
      </w:r>
      <w:r w:rsidR="006A4703">
        <w:t>Victorian Energy Market</w:t>
      </w:r>
      <w:r w:rsidR="00682B9B">
        <w:t xml:space="preserve"> Reporting Hub.</w:t>
      </w:r>
      <w:r w:rsidR="000E79CF">
        <w:rPr>
          <w:rStyle w:val="FootnoteReference"/>
        </w:rPr>
        <w:footnoteReference w:id="263"/>
      </w:r>
    </w:p>
    <w:p w14:paraId="6AFA2F25" w14:textId="679BA1A2" w:rsidR="008F10A8" w:rsidRDefault="008F10A8" w:rsidP="008F10A8">
      <w:r>
        <w:t xml:space="preserve">Evaluation is part of the </w:t>
      </w:r>
      <w:r w:rsidR="00E46CC7">
        <w:t xml:space="preserve">commission’s </w:t>
      </w:r>
      <w:r>
        <w:t xml:space="preserve">continuous improvement cycle. </w:t>
      </w:r>
      <w:r w:rsidR="008768AC">
        <w:t>W</w:t>
      </w:r>
      <w:r w:rsidR="00271568">
        <w:t>e consider</w:t>
      </w:r>
      <w:r>
        <w:t xml:space="preserve"> the following </w:t>
      </w:r>
      <w:r w:rsidR="00271568">
        <w:t>matters</w:t>
      </w:r>
      <w:r w:rsidR="008768AC">
        <w:t xml:space="preserve"> when evaluating our regulatory actions</w:t>
      </w:r>
      <w:r>
        <w:t>:</w:t>
      </w:r>
    </w:p>
    <w:p w14:paraId="1AEF9D5F" w14:textId="12F04C19" w:rsidR="008F10A8" w:rsidRPr="008F10A8" w:rsidRDefault="008F10A8" w:rsidP="00A92E17">
      <w:pPr>
        <w:pStyle w:val="ListBullet"/>
      </w:pPr>
      <w:r>
        <w:t>How are the</w:t>
      </w:r>
      <w:r w:rsidR="0080671A">
        <w:t xml:space="preserve"> existing rules</w:t>
      </w:r>
      <w:r>
        <w:t xml:space="preserve"> </w:t>
      </w:r>
      <w:r w:rsidR="008768AC">
        <w:t xml:space="preserve">benefitting </w:t>
      </w:r>
      <w:r>
        <w:t>consumers?</w:t>
      </w:r>
    </w:p>
    <w:p w14:paraId="757513F5" w14:textId="27A40A5D" w:rsidR="008F10A8" w:rsidRPr="008F10A8" w:rsidRDefault="008F10A8" w:rsidP="00A92E17">
      <w:pPr>
        <w:pStyle w:val="ListBullet"/>
      </w:pPr>
      <w:r>
        <w:t xml:space="preserve">Are </w:t>
      </w:r>
      <w:r w:rsidR="00545654">
        <w:t>current rules</w:t>
      </w:r>
      <w:r>
        <w:t xml:space="preserve"> meeting consumer needs and expectations?</w:t>
      </w:r>
    </w:p>
    <w:p w14:paraId="278BA507" w14:textId="5B2E5CDD" w:rsidR="008F10A8" w:rsidRPr="008F10A8" w:rsidRDefault="008F10A8" w:rsidP="00A92E17">
      <w:pPr>
        <w:pStyle w:val="ListBullet"/>
      </w:pPr>
      <w:r>
        <w:t xml:space="preserve">Have these </w:t>
      </w:r>
      <w:r w:rsidR="00FB7CBC">
        <w:t xml:space="preserve">rules </w:t>
      </w:r>
      <w:r>
        <w:t>been implemented as intended?</w:t>
      </w:r>
    </w:p>
    <w:p w14:paraId="3346BD4F" w14:textId="1CAD6447" w:rsidR="008F10A8" w:rsidRPr="008F10A8" w:rsidRDefault="008F10A8" w:rsidP="00A92E17">
      <w:pPr>
        <w:pStyle w:val="ListBullet"/>
      </w:pPr>
      <w:r>
        <w:t xml:space="preserve">Are these </w:t>
      </w:r>
      <w:r w:rsidR="00373FCB">
        <w:t xml:space="preserve">rules </w:t>
      </w:r>
      <w:r>
        <w:t>achieving their intended outcomes? How is this reflected in the data or market operations?</w:t>
      </w:r>
    </w:p>
    <w:p w14:paraId="3BD94948" w14:textId="42ECB10A" w:rsidR="008F10A8" w:rsidRPr="008F10A8" w:rsidRDefault="008F10A8" w:rsidP="00A92E17">
      <w:pPr>
        <w:pStyle w:val="ListBullet"/>
      </w:pPr>
      <w:r>
        <w:t xml:space="preserve">Are these </w:t>
      </w:r>
      <w:r w:rsidR="004A3292">
        <w:t xml:space="preserve">rules </w:t>
      </w:r>
      <w:r>
        <w:t>having any unintended impacts or consequences?</w:t>
      </w:r>
    </w:p>
    <w:p w14:paraId="19DD10DF" w14:textId="77777777" w:rsidR="008F10A8" w:rsidRPr="008F10A8" w:rsidRDefault="008F10A8" w:rsidP="00A92E17">
      <w:pPr>
        <w:pStyle w:val="ListBullet"/>
      </w:pPr>
      <w:r>
        <w:t xml:space="preserve">Are there better ways to achieve the desired outcomes? </w:t>
      </w:r>
    </w:p>
    <w:p w14:paraId="37B65F4A" w14:textId="054FAD79" w:rsidR="008F10A8" w:rsidRDefault="008768AC" w:rsidP="008F10A8">
      <w:r>
        <w:t xml:space="preserve">We </w:t>
      </w:r>
      <w:r w:rsidR="008F10A8">
        <w:t>draw on a range of information sources (</w:t>
      </w:r>
      <w:r w:rsidR="003C26CF">
        <w:t>data reported by licensees</w:t>
      </w:r>
      <w:r w:rsidR="008F10A8">
        <w:t>, consumer feedback</w:t>
      </w:r>
      <w:r w:rsidR="00B528DE">
        <w:t xml:space="preserve"> and surveys</w:t>
      </w:r>
      <w:r w:rsidR="008F10A8">
        <w:t xml:space="preserve">, EWOV insights, and </w:t>
      </w:r>
      <w:r w:rsidR="003C26CF">
        <w:t xml:space="preserve">external reports </w:t>
      </w:r>
      <w:r w:rsidR="00B528DE">
        <w:t xml:space="preserve">or </w:t>
      </w:r>
      <w:r w:rsidR="008F10A8">
        <w:t>expert</w:t>
      </w:r>
      <w:r w:rsidR="00B528DE">
        <w:t xml:space="preserve"> advice</w:t>
      </w:r>
      <w:r w:rsidR="008F10A8">
        <w:t>) to inform our review and regulatory responses.</w:t>
      </w:r>
      <w:r w:rsidR="002458AE">
        <w:t xml:space="preserve"> </w:t>
      </w:r>
      <w:r w:rsidR="008F10A8">
        <w:t xml:space="preserve">We also </w:t>
      </w:r>
      <w:r w:rsidR="002458AE">
        <w:t>monitor and review broader energy policy developments, and</w:t>
      </w:r>
      <w:r w:rsidR="008F10A8">
        <w:t xml:space="preserve"> respond to reforms initiated by other governments or other regulators.</w:t>
      </w:r>
    </w:p>
    <w:p w14:paraId="141C876A" w14:textId="4A09CEF2" w:rsidR="008F10A8" w:rsidRDefault="00747D89" w:rsidP="008F10A8">
      <w:r>
        <w:t>R</w:t>
      </w:r>
      <w:r w:rsidR="00693C85">
        <w:t xml:space="preserve">etailers </w:t>
      </w:r>
      <w:r w:rsidR="009D4629">
        <w:t>must also</w:t>
      </w:r>
      <w:r w:rsidR="00693C85">
        <w:t xml:space="preserve"> self-report potential non-compliance </w:t>
      </w:r>
      <w:r>
        <w:t xml:space="preserve">of the new rules. </w:t>
      </w:r>
      <w:r w:rsidR="008F10A8">
        <w:t xml:space="preserve">This </w:t>
      </w:r>
      <w:r w:rsidR="009D4629">
        <w:t>helps us</w:t>
      </w:r>
      <w:r w:rsidR="008F10A8">
        <w:t xml:space="preserve"> monitor the compliance of each licensed entity, </w:t>
      </w:r>
      <w:r>
        <w:t xml:space="preserve">and </w:t>
      </w:r>
      <w:r w:rsidR="008F10A8">
        <w:t>review the effectiveness of the new rules.</w:t>
      </w:r>
      <w:r w:rsidR="00A5206E">
        <w:t xml:space="preserve"> The </w:t>
      </w:r>
      <w:r w:rsidR="00393282">
        <w:lastRenderedPageBreak/>
        <w:t>commission’s</w:t>
      </w:r>
      <w:r w:rsidR="008F10A8">
        <w:t xml:space="preserve"> Compliance and </w:t>
      </w:r>
      <w:r w:rsidR="00EC71CF">
        <w:t xml:space="preserve">Performance </w:t>
      </w:r>
      <w:r w:rsidR="008F10A8">
        <w:t>Reporting Guideline</w:t>
      </w:r>
      <w:r w:rsidR="00A5206E">
        <w:t xml:space="preserve"> sets out</w:t>
      </w:r>
      <w:r w:rsidR="008F10A8">
        <w:t xml:space="preserve"> </w:t>
      </w:r>
      <w:r w:rsidR="00393282">
        <w:t xml:space="preserve">the processes for </w:t>
      </w:r>
      <w:r w:rsidR="00682B9B">
        <w:t>retailers to self-report non-compliance</w:t>
      </w:r>
      <w:r w:rsidR="008F10A8">
        <w:t xml:space="preserve">. </w:t>
      </w:r>
      <w:r w:rsidR="00682B9B">
        <w:t xml:space="preserve">It also </w:t>
      </w:r>
      <w:r w:rsidR="008F10A8">
        <w:t>requires retailers to report on a range of performance metrics</w:t>
      </w:r>
      <w:r w:rsidR="00682B9B">
        <w:t xml:space="preserve">. Retailers already </w:t>
      </w:r>
      <w:r w:rsidR="009D4629">
        <w:t>report</w:t>
      </w:r>
      <w:r w:rsidR="00682B9B">
        <w:t xml:space="preserve"> on data relevant to these reforms, </w:t>
      </w:r>
      <w:r w:rsidR="008F10A8">
        <w:t>such as:</w:t>
      </w:r>
    </w:p>
    <w:p w14:paraId="2583BA16" w14:textId="77777777" w:rsidR="008F10A8" w:rsidRPr="008F10A8" w:rsidRDefault="008F10A8" w:rsidP="00A92E17">
      <w:pPr>
        <w:pStyle w:val="ListBullet"/>
        <w:numPr>
          <w:ilvl w:val="0"/>
          <w:numId w:val="18"/>
        </w:numPr>
      </w:pPr>
      <w:r>
        <w:t>Customers in debt</w:t>
      </w:r>
    </w:p>
    <w:p w14:paraId="4986A9E5" w14:textId="77777777" w:rsidR="008F10A8" w:rsidRPr="008F10A8" w:rsidRDefault="008F10A8" w:rsidP="00A92E17">
      <w:pPr>
        <w:pStyle w:val="ListBullet"/>
        <w:numPr>
          <w:ilvl w:val="0"/>
          <w:numId w:val="18"/>
        </w:numPr>
      </w:pPr>
      <w:r>
        <w:t>Customers receiving assistance from their retailers</w:t>
      </w:r>
    </w:p>
    <w:p w14:paraId="4E30901B" w14:textId="77777777" w:rsidR="008F10A8" w:rsidRPr="008F10A8" w:rsidRDefault="008F10A8" w:rsidP="00A92E17">
      <w:pPr>
        <w:pStyle w:val="ListBullet"/>
        <w:numPr>
          <w:ilvl w:val="0"/>
          <w:numId w:val="18"/>
        </w:numPr>
      </w:pPr>
      <w:r>
        <w:t>Customers entering into and existing assistance</w:t>
      </w:r>
    </w:p>
    <w:p w14:paraId="38153473" w14:textId="77777777" w:rsidR="008F10A8" w:rsidRPr="008F10A8" w:rsidRDefault="008F10A8" w:rsidP="00A92E17">
      <w:pPr>
        <w:pStyle w:val="ListBullet"/>
        <w:numPr>
          <w:ilvl w:val="0"/>
          <w:numId w:val="18"/>
        </w:numPr>
      </w:pPr>
      <w:r>
        <w:t>Customers on their retailer’s best offer and best offer annual saving size</w:t>
      </w:r>
    </w:p>
    <w:p w14:paraId="2089F50C" w14:textId="77777777" w:rsidR="008F10A8" w:rsidRPr="008F10A8" w:rsidRDefault="008F10A8" w:rsidP="00A92E17">
      <w:pPr>
        <w:pStyle w:val="ListBullet"/>
        <w:numPr>
          <w:ilvl w:val="0"/>
          <w:numId w:val="18"/>
        </w:numPr>
      </w:pPr>
      <w:r>
        <w:t>Customer complaints and call wait times.</w:t>
      </w:r>
    </w:p>
    <w:p w14:paraId="1FED6F52" w14:textId="548960F3" w:rsidR="008F10A8" w:rsidRDefault="008F10A8" w:rsidP="008F10A8">
      <w:r>
        <w:t xml:space="preserve">Following the completion of </w:t>
      </w:r>
      <w:r w:rsidR="00682B9B">
        <w:t xml:space="preserve">these reforms, </w:t>
      </w:r>
      <w:r>
        <w:t xml:space="preserve">we will </w:t>
      </w:r>
      <w:r w:rsidR="00682B9B">
        <w:t xml:space="preserve">consult on updates to </w:t>
      </w:r>
      <w:r w:rsidR="00EC7931">
        <w:t xml:space="preserve">the </w:t>
      </w:r>
      <w:r w:rsidR="00EC7931" w:rsidRPr="00EC7931">
        <w:t>Compliance and Performance Reporting Guideline</w:t>
      </w:r>
      <w:r>
        <w:t>. This helps to ensure we can monitor the effect of the reforms and update performance metrics as needed.</w:t>
      </w:r>
    </w:p>
    <w:p w14:paraId="751552D3" w14:textId="72D4592E" w:rsidR="0005456D" w:rsidRDefault="0005456D" w:rsidP="0005456D">
      <w:pPr>
        <w:sectPr w:rsidR="0005456D" w:rsidSect="00155B40">
          <w:footerReference w:type="default" r:id="rId62"/>
          <w:pgSz w:w="11906" w:h="16838" w:code="9"/>
          <w:pgMar w:top="1134" w:right="1134" w:bottom="1134" w:left="1134" w:header="709" w:footer="692" w:gutter="0"/>
          <w:cols w:space="708"/>
          <w:docGrid w:linePitch="360"/>
        </w:sectPr>
      </w:pPr>
      <w:r>
        <w:br w:type="page"/>
      </w:r>
    </w:p>
    <w:p w14:paraId="2DCD657D" w14:textId="06C28689" w:rsidR="00C92ACA" w:rsidRDefault="006A16DE" w:rsidP="00DF0554">
      <w:pPr>
        <w:pStyle w:val="Heading1numbered"/>
      </w:pPr>
      <w:r>
        <w:lastRenderedPageBreak/>
        <w:t xml:space="preserve"> </w:t>
      </w:r>
      <w:bookmarkStart w:id="388" w:name="_Toc197959485"/>
      <w:r w:rsidR="00C92ACA">
        <w:t>Review and consultation</w:t>
      </w:r>
      <w:bookmarkEnd w:id="388"/>
    </w:p>
    <w:p w14:paraId="6E78AFE1" w14:textId="05528146" w:rsidR="00B12559" w:rsidRDefault="00B12559" w:rsidP="00B12559">
      <w:r>
        <w:t>The RIS process requires consultation with stakeholder</w:t>
      </w:r>
      <w:r w:rsidR="005106AC">
        <w:t>s</w:t>
      </w:r>
      <w:r>
        <w:t xml:space="preserve"> in order to collect data, examine the effectiveness of the code, and to assist in formulating options. The RIS itself is publicly released for comment and represents another step in the consultation process. Extensive consultation was undertaken prior to the release of this RIS. Each options section above summarises what stakeholders told us. This section describes the commission</w:t>
      </w:r>
      <w:r w:rsidR="00DC205D">
        <w:t>’s</w:t>
      </w:r>
      <w:r>
        <w:t xml:space="preserve"> approach to consultation and the steps undertaken as part of the consultation process for this RIS.</w:t>
      </w:r>
    </w:p>
    <w:p w14:paraId="27003271" w14:textId="1AAD2CEB" w:rsidR="00B12559" w:rsidRDefault="00B12559" w:rsidP="00B12559">
      <w:r>
        <w:t xml:space="preserve">The commission periodically reviews the code to ensure it reflects legislative and statutory requirements and that it remains fit for purpose. We work to ensure the code addresses current and emerging challenges and that it is serving the long-term interests of Victorian consumers. We began our review of the code with the release of an issues paper on 6 June 2024. </w:t>
      </w:r>
    </w:p>
    <w:p w14:paraId="4D9BDB83" w14:textId="7495E026" w:rsidR="00B12559" w:rsidRDefault="00B12559" w:rsidP="00B12559">
      <w:r>
        <w:t>During the same period, the Energy and Climate Change Ministerial Council agreed to progress a package of consumer reforms, submitting a rule change request to the AEMC in August 2024. The request sought to amend the NERR. In Victoria, these rule changes would need to be implemented through the code, which we were already reviewing.</w:t>
      </w:r>
    </w:p>
    <w:p w14:paraId="6F410ED9" w14:textId="2A908C1E" w:rsidR="00B12559" w:rsidRDefault="00B12559" w:rsidP="00B12559">
      <w:r>
        <w:t xml:space="preserve">Consequently, we split the proposed areas of reform into two stages – the first to deal with changes that result from or intersect with the </w:t>
      </w:r>
      <w:r w:rsidR="003E6506">
        <w:t>council</w:t>
      </w:r>
      <w:r>
        <w:t>-proposed changes. The second will deal with other potential changes. We are expecting to progress the latter in the second half of 2025.</w:t>
      </w:r>
    </w:p>
    <w:p w14:paraId="2DE38801" w14:textId="36A8C143" w:rsidR="00B12559" w:rsidRDefault="00B12559" w:rsidP="00B12559">
      <w:r>
        <w:t xml:space="preserve">Based on </w:t>
      </w:r>
      <w:r w:rsidR="003E6506">
        <w:t xml:space="preserve">the </w:t>
      </w:r>
      <w:r>
        <w:t>E</w:t>
      </w:r>
      <w:r w:rsidR="003E6506">
        <w:t xml:space="preserve">nergy and </w:t>
      </w:r>
      <w:r>
        <w:t>C</w:t>
      </w:r>
      <w:r w:rsidR="003E6506">
        <w:t xml:space="preserve">limate Change </w:t>
      </w:r>
      <w:r>
        <w:t>M</w:t>
      </w:r>
      <w:r w:rsidR="003E6506">
        <w:t xml:space="preserve">inisterial </w:t>
      </w:r>
      <w:r>
        <w:t>C</w:t>
      </w:r>
      <w:r w:rsidR="003E6506">
        <w:t>ouncil</w:t>
      </w:r>
      <w:r>
        <w:t>’s proposal, early stakeholder consultation and our own issues paper, we have chosen to address the following topics in the first stage of reforms:</w:t>
      </w:r>
    </w:p>
    <w:p w14:paraId="0CE55ADE" w14:textId="065C15A5" w:rsidR="00B12559" w:rsidRPr="00B12559" w:rsidRDefault="003E6506" w:rsidP="00A92E17">
      <w:pPr>
        <w:pStyle w:val="ListBullet"/>
        <w:numPr>
          <w:ilvl w:val="0"/>
          <w:numId w:val="19"/>
        </w:numPr>
      </w:pPr>
      <w:r>
        <w:t>M</w:t>
      </w:r>
      <w:r w:rsidR="00B12559">
        <w:t>aking it easier for customers to switch to better offers from their retailer, including making cheaper plans available</w:t>
      </w:r>
      <w:r>
        <w:t>.</w:t>
      </w:r>
    </w:p>
    <w:p w14:paraId="55DBBB95" w14:textId="15B71E01" w:rsidR="00B12559" w:rsidRPr="00B12559" w:rsidRDefault="003E6506" w:rsidP="00A92E17">
      <w:pPr>
        <w:pStyle w:val="ListBullet"/>
        <w:numPr>
          <w:ilvl w:val="0"/>
          <w:numId w:val="19"/>
        </w:numPr>
      </w:pPr>
      <w:r>
        <w:t>I</w:t>
      </w:r>
      <w:r w:rsidR="00B12559">
        <w:t>mproving protections for customers on legacy plans or facing payment difficulty. This includes improving the application of concessions on bills and automatically switching customers experiencing payment difficulty to their retailer’s best offer.</w:t>
      </w:r>
    </w:p>
    <w:p w14:paraId="69B82129" w14:textId="2D06D5A5" w:rsidR="00B12559" w:rsidRPr="00B12559" w:rsidRDefault="003E6506" w:rsidP="00A92E17">
      <w:pPr>
        <w:pStyle w:val="ListBullet"/>
        <w:numPr>
          <w:ilvl w:val="0"/>
          <w:numId w:val="19"/>
        </w:numPr>
      </w:pPr>
      <w:r>
        <w:t>I</w:t>
      </w:r>
      <w:r w:rsidR="00B12559">
        <w:t>mproving awareness of independent dispute resolution services.</w:t>
      </w:r>
    </w:p>
    <w:p w14:paraId="57DD2086" w14:textId="77777777" w:rsidR="00B12559" w:rsidRDefault="00B12559" w:rsidP="00B12559">
      <w:r>
        <w:t>We have consulted extensively around this first stage of proposed reforms to the code, including an issues paper, a discussion paper, and consultation workshops. Consumer groups, public entities, retailers and the general public have all had input into the process of drafting the reforms to the code.</w:t>
      </w:r>
    </w:p>
    <w:p w14:paraId="59358D78" w14:textId="00A0ED98" w:rsidR="00B12559" w:rsidRDefault="00B12559" w:rsidP="00B12559">
      <w:r>
        <w:t xml:space="preserve">This input has reinforced the need for further protections for </w:t>
      </w:r>
      <w:r w:rsidR="006D5307">
        <w:t>consumers exp</w:t>
      </w:r>
      <w:r w:rsidR="00394A27">
        <w:t>eriencing vulnerability</w:t>
      </w:r>
      <w:r>
        <w:t xml:space="preserve">, including those with significant energy debt. Stakeholders have also confirmed that customers are </w:t>
      </w:r>
      <w:r>
        <w:lastRenderedPageBreak/>
        <w:t>continuing to find it difficult to switch to cheaper energy plans. At the same time, feedback from retailers emphasised the need to ensure any changes minimise the impact on businesses and ensure they are still able to offer innovative, low-priced plans.</w:t>
      </w:r>
    </w:p>
    <w:p w14:paraId="456B8B6A" w14:textId="1DDE7C16" w:rsidR="00762C70" w:rsidRDefault="00762C70" w:rsidP="00762C70">
      <w:pPr>
        <w:pStyle w:val="Heading3numbered"/>
      </w:pPr>
      <w:r>
        <w:t>Consultation timeline</w:t>
      </w:r>
    </w:p>
    <w:p w14:paraId="768117CC" w14:textId="77532B62" w:rsidR="00B12559" w:rsidRDefault="00B12559" w:rsidP="00B12559">
      <w:r>
        <w:t>The following dates show the timelines of this consultation. Results of the consultation were published on the commission's website (see links):</w:t>
      </w:r>
    </w:p>
    <w:p w14:paraId="517AD9D4" w14:textId="34C50F9C" w:rsidR="00B12559" w:rsidRDefault="00B12559" w:rsidP="00D409D4">
      <w:pPr>
        <w:numPr>
          <w:ilvl w:val="0"/>
          <w:numId w:val="11"/>
        </w:numPr>
        <w:ind w:left="496" w:hanging="354"/>
        <w:rPr>
          <w:rFonts w:ascii="Symbol" w:eastAsia="Symbol" w:hAnsi="Symbol" w:cs="Symbol"/>
        </w:rPr>
      </w:pPr>
      <w:r>
        <w:t xml:space="preserve">6 June 2024: </w:t>
      </w:r>
      <w:hyperlink r:id="rId63" w:anchor="toc-information-session-2|tabs-container3" w:history="1">
        <w:r>
          <w:rPr>
            <w:color w:val="0000FF"/>
            <w:u w:val="single" w:color="0000FF"/>
          </w:rPr>
          <w:t>Issues paper</w:t>
        </w:r>
      </w:hyperlink>
      <w:r>
        <w:t xml:space="preserve"> published </w:t>
      </w:r>
    </w:p>
    <w:p w14:paraId="7103896E" w14:textId="06F4AC9E" w:rsidR="00B12559" w:rsidRDefault="00B12559" w:rsidP="00D409D4">
      <w:pPr>
        <w:numPr>
          <w:ilvl w:val="0"/>
          <w:numId w:val="11"/>
        </w:numPr>
        <w:ind w:left="496" w:hanging="354"/>
        <w:rPr>
          <w:rFonts w:ascii="Symbol" w:eastAsia="Symbol" w:hAnsi="Symbol" w:cs="Symbol"/>
        </w:rPr>
      </w:pPr>
      <w:r>
        <w:t xml:space="preserve">4 July 2024: </w:t>
      </w:r>
      <w:hyperlink r:id="rId64" w:anchor="toc-information-session-2|tabs-container3" w:history="1">
        <w:r>
          <w:rPr>
            <w:color w:val="0000FF"/>
            <w:u w:val="single" w:color="0000FF"/>
          </w:rPr>
          <w:t>Stakeholder information session</w:t>
        </w:r>
      </w:hyperlink>
      <w:r>
        <w:t xml:space="preserve"> (online)</w:t>
      </w:r>
    </w:p>
    <w:p w14:paraId="2FBC44FC" w14:textId="77777777" w:rsidR="00B12559" w:rsidRDefault="00B12559" w:rsidP="00D409D4">
      <w:pPr>
        <w:numPr>
          <w:ilvl w:val="0"/>
          <w:numId w:val="11"/>
        </w:numPr>
        <w:ind w:left="496" w:hanging="354"/>
        <w:rPr>
          <w:rFonts w:ascii="Symbol" w:eastAsia="Symbol" w:hAnsi="Symbol" w:cs="Symbol"/>
        </w:rPr>
      </w:pPr>
      <w:r>
        <w:t>19 July 2024: Consultation on issues paper closes (28 written submissions received)</w:t>
      </w:r>
    </w:p>
    <w:p w14:paraId="64AF537B" w14:textId="738ECDD0" w:rsidR="00B12559" w:rsidRDefault="00B12559" w:rsidP="00D409D4">
      <w:pPr>
        <w:numPr>
          <w:ilvl w:val="0"/>
          <w:numId w:val="11"/>
        </w:numPr>
        <w:ind w:left="496" w:hanging="354"/>
        <w:rPr>
          <w:rFonts w:ascii="Symbol" w:eastAsia="Symbol" w:hAnsi="Symbol" w:cs="Symbol"/>
        </w:rPr>
      </w:pPr>
      <w:r>
        <w:t xml:space="preserve">24 October 2024: Consultation on energy consumer reforms </w:t>
      </w:r>
      <w:hyperlink r:id="rId65" w:anchor="toc-submissions-on-the-energy-consumer-reforms-discussion-paper|tabs-container2" w:history="1">
        <w:r>
          <w:rPr>
            <w:color w:val="0000FF"/>
            <w:u w:val="single" w:color="0000FF"/>
          </w:rPr>
          <w:t>discussio</w:t>
        </w:r>
        <w:bookmarkStart w:id="389" w:name="_Hlt198038408"/>
        <w:bookmarkStart w:id="390" w:name="_Hlt198038409"/>
        <w:r>
          <w:rPr>
            <w:color w:val="0000FF"/>
            <w:u w:val="single" w:color="0000FF"/>
          </w:rPr>
          <w:t>n</w:t>
        </w:r>
        <w:bookmarkEnd w:id="389"/>
        <w:bookmarkEnd w:id="390"/>
        <w:r>
          <w:rPr>
            <w:color w:val="0000FF"/>
            <w:u w:val="single" w:color="0000FF"/>
          </w:rPr>
          <w:t xml:space="preserve"> paper</w:t>
        </w:r>
      </w:hyperlink>
      <w:r>
        <w:t xml:space="preserve"> opens</w:t>
      </w:r>
    </w:p>
    <w:p w14:paraId="35229104" w14:textId="487A890B" w:rsidR="00B12559" w:rsidRDefault="00B12559" w:rsidP="00D409D4">
      <w:pPr>
        <w:numPr>
          <w:ilvl w:val="0"/>
          <w:numId w:val="11"/>
        </w:numPr>
        <w:ind w:left="496" w:hanging="354"/>
        <w:rPr>
          <w:rFonts w:ascii="Symbol" w:eastAsia="Symbol" w:hAnsi="Symbol" w:cs="Symbol"/>
        </w:rPr>
      </w:pPr>
      <w:r>
        <w:t xml:space="preserve">6 November 2024: </w:t>
      </w:r>
      <w:hyperlink r:id="rId66" w:anchor="toc-submissions-on-the-energy-consumer-reforms-discussion-paper|tabs-container2" w:history="1">
        <w:r>
          <w:rPr>
            <w:color w:val="0000FF"/>
            <w:u w:val="single" w:color="0000FF"/>
          </w:rPr>
          <w:t>Public informat</w:t>
        </w:r>
        <w:bookmarkStart w:id="391" w:name="_Hlt198038386"/>
        <w:bookmarkStart w:id="392" w:name="_Hlt198038387"/>
        <w:r>
          <w:rPr>
            <w:color w:val="0000FF"/>
            <w:u w:val="single" w:color="0000FF"/>
          </w:rPr>
          <w:t>i</w:t>
        </w:r>
        <w:bookmarkEnd w:id="391"/>
        <w:bookmarkEnd w:id="392"/>
        <w:r>
          <w:rPr>
            <w:color w:val="0000FF"/>
            <w:u w:val="single" w:color="0000FF"/>
          </w:rPr>
          <w:t>on session</w:t>
        </w:r>
      </w:hyperlink>
      <w:r>
        <w:t xml:space="preserve"> on stage one</w:t>
      </w:r>
    </w:p>
    <w:p w14:paraId="0A221F8C" w14:textId="77777777" w:rsidR="00B12559" w:rsidRDefault="00B12559" w:rsidP="00D409D4">
      <w:pPr>
        <w:numPr>
          <w:ilvl w:val="0"/>
          <w:numId w:val="11"/>
        </w:numPr>
        <w:ind w:left="496" w:hanging="354"/>
        <w:rPr>
          <w:rFonts w:ascii="Symbol" w:eastAsia="Symbol" w:hAnsi="Symbol" w:cs="Symbol"/>
        </w:rPr>
      </w:pPr>
      <w:r>
        <w:t>26 November 2024: Consultation on energy consumer reform closes (20 written submissions received)</w:t>
      </w:r>
    </w:p>
    <w:p w14:paraId="5A20F036" w14:textId="1FE834CE" w:rsidR="00B12559" w:rsidRDefault="00B12559" w:rsidP="00D409D4">
      <w:pPr>
        <w:numPr>
          <w:ilvl w:val="0"/>
          <w:numId w:val="11"/>
        </w:numPr>
        <w:ind w:left="496" w:hanging="354"/>
        <w:rPr>
          <w:rFonts w:ascii="Symbol" w:eastAsia="Symbol" w:hAnsi="Symbol" w:cs="Symbol"/>
        </w:rPr>
      </w:pPr>
      <w:r>
        <w:t xml:space="preserve">5 December 2024: </w:t>
      </w:r>
      <w:hyperlink r:id="rId67" w:anchor="toc-submissions-on-the-energy-consumer-reforms-discussion-paper|tabs-container2" w:history="1">
        <w:r>
          <w:rPr>
            <w:color w:val="0000FF"/>
            <w:u w:val="single" w:color="0000FF"/>
          </w:rPr>
          <w:t>Online consultation</w:t>
        </w:r>
        <w:bookmarkStart w:id="393" w:name="_Hlt198038365"/>
        <w:bookmarkStart w:id="394" w:name="_Hlt198038366"/>
        <w:r>
          <w:rPr>
            <w:color w:val="0000FF"/>
            <w:u w:val="single" w:color="0000FF"/>
          </w:rPr>
          <w:t xml:space="preserve"> </w:t>
        </w:r>
        <w:bookmarkEnd w:id="393"/>
        <w:bookmarkEnd w:id="394"/>
        <w:r>
          <w:rPr>
            <w:color w:val="0000FF"/>
            <w:u w:val="single" w:color="0000FF"/>
          </w:rPr>
          <w:t>workshop</w:t>
        </w:r>
      </w:hyperlink>
      <w:r>
        <w:t xml:space="preserve"> (61 attendees)</w:t>
      </w:r>
    </w:p>
    <w:p w14:paraId="3CAC23DB" w14:textId="2A3E7317" w:rsidR="00B12559" w:rsidRPr="009236CA" w:rsidRDefault="00B12559" w:rsidP="00D409D4">
      <w:pPr>
        <w:numPr>
          <w:ilvl w:val="0"/>
          <w:numId w:val="11"/>
        </w:numPr>
        <w:ind w:left="496" w:hanging="354"/>
        <w:rPr>
          <w:rFonts w:ascii="Symbol" w:eastAsia="Symbol" w:hAnsi="Symbol" w:cs="Symbol"/>
        </w:rPr>
      </w:pPr>
      <w:r>
        <w:t xml:space="preserve">10 December 2024: </w:t>
      </w:r>
      <w:hyperlink r:id="rId68" w:anchor="toc-submissions-on-the-energy-consumer-reforms-discussion-paper|tabs-container2" w:history="1">
        <w:r>
          <w:rPr>
            <w:color w:val="0000FF"/>
            <w:u w:val="single" w:color="0000FF"/>
          </w:rPr>
          <w:t>In-person consultation wo</w:t>
        </w:r>
        <w:bookmarkStart w:id="395" w:name="_Hlt198038348"/>
        <w:bookmarkStart w:id="396" w:name="_Hlt198038349"/>
        <w:r>
          <w:rPr>
            <w:color w:val="0000FF"/>
            <w:u w:val="single" w:color="0000FF"/>
          </w:rPr>
          <w:t>r</w:t>
        </w:r>
        <w:bookmarkEnd w:id="395"/>
        <w:bookmarkEnd w:id="396"/>
        <w:r>
          <w:rPr>
            <w:color w:val="0000FF"/>
            <w:u w:val="single" w:color="0000FF"/>
          </w:rPr>
          <w:t>kshop</w:t>
        </w:r>
      </w:hyperlink>
      <w:r>
        <w:t xml:space="preserve"> (32 attendees)</w:t>
      </w:r>
    </w:p>
    <w:p w14:paraId="6BA56134" w14:textId="0362A3E4" w:rsidR="000E44CD" w:rsidRDefault="000E44CD" w:rsidP="009236CA">
      <w:pPr>
        <w:pStyle w:val="Heading3numbered"/>
      </w:pPr>
      <w:r>
        <w:t xml:space="preserve">Consultation </w:t>
      </w:r>
      <w:r w:rsidR="009236CA">
        <w:t>process</w:t>
      </w:r>
    </w:p>
    <w:p w14:paraId="32E8530A" w14:textId="349FA5B8" w:rsidR="00B12559" w:rsidRDefault="00B12559" w:rsidP="00B12559">
      <w:r>
        <w:t>We provided several opportunities for stakeholders to engage in this process. We released an issues paper for public consultation on 6 June 2024. The paper outlined the areas we perceived as being ripe for reform as well as our approach. We held an online stakeholder information session on 4 July 2024. Feedback from stakeholders on the issues paper was incorporated into our discussion paper on energy consumer reforms.</w:t>
      </w:r>
    </w:p>
    <w:p w14:paraId="15C66F3E" w14:textId="77777777" w:rsidR="00B12559" w:rsidRDefault="00B12559" w:rsidP="00B12559">
      <w:r>
        <w:t>In response to the request for rule changes by the ECMC, and incorporating feedback from the issues paper, we released a discussion paper on 24 October 2024. The paper outlined our broad approach to the reforms and sought input from stakeholders and the public.</w:t>
      </w:r>
    </w:p>
    <w:p w14:paraId="78A6515F" w14:textId="77777777" w:rsidR="00B12559" w:rsidRDefault="00B12559" w:rsidP="00B12559">
      <w:r>
        <w:t>We held an online public information session on 6 November 2024, as well as two workshops, one online and one in person, on 5 and 10 December 2024. Retailers, consumer and community groups, and public entities were invited to attend.</w:t>
      </w:r>
    </w:p>
    <w:p w14:paraId="37238C2D" w14:textId="77777777" w:rsidR="00296F3D" w:rsidRDefault="00296F3D" w:rsidP="00296F3D">
      <w:r>
        <w:t xml:space="preserve">We also held several meetings with specific stakeholders to discuss their submissions. These meetings were held from July 2024 to February 2025. </w:t>
      </w:r>
    </w:p>
    <w:p w14:paraId="7C54F017" w14:textId="7E5B7317" w:rsidR="00DD0A4B" w:rsidRDefault="00224932" w:rsidP="00224932">
      <w:pPr>
        <w:pStyle w:val="Heading3numbered"/>
      </w:pPr>
      <w:r>
        <w:lastRenderedPageBreak/>
        <w:t>Submissions</w:t>
      </w:r>
    </w:p>
    <w:p w14:paraId="1F8C9E07" w14:textId="48DD80F9" w:rsidR="00B12559" w:rsidRDefault="008A4C6A" w:rsidP="00B12559">
      <w:r>
        <w:t xml:space="preserve">The commission thanks the following organisations for providing submissions </w:t>
      </w:r>
      <w:r w:rsidR="00296F3D">
        <w:t>to this review</w:t>
      </w:r>
      <w:r w:rsidR="00B12559">
        <w:t>:</w:t>
      </w:r>
    </w:p>
    <w:tbl>
      <w:tblPr>
        <w:tblW w:w="10064" w:type="dxa"/>
        <w:tblCellMar>
          <w:left w:w="0" w:type="dxa"/>
          <w:right w:w="0" w:type="dxa"/>
        </w:tblCellMar>
        <w:tblLook w:val="04A0" w:firstRow="1" w:lastRow="0" w:firstColumn="1" w:lastColumn="0" w:noHBand="0" w:noVBand="1"/>
      </w:tblPr>
      <w:tblGrid>
        <w:gridCol w:w="5245"/>
        <w:gridCol w:w="4819"/>
      </w:tblGrid>
      <w:tr w:rsidR="00B12559" w14:paraId="67BA117E" w14:textId="77777777">
        <w:tc>
          <w:tcPr>
            <w:tcW w:w="5255" w:type="dxa"/>
            <w:tcMar>
              <w:top w:w="0" w:type="dxa"/>
              <w:left w:w="113" w:type="dxa"/>
              <w:bottom w:w="0" w:type="dxa"/>
              <w:right w:w="113" w:type="dxa"/>
            </w:tcMar>
            <w:hideMark/>
          </w:tcPr>
          <w:p w14:paraId="70973766" w14:textId="02593497" w:rsidR="00B12559" w:rsidRDefault="00B12559" w:rsidP="00D409D4">
            <w:pPr>
              <w:numPr>
                <w:ilvl w:val="0"/>
                <w:numId w:val="12"/>
              </w:numPr>
              <w:spacing w:before="0" w:after="80" w:line="240" w:lineRule="auto"/>
              <w:ind w:left="354" w:hanging="354"/>
              <w:rPr>
                <w:color w:val="000000"/>
              </w:rPr>
            </w:pPr>
            <w:r>
              <w:rPr>
                <w:color w:val="000000"/>
              </w:rPr>
              <w:t>AGL</w:t>
            </w:r>
          </w:p>
          <w:p w14:paraId="7435417B" w14:textId="0ABF9F9B" w:rsidR="00B12559" w:rsidRDefault="00B12559" w:rsidP="00D409D4">
            <w:pPr>
              <w:numPr>
                <w:ilvl w:val="0"/>
                <w:numId w:val="12"/>
              </w:numPr>
              <w:spacing w:before="0" w:after="80" w:line="240" w:lineRule="auto"/>
              <w:ind w:left="354" w:hanging="354"/>
              <w:rPr>
                <w:color w:val="000000"/>
              </w:rPr>
            </w:pPr>
            <w:r>
              <w:rPr>
                <w:color w:val="000000"/>
              </w:rPr>
              <w:t>Alinta</w:t>
            </w:r>
            <w:r w:rsidR="0052171A">
              <w:rPr>
                <w:color w:val="000000"/>
              </w:rPr>
              <w:t xml:space="preserve"> Energy</w:t>
            </w:r>
          </w:p>
          <w:p w14:paraId="3A1E0E96" w14:textId="293D2C95" w:rsidR="00B12559" w:rsidRDefault="00B12559" w:rsidP="00D409D4">
            <w:pPr>
              <w:numPr>
                <w:ilvl w:val="0"/>
                <w:numId w:val="12"/>
              </w:numPr>
              <w:spacing w:before="0" w:after="80" w:line="240" w:lineRule="auto"/>
              <w:ind w:left="354" w:hanging="354"/>
              <w:rPr>
                <w:color w:val="000000"/>
              </w:rPr>
            </w:pPr>
            <w:r>
              <w:rPr>
                <w:color w:val="000000"/>
              </w:rPr>
              <w:t>AusNet</w:t>
            </w:r>
          </w:p>
          <w:p w14:paraId="2E22508F" w14:textId="0B00453D" w:rsidR="00B12559" w:rsidRDefault="00B12559" w:rsidP="00D409D4">
            <w:pPr>
              <w:numPr>
                <w:ilvl w:val="0"/>
                <w:numId w:val="12"/>
              </w:numPr>
              <w:spacing w:before="0" w:after="80" w:line="240" w:lineRule="auto"/>
              <w:ind w:left="354" w:hanging="354"/>
              <w:rPr>
                <w:color w:val="000000"/>
              </w:rPr>
            </w:pPr>
            <w:r>
              <w:rPr>
                <w:color w:val="000000"/>
              </w:rPr>
              <w:t>Australian Energy Council</w:t>
            </w:r>
          </w:p>
          <w:p w14:paraId="75793D09" w14:textId="02C37445" w:rsidR="00B12559" w:rsidRDefault="00B12559" w:rsidP="00D409D4">
            <w:pPr>
              <w:numPr>
                <w:ilvl w:val="0"/>
                <w:numId w:val="12"/>
              </w:numPr>
              <w:spacing w:before="0" w:after="80" w:line="240" w:lineRule="auto"/>
              <w:ind w:left="354" w:hanging="354"/>
              <w:rPr>
                <w:color w:val="000000"/>
              </w:rPr>
            </w:pPr>
            <w:r>
              <w:rPr>
                <w:color w:val="000000"/>
              </w:rPr>
              <w:t>Australian Energy Regulator</w:t>
            </w:r>
          </w:p>
          <w:p w14:paraId="47278039" w14:textId="0D58FBEA" w:rsidR="00B12559" w:rsidRDefault="00B12559" w:rsidP="00D409D4">
            <w:pPr>
              <w:numPr>
                <w:ilvl w:val="0"/>
                <w:numId w:val="12"/>
              </w:numPr>
              <w:spacing w:before="0" w:after="80" w:line="240" w:lineRule="auto"/>
              <w:ind w:left="354" w:hanging="354"/>
              <w:rPr>
                <w:color w:val="000000"/>
              </w:rPr>
            </w:pPr>
            <w:r>
              <w:rPr>
                <w:color w:val="000000"/>
              </w:rPr>
              <w:t>Brotherhood of St Laurence</w:t>
            </w:r>
          </w:p>
          <w:p w14:paraId="516EF195" w14:textId="044D6742" w:rsidR="00B12559" w:rsidRDefault="00B12559" w:rsidP="00D409D4">
            <w:pPr>
              <w:numPr>
                <w:ilvl w:val="0"/>
                <w:numId w:val="12"/>
              </w:numPr>
              <w:spacing w:before="0" w:after="80" w:line="240" w:lineRule="auto"/>
              <w:ind w:left="354" w:hanging="354"/>
              <w:rPr>
                <w:color w:val="000000"/>
              </w:rPr>
            </w:pPr>
            <w:r>
              <w:rPr>
                <w:color w:val="000000"/>
              </w:rPr>
              <w:t>CitiPower, Powercor, United Energy</w:t>
            </w:r>
          </w:p>
          <w:p w14:paraId="2836CA08" w14:textId="295A8729" w:rsidR="00B12559" w:rsidRDefault="00B12559" w:rsidP="00D409D4">
            <w:pPr>
              <w:numPr>
                <w:ilvl w:val="0"/>
                <w:numId w:val="12"/>
              </w:numPr>
              <w:spacing w:before="0" w:after="80" w:line="240" w:lineRule="auto"/>
              <w:ind w:left="354" w:hanging="354"/>
              <w:rPr>
                <w:color w:val="000000"/>
              </w:rPr>
            </w:pPr>
            <w:r>
              <w:rPr>
                <w:color w:val="000000"/>
              </w:rPr>
              <w:t>Consumer Action Law Centre</w:t>
            </w:r>
          </w:p>
          <w:p w14:paraId="58F153C5" w14:textId="49C18020" w:rsidR="00B12559" w:rsidRDefault="00B12559" w:rsidP="00D409D4">
            <w:pPr>
              <w:numPr>
                <w:ilvl w:val="0"/>
                <w:numId w:val="12"/>
              </w:numPr>
              <w:spacing w:before="0" w:after="80" w:line="240" w:lineRule="auto"/>
              <w:ind w:left="354" w:hanging="354"/>
              <w:rPr>
                <w:color w:val="000000"/>
              </w:rPr>
            </w:pPr>
            <w:r>
              <w:rPr>
                <w:color w:val="000000"/>
              </w:rPr>
              <w:t>Council of the Ageing Victoria</w:t>
            </w:r>
          </w:p>
          <w:p w14:paraId="3D27959E" w14:textId="514B30BB" w:rsidR="00B12559" w:rsidRDefault="00B12559" w:rsidP="00D409D4">
            <w:pPr>
              <w:numPr>
                <w:ilvl w:val="0"/>
                <w:numId w:val="12"/>
              </w:numPr>
              <w:spacing w:before="0" w:after="80" w:line="240" w:lineRule="auto"/>
              <w:ind w:left="354" w:hanging="354"/>
              <w:rPr>
                <w:color w:val="000000"/>
              </w:rPr>
            </w:pPr>
            <w:r>
              <w:rPr>
                <w:color w:val="000000"/>
              </w:rPr>
              <w:t>Energy and Water Ombudsman Victoria</w:t>
            </w:r>
          </w:p>
          <w:p w14:paraId="32A39B33" w14:textId="341CC7FF" w:rsidR="00B12559" w:rsidRDefault="00B12559" w:rsidP="00D409D4">
            <w:pPr>
              <w:numPr>
                <w:ilvl w:val="0"/>
                <w:numId w:val="12"/>
              </w:numPr>
              <w:spacing w:before="0" w:after="80" w:line="240" w:lineRule="auto"/>
              <w:ind w:left="354" w:hanging="354"/>
              <w:rPr>
                <w:color w:val="000000"/>
              </w:rPr>
            </w:pPr>
            <w:r>
              <w:rPr>
                <w:color w:val="000000"/>
              </w:rPr>
              <w:t>Energy Consumers Australia</w:t>
            </w:r>
          </w:p>
          <w:p w14:paraId="4985D456" w14:textId="2F4ADA23" w:rsidR="00B12559" w:rsidRDefault="00B12559" w:rsidP="00D409D4">
            <w:pPr>
              <w:numPr>
                <w:ilvl w:val="0"/>
                <w:numId w:val="12"/>
              </w:numPr>
              <w:spacing w:before="0" w:after="80" w:line="240" w:lineRule="auto"/>
              <w:ind w:left="354" w:hanging="354"/>
              <w:rPr>
                <w:color w:val="000000"/>
              </w:rPr>
            </w:pPr>
            <w:r>
              <w:rPr>
                <w:color w:val="000000"/>
              </w:rPr>
              <w:t>Energy Locals</w:t>
            </w:r>
          </w:p>
          <w:p w14:paraId="2E2FB4CB" w14:textId="29E247EF" w:rsidR="00B12559" w:rsidRDefault="00B12559" w:rsidP="00D409D4">
            <w:pPr>
              <w:numPr>
                <w:ilvl w:val="0"/>
                <w:numId w:val="12"/>
              </w:numPr>
              <w:spacing w:before="0" w:after="80" w:line="240" w:lineRule="auto"/>
              <w:ind w:left="354" w:hanging="354"/>
              <w:rPr>
                <w:color w:val="000000"/>
              </w:rPr>
            </w:pPr>
            <w:r>
              <w:rPr>
                <w:color w:val="000000"/>
              </w:rPr>
              <w:t>Energy Australia</w:t>
            </w:r>
          </w:p>
          <w:p w14:paraId="7737A982" w14:textId="1C5BEC81" w:rsidR="00B12559" w:rsidRDefault="00B12559" w:rsidP="00D409D4">
            <w:pPr>
              <w:numPr>
                <w:ilvl w:val="0"/>
                <w:numId w:val="12"/>
              </w:numPr>
              <w:spacing w:before="0" w:after="80" w:line="240" w:lineRule="auto"/>
              <w:ind w:left="354" w:hanging="354"/>
              <w:rPr>
                <w:color w:val="000000"/>
              </w:rPr>
            </w:pPr>
            <w:r>
              <w:rPr>
                <w:color w:val="000000"/>
              </w:rPr>
              <w:t>Engie</w:t>
            </w:r>
          </w:p>
        </w:tc>
        <w:tc>
          <w:tcPr>
            <w:tcW w:w="4829" w:type="dxa"/>
            <w:tcMar>
              <w:top w:w="0" w:type="dxa"/>
              <w:left w:w="113" w:type="dxa"/>
              <w:bottom w:w="0" w:type="dxa"/>
              <w:right w:w="113" w:type="dxa"/>
            </w:tcMar>
            <w:hideMark/>
          </w:tcPr>
          <w:p w14:paraId="2D6ED14B" w14:textId="77777777"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Financial Counselling Victoria</w:t>
            </w:r>
          </w:p>
          <w:p w14:paraId="0F6007D6" w14:textId="77777777"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Flow Power</w:t>
            </w:r>
          </w:p>
          <w:p w14:paraId="72194B32" w14:textId="77777777"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Friends of the Earth Melbourne</w:t>
            </w:r>
          </w:p>
          <w:p w14:paraId="4F66AEAE" w14:textId="77777777"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GloBird</w:t>
            </w:r>
          </w:p>
          <w:p w14:paraId="31482A3F" w14:textId="61C24E50"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Momentum</w:t>
            </w:r>
            <w:r w:rsidR="0052171A">
              <w:rPr>
                <w:color w:val="000000"/>
              </w:rPr>
              <w:t xml:space="preserve"> Energy</w:t>
            </w:r>
          </w:p>
          <w:p w14:paraId="38896EFB" w14:textId="77777777"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Next Business Energy</w:t>
            </w:r>
          </w:p>
          <w:p w14:paraId="0B736097" w14:textId="776894EA"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Origin</w:t>
            </w:r>
            <w:r w:rsidR="003574BA">
              <w:rPr>
                <w:color w:val="000000"/>
              </w:rPr>
              <w:t xml:space="preserve"> Energy</w:t>
            </w:r>
          </w:p>
          <w:p w14:paraId="644D2651" w14:textId="77777777"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Pacific Blue</w:t>
            </w:r>
          </w:p>
          <w:p w14:paraId="7EC3EABB" w14:textId="0E5F6465"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 xml:space="preserve">Red </w:t>
            </w:r>
            <w:r w:rsidR="0052171A">
              <w:rPr>
                <w:color w:val="000000"/>
              </w:rPr>
              <w:t xml:space="preserve">Energy </w:t>
            </w:r>
            <w:r>
              <w:rPr>
                <w:color w:val="000000"/>
              </w:rPr>
              <w:t>and Lumo</w:t>
            </w:r>
            <w:r w:rsidR="0052171A">
              <w:rPr>
                <w:color w:val="000000"/>
              </w:rPr>
              <w:t xml:space="preserve"> Energy</w:t>
            </w:r>
          </w:p>
          <w:p w14:paraId="3D110B0F" w14:textId="77777777"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Shell Energy</w:t>
            </w:r>
          </w:p>
          <w:p w14:paraId="51E2137E" w14:textId="77777777"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Solstice</w:t>
            </w:r>
          </w:p>
          <w:p w14:paraId="6912A8D4" w14:textId="7E9B7F9B"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Uniting</w:t>
            </w:r>
            <w:r w:rsidR="0052171A">
              <w:rPr>
                <w:color w:val="000000"/>
              </w:rPr>
              <w:t xml:space="preserve"> Vic.Tas</w:t>
            </w:r>
          </w:p>
          <w:p w14:paraId="0BE3C7FA" w14:textId="77777777" w:rsidR="00B12559" w:rsidRDefault="00B12559" w:rsidP="00D409D4">
            <w:pPr>
              <w:numPr>
                <w:ilvl w:val="0"/>
                <w:numId w:val="12"/>
              </w:numPr>
              <w:spacing w:before="0" w:after="80" w:line="240" w:lineRule="auto"/>
              <w:ind w:left="354" w:hanging="354"/>
              <w:rPr>
                <w:rFonts w:ascii="Symbol" w:eastAsia="Symbol" w:hAnsi="Symbol" w:cs="Symbol"/>
                <w:color w:val="000000"/>
              </w:rPr>
            </w:pPr>
            <w:r>
              <w:rPr>
                <w:color w:val="000000"/>
              </w:rPr>
              <w:t>Victorian Council of Social Service</w:t>
            </w:r>
          </w:p>
          <w:p w14:paraId="5B605423" w14:textId="77777777" w:rsidR="00B12559" w:rsidRDefault="00B12559">
            <w:pPr>
              <w:spacing w:after="80" w:line="240" w:lineRule="auto"/>
              <w:rPr>
                <w:color w:val="000000"/>
              </w:rPr>
            </w:pPr>
          </w:p>
          <w:p w14:paraId="70139ECB" w14:textId="77777777" w:rsidR="007254D5" w:rsidRDefault="007254D5">
            <w:pPr>
              <w:spacing w:after="80" w:line="240" w:lineRule="auto"/>
              <w:rPr>
                <w:color w:val="000000"/>
              </w:rPr>
            </w:pPr>
          </w:p>
          <w:p w14:paraId="3C7B7812" w14:textId="77777777" w:rsidR="00B12559" w:rsidRDefault="00B12559">
            <w:pPr>
              <w:spacing w:after="80" w:line="240" w:lineRule="auto"/>
              <w:rPr>
                <w:color w:val="000000"/>
              </w:rPr>
            </w:pPr>
          </w:p>
        </w:tc>
      </w:tr>
    </w:tbl>
    <w:p w14:paraId="3E40BF4F" w14:textId="785FD6BF" w:rsidR="0005456D" w:rsidRPr="00710792" w:rsidRDefault="0005456D" w:rsidP="007254D5"/>
    <w:sectPr w:rsidR="0005456D" w:rsidRPr="00710792" w:rsidSect="00703C67">
      <w:headerReference w:type="even" r:id="rId69"/>
      <w:headerReference w:type="default" r:id="rId70"/>
      <w:footerReference w:type="default" r:id="rId71"/>
      <w:headerReference w:type="first" r:id="rId72"/>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F8B11" w14:textId="77777777" w:rsidR="00F368EE" w:rsidRDefault="00F368EE" w:rsidP="00AE03FA">
      <w:pPr>
        <w:spacing w:after="0"/>
      </w:pPr>
      <w:r>
        <w:separator/>
      </w:r>
    </w:p>
    <w:p w14:paraId="7E86F9C4" w14:textId="77777777" w:rsidR="00F368EE" w:rsidRDefault="00F368EE"/>
    <w:p w14:paraId="1B28D84E" w14:textId="77777777" w:rsidR="00F368EE" w:rsidRDefault="00F368EE"/>
  </w:endnote>
  <w:endnote w:type="continuationSeparator" w:id="0">
    <w:p w14:paraId="359C7CB7" w14:textId="77777777" w:rsidR="00F368EE" w:rsidRDefault="00F368EE" w:rsidP="00AE03FA">
      <w:pPr>
        <w:spacing w:after="0"/>
      </w:pPr>
      <w:r>
        <w:continuationSeparator/>
      </w:r>
    </w:p>
    <w:p w14:paraId="4F695611" w14:textId="77777777" w:rsidR="00F368EE" w:rsidRDefault="00F368EE"/>
    <w:p w14:paraId="17179EFF" w14:textId="77777777" w:rsidR="00F368EE" w:rsidRDefault="00F368EE"/>
  </w:endnote>
  <w:endnote w:type="continuationNotice" w:id="1">
    <w:p w14:paraId="02099158" w14:textId="77777777" w:rsidR="00F368EE" w:rsidRDefault="00F368EE">
      <w:pPr>
        <w:spacing w:before="0" w:after="0" w:line="240" w:lineRule="auto"/>
      </w:pPr>
    </w:p>
    <w:p w14:paraId="44199218" w14:textId="77777777" w:rsidR="00F368EE" w:rsidRDefault="00F36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ssistant">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848D1" w14:textId="342C9D63" w:rsidR="003A30F3" w:rsidRPr="00707B2F" w:rsidRDefault="003A30F3" w:rsidP="00A236AB">
    <w:pPr>
      <w:pStyle w:val="FooterSpace"/>
      <w:ind w:right="707"/>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D29DFB1"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DEE61C6"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iii</w:t>
          </w:r>
          <w:r w:rsidRPr="009E15D6">
            <w:rPr>
              <w:rStyle w:val="PageNumber"/>
            </w:rPr>
            <w:fldChar w:fldCharType="end"/>
          </w:r>
        </w:p>
      </w:tc>
    </w:tr>
  </w:tbl>
  <w:p w14:paraId="0A775F66" w14:textId="72026010" w:rsidR="003A30F3" w:rsidRPr="002C2ADF" w:rsidRDefault="003A30F3" w:rsidP="00A236AB">
    <w:pPr>
      <w:pStyle w:val="Footer"/>
      <w:ind w:right="283"/>
      <w:rPr>
        <w:b/>
      </w:rPr>
    </w:pPr>
    <w:r>
      <w:t xml:space="preserve">Essential Services Commission </w:t>
    </w:r>
    <w:sdt>
      <w:sdtPr>
        <w:rPr>
          <w:b/>
        </w:rPr>
        <w:alias w:val="Title"/>
        <w:tag w:val=""/>
        <w:id w:val="233746944"/>
        <w:placeholder>
          <w:docPart w:val="58A60AF94E8F418CA9D9039AA656CE76"/>
        </w:placeholder>
        <w:dataBinding w:prefixMappings="xmlns:ns0='http://purl.org/dc/elements/1.1/' xmlns:ns1='http://schemas.openxmlformats.org/package/2006/metadata/core-properties' " w:xpath="/ns1:coreProperties[1]/ns0:title[1]" w:storeItemID="{6C3C8BC8-F283-45AE-878A-BAB7291924A1}"/>
        <w:text/>
      </w:sdtPr>
      <w:sdtContent>
        <w:r w:rsidR="001448DC">
          <w:rPr>
            <w:b/>
          </w:rPr>
          <w:t>Energy Consumer Reforms</w:t>
        </w:r>
      </w:sdtContent>
    </w:sdt>
    <w:r>
      <w:rPr>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BE1A" w14:textId="07188E72" w:rsidR="00D628F0" w:rsidRDefault="00D628F0" w:rsidP="00A236AB">
    <w:pPr>
      <w:pStyle w:val="FooterSpace"/>
      <w:ind w:right="707"/>
    </w:pPr>
    <w:r>
      <w:t>Improving the ability to switch to the best offer</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D628F0" w14:paraId="3B57CA66"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C63CA62" w14:textId="77777777" w:rsidR="00D628F0" w:rsidRPr="009E15D6" w:rsidRDefault="00D628F0"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31FC78C2" w14:textId="77777777" w:rsidR="00D628F0" w:rsidRPr="00CF2B15" w:rsidRDefault="00D628F0" w:rsidP="00A236AB">
    <w:pPr>
      <w:pStyle w:val="Footer"/>
      <w:ind w:right="707"/>
      <w:rPr>
        <w:b/>
      </w:rPr>
    </w:pPr>
    <w:r>
      <w:t xml:space="preserve">Essential Services Commission </w:t>
    </w:r>
    <w:sdt>
      <w:sdtPr>
        <w:rPr>
          <w:b/>
        </w:rPr>
        <w:alias w:val="Title"/>
        <w:tag w:val=""/>
        <w:id w:val="1457907910"/>
        <w:placeholder>
          <w:docPart w:val="4547650A36FA48BC861E67943C461F56"/>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DD92" w14:textId="52E114C9" w:rsidR="00D628F0" w:rsidRDefault="00D628F0" w:rsidP="00A236AB">
    <w:pPr>
      <w:pStyle w:val="FooterSpace"/>
      <w:ind w:right="707"/>
    </w:pPr>
    <w:r>
      <w:t>Protections for customers paying higher prices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D628F0" w14:paraId="29CA2D58"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7E7FC63" w14:textId="77777777" w:rsidR="00D628F0" w:rsidRPr="009E15D6" w:rsidRDefault="00D628F0"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4C3A5878" w14:textId="77777777" w:rsidR="00D628F0" w:rsidRPr="00CF2B15" w:rsidRDefault="00D628F0" w:rsidP="00A236AB">
    <w:pPr>
      <w:pStyle w:val="Footer"/>
      <w:ind w:right="707"/>
      <w:rPr>
        <w:b/>
      </w:rPr>
    </w:pPr>
    <w:r>
      <w:t xml:space="preserve">Essential Services Commission </w:t>
    </w:r>
    <w:sdt>
      <w:sdtPr>
        <w:rPr>
          <w:b/>
        </w:rPr>
        <w:alias w:val="Title"/>
        <w:tag w:val=""/>
        <w:id w:val="-1894727930"/>
        <w:placeholder>
          <w:docPart w:val="A782394BD75D41F19B6560CB5BD697F4"/>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0A5C" w14:textId="0ADC2A96" w:rsidR="008207F5" w:rsidRDefault="008207F5" w:rsidP="00A236AB">
    <w:pPr>
      <w:pStyle w:val="FooterSpace"/>
      <w:ind w:right="707"/>
    </w:pPr>
    <w:r>
      <w:t>Improving the application of concessions on bills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8207F5" w14:paraId="43EE8EA3"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85C31C8" w14:textId="77777777" w:rsidR="008207F5" w:rsidRPr="009E15D6" w:rsidRDefault="008207F5"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31E2D9E8" w14:textId="77777777" w:rsidR="004B3A4F" w:rsidRPr="00CF2B15" w:rsidRDefault="008207F5" w:rsidP="00A236AB">
    <w:pPr>
      <w:pStyle w:val="Footer"/>
      <w:ind w:right="707"/>
      <w:rPr>
        <w:b/>
      </w:rPr>
    </w:pPr>
    <w:r>
      <w:t xml:space="preserve">Essential Services Commission </w:t>
    </w:r>
    <w:sdt>
      <w:sdtPr>
        <w:rPr>
          <w:b/>
        </w:rPr>
        <w:alias w:val="Title"/>
        <w:tag w:val=""/>
        <w:id w:val="-726526732"/>
        <w:placeholder>
          <w:docPart w:val="B9C2AF5D95A04278AC8BC49BB770E0EA"/>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3BD6" w14:textId="4D24950A" w:rsidR="008207F5" w:rsidRDefault="008207F5" w:rsidP="00A236AB">
    <w:pPr>
      <w:pStyle w:val="FooterSpace"/>
      <w:ind w:right="707"/>
    </w:pPr>
    <w:r>
      <w:t>Extending protections for customers on legacy contracts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8207F5" w14:paraId="5A47CF77"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B2E4CDF" w14:textId="77777777" w:rsidR="008207F5" w:rsidRPr="009E15D6" w:rsidRDefault="008207F5"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0FEEFAE0" w14:textId="77777777" w:rsidR="004B3A4F" w:rsidRPr="00CF2B15" w:rsidRDefault="008207F5" w:rsidP="00A236AB">
    <w:pPr>
      <w:pStyle w:val="Footer"/>
      <w:ind w:right="707"/>
      <w:rPr>
        <w:b/>
      </w:rPr>
    </w:pPr>
    <w:r>
      <w:t xml:space="preserve">Essential Services Commission </w:t>
    </w:r>
    <w:sdt>
      <w:sdtPr>
        <w:rPr>
          <w:b/>
        </w:rPr>
        <w:alias w:val="Title"/>
        <w:tag w:val=""/>
        <w:id w:val="-217985347"/>
        <w:placeholder>
          <w:docPart w:val="71D793C7365647CA9CC47A3AEA57D5B4"/>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F3F0" w14:textId="45D13AEB" w:rsidR="00FF54E7" w:rsidRDefault="004850E3" w:rsidP="00A236AB">
    <w:pPr>
      <w:pStyle w:val="FooterSpace"/>
      <w:ind w:right="707"/>
    </w:pPr>
    <w:r>
      <w:t>Improving awareness of independent dispute resolution services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FF54E7" w14:paraId="3185C3ED"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3F322AA" w14:textId="77777777" w:rsidR="00FF54E7" w:rsidRPr="009E15D6" w:rsidRDefault="00FF54E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73BA31B6" w14:textId="77777777" w:rsidR="00374244" w:rsidRPr="00CF2B15" w:rsidRDefault="00FF54E7" w:rsidP="00A236AB">
    <w:pPr>
      <w:pStyle w:val="Footer"/>
      <w:ind w:right="707"/>
      <w:rPr>
        <w:b/>
      </w:rPr>
    </w:pPr>
    <w:r>
      <w:t xml:space="preserve">Essential Services Commission </w:t>
    </w:r>
    <w:sdt>
      <w:sdtPr>
        <w:rPr>
          <w:b/>
        </w:rPr>
        <w:alias w:val="Title"/>
        <w:tag w:val=""/>
        <w:id w:val="1999386025"/>
        <w:placeholder>
          <w:docPart w:val="F40A49403B7943AB8AC9245E0C455D45"/>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C55D" w14:textId="15EDFA39" w:rsidR="008207F5" w:rsidRDefault="00FF54E7" w:rsidP="00A236AB">
    <w:pPr>
      <w:pStyle w:val="FooterSpace"/>
      <w:ind w:right="707"/>
    </w:pPr>
    <w:r>
      <w:t>Impact of preferred options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8207F5" w14:paraId="11A48751"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A7C67BC" w14:textId="77777777" w:rsidR="008207F5" w:rsidRPr="009E15D6" w:rsidRDefault="008207F5"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6FE7F72E" w14:textId="77777777" w:rsidR="008207F5" w:rsidRPr="00CF2B15" w:rsidRDefault="008207F5" w:rsidP="00A236AB">
    <w:pPr>
      <w:pStyle w:val="Footer"/>
      <w:ind w:right="707"/>
      <w:rPr>
        <w:b/>
      </w:rPr>
    </w:pPr>
    <w:r>
      <w:t xml:space="preserve">Essential Services Commission </w:t>
    </w:r>
    <w:sdt>
      <w:sdtPr>
        <w:rPr>
          <w:b/>
        </w:rPr>
        <w:alias w:val="Title"/>
        <w:tag w:val=""/>
        <w:id w:val="1232271433"/>
        <w:placeholder>
          <w:docPart w:val="2E342F81E6A34C828DA3B4A687589AE1"/>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C449" w14:textId="5C7B7EE3" w:rsidR="00BD3CCF" w:rsidRDefault="00BD3CCF" w:rsidP="00A236AB">
    <w:pPr>
      <w:pStyle w:val="FooterSpace"/>
      <w:ind w:right="707"/>
    </w:pPr>
    <w:r>
      <w:t>Implementation and evaluation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D3CCF" w14:paraId="7A78BCD3"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FBC00D5" w14:textId="77777777" w:rsidR="00BD3CCF" w:rsidRPr="009E15D6" w:rsidRDefault="00BD3CCF"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67FC6BDC" w14:textId="77777777" w:rsidR="00374244" w:rsidRPr="00CF2B15" w:rsidRDefault="00BD3CCF" w:rsidP="00A236AB">
    <w:pPr>
      <w:pStyle w:val="Footer"/>
      <w:ind w:right="707"/>
      <w:rPr>
        <w:b/>
      </w:rPr>
    </w:pPr>
    <w:r>
      <w:t xml:space="preserve">Essential Services Commission </w:t>
    </w:r>
    <w:sdt>
      <w:sdtPr>
        <w:rPr>
          <w:b/>
        </w:rPr>
        <w:alias w:val="Title"/>
        <w:tag w:val=""/>
        <w:id w:val="-1576820788"/>
        <w:placeholder>
          <w:docPart w:val="C9C78C658A6E4957BC0196B2E7A42D2E"/>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C7DC" w14:textId="45C132B1" w:rsidR="007254D5" w:rsidRDefault="007254D5" w:rsidP="00A236AB">
    <w:pPr>
      <w:pStyle w:val="FooterSpace"/>
      <w:ind w:right="707"/>
    </w:pPr>
    <w:r>
      <w:t>Review and consultation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7254D5" w14:paraId="41E4D62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4801CFD" w14:textId="77777777" w:rsidR="007254D5" w:rsidRPr="009E15D6" w:rsidRDefault="007254D5"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203175EA" w14:textId="77777777" w:rsidR="00374244" w:rsidRPr="00CF2B15" w:rsidRDefault="007254D5" w:rsidP="00A236AB">
    <w:pPr>
      <w:pStyle w:val="Footer"/>
      <w:ind w:right="707"/>
      <w:rPr>
        <w:b/>
      </w:rPr>
    </w:pPr>
    <w:r>
      <w:t xml:space="preserve">Essential Services Commission </w:t>
    </w:r>
    <w:sdt>
      <w:sdtPr>
        <w:rPr>
          <w:b/>
        </w:rPr>
        <w:alias w:val="Title"/>
        <w:tag w:val=""/>
        <w:id w:val="-313644458"/>
        <w:placeholder>
          <w:docPart w:val="C74D147125D44988ACC250E0F059B548"/>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499B" w14:textId="5A08F67D" w:rsidR="003A30F3" w:rsidRDefault="001839F4" w:rsidP="00A236AB">
    <w:pPr>
      <w:pStyle w:val="FooterSpace"/>
      <w:ind w:right="707"/>
    </w:pPr>
    <w:r>
      <w:t>Abbreviations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FC5AAA4"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1BAA12B"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iv</w:t>
          </w:r>
          <w:r w:rsidRPr="009E15D6">
            <w:rPr>
              <w:rStyle w:val="PageNumber"/>
            </w:rPr>
            <w:fldChar w:fldCharType="end"/>
          </w:r>
        </w:p>
      </w:tc>
    </w:tr>
  </w:tbl>
  <w:p w14:paraId="1D301C03" w14:textId="37413C08" w:rsidR="003A30F3" w:rsidRPr="002C2ADF" w:rsidRDefault="003A30F3" w:rsidP="00A236AB">
    <w:pPr>
      <w:pStyle w:val="Footer"/>
      <w:ind w:right="707"/>
      <w:rPr>
        <w:b/>
      </w:rPr>
    </w:pPr>
    <w:r>
      <w:t xml:space="preserve">Essential Services Commission </w:t>
    </w:r>
    <w:sdt>
      <w:sdtPr>
        <w:rPr>
          <w:b/>
        </w:rPr>
        <w:alias w:val="Title"/>
        <w:tag w:val=""/>
        <w:id w:val="215248778"/>
        <w:placeholder>
          <w:docPart w:val="BB9BE0546DA0479FA14CF498A9260DD0"/>
        </w:placeholder>
        <w:dataBinding w:prefixMappings="xmlns:ns0='http://purl.org/dc/elements/1.1/' xmlns:ns1='http://schemas.openxmlformats.org/package/2006/metadata/core-properties' " w:xpath="/ns1:coreProperties[1]/ns0:title[1]" w:storeItemID="{6C3C8BC8-F283-45AE-878A-BAB7291924A1}"/>
        <w:text/>
      </w:sdtPr>
      <w:sdtContent>
        <w:r w:rsidR="001448DC">
          <w:rPr>
            <w:b/>
          </w:rPr>
          <w:t>Energy Consumer Reforms</w:t>
        </w:r>
      </w:sdtContent>
    </w:sdt>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ED7D5" w14:textId="77E3D2BF" w:rsidR="003A30F3" w:rsidRDefault="00A51643" w:rsidP="00A236AB">
    <w:pPr>
      <w:pStyle w:val="FooterSpace"/>
      <w:ind w:right="707"/>
    </w:pPr>
    <w:r>
      <w:t>Executive s</w:t>
    </w:r>
    <w:r w:rsidR="00B075E9">
      <w:t>ummary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735316BD"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09AF26E" w14:textId="7FA51BF2"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A51643">
            <w:rPr>
              <w:rStyle w:val="PageNumber"/>
            </w:rPr>
            <w:t>iv</w:t>
          </w:r>
          <w:r w:rsidRPr="009E15D6">
            <w:rPr>
              <w:rStyle w:val="PageNumber"/>
            </w:rPr>
            <w:fldChar w:fldCharType="end"/>
          </w:r>
        </w:p>
      </w:tc>
    </w:tr>
  </w:tbl>
  <w:p w14:paraId="559C3404" w14:textId="38D2124C" w:rsidR="003A30F3" w:rsidRPr="00CF2B15" w:rsidRDefault="003A30F3" w:rsidP="00A236AB">
    <w:pPr>
      <w:pStyle w:val="Footer"/>
      <w:ind w:right="707"/>
      <w:rPr>
        <w:b/>
      </w:rPr>
    </w:pPr>
    <w:r>
      <w:t xml:space="preserve">Essential Services Commission </w:t>
    </w:r>
    <w:sdt>
      <w:sdtPr>
        <w:rPr>
          <w:b/>
        </w:rPr>
        <w:alias w:val="Title"/>
        <w:tag w:val=""/>
        <w:id w:val="-1241334570"/>
        <w:placeholder>
          <w:docPart w:val="DE407C7242934821B6B7E496277840E9"/>
        </w:placeholder>
        <w:dataBinding w:prefixMappings="xmlns:ns0='http://purl.org/dc/elements/1.1/' xmlns:ns1='http://schemas.openxmlformats.org/package/2006/metadata/core-properties' " w:xpath="/ns1:coreProperties[1]/ns0:title[1]" w:storeItemID="{6C3C8BC8-F283-45AE-878A-BAB7291924A1}"/>
        <w:text/>
      </w:sdtPr>
      <w:sdtContent>
        <w:r w:rsidR="001448DC">
          <w:rPr>
            <w:b/>
          </w:rPr>
          <w:t>Energy Consumer Reforms</w:t>
        </w:r>
      </w:sdtContent>
    </w:sdt>
    <w:r>
      <w:rPr>
        <w:b/>
      </w:rPr>
      <w:t xml:space="preserve">  </w:t>
    </w:r>
    <w:r w:rsidRPr="00CF2B15">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56D01" w14:textId="768C5E53" w:rsidR="00B075E9" w:rsidRDefault="00B075E9" w:rsidP="00A236AB">
    <w:pPr>
      <w:pStyle w:val="FooterSpace"/>
      <w:ind w:right="707"/>
    </w:pPr>
    <w:r>
      <w:t>Background</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075E9" w14:paraId="2C9EC7B2"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B03674C" w14:textId="77777777" w:rsidR="00B075E9" w:rsidRPr="009E15D6" w:rsidRDefault="00B075E9"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625FBF85" w14:textId="2BF29272" w:rsidR="00B075E9" w:rsidRPr="00CF2B15" w:rsidRDefault="00B075E9" w:rsidP="00A236AB">
    <w:pPr>
      <w:pStyle w:val="Footer"/>
      <w:ind w:right="707"/>
      <w:rPr>
        <w:b/>
      </w:rPr>
    </w:pPr>
    <w:r>
      <w:t xml:space="preserve">Essential Services Commission </w:t>
    </w:r>
    <w:sdt>
      <w:sdtPr>
        <w:rPr>
          <w:b/>
        </w:rPr>
        <w:alias w:val="Title"/>
        <w:tag w:val=""/>
        <w:id w:val="164989905"/>
        <w:placeholder>
          <w:docPart w:val="704EB09424BA4728968BE670064B76CD"/>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DC98" w14:textId="77777777" w:rsidR="00B075E9" w:rsidRDefault="00B075E9" w:rsidP="00A236AB">
    <w:pPr>
      <w:pStyle w:val="FooterSpace"/>
      <w:ind w:right="707"/>
    </w:pPr>
    <w:r>
      <w:t>The Problem</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075E9" w14:paraId="2FF174A7"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F34997F" w14:textId="77777777" w:rsidR="00B075E9" w:rsidRPr="009E15D6" w:rsidRDefault="00B075E9"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5D150A80" w14:textId="6947DFF5" w:rsidR="00B075E9" w:rsidRPr="00CF2B15" w:rsidRDefault="00B075E9" w:rsidP="00A236AB">
    <w:pPr>
      <w:pStyle w:val="Footer"/>
      <w:ind w:right="707"/>
      <w:rPr>
        <w:b/>
      </w:rPr>
    </w:pPr>
    <w:r>
      <w:t xml:space="preserve">Essential Services Commission </w:t>
    </w:r>
    <w:sdt>
      <w:sdtPr>
        <w:rPr>
          <w:b/>
        </w:rPr>
        <w:alias w:val="Title"/>
        <w:tag w:val=""/>
        <w:id w:val="796725784"/>
        <w:placeholder>
          <w:docPart w:val="70AA1454EBE34AB3BC62AC0728AFC376"/>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82D8" w14:textId="7BD35AE4" w:rsidR="001E01BE" w:rsidRDefault="001E01BE" w:rsidP="00A236AB">
    <w:pPr>
      <w:pStyle w:val="FooterSpace"/>
      <w:ind w:right="707"/>
    </w:pPr>
    <w:r>
      <w:t>Objectives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1E01BE" w14:paraId="2E848CE3"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63A881D" w14:textId="77777777" w:rsidR="001E01BE" w:rsidRPr="009E15D6" w:rsidRDefault="001E01BE"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2E1DBDD4" w14:textId="77777777" w:rsidR="001E01BE" w:rsidRPr="00CF2B15" w:rsidRDefault="001E01BE" w:rsidP="00A236AB">
    <w:pPr>
      <w:pStyle w:val="Footer"/>
      <w:ind w:right="707"/>
      <w:rPr>
        <w:b/>
      </w:rPr>
    </w:pPr>
    <w:r>
      <w:t xml:space="preserve">Essential Services Commission </w:t>
    </w:r>
    <w:sdt>
      <w:sdtPr>
        <w:rPr>
          <w:b/>
        </w:rPr>
        <w:alias w:val="Title"/>
        <w:tag w:val=""/>
        <w:id w:val="2082783491"/>
        <w:placeholder>
          <w:docPart w:val="8E9F98D41CA24362BEBEFF1A0404560D"/>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54DE" w14:textId="77777777" w:rsidR="001E01BE" w:rsidRDefault="001E01BE" w:rsidP="00A236AB">
    <w:pPr>
      <w:pStyle w:val="FooterSpace"/>
      <w:ind w:right="707"/>
    </w:pPr>
    <w:r>
      <w:t>Options development and analysis methodology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1E01BE" w14:paraId="6819A41F"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2007F20" w14:textId="77777777" w:rsidR="001E01BE" w:rsidRPr="009E15D6" w:rsidRDefault="001E01BE"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3ABA2DA1" w14:textId="77777777" w:rsidR="001E01BE" w:rsidRPr="00CF2B15" w:rsidRDefault="001E01BE" w:rsidP="00A236AB">
    <w:pPr>
      <w:pStyle w:val="Footer"/>
      <w:ind w:right="707"/>
      <w:rPr>
        <w:b/>
      </w:rPr>
    </w:pPr>
    <w:r>
      <w:t xml:space="preserve">Essential Services Commission </w:t>
    </w:r>
    <w:sdt>
      <w:sdtPr>
        <w:rPr>
          <w:b/>
        </w:rPr>
        <w:alias w:val="Title"/>
        <w:tag w:val=""/>
        <w:id w:val="-757202795"/>
        <w:placeholder>
          <w:docPart w:val="5B52F0DB737743E3956EDCBBAC2FBBC6"/>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082F" w14:textId="70BC91FC" w:rsidR="004606CC" w:rsidRDefault="004606CC" w:rsidP="00A236AB">
    <w:pPr>
      <w:pStyle w:val="FooterSpace"/>
      <w:ind w:right="707"/>
    </w:pPr>
    <w:r>
      <w:t>Automatic best offer for customers experiencing payment difficulty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606CC" w14:paraId="378A709A"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CB6AFFD" w14:textId="77777777" w:rsidR="004606CC" w:rsidRPr="009E15D6" w:rsidRDefault="004606CC"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550E88CE" w14:textId="77777777" w:rsidR="004606CC" w:rsidRPr="00CF2B15" w:rsidRDefault="004606CC" w:rsidP="00A236AB">
    <w:pPr>
      <w:pStyle w:val="Footer"/>
      <w:ind w:right="707"/>
      <w:rPr>
        <w:b/>
      </w:rPr>
    </w:pPr>
    <w:r>
      <w:t xml:space="preserve">Essential Services Commission </w:t>
    </w:r>
    <w:sdt>
      <w:sdtPr>
        <w:rPr>
          <w:b/>
        </w:rPr>
        <w:alias w:val="Title"/>
        <w:tag w:val=""/>
        <w:id w:val="909512519"/>
        <w:placeholder>
          <w:docPart w:val="9296F82BF22A45289D9BBB4F728635AE"/>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6535" w14:textId="77777777" w:rsidR="00506536" w:rsidRDefault="00506536" w:rsidP="00A236AB">
    <w:pPr>
      <w:pStyle w:val="FooterSpace"/>
      <w:ind w:right="707"/>
    </w:pPr>
    <w:r w:rsidRPr="00506536">
      <w:t>Improving access to cheaper offers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06536" w14:paraId="4196AC5C"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6C79472" w14:textId="77777777" w:rsidR="00506536" w:rsidRPr="009E15D6" w:rsidRDefault="00506536"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4C5F222F" w14:textId="77777777" w:rsidR="00506536" w:rsidRPr="00CF2B15" w:rsidRDefault="00506536" w:rsidP="00A236AB">
    <w:pPr>
      <w:pStyle w:val="Footer"/>
      <w:ind w:right="707"/>
      <w:rPr>
        <w:b/>
      </w:rPr>
    </w:pPr>
    <w:r>
      <w:t xml:space="preserve">Essential Services Commission </w:t>
    </w:r>
    <w:sdt>
      <w:sdtPr>
        <w:rPr>
          <w:b/>
        </w:rPr>
        <w:alias w:val="Title"/>
        <w:tag w:val=""/>
        <w:id w:val="1080946867"/>
        <w:placeholder>
          <w:docPart w:val="ABBE08F6613F4BE789B710CCE2E696F5"/>
        </w:placeholder>
        <w:dataBinding w:prefixMappings="xmlns:ns0='http://purl.org/dc/elements/1.1/' xmlns:ns1='http://schemas.openxmlformats.org/package/2006/metadata/core-properties' " w:xpath="/ns1:coreProperties[1]/ns0:title[1]" w:storeItemID="{6C3C8BC8-F283-45AE-878A-BAB7291924A1}"/>
        <w:text/>
      </w:sdtPr>
      <w:sdtContent>
        <w:r>
          <w:rPr>
            <w:b/>
          </w:rPr>
          <w:t>Energy Consumer Reforms</w:t>
        </w:r>
      </w:sdtContent>
    </w:sdt>
    <w:r>
      <w:rPr>
        <w:b/>
      </w:rPr>
      <w:t xml:space="preserve">   </w:t>
    </w:r>
    <w:r w:rsidRPr="00CF2B1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24FED" w14:textId="77777777" w:rsidR="00F368EE" w:rsidRPr="00CF33F6" w:rsidRDefault="00F368EE" w:rsidP="00AE03FA">
      <w:pPr>
        <w:spacing w:after="0"/>
        <w:rPr>
          <w:color w:val="75787B" w:themeColor="background2"/>
        </w:rPr>
      </w:pPr>
      <w:bookmarkStart w:id="0" w:name="_Hlk480978878"/>
      <w:bookmarkEnd w:id="0"/>
      <w:r w:rsidRPr="00CF33F6">
        <w:rPr>
          <w:color w:val="75787B" w:themeColor="background2"/>
        </w:rPr>
        <w:separator/>
      </w:r>
    </w:p>
  </w:footnote>
  <w:footnote w:type="continuationSeparator" w:id="0">
    <w:p w14:paraId="2DA0516B" w14:textId="77777777" w:rsidR="00F368EE" w:rsidRDefault="00F368EE" w:rsidP="00AE03FA">
      <w:pPr>
        <w:spacing w:after="0"/>
      </w:pPr>
      <w:r>
        <w:continuationSeparator/>
      </w:r>
    </w:p>
    <w:p w14:paraId="7A6031F6" w14:textId="77777777" w:rsidR="00F368EE" w:rsidRDefault="00F368EE"/>
    <w:p w14:paraId="57699E21" w14:textId="77777777" w:rsidR="00F368EE" w:rsidRDefault="00F368EE"/>
  </w:footnote>
  <w:footnote w:type="continuationNotice" w:id="1">
    <w:p w14:paraId="16017988" w14:textId="77777777" w:rsidR="00F368EE" w:rsidRDefault="00F368EE">
      <w:pPr>
        <w:spacing w:before="0" w:after="0" w:line="240" w:lineRule="auto"/>
      </w:pPr>
    </w:p>
    <w:p w14:paraId="51A008AF" w14:textId="77777777" w:rsidR="00F368EE" w:rsidRDefault="00F368EE"/>
  </w:footnote>
  <w:footnote w:id="2">
    <w:p w14:paraId="1538A5F5" w14:textId="6ADCAEB5" w:rsidR="00B761EE" w:rsidRDefault="00B761EE" w:rsidP="00B761EE">
      <w:pPr>
        <w:pStyle w:val="FootnoteText"/>
      </w:pPr>
      <w:r>
        <w:rPr>
          <w:rStyle w:val="FootnoteReference"/>
        </w:rPr>
        <w:footnoteRef/>
      </w:r>
      <w:r>
        <w:t xml:space="preserve"> </w:t>
      </w:r>
      <w:r w:rsidRPr="008159BF">
        <w:t>Essential Services Commission, ‘Customers on older plans significantly better off on their retailer’s best offer’, 1</w:t>
      </w:r>
      <w:r w:rsidR="00B26F2B">
        <w:t>6</w:t>
      </w:r>
      <w:r w:rsidRPr="008159BF">
        <w:t xml:space="preserve"> May 2025.</w:t>
      </w:r>
      <w:r>
        <w:t xml:space="preserve"> </w:t>
      </w:r>
    </w:p>
  </w:footnote>
  <w:footnote w:id="3">
    <w:p w14:paraId="208BF835" w14:textId="77777777" w:rsidR="00384555" w:rsidRDefault="00384555" w:rsidP="00384555">
      <w:pPr>
        <w:pStyle w:val="FootnoteText"/>
      </w:pPr>
      <w:r>
        <w:rPr>
          <w:rStyle w:val="FootnoteReference"/>
        </w:rPr>
        <w:footnoteRef/>
      </w:r>
      <w:r>
        <w:t xml:space="preserve"> Victorian Council of Social Services, </w:t>
      </w:r>
      <w:hyperlink r:id="rId1" w:history="1">
        <w:r w:rsidRPr="00FC2E32">
          <w:rPr>
            <w:rStyle w:val="Hyperlink"/>
            <w:i/>
            <w:szCs w:val="18"/>
          </w:rPr>
          <w:t>The Missing 14%: why so many Victorians are missing out on energy concessions</w:t>
        </w:r>
      </w:hyperlink>
      <w:r w:rsidRPr="00900E68">
        <w:rPr>
          <w:szCs w:val="18"/>
        </w:rPr>
        <w:t>, 22 May 2023</w:t>
      </w:r>
      <w:r w:rsidRPr="00900E68">
        <w:t>, p. 9.</w:t>
      </w:r>
      <w:r>
        <w:t xml:space="preserve">; </w:t>
      </w:r>
      <w:r w:rsidRPr="00F64DCC">
        <w:t xml:space="preserve">Consumer Policy Research Centre, </w:t>
      </w:r>
      <w:hyperlink r:id="rId2" w:history="1">
        <w:r w:rsidRPr="004D785C">
          <w:rPr>
            <w:i/>
            <w:iCs/>
            <w:color w:val="0000FF"/>
            <w:szCs w:val="18"/>
            <w:u w:val="single" w:color="0000FF"/>
          </w:rPr>
          <w:t xml:space="preserve">Mind the Gap: </w:t>
        </w:r>
        <w:r>
          <w:rPr>
            <w:i/>
            <w:iCs/>
            <w:color w:val="0000FF"/>
            <w:szCs w:val="18"/>
            <w:u w:val="single" w:color="0000FF"/>
          </w:rPr>
          <w:t>I</w:t>
        </w:r>
        <w:r w:rsidRPr="004D785C">
          <w:rPr>
            <w:i/>
            <w:iCs/>
            <w:color w:val="0000FF"/>
            <w:szCs w:val="18"/>
            <w:u w:val="single" w:color="0000FF"/>
          </w:rPr>
          <w:t>dentifying the gap between energy concession eligibility and concessions received</w:t>
        </w:r>
      </w:hyperlink>
      <w:r w:rsidRPr="004D785C">
        <w:rPr>
          <w:szCs w:val="18"/>
        </w:rPr>
        <w:t>, November 2022</w:t>
      </w:r>
      <w:r w:rsidRPr="00F64DCC">
        <w:t>, p. 4.</w:t>
      </w:r>
    </w:p>
  </w:footnote>
  <w:footnote w:id="4">
    <w:p w14:paraId="5E3EC1F5" w14:textId="77777777" w:rsidR="00EA1323" w:rsidRDefault="00EA1323" w:rsidP="00EA1323">
      <w:pPr>
        <w:spacing w:line="240" w:lineRule="auto"/>
        <w:rPr>
          <w:color w:val="000000"/>
          <w:sz w:val="18"/>
          <w:szCs w:val="18"/>
          <w:vertAlign w:val="superscript"/>
        </w:rPr>
      </w:pPr>
      <w:r>
        <w:rPr>
          <w:rStyle w:val="FootnoteReference"/>
          <w:color w:val="000000"/>
          <w:sz w:val="18"/>
          <w:szCs w:val="18"/>
        </w:rPr>
        <w:footnoteRef/>
      </w:r>
      <w:r>
        <w:rPr>
          <w:sz w:val="18"/>
          <w:szCs w:val="18"/>
        </w:rPr>
        <w:t xml:space="preserve"> 66 per cent were </w:t>
      </w:r>
      <w:r w:rsidRPr="0057354E">
        <w:rPr>
          <w:sz w:val="18"/>
          <w:szCs w:val="18"/>
        </w:rPr>
        <w:t xml:space="preserve">either not very familiar, or completely unfamiliar with </w:t>
      </w:r>
      <w:r>
        <w:rPr>
          <w:sz w:val="18"/>
          <w:szCs w:val="18"/>
        </w:rPr>
        <w:t>EWOV. Energy Consumers Australia, </w:t>
      </w:r>
      <w:hyperlink r:id="rId3" w:history="1">
        <w:r w:rsidRPr="00950D4F">
          <w:rPr>
            <w:rStyle w:val="Hyperlink"/>
            <w:i/>
            <w:iCs/>
            <w:sz w:val="18"/>
            <w:szCs w:val="18"/>
          </w:rPr>
          <w:t>Energy Consumer Sentiment Survey</w:t>
        </w:r>
        <w:r w:rsidRPr="00EF751C">
          <w:rPr>
            <w:rStyle w:val="Hyperlink"/>
            <w:i/>
            <w:iCs/>
          </w:rPr>
          <w:t xml:space="preserve">: </w:t>
        </w:r>
        <w:r w:rsidRPr="00EF751C">
          <w:rPr>
            <w:rStyle w:val="Hyperlink"/>
            <w:i/>
            <w:iCs/>
            <w:sz w:val="18"/>
            <w:szCs w:val="18"/>
          </w:rPr>
          <w:t>Topline Data</w:t>
        </w:r>
      </w:hyperlink>
      <w:r>
        <w:rPr>
          <w:sz w:val="18"/>
          <w:szCs w:val="18"/>
        </w:rPr>
        <w:t>, 12 June 2024.</w:t>
      </w:r>
    </w:p>
  </w:footnote>
  <w:footnote w:id="5">
    <w:p w14:paraId="2D0548D8" w14:textId="77777777" w:rsidR="00340854" w:rsidRDefault="00340854" w:rsidP="00340854">
      <w:pPr>
        <w:pStyle w:val="FootnoteText"/>
      </w:pPr>
      <w:r>
        <w:rPr>
          <w:rStyle w:val="FootnoteReference"/>
        </w:rPr>
        <w:footnoteRef/>
      </w:r>
      <w:r>
        <w:t xml:space="preserve"> The Behavioural Insights Team, </w:t>
      </w:r>
      <w:hyperlink r:id="rId4" w:history="1">
        <w:r w:rsidRPr="001316F0">
          <w:rPr>
            <w:rStyle w:val="Hyperlink"/>
            <w:i/>
            <w:iCs/>
          </w:rPr>
          <w:t>Testing the impact of behaviourally informed energy bills and best offers</w:t>
        </w:r>
      </w:hyperlink>
      <w:r>
        <w:t>, 2018, p. 37.</w:t>
      </w:r>
    </w:p>
  </w:footnote>
  <w:footnote w:id="6">
    <w:p w14:paraId="759C029F" w14:textId="09F513FA" w:rsidR="00697BE3" w:rsidRPr="00617870" w:rsidRDefault="00697BE3" w:rsidP="007947E4">
      <w:pPr>
        <w:pStyle w:val="FootnoteText"/>
      </w:pPr>
      <w:r>
        <w:rPr>
          <w:rStyle w:val="FootnoteReference"/>
        </w:rPr>
        <w:footnoteRef/>
      </w:r>
      <w:r>
        <w:t xml:space="preserve"> </w:t>
      </w:r>
      <w:r w:rsidR="009064B9">
        <w:rPr>
          <w:szCs w:val="18"/>
        </w:rPr>
        <w:t>‘</w:t>
      </w:r>
      <w:hyperlink r:id="rId5" w:history="1">
        <w:r w:rsidR="009064B9" w:rsidRPr="00AB255F">
          <w:rPr>
            <w:rStyle w:val="Hyperlink"/>
            <w:szCs w:val="18"/>
          </w:rPr>
          <w:t>Victorian Energy Market Dashboard</w:t>
        </w:r>
      </w:hyperlink>
      <w:r>
        <w:rPr>
          <w:szCs w:val="18"/>
        </w:rPr>
        <w:t xml:space="preserve">’, Essential Services Commission, </w:t>
      </w:r>
      <w:r w:rsidRPr="006C2B1F">
        <w:rPr>
          <w:szCs w:val="18"/>
        </w:rPr>
        <w:t xml:space="preserve">accessed 23 January </w:t>
      </w:r>
      <w:r>
        <w:rPr>
          <w:szCs w:val="18"/>
        </w:rPr>
        <w:t>2025.</w:t>
      </w:r>
    </w:p>
  </w:footnote>
  <w:footnote w:id="7">
    <w:p w14:paraId="536E1A90" w14:textId="648C35A4" w:rsidR="00A9110F" w:rsidRDefault="00A9110F">
      <w:pPr>
        <w:pStyle w:val="FootnoteText"/>
      </w:pPr>
      <w:r>
        <w:rPr>
          <w:rStyle w:val="FootnoteReference"/>
        </w:rPr>
        <w:footnoteRef/>
      </w:r>
      <w:r>
        <w:t xml:space="preserve"> </w:t>
      </w:r>
      <w:r w:rsidR="00E06707">
        <w:rPr>
          <w:szCs w:val="18"/>
        </w:rPr>
        <w:t xml:space="preserve">Essential Services Commission, </w:t>
      </w:r>
      <w:hyperlink r:id="rId6" w:anchor="toc-latest-publication" w:history="1">
        <w:r w:rsidR="00A414E6" w:rsidRPr="005D3ACB">
          <w:rPr>
            <w:rStyle w:val="Hyperlink"/>
            <w:i/>
            <w:iCs/>
          </w:rPr>
          <w:t>Victorian Energy Market Report</w:t>
        </w:r>
        <w:r w:rsidR="00A16338" w:rsidRPr="005D3ACB">
          <w:rPr>
            <w:rStyle w:val="Hyperlink"/>
            <w:i/>
            <w:iCs/>
          </w:rPr>
          <w:t>:</w:t>
        </w:r>
        <w:r w:rsidR="00A414E6" w:rsidRPr="005D3ACB">
          <w:rPr>
            <w:rStyle w:val="Hyperlink"/>
            <w:i/>
            <w:iCs/>
          </w:rPr>
          <w:t xml:space="preserve"> </w:t>
        </w:r>
        <w:r w:rsidR="00A16338" w:rsidRPr="005D3ACB">
          <w:rPr>
            <w:rStyle w:val="Hyperlink"/>
            <w:i/>
            <w:iCs/>
          </w:rPr>
          <w:t xml:space="preserve">Annual </w:t>
        </w:r>
        <w:r w:rsidR="00A414E6" w:rsidRPr="005D3ACB">
          <w:rPr>
            <w:rStyle w:val="Hyperlink"/>
            <w:i/>
            <w:iCs/>
          </w:rPr>
          <w:t>2</w:t>
        </w:r>
        <w:r w:rsidR="004D0E82">
          <w:rPr>
            <w:rStyle w:val="Hyperlink"/>
            <w:i/>
            <w:iCs/>
          </w:rPr>
          <w:t>02</w:t>
        </w:r>
        <w:r w:rsidR="00A414E6" w:rsidRPr="005D3ACB">
          <w:rPr>
            <w:rStyle w:val="Hyperlink"/>
            <w:i/>
            <w:iCs/>
          </w:rPr>
          <w:t>4</w:t>
        </w:r>
      </w:hyperlink>
      <w:r w:rsidR="00E06707" w:rsidRPr="005D3ACB">
        <w:rPr>
          <w:i/>
          <w:iCs/>
          <w:szCs w:val="18"/>
        </w:rPr>
        <w:t>,</w:t>
      </w:r>
      <w:r w:rsidR="00E06707">
        <w:rPr>
          <w:szCs w:val="18"/>
        </w:rPr>
        <w:t xml:space="preserve"> 29 November 2024, p. 10</w:t>
      </w:r>
      <w:r w:rsidR="002524BD">
        <w:rPr>
          <w:szCs w:val="18"/>
        </w:rPr>
        <w:t xml:space="preserve"> (Figure 6)</w:t>
      </w:r>
      <w:r w:rsidR="00E06707">
        <w:rPr>
          <w:szCs w:val="18"/>
        </w:rPr>
        <w:t>.</w:t>
      </w:r>
    </w:p>
  </w:footnote>
  <w:footnote w:id="8">
    <w:p w14:paraId="3E74B6D6" w14:textId="1776DF9C" w:rsidR="00B967A8" w:rsidRDefault="00B967A8">
      <w:pPr>
        <w:pStyle w:val="FootnoteText"/>
      </w:pPr>
      <w:r>
        <w:rPr>
          <w:rStyle w:val="FootnoteReference"/>
        </w:rPr>
        <w:footnoteRef/>
      </w:r>
      <w:r>
        <w:t xml:space="preserve"> </w:t>
      </w:r>
      <w:r w:rsidR="005B5E99">
        <w:rPr>
          <w:szCs w:val="18"/>
        </w:rPr>
        <w:t>Ibid</w:t>
      </w:r>
      <w:r w:rsidR="002C75D1">
        <w:rPr>
          <w:szCs w:val="18"/>
        </w:rPr>
        <w:t xml:space="preserve">, </w:t>
      </w:r>
      <w:r w:rsidR="002524BD">
        <w:rPr>
          <w:szCs w:val="18"/>
        </w:rPr>
        <w:t>p.10 (F</w:t>
      </w:r>
      <w:r w:rsidR="002C75D1">
        <w:rPr>
          <w:szCs w:val="18"/>
        </w:rPr>
        <w:t>igure 7</w:t>
      </w:r>
      <w:r w:rsidR="002524BD">
        <w:rPr>
          <w:szCs w:val="18"/>
        </w:rPr>
        <w:t>)</w:t>
      </w:r>
      <w:r>
        <w:rPr>
          <w:szCs w:val="18"/>
        </w:rPr>
        <w:t>.</w:t>
      </w:r>
    </w:p>
  </w:footnote>
  <w:footnote w:id="9">
    <w:p w14:paraId="25F7C0A2" w14:textId="77777777" w:rsidR="00DC7CD4" w:rsidRDefault="00AF28E9" w:rsidP="00AF28E9">
      <w:pPr>
        <w:pStyle w:val="FootnoteText"/>
      </w:pPr>
      <w:r>
        <w:rPr>
          <w:rStyle w:val="FootnoteReference"/>
        </w:rPr>
        <w:footnoteRef/>
      </w:r>
      <w:r>
        <w:t xml:space="preserve"> </w:t>
      </w:r>
      <w:r w:rsidR="00C07891">
        <w:t>We note that t</w:t>
      </w:r>
      <w:r>
        <w:t xml:space="preserve">he commission has changed metrics </w:t>
      </w:r>
      <w:r w:rsidR="00C07891">
        <w:t xml:space="preserve">in recent years </w:t>
      </w:r>
      <w:r>
        <w:t>for measuring the number of customers with substantial arrears</w:t>
      </w:r>
      <w:r w:rsidR="00C07891">
        <w:t>. H</w:t>
      </w:r>
      <w:r>
        <w:t xml:space="preserve">owever, all recent reports show a similar trend. </w:t>
      </w:r>
    </w:p>
    <w:p w14:paraId="41DAEBA8" w14:textId="78423675" w:rsidR="00AF28E9" w:rsidRDefault="00BD2D54" w:rsidP="00AF28E9">
      <w:pPr>
        <w:pStyle w:val="FootnoteText"/>
      </w:pPr>
      <w:r>
        <w:t>F</w:t>
      </w:r>
      <w:r w:rsidR="00AF28E9">
        <w:t xml:space="preserve">or the number of customers with more than $300 in arrears and not accessing assistance from 2022–23 to 2023–24, see: </w:t>
      </w:r>
      <w:r w:rsidR="00AF28E9">
        <w:rPr>
          <w:szCs w:val="18"/>
        </w:rPr>
        <w:t xml:space="preserve">Essential Services Commission, </w:t>
      </w:r>
      <w:hyperlink r:id="rId7" w:anchor="toc-latest-publication" w:history="1">
        <w:r w:rsidR="00AF28E9" w:rsidRPr="00C95D7A">
          <w:rPr>
            <w:rStyle w:val="Hyperlink"/>
            <w:i/>
            <w:iCs/>
            <w:szCs w:val="18"/>
          </w:rPr>
          <w:t>Victorian Energy Market Report</w:t>
        </w:r>
        <w:r w:rsidR="00AF28E9" w:rsidRPr="00617870">
          <w:rPr>
            <w:rStyle w:val="Hyperlink"/>
            <w:szCs w:val="18"/>
          </w:rPr>
          <w:t>:</w:t>
        </w:r>
        <w:r w:rsidR="00AF28E9" w:rsidRPr="00804B92">
          <w:rPr>
            <w:rStyle w:val="Hyperlink"/>
            <w:i/>
            <w:iCs/>
            <w:szCs w:val="18"/>
          </w:rPr>
          <w:t xml:space="preserve"> Annual 2024</w:t>
        </w:r>
      </w:hyperlink>
      <w:r w:rsidR="00AF28E9">
        <w:rPr>
          <w:szCs w:val="18"/>
        </w:rPr>
        <w:t xml:space="preserve">, 29 November 2024, p. 7. For the number of tailored assistance customers with arrears greater than $1,000 from 2020–21 to 2022–23, see: Essential Services Commission, </w:t>
      </w:r>
      <w:hyperlink r:id="rId8" w:anchor="tabs-container2" w:history="1">
        <w:r w:rsidR="00AF28E9" w:rsidRPr="00804B92">
          <w:rPr>
            <w:rStyle w:val="Hyperlink"/>
            <w:i/>
            <w:iCs/>
            <w:szCs w:val="18"/>
          </w:rPr>
          <w:t>Victorian Energy Market Report: 202</w:t>
        </w:r>
        <w:r w:rsidR="001C31FE">
          <w:rPr>
            <w:rStyle w:val="Hyperlink"/>
            <w:i/>
            <w:iCs/>
            <w:szCs w:val="18"/>
          </w:rPr>
          <w:t>2</w:t>
        </w:r>
        <w:r w:rsidR="003660AB">
          <w:rPr>
            <w:rStyle w:val="Hyperlink"/>
            <w:rFonts w:cstheme="minorHAnsi"/>
            <w:i/>
            <w:iCs/>
            <w:szCs w:val="18"/>
          </w:rPr>
          <w:t>–</w:t>
        </w:r>
        <w:r w:rsidR="001C31FE">
          <w:rPr>
            <w:rStyle w:val="Hyperlink"/>
            <w:i/>
            <w:iCs/>
            <w:szCs w:val="18"/>
          </w:rPr>
          <w:t>2</w:t>
        </w:r>
        <w:r w:rsidR="00AF28E9" w:rsidRPr="00804B92">
          <w:rPr>
            <w:rStyle w:val="Hyperlink"/>
            <w:i/>
            <w:iCs/>
            <w:szCs w:val="18"/>
          </w:rPr>
          <w:t>3</w:t>
        </w:r>
      </w:hyperlink>
      <w:r w:rsidR="00AF28E9" w:rsidRPr="00804B92">
        <w:rPr>
          <w:i/>
          <w:iCs/>
          <w:szCs w:val="18"/>
        </w:rPr>
        <w:t>,</w:t>
      </w:r>
      <w:r w:rsidR="00AF28E9">
        <w:rPr>
          <w:szCs w:val="18"/>
        </w:rPr>
        <w:t xml:space="preserve"> 28 November 2023, p. 10.</w:t>
      </w:r>
    </w:p>
  </w:footnote>
  <w:footnote w:id="10">
    <w:p w14:paraId="40011D30" w14:textId="6C87C1F7" w:rsidR="003F33B6" w:rsidRDefault="003F33B6" w:rsidP="003F33B6">
      <w:pPr>
        <w:pStyle w:val="FootnoteText"/>
      </w:pPr>
      <w:r>
        <w:rPr>
          <w:rStyle w:val="FootnoteReference"/>
        </w:rPr>
        <w:footnoteRef/>
      </w:r>
      <w:r>
        <w:t xml:space="preserve"> </w:t>
      </w:r>
      <w:r>
        <w:rPr>
          <w:szCs w:val="18"/>
        </w:rPr>
        <w:t xml:space="preserve">Essential Services Commission, </w:t>
      </w:r>
      <w:hyperlink r:id="rId9" w:anchor="toc-latest-publication" w:history="1">
        <w:r w:rsidRPr="00C95D7A">
          <w:rPr>
            <w:rStyle w:val="Hyperlink"/>
            <w:i/>
            <w:iCs/>
            <w:szCs w:val="18"/>
          </w:rPr>
          <w:t>Victorian Energy Market Report</w:t>
        </w:r>
        <w:r w:rsidRPr="00617870">
          <w:rPr>
            <w:rStyle w:val="Hyperlink"/>
            <w:szCs w:val="18"/>
          </w:rPr>
          <w:t>:</w:t>
        </w:r>
        <w:r w:rsidRPr="00804B92">
          <w:rPr>
            <w:rStyle w:val="Hyperlink"/>
            <w:i/>
            <w:iCs/>
            <w:szCs w:val="18"/>
          </w:rPr>
          <w:t xml:space="preserve"> Annual 2024</w:t>
        </w:r>
      </w:hyperlink>
      <w:r>
        <w:rPr>
          <w:szCs w:val="18"/>
        </w:rPr>
        <w:t>, 29 November 2024, p. 12.</w:t>
      </w:r>
    </w:p>
  </w:footnote>
  <w:footnote w:id="11">
    <w:p w14:paraId="48B9885D" w14:textId="1F3024D6" w:rsidR="00C740F5" w:rsidRDefault="00C740F5">
      <w:pPr>
        <w:pStyle w:val="FootnoteText"/>
      </w:pPr>
      <w:r>
        <w:rPr>
          <w:rStyle w:val="FootnoteReference"/>
        </w:rPr>
        <w:footnoteRef/>
      </w:r>
      <w:r>
        <w:t xml:space="preserve"> </w:t>
      </w:r>
      <w:r>
        <w:rPr>
          <w:szCs w:val="18"/>
        </w:rPr>
        <w:t xml:space="preserve">Essential Services Commission, </w:t>
      </w:r>
      <w:hyperlink r:id="rId10" w:anchor="tabs-container2" w:history="1">
        <w:r w:rsidRPr="00804B92">
          <w:rPr>
            <w:rStyle w:val="Hyperlink"/>
            <w:i/>
            <w:iCs/>
            <w:szCs w:val="18"/>
          </w:rPr>
          <w:t>Victorian Energy Market Report: 202</w:t>
        </w:r>
        <w:r w:rsidR="001C31FE" w:rsidRPr="00804B92">
          <w:rPr>
            <w:rStyle w:val="Hyperlink"/>
            <w:i/>
            <w:iCs/>
            <w:szCs w:val="18"/>
          </w:rPr>
          <w:t>1</w:t>
        </w:r>
        <w:r w:rsidR="003660AB">
          <w:rPr>
            <w:rStyle w:val="Hyperlink"/>
            <w:rFonts w:cstheme="minorHAnsi"/>
            <w:i/>
            <w:iCs/>
            <w:szCs w:val="18"/>
          </w:rPr>
          <w:t>–</w:t>
        </w:r>
        <w:r w:rsidR="001C31FE" w:rsidRPr="00804B92">
          <w:rPr>
            <w:rStyle w:val="Hyperlink"/>
            <w:i/>
            <w:iCs/>
            <w:szCs w:val="18"/>
          </w:rPr>
          <w:t>2</w:t>
        </w:r>
        <w:r w:rsidRPr="00804B92">
          <w:rPr>
            <w:rStyle w:val="Hyperlink"/>
            <w:i/>
            <w:iCs/>
            <w:szCs w:val="18"/>
          </w:rPr>
          <w:t>2</w:t>
        </w:r>
      </w:hyperlink>
      <w:r>
        <w:rPr>
          <w:szCs w:val="18"/>
        </w:rPr>
        <w:t>, 30 November 2022, p. 14.</w:t>
      </w:r>
    </w:p>
  </w:footnote>
  <w:footnote w:id="12">
    <w:p w14:paraId="665EFC46" w14:textId="1C150327" w:rsidR="00A74E9B" w:rsidRDefault="00A74E9B">
      <w:pPr>
        <w:pStyle w:val="FootnoteText"/>
      </w:pPr>
      <w:r>
        <w:rPr>
          <w:rStyle w:val="FootnoteReference"/>
        </w:rPr>
        <w:footnoteRef/>
      </w:r>
      <w:r>
        <w:t xml:space="preserve"> </w:t>
      </w:r>
      <w:r w:rsidR="00497ED9">
        <w:t>‘</w:t>
      </w:r>
      <w:hyperlink r:id="rId11" w:history="1">
        <w:r w:rsidRPr="00A74E9B">
          <w:rPr>
            <w:rStyle w:val="Hyperlink"/>
          </w:rPr>
          <w:t>Utility relief grand scheme</w:t>
        </w:r>
      </w:hyperlink>
      <w:r w:rsidR="00497ED9">
        <w:t>’</w:t>
      </w:r>
      <w:r>
        <w:t xml:space="preserve">, Department of Families, Fairness and Housing, accessed </w:t>
      </w:r>
      <w:r w:rsidR="00963F6F">
        <w:t>21 February 2025</w:t>
      </w:r>
      <w:r w:rsidR="00EB5049">
        <w:t>.</w:t>
      </w:r>
    </w:p>
  </w:footnote>
  <w:footnote w:id="13">
    <w:p w14:paraId="5B10618F" w14:textId="1C2365EC" w:rsidR="00C05F3B" w:rsidRDefault="00C05F3B">
      <w:pPr>
        <w:pStyle w:val="FootnoteText"/>
      </w:pPr>
      <w:r>
        <w:rPr>
          <w:rStyle w:val="FootnoteReference"/>
        </w:rPr>
        <w:footnoteRef/>
      </w:r>
      <w:r>
        <w:t xml:space="preserve"> The Energy Retail Code of Practice replaced the </w:t>
      </w:r>
      <w:hyperlink r:id="rId12" w:anchor="toc-previous-versions-of-the-energy-retail-code|tabs-container2" w:history="1">
        <w:r w:rsidRPr="00D71BA7">
          <w:rPr>
            <w:rStyle w:val="Hyperlink"/>
          </w:rPr>
          <w:t>Ener</w:t>
        </w:r>
        <w:r w:rsidR="004B4242" w:rsidRPr="00D71BA7">
          <w:rPr>
            <w:rStyle w:val="Hyperlink"/>
          </w:rPr>
          <w:t>gy Retail Code</w:t>
        </w:r>
      </w:hyperlink>
      <w:r w:rsidR="00372F1A">
        <w:t xml:space="preserve"> and the </w:t>
      </w:r>
      <w:hyperlink r:id="rId13" w:history="1">
        <w:r w:rsidR="003E79EF" w:rsidRPr="00303E1B">
          <w:rPr>
            <w:rStyle w:val="Hyperlink"/>
          </w:rPr>
          <w:t>Code of Conduct for Marketing Retail Energy</w:t>
        </w:r>
      </w:hyperlink>
      <w:r w:rsidR="003E79EF">
        <w:t>.</w:t>
      </w:r>
    </w:p>
  </w:footnote>
  <w:footnote w:id="14">
    <w:p w14:paraId="73D1E745" w14:textId="2D09457E" w:rsidR="00246919" w:rsidRDefault="00246919">
      <w:pPr>
        <w:pStyle w:val="FootnoteText"/>
      </w:pPr>
      <w:r>
        <w:rPr>
          <w:rStyle w:val="FootnoteReference"/>
        </w:rPr>
        <w:footnoteRef/>
      </w:r>
      <w:r>
        <w:t xml:space="preserve"> </w:t>
      </w:r>
      <w:r w:rsidR="002E0CF9">
        <w:t>‘</w:t>
      </w:r>
      <w:hyperlink r:id="rId14" w:history="1">
        <w:r w:rsidR="002E0CF9">
          <w:rPr>
            <w:rStyle w:val="Hyperlink"/>
          </w:rPr>
          <w:t>Electricity and gas codes, guidelines and policies</w:t>
        </w:r>
      </w:hyperlink>
      <w:r w:rsidR="002E0CF9">
        <w:t>’, Essential Services Commission, accessed</w:t>
      </w:r>
      <w:r w:rsidR="00EC75AD">
        <w:t xml:space="preserve"> 10 April 2025. </w:t>
      </w:r>
    </w:p>
  </w:footnote>
  <w:footnote w:id="15">
    <w:p w14:paraId="63F7620E" w14:textId="17A87E3E" w:rsidR="005901C0" w:rsidRDefault="005901C0">
      <w:pPr>
        <w:pStyle w:val="FootnoteText"/>
      </w:pPr>
      <w:r>
        <w:rPr>
          <w:rStyle w:val="FootnoteReference"/>
        </w:rPr>
        <w:footnoteRef/>
      </w:r>
      <w:r>
        <w:t xml:space="preserve"> </w:t>
      </w:r>
      <w:r>
        <w:rPr>
          <w:szCs w:val="18"/>
        </w:rPr>
        <w:t>In the retail of energy w</w:t>
      </w:r>
      <w:r w:rsidRPr="00617870">
        <w:rPr>
          <w:szCs w:val="18"/>
        </w:rPr>
        <w:t>hite labelling is where a licensed retail enters into an arrangement with a third party to sell energy under that third party’s branding.</w:t>
      </w:r>
      <w:r w:rsidRPr="00617870">
        <w:rPr>
          <w:rFonts w:ascii="Assistant" w:hAnsi="Assistant" w:cs="Assistant" w:hint="cs"/>
          <w:color w:val="000000"/>
          <w:spacing w:val="5"/>
          <w:sz w:val="21"/>
          <w:szCs w:val="21"/>
        </w:rPr>
        <w:t xml:space="preserve"> </w:t>
      </w:r>
      <w:r>
        <w:rPr>
          <w:szCs w:val="18"/>
        </w:rPr>
        <w:t xml:space="preserve">See </w:t>
      </w:r>
      <w:r>
        <w:t xml:space="preserve">Essential Services Commission, </w:t>
      </w:r>
      <w:hyperlink r:id="rId15" w:anchor=":~:text=In%20the%20retail%20of%20energy,to%20expand%20its%20product%20offering." w:history="1">
        <w:r w:rsidRPr="00FC2E32">
          <w:rPr>
            <w:rStyle w:val="Hyperlink"/>
            <w:i/>
            <w:szCs w:val="18"/>
          </w:rPr>
          <w:t>Guideline 1 (2022): Customers of white label arrangements are entitled to all protections of the Energy Retail Code of Practice</w:t>
        </w:r>
        <w:r w:rsidRPr="00FC2E32">
          <w:rPr>
            <w:rStyle w:val="Hyperlink"/>
            <w:i/>
            <w:iCs/>
            <w:szCs w:val="18"/>
            <w:u w:val="none"/>
          </w:rPr>
          <w:t>,</w:t>
        </w:r>
        <w:r w:rsidRPr="00FC2E32">
          <w:rPr>
            <w:rStyle w:val="Hyperlink"/>
            <w:szCs w:val="18"/>
            <w:u w:val="none"/>
          </w:rPr>
          <w:t xml:space="preserve"> </w:t>
        </w:r>
      </w:hyperlink>
      <w:r>
        <w:t>15 March 2022.</w:t>
      </w:r>
    </w:p>
  </w:footnote>
  <w:footnote w:id="16">
    <w:p w14:paraId="752D6AD3" w14:textId="5420697F" w:rsidR="00556235" w:rsidRPr="00617870" w:rsidRDefault="00556235" w:rsidP="007947E4">
      <w:pPr>
        <w:pStyle w:val="FootnoteText"/>
        <w:rPr>
          <w:szCs w:val="18"/>
        </w:rPr>
      </w:pPr>
      <w:r w:rsidRPr="00D2270A">
        <w:rPr>
          <w:rStyle w:val="FootnoteReference"/>
        </w:rPr>
        <w:footnoteRef/>
      </w:r>
      <w:r w:rsidRPr="00D2270A">
        <w:rPr>
          <w:rStyle w:val="FootnoteReference"/>
        </w:rPr>
        <w:t xml:space="preserve"> </w:t>
      </w:r>
      <w:r w:rsidRPr="00617870">
        <w:rPr>
          <w:szCs w:val="18"/>
          <w:lang w:val="en-US"/>
        </w:rPr>
        <w:t xml:space="preserve">Clause 125(2) of the </w:t>
      </w:r>
      <w:hyperlink r:id="rId16" w:anchor="toc-current-version-of-the-energy-retail-code-of-practice" w:history="1">
        <w:r w:rsidR="00497ED9" w:rsidRPr="007A77CE">
          <w:rPr>
            <w:rStyle w:val="Hyperlink"/>
          </w:rPr>
          <w:t>Energy Retail Code of Practice (version 3</w:t>
        </w:r>
        <w:r w:rsidRPr="007A77CE">
          <w:rPr>
            <w:rStyle w:val="Hyperlink"/>
            <w:szCs w:val="18"/>
            <w:lang w:val="en-US"/>
          </w:rPr>
          <w:t>)</w:t>
        </w:r>
        <w:r w:rsidR="00644A97" w:rsidRPr="007A77CE">
          <w:rPr>
            <w:rStyle w:val="Hyperlink"/>
            <w:szCs w:val="18"/>
            <w:lang w:val="en-US"/>
          </w:rPr>
          <w:t>.</w:t>
        </w:r>
      </w:hyperlink>
    </w:p>
  </w:footnote>
  <w:footnote w:id="17">
    <w:p w14:paraId="6A68050E" w14:textId="6B5A6289" w:rsidR="00556235" w:rsidRPr="00617870" w:rsidRDefault="00556235" w:rsidP="007947E4">
      <w:pPr>
        <w:pStyle w:val="FootnoteText"/>
        <w:rPr>
          <w:szCs w:val="18"/>
        </w:rPr>
      </w:pPr>
      <w:r w:rsidRPr="00FC2E32">
        <w:rPr>
          <w:rStyle w:val="FootnoteReference"/>
        </w:rPr>
        <w:footnoteRef/>
      </w:r>
      <w:r w:rsidRPr="00FC2E32">
        <w:rPr>
          <w:rStyle w:val="FootnoteReference"/>
        </w:rPr>
        <w:t xml:space="preserve"> </w:t>
      </w:r>
      <w:r w:rsidRPr="00617870">
        <w:rPr>
          <w:szCs w:val="18"/>
          <w:lang w:val="en-US"/>
        </w:rPr>
        <w:t xml:space="preserve">Clause 128(1) of the </w:t>
      </w:r>
      <w:hyperlink r:id="rId17" w:anchor="toc-current-version-of-the-energy-retail-code-of-practice" w:history="1">
        <w:r w:rsidR="00497ED9" w:rsidRPr="00A302EB">
          <w:rPr>
            <w:rStyle w:val="Hyperlink"/>
          </w:rPr>
          <w:t>Energy Retail Code of Practice (version 3)</w:t>
        </w:r>
        <w:r w:rsidR="00644A97" w:rsidRPr="00A302EB">
          <w:rPr>
            <w:rStyle w:val="Hyperlink"/>
          </w:rPr>
          <w:t>.</w:t>
        </w:r>
      </w:hyperlink>
    </w:p>
  </w:footnote>
  <w:footnote w:id="18">
    <w:p w14:paraId="3396D336" w14:textId="3BAC4BCF" w:rsidR="00556235" w:rsidRPr="00617870" w:rsidRDefault="00556235" w:rsidP="007947E4">
      <w:pPr>
        <w:pStyle w:val="FootnoteText"/>
      </w:pPr>
      <w:r w:rsidRPr="00FC2E32">
        <w:rPr>
          <w:rStyle w:val="FootnoteReference"/>
        </w:rPr>
        <w:footnoteRef/>
      </w:r>
      <w:r w:rsidRPr="00617870">
        <w:rPr>
          <w:szCs w:val="18"/>
        </w:rPr>
        <w:t xml:space="preserve"> </w:t>
      </w:r>
      <w:r w:rsidRPr="00617870">
        <w:rPr>
          <w:szCs w:val="18"/>
          <w:lang w:val="en-US"/>
        </w:rPr>
        <w:t xml:space="preserve">Clause 129(2) of the </w:t>
      </w:r>
      <w:hyperlink r:id="rId18" w:anchor="toc-current-version-of-the-energy-retail-code-of-practice" w:history="1">
        <w:r w:rsidR="00497ED9" w:rsidRPr="00A302EB">
          <w:rPr>
            <w:rStyle w:val="Hyperlink"/>
          </w:rPr>
          <w:t>Energy Retail Code of Practice (version 3)</w:t>
        </w:r>
        <w:r w:rsidR="00644A97" w:rsidRPr="00A302EB">
          <w:rPr>
            <w:rStyle w:val="Hyperlink"/>
          </w:rPr>
          <w:t>.</w:t>
        </w:r>
      </w:hyperlink>
    </w:p>
  </w:footnote>
  <w:footnote w:id="19">
    <w:p w14:paraId="3C319263" w14:textId="1501E2D0" w:rsidR="00556235" w:rsidRPr="00617870" w:rsidRDefault="00556235" w:rsidP="007947E4">
      <w:pPr>
        <w:pStyle w:val="FootnoteText"/>
      </w:pPr>
      <w:r>
        <w:rPr>
          <w:rStyle w:val="FootnoteReference"/>
        </w:rPr>
        <w:footnoteRef/>
      </w:r>
      <w:r>
        <w:t xml:space="preserve"> </w:t>
      </w:r>
      <w:r w:rsidRPr="00617870">
        <w:rPr>
          <w:szCs w:val="18"/>
        </w:rPr>
        <w:t>In</w:t>
      </w:r>
      <w:r w:rsidR="005F1317">
        <w:rPr>
          <w:szCs w:val="18"/>
        </w:rPr>
        <w:t xml:space="preserve"> </w:t>
      </w:r>
      <w:r w:rsidRPr="00617870">
        <w:rPr>
          <w:szCs w:val="18"/>
        </w:rPr>
        <w:t>energy retail, the term ‘tariff’ refers to both the rate and pricing structure used to calculate the price paid for energy usage or supply. Tariffs are often calculated in cost per unit, such as cents per kilowatt-hour (c/kWh) or as a fixed price over a certain time period, such a daily supply charge. Tariff structures can include, among others, single or flat</w:t>
      </w:r>
      <w:r w:rsidR="00CF557B">
        <w:rPr>
          <w:szCs w:val="18"/>
        </w:rPr>
        <w:t xml:space="preserve"> </w:t>
      </w:r>
      <w:r w:rsidRPr="00617870">
        <w:rPr>
          <w:szCs w:val="18"/>
        </w:rPr>
        <w:t>rate tariffs, time of use tariffs</w:t>
      </w:r>
      <w:r w:rsidR="000F4193">
        <w:rPr>
          <w:szCs w:val="18"/>
        </w:rPr>
        <w:t>,</w:t>
      </w:r>
      <w:r w:rsidR="00FB78DC">
        <w:rPr>
          <w:szCs w:val="18"/>
        </w:rPr>
        <w:t xml:space="preserve"> </w:t>
      </w:r>
      <w:r w:rsidRPr="00617870">
        <w:rPr>
          <w:szCs w:val="18"/>
        </w:rPr>
        <w:t xml:space="preserve">controlled load </w:t>
      </w:r>
      <w:r w:rsidR="000F4193">
        <w:rPr>
          <w:szCs w:val="18"/>
        </w:rPr>
        <w:t>or demand</w:t>
      </w:r>
      <w:r w:rsidRPr="00617870">
        <w:rPr>
          <w:szCs w:val="18"/>
        </w:rPr>
        <w:t xml:space="preserve"> tariffs. Where a customer generates electricity themselves and feeds this back into the energy grid, a retailer may offer the customer a ‘feed</w:t>
      </w:r>
      <w:r w:rsidR="000050BD">
        <w:rPr>
          <w:szCs w:val="18"/>
        </w:rPr>
        <w:t>-</w:t>
      </w:r>
      <w:r w:rsidRPr="00617870">
        <w:rPr>
          <w:szCs w:val="18"/>
        </w:rPr>
        <w:t>in tariff’ to compensate them for the supply of this energy.</w:t>
      </w:r>
    </w:p>
  </w:footnote>
  <w:footnote w:id="20">
    <w:p w14:paraId="07D3C81D" w14:textId="3B1D50F9" w:rsidR="0099099C" w:rsidRDefault="0099099C">
      <w:pPr>
        <w:pStyle w:val="FootnoteText"/>
      </w:pPr>
      <w:r>
        <w:rPr>
          <w:rStyle w:val="FootnoteReference"/>
        </w:rPr>
        <w:footnoteRef/>
      </w:r>
      <w:r>
        <w:t xml:space="preserve"> </w:t>
      </w:r>
      <w:r w:rsidRPr="0099099C">
        <w:t xml:space="preserve">Energy and Climate Change Ministerial Council, </w:t>
      </w:r>
      <w:hyperlink r:id="rId19" w:history="1">
        <w:r w:rsidRPr="00933A8A">
          <w:rPr>
            <w:rStyle w:val="Hyperlink"/>
            <w:i/>
            <w:iCs/>
          </w:rPr>
          <w:t>Meeting</w:t>
        </w:r>
        <w:r w:rsidR="00596BBE">
          <w:rPr>
            <w:rStyle w:val="Hyperlink"/>
            <w:i/>
            <w:iCs/>
          </w:rPr>
          <w:t>s and</w:t>
        </w:r>
        <w:r w:rsidRPr="00933A8A">
          <w:rPr>
            <w:rStyle w:val="Hyperlink"/>
            <w:i/>
            <w:iCs/>
          </w:rPr>
          <w:t xml:space="preserve"> Communique</w:t>
        </w:r>
      </w:hyperlink>
      <w:hyperlink r:id="rId20" w:history="1">
        <w:r w:rsidR="00880B79" w:rsidRPr="00A3117E">
          <w:rPr>
            <w:rStyle w:val="Hyperlink"/>
          </w:rPr>
          <w:t>s</w:t>
        </w:r>
      </w:hyperlink>
      <w:r w:rsidRPr="0099099C">
        <w:t xml:space="preserve">, 19 July 2024. The </w:t>
      </w:r>
      <w:hyperlink r:id="rId21" w:history="1">
        <w:r w:rsidR="00AA66F8" w:rsidRPr="00AA66F8">
          <w:rPr>
            <w:rStyle w:val="Hyperlink"/>
          </w:rPr>
          <w:t>rule change requests</w:t>
        </w:r>
      </w:hyperlink>
      <w:r w:rsidRPr="0099099C">
        <w:t xml:space="preserve"> have been published by the Australian Energy Market Commission.</w:t>
      </w:r>
    </w:p>
  </w:footnote>
  <w:footnote w:id="21">
    <w:p w14:paraId="3F27E0BA" w14:textId="48C88447" w:rsidR="0057056E" w:rsidRDefault="0057056E">
      <w:pPr>
        <w:pStyle w:val="FootnoteText"/>
      </w:pPr>
      <w:r>
        <w:rPr>
          <w:rStyle w:val="FootnoteReference"/>
        </w:rPr>
        <w:footnoteRef/>
      </w:r>
      <w:r>
        <w:t xml:space="preserve"> </w:t>
      </w:r>
      <w:r w:rsidR="007E6691" w:rsidRPr="007E6691">
        <w:t xml:space="preserve">Hon Lily D’Ambrosio MP, Minister for Energy and Resources, Victoria, </w:t>
      </w:r>
      <w:hyperlink r:id="rId22" w:history="1">
        <w:r w:rsidR="00A3117E">
          <w:rPr>
            <w:rStyle w:val="Hyperlink"/>
          </w:rPr>
          <w:t>le</w:t>
        </w:r>
        <w:r w:rsidR="006E2FB3" w:rsidRPr="006E2FB3">
          <w:rPr>
            <w:rStyle w:val="Hyperlink"/>
          </w:rPr>
          <w:t>tter to Gerard Brody, Chairperson, Essential Services Commission, Victoria</w:t>
        </w:r>
        <w:r w:rsidR="007E6691" w:rsidRPr="006E2FB3">
          <w:rPr>
            <w:rStyle w:val="Hyperlink"/>
          </w:rPr>
          <w:t>,</w:t>
        </w:r>
      </w:hyperlink>
      <w:r w:rsidR="007E6691" w:rsidRPr="007E6691">
        <w:t xml:space="preserve"> 3 October 2024. </w:t>
      </w:r>
    </w:p>
  </w:footnote>
  <w:footnote w:id="22">
    <w:p w14:paraId="1F4F9FB8" w14:textId="2536BA7B" w:rsidR="002D0BB4" w:rsidRPr="00617870" w:rsidRDefault="002D0BB4" w:rsidP="002D0BB4">
      <w:pPr>
        <w:pStyle w:val="FootnoteText"/>
      </w:pPr>
      <w:r>
        <w:rPr>
          <w:rStyle w:val="FootnoteReference"/>
        </w:rPr>
        <w:footnoteRef/>
      </w:r>
      <w:r>
        <w:t xml:space="preserve"> </w:t>
      </w:r>
      <w:r w:rsidRPr="00617870">
        <w:rPr>
          <w:szCs w:val="18"/>
        </w:rPr>
        <w:t xml:space="preserve">Essential Services Commission, </w:t>
      </w:r>
      <w:hyperlink r:id="rId23" w:anchor="toc-discussion-paper-|tabs-container2" w:history="1">
        <w:r w:rsidRPr="00617870">
          <w:rPr>
            <w:rStyle w:val="Hyperlink"/>
            <w:i/>
            <w:iCs/>
            <w:szCs w:val="18"/>
          </w:rPr>
          <w:t xml:space="preserve">Energy Consumer Reforms: Discussion </w:t>
        </w:r>
        <w:r w:rsidR="00001937">
          <w:rPr>
            <w:rStyle w:val="Hyperlink"/>
            <w:i/>
            <w:iCs/>
            <w:szCs w:val="18"/>
          </w:rPr>
          <w:t>P</w:t>
        </w:r>
        <w:r w:rsidRPr="00617870">
          <w:rPr>
            <w:rStyle w:val="Hyperlink"/>
            <w:i/>
            <w:iCs/>
            <w:szCs w:val="18"/>
          </w:rPr>
          <w:t>aper</w:t>
        </w:r>
      </w:hyperlink>
      <w:r w:rsidRPr="00617870">
        <w:rPr>
          <w:szCs w:val="18"/>
        </w:rPr>
        <w:t xml:space="preserve">, 24 October 2024. </w:t>
      </w:r>
    </w:p>
  </w:footnote>
  <w:footnote w:id="23">
    <w:p w14:paraId="4DEC84B0" w14:textId="4558DFFC" w:rsidR="000B6239" w:rsidRDefault="000B6239">
      <w:pPr>
        <w:pStyle w:val="FootnoteText"/>
      </w:pPr>
      <w:r>
        <w:rPr>
          <w:rStyle w:val="FootnoteReference"/>
        </w:rPr>
        <w:footnoteRef/>
      </w:r>
      <w:r>
        <w:t xml:space="preserve"> </w:t>
      </w:r>
      <w:r w:rsidR="00B55933">
        <w:rPr>
          <w:szCs w:val="18"/>
        </w:rPr>
        <w:t>Section 8</w:t>
      </w:r>
      <w:r>
        <w:rPr>
          <w:szCs w:val="18"/>
        </w:rPr>
        <w:t xml:space="preserve"> of the </w:t>
      </w:r>
      <w:r>
        <w:rPr>
          <w:i/>
          <w:iCs/>
          <w:szCs w:val="18"/>
        </w:rPr>
        <w:t>Essential Services Commission Act 2001</w:t>
      </w:r>
      <w:r>
        <w:rPr>
          <w:szCs w:val="18"/>
        </w:rPr>
        <w:t>.</w:t>
      </w:r>
    </w:p>
  </w:footnote>
  <w:footnote w:id="24">
    <w:p w14:paraId="4B978E3D" w14:textId="24DD6BE5" w:rsidR="002239B3" w:rsidRDefault="002239B3">
      <w:pPr>
        <w:pStyle w:val="FootnoteText"/>
      </w:pPr>
      <w:r>
        <w:rPr>
          <w:rStyle w:val="FootnoteReference"/>
        </w:rPr>
        <w:footnoteRef/>
      </w:r>
      <w:r>
        <w:t xml:space="preserve"> For more information </w:t>
      </w:r>
      <w:r w:rsidR="00720D1B">
        <w:t>about</w:t>
      </w:r>
      <w:r>
        <w:t xml:space="preserve"> the commission’s </w:t>
      </w:r>
      <w:r w:rsidR="00720D1B">
        <w:t>d</w:t>
      </w:r>
      <w:r w:rsidR="00720D1B" w:rsidRPr="00720D1B">
        <w:rPr>
          <w:rFonts w:hint="cs"/>
        </w:rPr>
        <w:t xml:space="preserve">ecisions </w:t>
      </w:r>
      <w:r>
        <w:t xml:space="preserve">on </w:t>
      </w:r>
      <w:r w:rsidR="00720D1B" w:rsidRPr="00720D1B">
        <w:rPr>
          <w:rFonts w:hint="cs"/>
        </w:rPr>
        <w:t>electricity prices and tariffs, gas benchmarks, and payment exclusions</w:t>
      </w:r>
      <w:r>
        <w:t xml:space="preserve"> see </w:t>
      </w:r>
      <w:hyperlink r:id="rId24" w:history="1">
        <w:r w:rsidRPr="002239B3">
          <w:rPr>
            <w:rStyle w:val="Hyperlink"/>
          </w:rPr>
          <w:t>Electricity and gas prices, tariffs and benchmarks | Essential Services Commission</w:t>
        </w:r>
      </w:hyperlink>
      <w:r w:rsidR="00F516D6">
        <w:t>.</w:t>
      </w:r>
    </w:p>
  </w:footnote>
  <w:footnote w:id="25">
    <w:p w14:paraId="428451C9" w14:textId="10F039A2" w:rsidR="008D1456" w:rsidRDefault="008D1456" w:rsidP="007947E4">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w:t>
      </w:r>
      <w:r w:rsidR="00C81C9C">
        <w:rPr>
          <w:sz w:val="18"/>
          <w:szCs w:val="18"/>
        </w:rPr>
        <w:t xml:space="preserve">Section </w:t>
      </w:r>
      <w:r w:rsidR="00DE7FF3">
        <w:rPr>
          <w:sz w:val="18"/>
          <w:szCs w:val="18"/>
        </w:rPr>
        <w:t xml:space="preserve">10 of the </w:t>
      </w:r>
      <w:r w:rsidR="00DE7FF3">
        <w:rPr>
          <w:i/>
          <w:iCs/>
          <w:sz w:val="18"/>
          <w:szCs w:val="18"/>
        </w:rPr>
        <w:t>Electricity Industry Act 2000</w:t>
      </w:r>
      <w:r w:rsidR="00DE7FF3">
        <w:rPr>
          <w:sz w:val="18"/>
          <w:szCs w:val="18"/>
        </w:rPr>
        <w:t xml:space="preserve"> and section 1</w:t>
      </w:r>
      <w:r w:rsidR="009E13A1">
        <w:rPr>
          <w:sz w:val="18"/>
          <w:szCs w:val="18"/>
        </w:rPr>
        <w:t xml:space="preserve">8 of the </w:t>
      </w:r>
      <w:r w:rsidR="009E13A1">
        <w:rPr>
          <w:i/>
          <w:iCs/>
          <w:sz w:val="18"/>
          <w:szCs w:val="18"/>
        </w:rPr>
        <w:t>Gas Industry Act 2001</w:t>
      </w:r>
      <w:r w:rsidR="009E13A1">
        <w:rPr>
          <w:sz w:val="18"/>
          <w:szCs w:val="18"/>
        </w:rPr>
        <w:t>.</w:t>
      </w:r>
    </w:p>
  </w:footnote>
  <w:footnote w:id="26">
    <w:p w14:paraId="5394BFD2" w14:textId="003A53A7" w:rsidR="00107497" w:rsidRDefault="00107497">
      <w:pPr>
        <w:pStyle w:val="FootnoteText"/>
      </w:pPr>
      <w:r>
        <w:rPr>
          <w:rStyle w:val="FootnoteReference"/>
        </w:rPr>
        <w:footnoteRef/>
      </w:r>
      <w:r>
        <w:t xml:space="preserve"> </w:t>
      </w:r>
      <w:r w:rsidRPr="00107497">
        <w:t xml:space="preserve">The NECF is a suite of legal instruments that regulates the sale and supply of electricity and gas to customers. Each state or territory in the NEM applies the NECF through its own laws and can change the application of aspects of those laws within that jurisdiction. </w:t>
      </w:r>
      <w:r w:rsidR="00AB7365">
        <w:t xml:space="preserve">For further information, see </w:t>
      </w:r>
      <w:hyperlink r:id="rId25" w:history="1">
        <w:r w:rsidR="00AB7365" w:rsidRPr="00AB7365">
          <w:rPr>
            <w:rStyle w:val="Hyperlink"/>
          </w:rPr>
          <w:t>National Energy Customer Framework | AEMC</w:t>
        </w:r>
      </w:hyperlink>
      <w:r w:rsidR="00AB7365">
        <w:t xml:space="preserve">. </w:t>
      </w:r>
    </w:p>
  </w:footnote>
  <w:footnote w:id="27">
    <w:p w14:paraId="0A6B4493" w14:textId="0D85F6D4" w:rsidR="00A874AD" w:rsidRDefault="00A874AD">
      <w:pPr>
        <w:pStyle w:val="FootnoteText"/>
      </w:pPr>
      <w:r>
        <w:rPr>
          <w:rStyle w:val="FootnoteReference"/>
        </w:rPr>
        <w:footnoteRef/>
      </w:r>
      <w:r w:rsidR="00B47F49">
        <w:t xml:space="preserve"> </w:t>
      </w:r>
      <w:r w:rsidRPr="00A874AD">
        <w:t>‘</w:t>
      </w:r>
      <w:hyperlink r:id="rId26" w:history="1">
        <w:r w:rsidRPr="00B47F49">
          <w:rPr>
            <w:rStyle w:val="Hyperlink"/>
          </w:rPr>
          <w:t>Victorian Energy Market Dashboard</w:t>
        </w:r>
      </w:hyperlink>
      <w:r w:rsidRPr="00A874AD">
        <w:t xml:space="preserve">’, Essential Services Commission, accessed </w:t>
      </w:r>
      <w:r w:rsidR="00B47F49">
        <w:t>1 April</w:t>
      </w:r>
      <w:r w:rsidRPr="00A874AD">
        <w:t xml:space="preserve"> 2025.</w:t>
      </w:r>
    </w:p>
  </w:footnote>
  <w:footnote w:id="28">
    <w:p w14:paraId="0C1E0AE4" w14:textId="77777777" w:rsidR="00243E79" w:rsidRDefault="00243E79" w:rsidP="00243E79">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Section 28 of the </w:t>
      </w:r>
      <w:r>
        <w:rPr>
          <w:i/>
          <w:iCs/>
          <w:sz w:val="18"/>
          <w:szCs w:val="18"/>
        </w:rPr>
        <w:t>Electricity Industry Act 2000</w:t>
      </w:r>
      <w:r>
        <w:rPr>
          <w:sz w:val="18"/>
          <w:szCs w:val="18"/>
        </w:rPr>
        <w:t xml:space="preserve"> and section 36 of the </w:t>
      </w:r>
      <w:r>
        <w:rPr>
          <w:i/>
          <w:iCs/>
          <w:sz w:val="18"/>
          <w:szCs w:val="18"/>
        </w:rPr>
        <w:t>Gas Industry Act 2001</w:t>
      </w:r>
      <w:r>
        <w:rPr>
          <w:sz w:val="18"/>
          <w:szCs w:val="18"/>
        </w:rPr>
        <w:t>.</w:t>
      </w:r>
    </w:p>
  </w:footnote>
  <w:footnote w:id="29">
    <w:p w14:paraId="43DD4AC0" w14:textId="699452C6" w:rsidR="00FF16AE" w:rsidRPr="00CF2CEB" w:rsidRDefault="00FF16AE">
      <w:pPr>
        <w:pStyle w:val="FootnoteText"/>
      </w:pPr>
      <w:r>
        <w:rPr>
          <w:rStyle w:val="FootnoteReference"/>
        </w:rPr>
        <w:footnoteRef/>
      </w:r>
      <w:r>
        <w:t xml:space="preserve"> </w:t>
      </w:r>
      <w:r w:rsidR="00DC2C85">
        <w:t>Section</w:t>
      </w:r>
      <w:r w:rsidR="00CC6C0C">
        <w:t xml:space="preserve"> </w:t>
      </w:r>
      <w:r w:rsidR="00DC2C85">
        <w:t xml:space="preserve">109C of the </w:t>
      </w:r>
      <w:r w:rsidR="00DC2C85">
        <w:rPr>
          <w:i/>
          <w:iCs/>
        </w:rPr>
        <w:t xml:space="preserve">Electricity Industry Act 2000 </w:t>
      </w:r>
      <w:r w:rsidR="00DC2C85">
        <w:t xml:space="preserve">and section </w:t>
      </w:r>
      <w:r w:rsidR="00CF2CEB">
        <w:t xml:space="preserve">225 of the </w:t>
      </w:r>
      <w:r w:rsidR="00CF2CEB">
        <w:rPr>
          <w:i/>
          <w:iCs/>
        </w:rPr>
        <w:t>Gas Industry Act 2001</w:t>
      </w:r>
      <w:r w:rsidR="00CF2CEB">
        <w:t>.</w:t>
      </w:r>
    </w:p>
  </w:footnote>
  <w:footnote w:id="30">
    <w:p w14:paraId="4757D51D" w14:textId="6835528A" w:rsidR="003070B1" w:rsidRPr="00617870" w:rsidRDefault="003070B1" w:rsidP="007947E4">
      <w:pPr>
        <w:pStyle w:val="FootnoteText"/>
        <w:rPr>
          <w:szCs w:val="18"/>
        </w:rPr>
      </w:pPr>
      <w:r w:rsidRPr="00617870">
        <w:rPr>
          <w:rStyle w:val="FootnoteReference"/>
          <w:szCs w:val="18"/>
        </w:rPr>
        <w:footnoteRef/>
      </w:r>
      <w:r w:rsidRPr="00617870">
        <w:rPr>
          <w:szCs w:val="18"/>
        </w:rPr>
        <w:t xml:space="preserve"> ‘</w:t>
      </w:r>
      <w:hyperlink r:id="rId27" w:history="1">
        <w:r w:rsidRPr="00617870">
          <w:rPr>
            <w:rStyle w:val="Hyperlink"/>
            <w:szCs w:val="18"/>
          </w:rPr>
          <w:t>Who we are</w:t>
        </w:r>
      </w:hyperlink>
      <w:r w:rsidRPr="00617870">
        <w:rPr>
          <w:szCs w:val="18"/>
        </w:rPr>
        <w:t xml:space="preserve">’, Energy and Water </w:t>
      </w:r>
      <w:r w:rsidR="00E22C33">
        <w:rPr>
          <w:szCs w:val="18"/>
        </w:rPr>
        <w:t>O</w:t>
      </w:r>
      <w:r w:rsidR="00E22C33" w:rsidRPr="00617870">
        <w:rPr>
          <w:szCs w:val="18"/>
        </w:rPr>
        <w:t>mbudsman</w:t>
      </w:r>
      <w:r w:rsidRPr="00617870">
        <w:rPr>
          <w:szCs w:val="18"/>
        </w:rPr>
        <w:t xml:space="preserve"> Victoria, accessed 20 February 2025.</w:t>
      </w:r>
    </w:p>
  </w:footnote>
  <w:footnote w:id="31">
    <w:p w14:paraId="0F979780" w14:textId="6DD6A933" w:rsidR="003070B1" w:rsidRDefault="003070B1" w:rsidP="007947E4">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Clause 13(1</w:t>
      </w:r>
      <w:r w:rsidRPr="00CC49AF">
        <w:rPr>
          <w:sz w:val="18"/>
          <w:szCs w:val="18"/>
        </w:rPr>
        <w:t xml:space="preserve">)(c) of the </w:t>
      </w:r>
      <w:hyperlink r:id="rId28" w:anchor="toc-current-version-of-the-energy-retail-code-of-practice" w:history="1">
        <w:r w:rsidR="00497ED9" w:rsidRPr="001D2F7C">
          <w:rPr>
            <w:rStyle w:val="Hyperlink"/>
            <w:sz w:val="18"/>
            <w:szCs w:val="18"/>
          </w:rPr>
          <w:t>Energy Retail Code of Practice (version 3)</w:t>
        </w:r>
      </w:hyperlink>
      <w:r w:rsidRPr="00CC49AF">
        <w:rPr>
          <w:sz w:val="18"/>
          <w:szCs w:val="18"/>
        </w:rPr>
        <w:t>.</w:t>
      </w:r>
    </w:p>
  </w:footnote>
  <w:footnote w:id="32">
    <w:p w14:paraId="0A8F6ABB" w14:textId="583BAF73" w:rsidR="000B08FF" w:rsidRDefault="000B08FF" w:rsidP="007C75D1">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w:t>
      </w:r>
      <w:hyperlink r:id="rId29" w:history="1">
        <w:r w:rsidRPr="00111B6A">
          <w:rPr>
            <w:color w:val="0000FF"/>
            <w:sz w:val="18"/>
            <w:szCs w:val="18"/>
            <w:u w:val="single" w:color="0000FF"/>
          </w:rPr>
          <w:t xml:space="preserve">Victorian Energy </w:t>
        </w:r>
        <w:bookmarkStart w:id="51" w:name="_Hlt192164424"/>
        <w:bookmarkStart w:id="52" w:name="_Hlt192164425"/>
        <w:r w:rsidRPr="00111B6A">
          <w:rPr>
            <w:color w:val="0000FF"/>
            <w:sz w:val="18"/>
            <w:szCs w:val="18"/>
            <w:u w:val="single" w:color="0000FF"/>
          </w:rPr>
          <w:t>M</w:t>
        </w:r>
        <w:bookmarkEnd w:id="51"/>
        <w:bookmarkEnd w:id="52"/>
        <w:r w:rsidRPr="00111B6A">
          <w:rPr>
            <w:color w:val="0000FF"/>
            <w:sz w:val="18"/>
            <w:szCs w:val="18"/>
            <w:u w:val="single" w:color="0000FF"/>
          </w:rPr>
          <w:t>arket Dashboard</w:t>
        </w:r>
      </w:hyperlink>
      <w:r>
        <w:t>’</w:t>
      </w:r>
      <w:r>
        <w:rPr>
          <w:sz w:val="18"/>
          <w:szCs w:val="18"/>
        </w:rPr>
        <w:t>, Essential Services Commission, accessed 23 January 2025</w:t>
      </w:r>
      <w:r w:rsidR="00497ED9">
        <w:rPr>
          <w:sz w:val="18"/>
          <w:szCs w:val="18"/>
        </w:rPr>
        <w:t>.</w:t>
      </w:r>
    </w:p>
  </w:footnote>
  <w:footnote w:id="33">
    <w:p w14:paraId="05C4C137" w14:textId="247E3DAE" w:rsidR="009D2845" w:rsidRPr="00617870" w:rsidRDefault="009D2845" w:rsidP="007C75D1">
      <w:pPr>
        <w:pStyle w:val="FootnoteText"/>
      </w:pPr>
      <w:r>
        <w:rPr>
          <w:rStyle w:val="FootnoteReference"/>
        </w:rPr>
        <w:footnoteRef/>
      </w:r>
      <w:r>
        <w:t xml:space="preserve"> </w:t>
      </w:r>
      <w:r w:rsidRPr="00617870">
        <w:rPr>
          <w:szCs w:val="18"/>
        </w:rPr>
        <w:t xml:space="preserve">Essential Services Commission, </w:t>
      </w:r>
      <w:hyperlink r:id="rId30" w:history="1">
        <w:r w:rsidR="004105FC" w:rsidRPr="004105FC">
          <w:rPr>
            <w:rStyle w:val="Hyperlink"/>
            <w:i/>
            <w:iCs/>
            <w:szCs w:val="18"/>
          </w:rPr>
          <w:t>Guideline 1 (2023): Form and content of deemed best offer messages</w:t>
        </w:r>
      </w:hyperlink>
      <w:r w:rsidRPr="00617870">
        <w:rPr>
          <w:szCs w:val="18"/>
        </w:rPr>
        <w:t xml:space="preserve">, 23 November 2023. </w:t>
      </w:r>
    </w:p>
  </w:footnote>
  <w:footnote w:id="34">
    <w:p w14:paraId="18537990" w14:textId="57D34BA7" w:rsidR="00970E67" w:rsidRPr="00617870" w:rsidRDefault="00970E67" w:rsidP="00970E67">
      <w:pPr>
        <w:pStyle w:val="FootnoteText"/>
      </w:pPr>
      <w:r w:rsidRPr="00617870">
        <w:rPr>
          <w:rStyle w:val="FootnoteReference"/>
          <w:color w:val="000000"/>
          <w:szCs w:val="18"/>
        </w:rPr>
        <w:footnoteRef/>
      </w:r>
      <w:r w:rsidRPr="00617870">
        <w:rPr>
          <w:rStyle w:val="FootnoteReference"/>
          <w:color w:val="000000"/>
          <w:szCs w:val="18"/>
        </w:rPr>
        <w:t xml:space="preserve"> </w:t>
      </w:r>
      <w:r w:rsidRPr="00617870">
        <w:rPr>
          <w:szCs w:val="18"/>
        </w:rPr>
        <w:t xml:space="preserve">Clause 108 of the </w:t>
      </w:r>
      <w:hyperlink r:id="rId31" w:anchor="toc-current-version-of-the-energy-retail-code-of-practice" w:history="1">
        <w:r w:rsidRPr="00B674EE">
          <w:rPr>
            <w:rStyle w:val="Hyperlink"/>
            <w:szCs w:val="18"/>
          </w:rPr>
          <w:t>Energy Retail Code of Practice (version 3)</w:t>
        </w:r>
      </w:hyperlink>
      <w:r w:rsidRPr="00617870">
        <w:rPr>
          <w:szCs w:val="18"/>
        </w:rPr>
        <w:t>.</w:t>
      </w:r>
    </w:p>
  </w:footnote>
  <w:footnote w:id="35">
    <w:p w14:paraId="52AF21F9" w14:textId="3BF496A6" w:rsidR="00184BD1" w:rsidRDefault="00184BD1">
      <w:pPr>
        <w:pStyle w:val="FootnoteText"/>
      </w:pPr>
      <w:r>
        <w:rPr>
          <w:rStyle w:val="FootnoteReference"/>
        </w:rPr>
        <w:footnoteRef/>
      </w:r>
      <w:r>
        <w:t xml:space="preserve"> We </w:t>
      </w:r>
      <w:r w:rsidR="00BF694B">
        <w:t xml:space="preserve">explained some of these reasons in our analysis of potential saving </w:t>
      </w:r>
      <w:r w:rsidR="00475093">
        <w:t>for Victorian consumers in</w:t>
      </w:r>
      <w:r w:rsidR="007B52BC">
        <w:t>:</w:t>
      </w:r>
      <w:r w:rsidR="00BF694B">
        <w:t xml:space="preserve"> Essential Services Commission, </w:t>
      </w:r>
      <w:hyperlink r:id="rId32" w:anchor="toc-victorian-energy-market-report-and-updates-in-2022-23" w:history="1">
        <w:r w:rsidR="00BF694B" w:rsidRPr="00622904">
          <w:rPr>
            <w:rStyle w:val="Hyperlink"/>
            <w:i/>
            <w:iCs/>
          </w:rPr>
          <w:t>Victorian Ene</w:t>
        </w:r>
        <w:bookmarkStart w:id="53" w:name="_Hlt197942479"/>
        <w:bookmarkStart w:id="54" w:name="_Hlt197942480"/>
        <w:r w:rsidR="00BF694B" w:rsidRPr="00622904">
          <w:rPr>
            <w:rStyle w:val="Hyperlink"/>
            <w:i/>
            <w:iCs/>
          </w:rPr>
          <w:t>r</w:t>
        </w:r>
        <w:bookmarkEnd w:id="53"/>
        <w:bookmarkEnd w:id="54"/>
        <w:r w:rsidR="00BF694B" w:rsidRPr="00622904">
          <w:rPr>
            <w:rStyle w:val="Hyperlink"/>
            <w:i/>
            <w:iCs/>
          </w:rPr>
          <w:t>gy Market Report</w:t>
        </w:r>
        <w:r w:rsidR="00BF694B">
          <w:rPr>
            <w:rStyle w:val="Hyperlink"/>
            <w:i/>
            <w:iCs/>
          </w:rPr>
          <w:t xml:space="preserve">: </w:t>
        </w:r>
        <w:r w:rsidR="007B52BC">
          <w:rPr>
            <w:rStyle w:val="Hyperlink"/>
            <w:i/>
            <w:iCs/>
          </w:rPr>
          <w:t>September 2023</w:t>
        </w:r>
      </w:hyperlink>
      <w:r w:rsidR="00BF694B">
        <w:t>, 2</w:t>
      </w:r>
      <w:r w:rsidR="00A57215">
        <w:t>6</w:t>
      </w:r>
      <w:r w:rsidR="00BF694B">
        <w:t xml:space="preserve"> </w:t>
      </w:r>
      <w:r w:rsidR="00A57215">
        <w:t>September</w:t>
      </w:r>
      <w:r w:rsidR="00BF694B">
        <w:t xml:space="preserve"> 202</w:t>
      </w:r>
      <w:r w:rsidR="00A57215">
        <w:t>3</w:t>
      </w:r>
      <w:r w:rsidR="00BF694B">
        <w:t xml:space="preserve">, pp. </w:t>
      </w:r>
      <w:r w:rsidR="00ED4E1B">
        <w:t>5</w:t>
      </w:r>
      <w:r w:rsidR="00BF694B">
        <w:t>–</w:t>
      </w:r>
      <w:r w:rsidR="00ED4E1B">
        <w:t>9</w:t>
      </w:r>
      <w:r w:rsidR="00BF694B">
        <w:t>.</w:t>
      </w:r>
    </w:p>
  </w:footnote>
  <w:footnote w:id="36">
    <w:p w14:paraId="4FF9B8E3" w14:textId="4F876E7C" w:rsidR="00867523" w:rsidRDefault="00867523">
      <w:pPr>
        <w:pStyle w:val="FootnoteText"/>
      </w:pPr>
      <w:r>
        <w:rPr>
          <w:rStyle w:val="FootnoteReference"/>
        </w:rPr>
        <w:footnoteRef/>
      </w:r>
      <w:r>
        <w:t xml:space="preserve"> Ibid., p. 8.</w:t>
      </w:r>
      <w:r w:rsidR="001F291F">
        <w:t xml:space="preserve"> </w:t>
      </w:r>
      <w:r w:rsidR="006C3361">
        <w:t xml:space="preserve">Furthermore, </w:t>
      </w:r>
      <w:r w:rsidR="00F33CF0">
        <w:t>t</w:t>
      </w:r>
      <w:r w:rsidR="001F291F">
        <w:t xml:space="preserve">he ACCC has recently </w:t>
      </w:r>
      <w:r w:rsidR="00B336C7">
        <w:t xml:space="preserve">found that across the NEM almost a quarter of customers were prompted to switch to an offer with lower prices which had the same name as the offer they were currently on, see: </w:t>
      </w:r>
      <w:r w:rsidR="00B336C7">
        <w:rPr>
          <w:szCs w:val="18"/>
        </w:rPr>
        <w:t xml:space="preserve">Australian Competition and Consumer Commission, </w:t>
      </w:r>
      <w:hyperlink r:id="rId33" w:history="1">
        <w:r w:rsidR="00B336C7" w:rsidRPr="00656ED8">
          <w:rPr>
            <w:rStyle w:val="Hyperlink"/>
            <w:i/>
            <w:iCs/>
            <w:szCs w:val="18"/>
          </w:rPr>
          <w:t>Inquiry into the National Elect</w:t>
        </w:r>
        <w:bookmarkStart w:id="55" w:name="_Hlt197942484"/>
        <w:bookmarkStart w:id="56" w:name="_Hlt197942485"/>
        <w:r w:rsidR="00B336C7" w:rsidRPr="00656ED8">
          <w:rPr>
            <w:rStyle w:val="Hyperlink"/>
            <w:i/>
            <w:iCs/>
            <w:szCs w:val="18"/>
          </w:rPr>
          <w:t>r</w:t>
        </w:r>
        <w:bookmarkEnd w:id="55"/>
        <w:bookmarkEnd w:id="56"/>
        <w:r w:rsidR="00B336C7" w:rsidRPr="00656ED8">
          <w:rPr>
            <w:rStyle w:val="Hyperlink"/>
            <w:i/>
            <w:iCs/>
            <w:szCs w:val="18"/>
          </w:rPr>
          <w:t>icity Market: December 2024 Report</w:t>
        </w:r>
      </w:hyperlink>
      <w:r w:rsidR="00B336C7">
        <w:rPr>
          <w:szCs w:val="18"/>
        </w:rPr>
        <w:t>, 3 December 2024, p. 4</w:t>
      </w:r>
    </w:p>
  </w:footnote>
  <w:footnote w:id="37">
    <w:p w14:paraId="72E256FE" w14:textId="19A66AF5" w:rsidR="00156119" w:rsidRDefault="00156119">
      <w:pPr>
        <w:pStyle w:val="FootnoteText"/>
      </w:pPr>
      <w:r>
        <w:rPr>
          <w:rStyle w:val="FootnoteReference"/>
        </w:rPr>
        <w:footnoteRef/>
      </w:r>
      <w:r>
        <w:t xml:space="preserve"> </w:t>
      </w:r>
      <w:hyperlink r:id="rId34" w:anchor="toc-victorian-energy-market-report-and-updates-in-2022-23" w:history="1">
        <w:r w:rsidR="00DC6CD8" w:rsidRPr="00DC6CD8">
          <w:rPr>
            <w:rStyle w:val="Hyperlink"/>
            <w:i/>
            <w:iCs/>
          </w:rPr>
          <w:t>Victorian Energy Market Report: September 2023</w:t>
        </w:r>
      </w:hyperlink>
      <w:r w:rsidR="00DC6CD8" w:rsidRPr="00DC6CD8">
        <w:t>, 26 September 2023,</w:t>
      </w:r>
      <w:r>
        <w:t xml:space="preserve"> pp. 8–9.</w:t>
      </w:r>
    </w:p>
  </w:footnote>
  <w:footnote w:id="38">
    <w:p w14:paraId="4F728F21" w14:textId="09C2EE27" w:rsidR="00BA5A9A" w:rsidRPr="0066389C" w:rsidRDefault="00BA5A9A">
      <w:pPr>
        <w:pStyle w:val="FootnoteText"/>
      </w:pPr>
      <w:r>
        <w:rPr>
          <w:rStyle w:val="FootnoteReference"/>
        </w:rPr>
        <w:footnoteRef/>
      </w:r>
      <w:r>
        <w:t xml:space="preserve"> Section 35 of the </w:t>
      </w:r>
      <w:r>
        <w:rPr>
          <w:i/>
          <w:iCs/>
        </w:rPr>
        <w:t>Electricity Industry Act 2000</w:t>
      </w:r>
      <w:r>
        <w:t xml:space="preserve"> and section </w:t>
      </w:r>
      <w:r w:rsidR="0066389C">
        <w:t xml:space="preserve">42 of the </w:t>
      </w:r>
      <w:r w:rsidR="0066389C">
        <w:rPr>
          <w:i/>
          <w:iCs/>
        </w:rPr>
        <w:t>Gas Industry Act 2001</w:t>
      </w:r>
      <w:r w:rsidR="0066389C">
        <w:t>.</w:t>
      </w:r>
    </w:p>
  </w:footnote>
  <w:footnote w:id="39">
    <w:p w14:paraId="66F6C2B1" w14:textId="77777777" w:rsidR="00214D28" w:rsidRPr="00FA7927" w:rsidRDefault="00214D28">
      <w:pPr>
        <w:pStyle w:val="FootnoteText"/>
      </w:pPr>
      <w:r>
        <w:rPr>
          <w:rStyle w:val="FootnoteReference"/>
        </w:rPr>
        <w:footnoteRef/>
      </w:r>
      <w:r>
        <w:t xml:space="preserve"> </w:t>
      </w:r>
      <w:r w:rsidR="00FA7927">
        <w:t xml:space="preserve">Clause 3 </w:t>
      </w:r>
      <w:r w:rsidR="00A70465">
        <w:t xml:space="preserve">(Objective of the Victorian default offer) </w:t>
      </w:r>
      <w:r w:rsidR="00FA7927">
        <w:t xml:space="preserve">of the Order in Council under section 13(1B) of the </w:t>
      </w:r>
      <w:r w:rsidR="00FA7927">
        <w:rPr>
          <w:i/>
          <w:iCs/>
        </w:rPr>
        <w:t>Electricity Industry Act 2000</w:t>
      </w:r>
      <w:r w:rsidR="00C3058A">
        <w:t xml:space="preserve">, </w:t>
      </w:r>
      <w:r w:rsidR="00C3058A" w:rsidRPr="00C3058A">
        <w:t xml:space="preserve">published in the Victorian </w:t>
      </w:r>
      <w:hyperlink r:id="rId35" w:history="1">
        <w:r w:rsidR="00C3058A" w:rsidRPr="00A70465">
          <w:rPr>
            <w:rStyle w:val="Hyperlink"/>
          </w:rPr>
          <w:t>Government Gazette No. S 208</w:t>
        </w:r>
      </w:hyperlink>
      <w:r w:rsidR="00C3058A" w:rsidRPr="00C3058A">
        <w:t xml:space="preserve"> on Thursday 30 May 2019</w:t>
      </w:r>
      <w:r w:rsidR="00A70465">
        <w:t>.</w:t>
      </w:r>
    </w:p>
  </w:footnote>
  <w:footnote w:id="40">
    <w:p w14:paraId="2397E8FA" w14:textId="6A99DB3F" w:rsidR="00A76F5D" w:rsidRDefault="00A76F5D">
      <w:pPr>
        <w:pStyle w:val="FootnoteText"/>
      </w:pPr>
      <w:r>
        <w:rPr>
          <w:rStyle w:val="FootnoteReference"/>
        </w:rPr>
        <w:footnoteRef/>
      </w:r>
      <w:r w:rsidR="008A50BD" w:rsidRPr="00692C37">
        <w:t xml:space="preserve"> The commission is currently in the process of setting the VDO for 2025</w:t>
      </w:r>
      <w:r w:rsidR="008A50BD" w:rsidRPr="00692C37">
        <w:rPr>
          <w:rFonts w:cstheme="minorHAnsi"/>
        </w:rPr>
        <w:t>–</w:t>
      </w:r>
      <w:r w:rsidR="008A50BD" w:rsidRPr="00692C37">
        <w:t>26. ‘</w:t>
      </w:r>
      <w:hyperlink r:id="rId36" w:history="1">
        <w:r w:rsidR="008A50BD" w:rsidRPr="00692C37">
          <w:rPr>
            <w:rStyle w:val="Hyperlink"/>
          </w:rPr>
          <w:t>Victorian Default Offer price review 2025</w:t>
        </w:r>
        <w:r w:rsidR="008A50BD" w:rsidRPr="00692C37">
          <w:rPr>
            <w:rStyle w:val="Hyperlink"/>
            <w:rFonts w:cstheme="minorHAnsi"/>
          </w:rPr>
          <w:t>–</w:t>
        </w:r>
        <w:r w:rsidR="008A50BD" w:rsidRPr="00692C37">
          <w:rPr>
            <w:rStyle w:val="Hyperlink"/>
          </w:rPr>
          <w:t>26</w:t>
        </w:r>
      </w:hyperlink>
      <w:r w:rsidR="00CB3369">
        <w:t xml:space="preserve">’, Essential Services Commission, accessed 1 April 2025. </w:t>
      </w:r>
    </w:p>
  </w:footnote>
  <w:footnote w:id="41">
    <w:p w14:paraId="15D18F25" w14:textId="77777777" w:rsidR="00102033" w:rsidRDefault="00102033" w:rsidP="00102033">
      <w:pPr>
        <w:pStyle w:val="FootnoteText"/>
      </w:pPr>
      <w:r>
        <w:rPr>
          <w:rStyle w:val="FootnoteReference"/>
        </w:rPr>
        <w:footnoteRef/>
      </w:r>
      <w:r>
        <w:rPr>
          <w:szCs w:val="18"/>
        </w:rPr>
        <w:t xml:space="preserve"> </w:t>
      </w:r>
      <w:r w:rsidRPr="00692C37">
        <w:rPr>
          <w:szCs w:val="18"/>
        </w:rPr>
        <w:t xml:space="preserve">Clauses 26(2)(b) and 26(3)(b) of the </w:t>
      </w:r>
      <w:hyperlink r:id="rId37" w:anchor="toc-current-version-of-the-energy-retail-code-of-practice" w:history="1">
        <w:r w:rsidRPr="00FA1B9B">
          <w:rPr>
            <w:rStyle w:val="Hyperlink"/>
            <w:szCs w:val="18"/>
          </w:rPr>
          <w:t>Energy Retail Code of Practice (version 3)</w:t>
        </w:r>
      </w:hyperlink>
      <w:r w:rsidRPr="00622904">
        <w:rPr>
          <w:szCs w:val="18"/>
        </w:rPr>
        <w:t>.</w:t>
      </w:r>
    </w:p>
  </w:footnote>
  <w:footnote w:id="42">
    <w:p w14:paraId="236D4D7E" w14:textId="77777777" w:rsidR="00527890" w:rsidRDefault="00527890" w:rsidP="00527890">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w:t>
      </w:r>
      <w:hyperlink r:id="rId38" w:history="1">
        <w:r w:rsidRPr="004C4BE8">
          <w:rPr>
            <w:rStyle w:val="Hyperlink"/>
            <w:sz w:val="18"/>
            <w:szCs w:val="18"/>
          </w:rPr>
          <w:t>Victorian default offer</w:t>
        </w:r>
      </w:hyperlink>
      <w:r>
        <w:rPr>
          <w:sz w:val="18"/>
          <w:szCs w:val="18"/>
        </w:rPr>
        <w:t>’, Essential Services Commission, accessed 23 January 2025.</w:t>
      </w:r>
    </w:p>
  </w:footnote>
  <w:footnote w:id="43">
    <w:p w14:paraId="3342A674" w14:textId="77777777" w:rsidR="00527890" w:rsidRDefault="00527890" w:rsidP="00527890">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Section 10(2) of the </w:t>
      </w:r>
      <w:hyperlink r:id="rId39" w:history="1">
        <w:r>
          <w:rPr>
            <w:color w:val="0000FF"/>
            <w:sz w:val="18"/>
            <w:szCs w:val="18"/>
            <w:u w:val="single" w:color="0000FF"/>
          </w:rPr>
          <w:t>General Exemption Order 2022</w:t>
        </w:r>
      </w:hyperlink>
      <w:r>
        <w:rPr>
          <w:sz w:val="18"/>
          <w:szCs w:val="18"/>
        </w:rPr>
        <w:t>.</w:t>
      </w:r>
    </w:p>
  </w:footnote>
  <w:footnote w:id="44">
    <w:p w14:paraId="1EF87527" w14:textId="77777777" w:rsidR="00A14C1C" w:rsidRDefault="00A14C1C">
      <w:pPr>
        <w:pStyle w:val="FootnoteText"/>
      </w:pPr>
      <w:r>
        <w:rPr>
          <w:rStyle w:val="FootnoteReference"/>
        </w:rPr>
        <w:footnoteRef/>
      </w:r>
      <w:r>
        <w:t xml:space="preserve"> For more information about embedded networks, see </w:t>
      </w:r>
      <w:hyperlink r:id="rId40" w:history="1">
        <w:r w:rsidRPr="00A14C1C">
          <w:rPr>
            <w:rStyle w:val="Hyperlink"/>
          </w:rPr>
          <w:t>Embedded networks | Essential Services Commission</w:t>
        </w:r>
      </w:hyperlink>
      <w:r>
        <w:t>.</w:t>
      </w:r>
    </w:p>
  </w:footnote>
  <w:footnote w:id="45">
    <w:p w14:paraId="40DC1022" w14:textId="1E6E1EB0" w:rsidR="008213CB" w:rsidRPr="00D52CAD" w:rsidRDefault="008213CB" w:rsidP="008213CB">
      <w:pPr>
        <w:pStyle w:val="FootnoteText"/>
      </w:pPr>
      <w:r w:rsidRPr="00D52CAD">
        <w:rPr>
          <w:rStyle w:val="FootnoteReference"/>
        </w:rPr>
        <w:footnoteRef/>
      </w:r>
      <w:r w:rsidRPr="00D52CAD">
        <w:t xml:space="preserve"> Essential Services Commission assessment of customer billing data, January 2025.</w:t>
      </w:r>
      <w:r w:rsidR="00704739">
        <w:t xml:space="preserve"> </w:t>
      </w:r>
      <w:r w:rsidR="00704739" w:rsidRPr="00704739">
        <w:t>The commission obtains customer billing data from nine of the largest electricity retailers each year using our information gathering powers. This analysis is based on the latest available sample of bills from October to December 2023.</w:t>
      </w:r>
    </w:p>
  </w:footnote>
  <w:footnote w:id="46">
    <w:p w14:paraId="71A90E1F" w14:textId="6B5A9926" w:rsidR="0027308A" w:rsidRPr="00D52CAD" w:rsidRDefault="00532868" w:rsidP="00532868">
      <w:pPr>
        <w:spacing w:after="0" w:line="240" w:lineRule="auto"/>
        <w:rPr>
          <w:sz w:val="18"/>
          <w:szCs w:val="18"/>
        </w:rPr>
      </w:pPr>
      <w:r w:rsidRPr="00D52CAD">
        <w:rPr>
          <w:rStyle w:val="FootnoteReference"/>
          <w:color w:val="000000"/>
          <w:sz w:val="18"/>
          <w:szCs w:val="18"/>
        </w:rPr>
        <w:footnoteRef/>
      </w:r>
      <w:r w:rsidRPr="00D52CAD">
        <w:rPr>
          <w:sz w:val="18"/>
          <w:szCs w:val="18"/>
        </w:rPr>
        <w:t xml:space="preserve"> Australia Competition and Consumer Commission, </w:t>
      </w:r>
      <w:hyperlink r:id="rId41" w:history="1">
        <w:r w:rsidRPr="00D52CAD">
          <w:rPr>
            <w:i/>
            <w:iCs/>
            <w:color w:val="0000FF"/>
            <w:sz w:val="18"/>
            <w:szCs w:val="18"/>
            <w:u w:val="single" w:color="0000FF"/>
          </w:rPr>
          <w:t>Inquiry into the National Electricity Market: December 2024 Report, Appendix C: Data appendix</w:t>
        </w:r>
      </w:hyperlink>
      <w:r w:rsidRPr="00D52CAD">
        <w:rPr>
          <w:sz w:val="18"/>
          <w:szCs w:val="18"/>
        </w:rPr>
        <w:t>, Supplementary Table C1.11. ACCC calculations indicate 22.5% of Victorian customers are paying above the VDO</w:t>
      </w:r>
      <w:r w:rsidR="00157A0B" w:rsidRPr="00D52CAD">
        <w:rPr>
          <w:sz w:val="18"/>
          <w:szCs w:val="18"/>
        </w:rPr>
        <w:t xml:space="preserve"> (assuming 100% achievement of conditional discounts)</w:t>
      </w:r>
      <w:r w:rsidRPr="00D52CAD">
        <w:rPr>
          <w:sz w:val="18"/>
          <w:szCs w:val="18"/>
        </w:rPr>
        <w:t>. The differences in figures</w:t>
      </w:r>
      <w:r w:rsidR="00886EB5" w:rsidRPr="00D52CAD">
        <w:rPr>
          <w:sz w:val="18"/>
          <w:szCs w:val="18"/>
        </w:rPr>
        <w:t xml:space="preserve"> between our analysis and the ACCC’s</w:t>
      </w:r>
      <w:r w:rsidRPr="00D52CAD">
        <w:rPr>
          <w:sz w:val="18"/>
          <w:szCs w:val="18"/>
        </w:rPr>
        <w:t xml:space="preserve"> result from differences in </w:t>
      </w:r>
      <w:r w:rsidR="00246E9A" w:rsidRPr="00D52CAD">
        <w:rPr>
          <w:sz w:val="18"/>
          <w:szCs w:val="18"/>
        </w:rPr>
        <w:t xml:space="preserve">datasets and </w:t>
      </w:r>
      <w:r w:rsidRPr="00D52CAD">
        <w:rPr>
          <w:sz w:val="18"/>
          <w:szCs w:val="18"/>
        </w:rPr>
        <w:t>analysis methodology.</w:t>
      </w:r>
      <w:r w:rsidR="003E44C7" w:rsidRPr="00D52CAD">
        <w:rPr>
          <w:sz w:val="18"/>
          <w:szCs w:val="18"/>
        </w:rPr>
        <w:t xml:space="preserve"> </w:t>
      </w:r>
    </w:p>
    <w:p w14:paraId="1D452BC7" w14:textId="3DF6E0DF" w:rsidR="000E4413" w:rsidRDefault="003E44C7" w:rsidP="00532868">
      <w:pPr>
        <w:spacing w:after="0" w:line="240" w:lineRule="auto"/>
        <w:rPr>
          <w:sz w:val="18"/>
          <w:szCs w:val="18"/>
        </w:rPr>
      </w:pPr>
      <w:r w:rsidRPr="00D52CAD">
        <w:rPr>
          <w:sz w:val="18"/>
          <w:szCs w:val="18"/>
        </w:rPr>
        <w:t xml:space="preserve">The ACCC </w:t>
      </w:r>
      <w:r w:rsidR="00AE3709" w:rsidRPr="00D52CAD">
        <w:rPr>
          <w:sz w:val="18"/>
          <w:szCs w:val="18"/>
        </w:rPr>
        <w:t>uses retailer offer-level</w:t>
      </w:r>
      <w:r w:rsidR="00AE3709">
        <w:rPr>
          <w:sz w:val="18"/>
          <w:szCs w:val="18"/>
        </w:rPr>
        <w:t xml:space="preserve"> data to calculate annual prices</w:t>
      </w:r>
      <w:r w:rsidR="001B35C6">
        <w:rPr>
          <w:sz w:val="18"/>
          <w:szCs w:val="18"/>
        </w:rPr>
        <w:t xml:space="preserve">, while </w:t>
      </w:r>
      <w:r w:rsidR="009E6781">
        <w:rPr>
          <w:sz w:val="18"/>
          <w:szCs w:val="18"/>
        </w:rPr>
        <w:t xml:space="preserve">our analysis uses consumer bill-level data. </w:t>
      </w:r>
      <w:r w:rsidR="00C06E95">
        <w:rPr>
          <w:sz w:val="18"/>
          <w:szCs w:val="18"/>
        </w:rPr>
        <w:t xml:space="preserve">Analysis at the bill level </w:t>
      </w:r>
      <w:r w:rsidR="00C75C77">
        <w:rPr>
          <w:sz w:val="18"/>
          <w:szCs w:val="18"/>
        </w:rPr>
        <w:t xml:space="preserve">allows </w:t>
      </w:r>
      <w:r w:rsidR="009F552B">
        <w:rPr>
          <w:sz w:val="18"/>
          <w:szCs w:val="18"/>
        </w:rPr>
        <w:t xml:space="preserve">for </w:t>
      </w:r>
      <w:r w:rsidR="006433E5">
        <w:rPr>
          <w:sz w:val="18"/>
          <w:szCs w:val="18"/>
        </w:rPr>
        <w:t>calculation of prices using actual consumer usage data rather than reliance on def</w:t>
      </w:r>
      <w:r w:rsidR="00283095">
        <w:rPr>
          <w:sz w:val="18"/>
          <w:szCs w:val="18"/>
        </w:rPr>
        <w:t>ault offer usage assumptions</w:t>
      </w:r>
      <w:r w:rsidR="00E836E5">
        <w:rPr>
          <w:sz w:val="18"/>
          <w:szCs w:val="18"/>
        </w:rPr>
        <w:t xml:space="preserve">. </w:t>
      </w:r>
      <w:r w:rsidR="004E49F5">
        <w:rPr>
          <w:sz w:val="18"/>
          <w:szCs w:val="18"/>
        </w:rPr>
        <w:t xml:space="preserve">The ACCC outlines their </w:t>
      </w:r>
      <w:r w:rsidR="009819FE">
        <w:rPr>
          <w:sz w:val="18"/>
          <w:szCs w:val="18"/>
        </w:rPr>
        <w:t xml:space="preserve">analysis methodology in pages </w:t>
      </w:r>
      <w:r w:rsidR="00632AA2">
        <w:rPr>
          <w:sz w:val="18"/>
          <w:szCs w:val="18"/>
        </w:rPr>
        <w:t>83</w:t>
      </w:r>
      <w:r w:rsidR="00740B65">
        <w:rPr>
          <w:rFonts w:cstheme="minorHAnsi"/>
          <w:sz w:val="18"/>
          <w:szCs w:val="18"/>
        </w:rPr>
        <w:t>–</w:t>
      </w:r>
      <w:r w:rsidR="00632AA2">
        <w:rPr>
          <w:sz w:val="18"/>
          <w:szCs w:val="18"/>
        </w:rPr>
        <w:t>87 of their December 2024 report.</w:t>
      </w:r>
      <w:r w:rsidR="009A76C4">
        <w:rPr>
          <w:sz w:val="18"/>
          <w:szCs w:val="18"/>
        </w:rPr>
        <w:t xml:space="preserve"> By comparison, o</w:t>
      </w:r>
      <w:r w:rsidR="000E4413">
        <w:rPr>
          <w:sz w:val="18"/>
          <w:szCs w:val="18"/>
        </w:rPr>
        <w:t xml:space="preserve">ur analysis </w:t>
      </w:r>
      <w:r w:rsidR="009A76C4">
        <w:rPr>
          <w:sz w:val="18"/>
          <w:szCs w:val="18"/>
        </w:rPr>
        <w:t>involves the following:</w:t>
      </w:r>
    </w:p>
    <w:p w14:paraId="37C7B8BD" w14:textId="71DCDCA8" w:rsidR="000E4413" w:rsidRDefault="00D56F03" w:rsidP="00D409D4">
      <w:pPr>
        <w:pStyle w:val="ListParagraph"/>
        <w:numPr>
          <w:ilvl w:val="0"/>
          <w:numId w:val="9"/>
        </w:numPr>
        <w:spacing w:after="0" w:line="240" w:lineRule="auto"/>
        <w:ind w:left="426"/>
        <w:rPr>
          <w:sz w:val="18"/>
          <w:szCs w:val="18"/>
        </w:rPr>
      </w:pPr>
      <w:r>
        <w:rPr>
          <w:sz w:val="18"/>
          <w:szCs w:val="18"/>
        </w:rPr>
        <w:t>Calculation of each customer’s annual bill (</w:t>
      </w:r>
      <w:r w:rsidR="009C5D0E">
        <w:rPr>
          <w:sz w:val="18"/>
          <w:szCs w:val="18"/>
        </w:rPr>
        <w:t>including summing usage, supply, green energy, demand and other changes and subtracting concessions, rebates and discounts</w:t>
      </w:r>
      <w:r w:rsidR="008F61B7">
        <w:rPr>
          <w:sz w:val="18"/>
          <w:szCs w:val="18"/>
        </w:rPr>
        <w:t>)</w:t>
      </w:r>
      <w:r w:rsidR="009C5D0E">
        <w:rPr>
          <w:sz w:val="18"/>
          <w:szCs w:val="18"/>
        </w:rPr>
        <w:t xml:space="preserve"> </w:t>
      </w:r>
    </w:p>
    <w:p w14:paraId="153A615D" w14:textId="029DD8BE" w:rsidR="009C5D0E" w:rsidRDefault="002C0056" w:rsidP="00D409D4">
      <w:pPr>
        <w:pStyle w:val="ListParagraph"/>
        <w:numPr>
          <w:ilvl w:val="0"/>
          <w:numId w:val="9"/>
        </w:numPr>
        <w:spacing w:after="0" w:line="240" w:lineRule="auto"/>
        <w:ind w:left="426"/>
        <w:rPr>
          <w:sz w:val="18"/>
          <w:szCs w:val="18"/>
        </w:rPr>
      </w:pPr>
      <w:r>
        <w:rPr>
          <w:sz w:val="18"/>
          <w:szCs w:val="18"/>
        </w:rPr>
        <w:t xml:space="preserve">Calculation </w:t>
      </w:r>
      <w:r w:rsidR="00694FD3">
        <w:rPr>
          <w:sz w:val="18"/>
          <w:szCs w:val="18"/>
        </w:rPr>
        <w:t>of</w:t>
      </w:r>
      <w:r w:rsidR="004B53B5">
        <w:rPr>
          <w:sz w:val="18"/>
          <w:szCs w:val="18"/>
        </w:rPr>
        <w:t xml:space="preserve"> what</w:t>
      </w:r>
      <w:r w:rsidR="00694FD3">
        <w:rPr>
          <w:sz w:val="18"/>
          <w:szCs w:val="18"/>
        </w:rPr>
        <w:t xml:space="preserve"> each customer’s annual bill </w:t>
      </w:r>
      <w:r w:rsidR="00C0247B">
        <w:rPr>
          <w:sz w:val="18"/>
          <w:szCs w:val="18"/>
        </w:rPr>
        <w:t xml:space="preserve">would be </w:t>
      </w:r>
      <w:r w:rsidR="00694FD3">
        <w:rPr>
          <w:sz w:val="18"/>
          <w:szCs w:val="18"/>
        </w:rPr>
        <w:t xml:space="preserve">under </w:t>
      </w:r>
      <w:r w:rsidR="008863C4">
        <w:rPr>
          <w:sz w:val="18"/>
          <w:szCs w:val="18"/>
        </w:rPr>
        <w:t xml:space="preserve">VDO rates for the period </w:t>
      </w:r>
    </w:p>
    <w:p w14:paraId="263A53EC" w14:textId="7AAA3CA1" w:rsidR="00532868" w:rsidRPr="00E5141A" w:rsidRDefault="00C0247B" w:rsidP="00D409D4">
      <w:pPr>
        <w:pStyle w:val="ListParagraph"/>
        <w:numPr>
          <w:ilvl w:val="0"/>
          <w:numId w:val="9"/>
        </w:numPr>
        <w:spacing w:after="0" w:line="240" w:lineRule="auto"/>
        <w:ind w:left="426"/>
        <w:rPr>
          <w:sz w:val="18"/>
          <w:szCs w:val="18"/>
        </w:rPr>
      </w:pPr>
      <w:r>
        <w:rPr>
          <w:sz w:val="18"/>
          <w:szCs w:val="18"/>
        </w:rPr>
        <w:t xml:space="preserve">Comparison of the difference between each customer’s actual bill and </w:t>
      </w:r>
      <w:r w:rsidR="00144BB8">
        <w:rPr>
          <w:sz w:val="18"/>
          <w:szCs w:val="18"/>
        </w:rPr>
        <w:t>what their bill would be</w:t>
      </w:r>
      <w:r w:rsidR="00A8435A">
        <w:rPr>
          <w:sz w:val="18"/>
          <w:szCs w:val="18"/>
        </w:rPr>
        <w:t xml:space="preserve"> if paying VDO rates (including a 10</w:t>
      </w:r>
      <w:r w:rsidR="002E4A20">
        <w:rPr>
          <w:sz w:val="18"/>
          <w:szCs w:val="18"/>
        </w:rPr>
        <w:t>%</w:t>
      </w:r>
      <w:r w:rsidR="00A8435A">
        <w:rPr>
          <w:sz w:val="18"/>
          <w:szCs w:val="18"/>
        </w:rPr>
        <w:t xml:space="preserve"> buffer to exclude customers paying </w:t>
      </w:r>
      <w:r w:rsidR="00F06D00">
        <w:rPr>
          <w:sz w:val="18"/>
          <w:szCs w:val="18"/>
        </w:rPr>
        <w:t>insignificant amounts above the VDO)</w:t>
      </w:r>
      <w:r w:rsidR="008B7FC6">
        <w:rPr>
          <w:sz w:val="18"/>
          <w:szCs w:val="18"/>
        </w:rPr>
        <w:t>.</w:t>
      </w:r>
    </w:p>
  </w:footnote>
  <w:footnote w:id="47">
    <w:p w14:paraId="57366425" w14:textId="67959568" w:rsidR="00DC693C" w:rsidRDefault="00DC693C">
      <w:pPr>
        <w:pStyle w:val="FootnoteText"/>
      </w:pPr>
      <w:r>
        <w:rPr>
          <w:rStyle w:val="FootnoteReference"/>
        </w:rPr>
        <w:footnoteRef/>
      </w:r>
      <w:r>
        <w:t xml:space="preserve"> </w:t>
      </w:r>
      <w:r>
        <w:rPr>
          <w:szCs w:val="18"/>
        </w:rPr>
        <w:t xml:space="preserve">St Vincent de Paul, </w:t>
      </w:r>
      <w:hyperlink r:id="rId42" w:history="1">
        <w:r>
          <w:rPr>
            <w:i/>
            <w:iCs/>
            <w:color w:val="0000FF"/>
            <w:szCs w:val="18"/>
            <w:u w:val="single" w:color="0000FF"/>
          </w:rPr>
          <w:t>Victoria Energy Prices J</w:t>
        </w:r>
        <w:r w:rsidR="00F95FF8">
          <w:rPr>
            <w:i/>
            <w:iCs/>
            <w:color w:val="0000FF"/>
            <w:szCs w:val="18"/>
            <w:u w:val="single" w:color="0000FF"/>
          </w:rPr>
          <w:t>anuary</w:t>
        </w:r>
        <w:r>
          <w:rPr>
            <w:i/>
            <w:iCs/>
            <w:color w:val="0000FF"/>
            <w:szCs w:val="18"/>
            <w:u w:val="single" w:color="0000FF"/>
          </w:rPr>
          <w:t xml:space="preserve"> 202</w:t>
        </w:r>
        <w:r w:rsidR="00F95FF8">
          <w:rPr>
            <w:i/>
            <w:iCs/>
            <w:color w:val="0000FF"/>
            <w:szCs w:val="18"/>
            <w:u w:val="single" w:color="0000FF"/>
          </w:rPr>
          <w:t>5</w:t>
        </w:r>
        <w:r>
          <w:rPr>
            <w:i/>
            <w:iCs/>
            <w:color w:val="0000FF"/>
            <w:szCs w:val="18"/>
            <w:u w:val="single" w:color="0000FF"/>
          </w:rPr>
          <w:t>: An update report on the Victorian Tariff-Tracking Project</w:t>
        </w:r>
      </w:hyperlink>
      <w:r>
        <w:rPr>
          <w:szCs w:val="18"/>
        </w:rPr>
        <w:t xml:space="preserve">, </w:t>
      </w:r>
      <w:r w:rsidR="00503279">
        <w:rPr>
          <w:szCs w:val="18"/>
        </w:rPr>
        <w:t>February 2025</w:t>
      </w:r>
      <w:r>
        <w:rPr>
          <w:szCs w:val="18"/>
        </w:rPr>
        <w:t>, p. 12.</w:t>
      </w:r>
    </w:p>
  </w:footnote>
  <w:footnote w:id="48">
    <w:p w14:paraId="232B9C7B" w14:textId="5A5CE2D0" w:rsidR="00A9240E" w:rsidRDefault="00A9240E">
      <w:pPr>
        <w:pStyle w:val="FootnoteText"/>
      </w:pPr>
      <w:r>
        <w:rPr>
          <w:rStyle w:val="FootnoteReference"/>
        </w:rPr>
        <w:footnoteRef/>
      </w:r>
      <w:r>
        <w:t xml:space="preserve"> Ibid., p. 9.</w:t>
      </w:r>
    </w:p>
  </w:footnote>
  <w:footnote w:id="49">
    <w:p w14:paraId="14D13ECE" w14:textId="623DB37B" w:rsidR="00E608DF" w:rsidRDefault="00E608DF" w:rsidP="00E608DF">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St Vincent de Paul, </w:t>
      </w:r>
      <w:hyperlink r:id="rId43" w:history="1">
        <w:r>
          <w:rPr>
            <w:i/>
            <w:iCs/>
            <w:color w:val="0000FF"/>
            <w:sz w:val="18"/>
            <w:szCs w:val="18"/>
            <w:u w:val="single" w:color="0000FF"/>
          </w:rPr>
          <w:t>Victoria Energy Prices July 2024: An update report on the Victorian Tariff-Tracking Project</w:t>
        </w:r>
      </w:hyperlink>
      <w:r>
        <w:rPr>
          <w:sz w:val="18"/>
          <w:szCs w:val="18"/>
        </w:rPr>
        <w:t>, November 2024, p. 12.</w:t>
      </w:r>
    </w:p>
  </w:footnote>
  <w:footnote w:id="50">
    <w:p w14:paraId="5AF78BD7" w14:textId="67774B41" w:rsidR="00D10680" w:rsidRDefault="00D10680">
      <w:pPr>
        <w:pStyle w:val="FootnoteText"/>
      </w:pPr>
      <w:r w:rsidRPr="008961E4">
        <w:rPr>
          <w:rStyle w:val="FootnoteReference"/>
        </w:rPr>
        <w:footnoteRef/>
      </w:r>
      <w:r w:rsidRPr="008961E4">
        <w:t xml:space="preserve"> </w:t>
      </w:r>
      <w:r w:rsidR="00142C86" w:rsidRPr="008961E4">
        <w:t xml:space="preserve">Essential Services Commission, ‘Customers on older plans significantly better off on their retailer’s best offer’, </w:t>
      </w:r>
      <w:r w:rsidR="008E47E4" w:rsidRPr="008961E4">
        <w:t>1</w:t>
      </w:r>
      <w:r w:rsidR="00B26F2B">
        <w:t>6</w:t>
      </w:r>
      <w:r w:rsidR="00142C86" w:rsidRPr="008961E4">
        <w:t xml:space="preserve"> May 2025, p</w:t>
      </w:r>
      <w:r w:rsidR="00BF5C7F" w:rsidRPr="008961E4">
        <w:t>p</w:t>
      </w:r>
      <w:r w:rsidR="00142C86" w:rsidRPr="008961E4">
        <w:t>. 2</w:t>
      </w:r>
      <w:r w:rsidR="00970A88" w:rsidRPr="008961E4">
        <w:t>-3</w:t>
      </w:r>
      <w:r w:rsidR="00142C86" w:rsidRPr="008961E4">
        <w:rPr>
          <w:szCs w:val="18"/>
        </w:rPr>
        <w:t>.</w:t>
      </w:r>
      <w:r w:rsidR="001B3A65">
        <w:t xml:space="preserve"> </w:t>
      </w:r>
    </w:p>
  </w:footnote>
  <w:footnote w:id="51">
    <w:p w14:paraId="7D23E1C9" w14:textId="77777777" w:rsidR="006A58BB" w:rsidRDefault="006A58BB" w:rsidP="006A58BB">
      <w:pPr>
        <w:pStyle w:val="FootnoteText"/>
      </w:pPr>
      <w:r>
        <w:rPr>
          <w:rStyle w:val="FootnoteReference"/>
        </w:rPr>
        <w:footnoteRef/>
      </w:r>
      <w:r>
        <w:t xml:space="preserve"> The commission obtains customer billing data from nine of the largest electricity retailers each year using our information gathering powers. This analysis is based on the latest available sample of bills from October to December 2023.</w:t>
      </w:r>
    </w:p>
  </w:footnote>
  <w:footnote w:id="52">
    <w:p w14:paraId="097166AA" w14:textId="77777777" w:rsidR="00E608DF" w:rsidRDefault="00E608DF" w:rsidP="00E608DF">
      <w:pPr>
        <w:spacing w:line="240" w:lineRule="auto"/>
        <w:rPr>
          <w:color w:val="000000"/>
          <w:sz w:val="18"/>
          <w:szCs w:val="18"/>
          <w:vertAlign w:val="superscript"/>
        </w:rPr>
      </w:pPr>
      <w:r>
        <w:rPr>
          <w:rStyle w:val="FootnoteReference"/>
          <w:color w:val="000000"/>
          <w:sz w:val="18"/>
          <w:szCs w:val="18"/>
        </w:rPr>
        <w:footnoteRef/>
      </w:r>
      <w:r>
        <w:rPr>
          <w:sz w:val="18"/>
          <w:szCs w:val="18"/>
        </w:rPr>
        <w:t xml:space="preserve"> Section 42(3A) of the </w:t>
      </w:r>
      <w:r>
        <w:rPr>
          <w:i/>
          <w:iCs/>
          <w:sz w:val="18"/>
          <w:szCs w:val="18"/>
        </w:rPr>
        <w:t>Gas Industry Act 2001</w:t>
      </w:r>
      <w:r>
        <w:rPr>
          <w:sz w:val="18"/>
          <w:szCs w:val="18"/>
        </w:rPr>
        <w:t>.</w:t>
      </w:r>
    </w:p>
  </w:footnote>
  <w:footnote w:id="53">
    <w:p w14:paraId="023463F2" w14:textId="0B7026EB" w:rsidR="00CE15BA" w:rsidRDefault="00CE15BA">
      <w:pPr>
        <w:pStyle w:val="FootnoteText"/>
      </w:pPr>
      <w:r>
        <w:rPr>
          <w:rStyle w:val="FootnoteReference"/>
        </w:rPr>
        <w:footnoteRef/>
      </w:r>
      <w:r>
        <w:t xml:space="preserve"> </w:t>
      </w:r>
      <w:r>
        <w:rPr>
          <w:szCs w:val="18"/>
        </w:rPr>
        <w:t xml:space="preserve">St Vincent de Paul, </w:t>
      </w:r>
      <w:hyperlink r:id="rId44" w:history="1">
        <w:r>
          <w:rPr>
            <w:i/>
            <w:iCs/>
            <w:color w:val="0000FF"/>
            <w:szCs w:val="18"/>
            <w:u w:val="single" w:color="0000FF"/>
          </w:rPr>
          <w:t>Victoria Energy Prices January 2025: An update report on the Victorian Tariff-Tracking Project</w:t>
        </w:r>
      </w:hyperlink>
      <w:r>
        <w:rPr>
          <w:szCs w:val="18"/>
        </w:rPr>
        <w:t>, February 2025, p. 21.</w:t>
      </w:r>
    </w:p>
  </w:footnote>
  <w:footnote w:id="54">
    <w:p w14:paraId="5E7C4892" w14:textId="58010BC6" w:rsidR="00E608DF" w:rsidRDefault="00E608DF" w:rsidP="00E608DF">
      <w:pPr>
        <w:spacing w:line="240" w:lineRule="auto"/>
        <w:rPr>
          <w:color w:val="000000"/>
          <w:sz w:val="18"/>
          <w:szCs w:val="18"/>
          <w:vertAlign w:val="superscript"/>
        </w:rPr>
      </w:pPr>
      <w:r>
        <w:rPr>
          <w:rStyle w:val="FootnoteReference"/>
          <w:color w:val="000000"/>
          <w:sz w:val="18"/>
          <w:szCs w:val="18"/>
        </w:rPr>
        <w:footnoteRef/>
      </w:r>
      <w:r>
        <w:rPr>
          <w:sz w:val="18"/>
          <w:szCs w:val="18"/>
        </w:rPr>
        <w:t xml:space="preserve"> </w:t>
      </w:r>
      <w:r w:rsidR="00AD1D88">
        <w:rPr>
          <w:sz w:val="18"/>
          <w:szCs w:val="18"/>
        </w:rPr>
        <w:t>Ibid., p. 23</w:t>
      </w:r>
      <w:r w:rsidR="00CE2AA0">
        <w:rPr>
          <w:sz w:val="18"/>
          <w:szCs w:val="18"/>
        </w:rPr>
        <w:t>.</w:t>
      </w:r>
    </w:p>
  </w:footnote>
  <w:footnote w:id="55">
    <w:p w14:paraId="6834FBCC" w14:textId="4AF7BED2" w:rsidR="009D2845" w:rsidRDefault="009D2845" w:rsidP="007C75D1">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Australian Competition</w:t>
      </w:r>
      <w:bookmarkStart w:id="57" w:name="_Hlt190768370"/>
      <w:bookmarkStart w:id="58" w:name="_Hlt190768371"/>
      <w:bookmarkEnd w:id="57"/>
      <w:bookmarkEnd w:id="58"/>
      <w:r>
        <w:rPr>
          <w:sz w:val="18"/>
          <w:szCs w:val="18"/>
        </w:rPr>
        <w:t xml:space="preserve"> and Consumer Commission, </w:t>
      </w:r>
      <w:hyperlink r:id="rId45" w:history="1">
        <w:r w:rsidRPr="00656ED8">
          <w:rPr>
            <w:rStyle w:val="Hyperlink"/>
            <w:i/>
            <w:iCs/>
            <w:sz w:val="18"/>
            <w:szCs w:val="18"/>
          </w:rPr>
          <w:t>Inquiry into the National Electricity Market: December 2024 Report</w:t>
        </w:r>
      </w:hyperlink>
      <w:r>
        <w:rPr>
          <w:sz w:val="18"/>
          <w:szCs w:val="18"/>
        </w:rPr>
        <w:t>, 3 December 2024, pp. 3</w:t>
      </w:r>
      <w:r w:rsidR="00E57820">
        <w:rPr>
          <w:rFonts w:cstheme="minorHAnsi"/>
          <w:sz w:val="18"/>
          <w:szCs w:val="18"/>
        </w:rPr>
        <w:t>–</w:t>
      </w:r>
      <w:r>
        <w:rPr>
          <w:sz w:val="18"/>
          <w:szCs w:val="18"/>
        </w:rPr>
        <w:t>4.</w:t>
      </w:r>
    </w:p>
  </w:footnote>
  <w:footnote w:id="56">
    <w:p w14:paraId="53ACB061" w14:textId="585223B3" w:rsidR="009D2845" w:rsidRPr="00617870" w:rsidRDefault="009D2845" w:rsidP="007C75D1">
      <w:pPr>
        <w:pStyle w:val="FootnoteText"/>
      </w:pPr>
      <w:r w:rsidRPr="00617870">
        <w:rPr>
          <w:rStyle w:val="FootnoteReference"/>
          <w:szCs w:val="18"/>
        </w:rPr>
        <w:footnoteRef/>
      </w:r>
      <w:r w:rsidRPr="00617870">
        <w:rPr>
          <w:szCs w:val="18"/>
        </w:rPr>
        <w:t xml:space="preserve"> Ibid</w:t>
      </w:r>
      <w:r w:rsidR="009D220A">
        <w:rPr>
          <w:szCs w:val="18"/>
        </w:rPr>
        <w:t xml:space="preserve">, </w:t>
      </w:r>
      <w:r w:rsidR="00B97CE0">
        <w:rPr>
          <w:szCs w:val="18"/>
        </w:rPr>
        <w:t>p</w:t>
      </w:r>
      <w:r w:rsidR="009D220A">
        <w:rPr>
          <w:szCs w:val="18"/>
        </w:rPr>
        <w:t>p. 48</w:t>
      </w:r>
      <w:r w:rsidR="00EE5BB0">
        <w:rPr>
          <w:szCs w:val="18"/>
        </w:rPr>
        <w:t>–</w:t>
      </w:r>
      <w:r w:rsidR="00F761CF">
        <w:rPr>
          <w:szCs w:val="18"/>
        </w:rPr>
        <w:t>49</w:t>
      </w:r>
      <w:r w:rsidRPr="00617870">
        <w:rPr>
          <w:szCs w:val="18"/>
        </w:rPr>
        <w:t>.</w:t>
      </w:r>
    </w:p>
  </w:footnote>
  <w:footnote w:id="57">
    <w:p w14:paraId="22F748F7" w14:textId="732FFC50" w:rsidR="009D2845" w:rsidRDefault="009D2845" w:rsidP="007C75D1">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Ibid</w:t>
      </w:r>
      <w:r w:rsidR="00026D0D">
        <w:rPr>
          <w:sz w:val="18"/>
          <w:szCs w:val="18"/>
        </w:rPr>
        <w:t xml:space="preserve">, </w:t>
      </w:r>
      <w:r w:rsidR="00B97CE0">
        <w:rPr>
          <w:sz w:val="18"/>
          <w:szCs w:val="18"/>
        </w:rPr>
        <w:t>p</w:t>
      </w:r>
      <w:r w:rsidR="00026D0D">
        <w:rPr>
          <w:sz w:val="18"/>
          <w:szCs w:val="18"/>
        </w:rPr>
        <w:t>p. 2</w:t>
      </w:r>
      <w:r w:rsidR="00B97CE0">
        <w:rPr>
          <w:sz w:val="18"/>
          <w:szCs w:val="18"/>
        </w:rPr>
        <w:t>–3</w:t>
      </w:r>
      <w:r>
        <w:rPr>
          <w:sz w:val="18"/>
          <w:szCs w:val="18"/>
        </w:rPr>
        <w:t>.</w:t>
      </w:r>
    </w:p>
  </w:footnote>
  <w:footnote w:id="58">
    <w:p w14:paraId="5217E63F" w14:textId="43BD9644" w:rsidR="00B308A0" w:rsidRDefault="00B308A0">
      <w:pPr>
        <w:pStyle w:val="FootnoteText"/>
      </w:pPr>
      <w:r>
        <w:rPr>
          <w:rStyle w:val="FootnoteReference"/>
        </w:rPr>
        <w:footnoteRef/>
      </w:r>
      <w:r>
        <w:t xml:space="preserve"> </w:t>
      </w:r>
      <w:r w:rsidR="005B3302">
        <w:t>The commission obtains customer billing data from nine of the largest electricity retailers each year using our information gathering powers. This analysis is based on the latest available sample of bills from October to December 2023.</w:t>
      </w:r>
    </w:p>
  </w:footnote>
  <w:footnote w:id="59">
    <w:p w14:paraId="024EBEAD" w14:textId="126C7ECE" w:rsidR="00B40F2E" w:rsidRDefault="00B40F2E">
      <w:pPr>
        <w:pStyle w:val="FootnoteText"/>
      </w:pPr>
      <w:r w:rsidRPr="008961E4">
        <w:rPr>
          <w:rStyle w:val="FootnoteReference"/>
        </w:rPr>
        <w:footnoteRef/>
      </w:r>
      <w:r w:rsidRPr="008961E4">
        <w:t xml:space="preserve"> </w:t>
      </w:r>
      <w:r w:rsidR="00BF5C7F" w:rsidRPr="008961E4">
        <w:t xml:space="preserve">Essential Services Commission, ‘Customers on older plans significantly better off on their retailer’s best offer’, </w:t>
      </w:r>
      <w:r w:rsidR="008E47E4" w:rsidRPr="008961E4">
        <w:t>1</w:t>
      </w:r>
      <w:r w:rsidR="00B26F2B">
        <w:t>6</w:t>
      </w:r>
      <w:r w:rsidR="00BF5C7F" w:rsidRPr="008961E4">
        <w:t xml:space="preserve"> May 2025, p. </w:t>
      </w:r>
      <w:r w:rsidR="00D7216B" w:rsidRPr="008961E4">
        <w:t>4</w:t>
      </w:r>
      <w:r w:rsidR="00BF5C7F" w:rsidRPr="008961E4">
        <w:rPr>
          <w:szCs w:val="18"/>
        </w:rPr>
        <w:t>.</w:t>
      </w:r>
      <w:r w:rsidR="00E10CED" w:rsidRPr="00E10CED">
        <w:t xml:space="preserve"> </w:t>
      </w:r>
    </w:p>
  </w:footnote>
  <w:footnote w:id="60">
    <w:p w14:paraId="3B0EB215" w14:textId="5C178D91" w:rsidR="007C75D1" w:rsidRDefault="007C75D1" w:rsidP="007C75D1">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w:t>
      </w:r>
      <w:r w:rsidR="00177B89">
        <w:rPr>
          <w:sz w:val="18"/>
          <w:szCs w:val="18"/>
        </w:rPr>
        <w:t>‘</w:t>
      </w:r>
      <w:hyperlink r:id="rId46" w:history="1">
        <w:r>
          <w:rPr>
            <w:color w:val="0000FF"/>
            <w:sz w:val="18"/>
            <w:szCs w:val="18"/>
            <w:u w:val="single" w:color="0000FF"/>
          </w:rPr>
          <w:t>Ensuring contracts are clear and</w:t>
        </w:r>
        <w:bookmarkStart w:id="59" w:name="_Hlt190943084"/>
        <w:bookmarkStart w:id="60" w:name="_Hlt190943085"/>
        <w:bookmarkEnd w:id="59"/>
        <w:bookmarkEnd w:id="60"/>
        <w:r>
          <w:rPr>
            <w:color w:val="0000FF"/>
            <w:sz w:val="18"/>
            <w:szCs w:val="18"/>
            <w:u w:val="single" w:color="0000FF"/>
          </w:rPr>
          <w:t xml:space="preserve"> fair 2019</w:t>
        </w:r>
      </w:hyperlink>
      <w:r w:rsidR="00177B89">
        <w:t>’</w:t>
      </w:r>
      <w:r>
        <w:rPr>
          <w:sz w:val="18"/>
          <w:szCs w:val="18"/>
        </w:rPr>
        <w:t xml:space="preserve">, </w:t>
      </w:r>
      <w:r w:rsidR="00177B89">
        <w:rPr>
          <w:sz w:val="18"/>
          <w:szCs w:val="18"/>
        </w:rPr>
        <w:t>Essential Services Commission,</w:t>
      </w:r>
      <w:r>
        <w:t xml:space="preserve"> </w:t>
      </w:r>
      <w:r>
        <w:rPr>
          <w:sz w:val="18"/>
          <w:szCs w:val="18"/>
        </w:rPr>
        <w:t>accessed 23 January 2025.</w:t>
      </w:r>
    </w:p>
  </w:footnote>
  <w:footnote w:id="61">
    <w:p w14:paraId="72354976" w14:textId="5A3117BE" w:rsidR="001675EB" w:rsidRDefault="001675EB">
      <w:pPr>
        <w:pStyle w:val="FootnoteText"/>
      </w:pPr>
      <w:r>
        <w:rPr>
          <w:rStyle w:val="FootnoteReference"/>
        </w:rPr>
        <w:footnoteRef/>
      </w:r>
      <w:r>
        <w:t xml:space="preserve"> </w:t>
      </w:r>
      <w:r w:rsidR="00717B00">
        <w:t xml:space="preserve">Energy Consumers Australia, </w:t>
      </w:r>
      <w:hyperlink r:id="rId47" w:history="1">
        <w:r w:rsidR="00543614" w:rsidRPr="00FC2E32">
          <w:rPr>
            <w:rStyle w:val="Hyperlink"/>
            <w:i/>
          </w:rPr>
          <w:t xml:space="preserve">Energy </w:t>
        </w:r>
        <w:r w:rsidR="00525B95" w:rsidRPr="00FC2E32">
          <w:rPr>
            <w:rStyle w:val="Hyperlink"/>
            <w:i/>
          </w:rPr>
          <w:t>Consumer Se</w:t>
        </w:r>
        <w:bookmarkStart w:id="61" w:name="_Hlt192163674"/>
        <w:bookmarkStart w:id="62" w:name="_Hlt192163675"/>
        <w:r w:rsidR="00525B95" w:rsidRPr="00FC2E32">
          <w:rPr>
            <w:rStyle w:val="Hyperlink"/>
            <w:i/>
          </w:rPr>
          <w:t>n</w:t>
        </w:r>
        <w:bookmarkEnd w:id="61"/>
        <w:bookmarkEnd w:id="62"/>
        <w:r w:rsidR="00525B95" w:rsidRPr="00FC2E32">
          <w:rPr>
            <w:rStyle w:val="Hyperlink"/>
            <w:i/>
          </w:rPr>
          <w:t xml:space="preserve">timent </w:t>
        </w:r>
        <w:r w:rsidR="0085100A" w:rsidRPr="00FC2E32">
          <w:rPr>
            <w:rStyle w:val="Hyperlink"/>
            <w:i/>
          </w:rPr>
          <w:t>Survey</w:t>
        </w:r>
      </w:hyperlink>
      <w:r w:rsidR="0085100A">
        <w:t xml:space="preserve">, </w:t>
      </w:r>
      <w:r w:rsidR="00451CBA">
        <w:t>1</w:t>
      </w:r>
      <w:r w:rsidR="00004689">
        <w:t>4</w:t>
      </w:r>
      <w:r w:rsidR="00451CBA">
        <w:t xml:space="preserve"> </w:t>
      </w:r>
      <w:r w:rsidR="002F7126">
        <w:t>June 2024;</w:t>
      </w:r>
      <w:r w:rsidR="001F3CA6">
        <w:t xml:space="preserve"> </w:t>
      </w:r>
      <w:r w:rsidR="004720E0">
        <w:t xml:space="preserve">Essential Services Commission, </w:t>
      </w:r>
      <w:hyperlink r:id="rId48" w:anchor="toc-victorian-energy-market-report-and-updates-in-2022-23" w:history="1">
        <w:r w:rsidR="00842374" w:rsidRPr="002048C7">
          <w:rPr>
            <w:rStyle w:val="Hyperlink"/>
            <w:i/>
            <w:iCs/>
          </w:rPr>
          <w:t>Victoria Energy Market Report: Se</w:t>
        </w:r>
        <w:r w:rsidR="009125F1" w:rsidRPr="002048C7">
          <w:rPr>
            <w:rStyle w:val="Hyperlink"/>
            <w:i/>
            <w:iCs/>
          </w:rPr>
          <w:t>ptember 2023</w:t>
        </w:r>
      </w:hyperlink>
      <w:r w:rsidR="00EA1BA2">
        <w:t xml:space="preserve">, </w:t>
      </w:r>
      <w:r w:rsidR="00377673">
        <w:t>26 September 2023</w:t>
      </w:r>
      <w:r w:rsidR="00D34896">
        <w:t>, p</w:t>
      </w:r>
      <w:r w:rsidR="004A27C2">
        <w:t>p</w:t>
      </w:r>
      <w:r w:rsidR="00D34896">
        <w:t>. 8</w:t>
      </w:r>
      <w:r w:rsidR="00B936CE">
        <w:rPr>
          <w:rFonts w:cstheme="minorHAnsi"/>
        </w:rPr>
        <w:t>–</w:t>
      </w:r>
      <w:r w:rsidR="00D34896">
        <w:t>9</w:t>
      </w:r>
      <w:r w:rsidR="00EA1BA2">
        <w:t xml:space="preserve">; </w:t>
      </w:r>
      <w:r w:rsidR="00225914">
        <w:t xml:space="preserve">Honeycomb, </w:t>
      </w:r>
      <w:hyperlink r:id="rId49" w:history="1">
        <w:r w:rsidR="00D8531B" w:rsidRPr="00FC2E32">
          <w:rPr>
            <w:rStyle w:val="Hyperlink"/>
            <w:i/>
          </w:rPr>
          <w:t>Essential Services Commission Victoria</w:t>
        </w:r>
        <w:r w:rsidR="00B030CC">
          <w:rPr>
            <w:rStyle w:val="Hyperlink"/>
            <w:i/>
            <w:iCs/>
          </w:rPr>
          <w:t>:</w:t>
        </w:r>
        <w:r w:rsidR="00D8531B" w:rsidRPr="00FC2E32">
          <w:rPr>
            <w:rStyle w:val="Hyperlink"/>
            <w:i/>
          </w:rPr>
          <w:t xml:space="preserve"> Energy Market Insights</w:t>
        </w:r>
      </w:hyperlink>
      <w:r w:rsidR="0077697C">
        <w:t xml:space="preserve">, </w:t>
      </w:r>
      <w:r w:rsidR="00B75232">
        <w:t>July</w:t>
      </w:r>
      <w:r w:rsidR="0077697C">
        <w:t xml:space="preserve"> </w:t>
      </w:r>
      <w:r w:rsidR="004B4CF0">
        <w:t>2021</w:t>
      </w:r>
      <w:r w:rsidR="00393032">
        <w:t>.</w:t>
      </w:r>
    </w:p>
  </w:footnote>
  <w:footnote w:id="62">
    <w:p w14:paraId="3740A4EE" w14:textId="2868BE93" w:rsidR="00A25336" w:rsidRDefault="00A25336">
      <w:pPr>
        <w:pStyle w:val="FootnoteText"/>
      </w:pPr>
      <w:r>
        <w:rPr>
          <w:rStyle w:val="FootnoteReference"/>
        </w:rPr>
        <w:footnoteRef/>
      </w:r>
      <w:r>
        <w:t xml:space="preserve"> Energy Consumers Australia, </w:t>
      </w:r>
      <w:hyperlink r:id="rId50" w:history="1">
        <w:r w:rsidRPr="00FC2E32">
          <w:rPr>
            <w:rStyle w:val="Hyperlink"/>
            <w:i/>
          </w:rPr>
          <w:t>Energy Consumer Sentiment Survey</w:t>
        </w:r>
      </w:hyperlink>
      <w:r>
        <w:t xml:space="preserve">, </w:t>
      </w:r>
      <w:r w:rsidR="0004434C">
        <w:t xml:space="preserve">14 </w:t>
      </w:r>
      <w:r w:rsidR="002F7126">
        <w:t>June 2024</w:t>
      </w:r>
      <w:r w:rsidR="007D621E">
        <w:t>, p. 10</w:t>
      </w:r>
      <w:r>
        <w:t>.</w:t>
      </w:r>
    </w:p>
  </w:footnote>
  <w:footnote w:id="63">
    <w:p w14:paraId="55DF35D0" w14:textId="709A7602" w:rsidR="006619CA" w:rsidRDefault="006619CA">
      <w:pPr>
        <w:pStyle w:val="FootnoteText"/>
      </w:pPr>
      <w:r>
        <w:rPr>
          <w:rStyle w:val="FootnoteReference"/>
        </w:rPr>
        <w:footnoteRef/>
      </w:r>
      <w:r>
        <w:t xml:space="preserve"> </w:t>
      </w:r>
      <w:r w:rsidRPr="006619CA">
        <w:t xml:space="preserve">Whereto Research, Consumer focus group stand-up and delivery to support the Energy Retail Code of Practice Review, March 2025, p. </w:t>
      </w:r>
      <w:r w:rsidR="002710B1">
        <w:t>1</w:t>
      </w:r>
      <w:r w:rsidR="00AA18EC">
        <w:t>9</w:t>
      </w:r>
      <w:r w:rsidR="008C02D9">
        <w:t xml:space="preserve">, </w:t>
      </w:r>
      <w:r w:rsidR="00AA18EC">
        <w:t>20</w:t>
      </w:r>
      <w:r w:rsidRPr="006619CA">
        <w:t>.</w:t>
      </w:r>
    </w:p>
  </w:footnote>
  <w:footnote w:id="64">
    <w:p w14:paraId="2F8D9681" w14:textId="42D3EE4C" w:rsidR="00F73473" w:rsidRDefault="00F73473" w:rsidP="00F73473">
      <w:pPr>
        <w:pStyle w:val="FootnoteText"/>
      </w:pPr>
      <w:r>
        <w:rPr>
          <w:rStyle w:val="FootnoteReference"/>
        </w:rPr>
        <w:footnoteRef/>
      </w:r>
      <w:r>
        <w:t xml:space="preserve"> Essential Services Commission, </w:t>
      </w:r>
      <w:hyperlink r:id="rId51" w:anchor="toc-consultation-workshops-" w:history="1">
        <w:r w:rsidRPr="00DC4DA3">
          <w:rPr>
            <w:rStyle w:val="Hyperlink"/>
            <w:i/>
          </w:rPr>
          <w:t>Workshop 2 (In-</w:t>
        </w:r>
        <w:bookmarkStart w:id="63" w:name="_Hlt192165009"/>
        <w:bookmarkStart w:id="64" w:name="_Hlt192165010"/>
        <w:r w:rsidRPr="00DC4DA3">
          <w:rPr>
            <w:rStyle w:val="Hyperlink"/>
            <w:i/>
          </w:rPr>
          <w:t>p</w:t>
        </w:r>
        <w:bookmarkEnd w:id="63"/>
        <w:bookmarkEnd w:id="64"/>
        <w:r w:rsidRPr="00DC4DA3">
          <w:rPr>
            <w:rStyle w:val="Hyperlink"/>
            <w:i/>
          </w:rPr>
          <w:t>erson) Consultation Summary</w:t>
        </w:r>
      </w:hyperlink>
      <w:r>
        <w:t xml:space="preserve">, </w:t>
      </w:r>
      <w:r w:rsidR="004A27C2">
        <w:t xml:space="preserve">January </w:t>
      </w:r>
      <w:r>
        <w:t>2025</w:t>
      </w:r>
      <w:r w:rsidR="004A27C2">
        <w:t>, pp. 2</w:t>
      </w:r>
      <w:r w:rsidR="005E0A4F">
        <w:rPr>
          <w:rFonts w:cstheme="minorHAnsi"/>
        </w:rPr>
        <w:t>–</w:t>
      </w:r>
      <w:r w:rsidR="004A27C2">
        <w:t>3</w:t>
      </w:r>
      <w:r>
        <w:t>.</w:t>
      </w:r>
    </w:p>
  </w:footnote>
  <w:footnote w:id="65">
    <w:p w14:paraId="65D3A20F" w14:textId="14276383" w:rsidR="00F73473" w:rsidRDefault="00F73473" w:rsidP="00F73473">
      <w:pPr>
        <w:pStyle w:val="FootnoteText"/>
      </w:pPr>
      <w:r>
        <w:rPr>
          <w:rStyle w:val="FootnoteReference"/>
        </w:rPr>
        <w:footnoteRef/>
      </w:r>
      <w:r>
        <w:t xml:space="preserve"> </w:t>
      </w:r>
      <w:bookmarkStart w:id="65" w:name="_Hlk195630578"/>
      <w:r>
        <w:t xml:space="preserve">Energy and Water Ombudsman Victoria, </w:t>
      </w:r>
      <w:hyperlink r:id="rId52" w:anchor="tabs-container3" w:history="1">
        <w:r w:rsidR="00F955E3">
          <w:rPr>
            <w:rStyle w:val="Hyperlink"/>
            <w:i/>
          </w:rPr>
          <w:t>submission to the Essential Services Commission ‘Energy Retail Code of Practice Review: Issues Paper'</w:t>
        </w:r>
      </w:hyperlink>
      <w:r>
        <w:t xml:space="preserve">, </w:t>
      </w:r>
      <w:r w:rsidR="00107117">
        <w:t xml:space="preserve">31 </w:t>
      </w:r>
      <w:r w:rsidR="008E59DD">
        <w:t>J</w:t>
      </w:r>
      <w:r w:rsidR="00107117">
        <w:t>uly</w:t>
      </w:r>
      <w:r w:rsidR="00F56C33">
        <w:t xml:space="preserve"> </w:t>
      </w:r>
      <w:r>
        <w:t>2024</w:t>
      </w:r>
      <w:r w:rsidR="00F56C33">
        <w:t xml:space="preserve">, </w:t>
      </w:r>
      <w:bookmarkEnd w:id="65"/>
      <w:r w:rsidR="00F56C33">
        <w:t xml:space="preserve">pp. </w:t>
      </w:r>
      <w:r w:rsidR="008E59DD">
        <w:t>35</w:t>
      </w:r>
      <w:r w:rsidR="005E0A4F">
        <w:rPr>
          <w:rFonts w:cstheme="minorHAnsi"/>
        </w:rPr>
        <w:t>–</w:t>
      </w:r>
      <w:r w:rsidR="008E59DD">
        <w:t>36</w:t>
      </w:r>
      <w:r w:rsidR="00483743">
        <w:t>;</w:t>
      </w:r>
      <w:r>
        <w:t xml:space="preserve"> Energy and Water Ombudsman Victoria, </w:t>
      </w:r>
      <w:hyperlink r:id="rId53" w:anchor="toc-submissions-on-the-energy-consumer-reforms-discussion-paper|tabs-container2" w:history="1">
        <w:r w:rsidR="00F955E3">
          <w:rPr>
            <w:rStyle w:val="Hyperlink"/>
            <w:i/>
            <w:iCs/>
          </w:rPr>
          <w:t>submission to the Essential Services Commission ‘Energy Consumer Reforms: Discussion Paper’</w:t>
        </w:r>
      </w:hyperlink>
      <w:r>
        <w:t xml:space="preserve">, </w:t>
      </w:r>
      <w:r w:rsidR="00F56C33">
        <w:t xml:space="preserve">26 November </w:t>
      </w:r>
      <w:r>
        <w:t>2024</w:t>
      </w:r>
      <w:r w:rsidR="00F56C33">
        <w:t>, pp. 21</w:t>
      </w:r>
      <w:r w:rsidR="005E0A4F">
        <w:rPr>
          <w:rFonts w:cstheme="minorHAnsi"/>
        </w:rPr>
        <w:t>–</w:t>
      </w:r>
      <w:r w:rsidR="00F56C33">
        <w:t>22</w:t>
      </w:r>
      <w:r w:rsidR="00483743">
        <w:t>.</w:t>
      </w:r>
    </w:p>
  </w:footnote>
  <w:footnote w:id="66">
    <w:p w14:paraId="02FD196E" w14:textId="2371FBD8" w:rsidR="00F73473" w:rsidRDefault="00F73473" w:rsidP="00F73473">
      <w:pPr>
        <w:pStyle w:val="FootnoteText"/>
      </w:pPr>
      <w:r>
        <w:rPr>
          <w:rStyle w:val="FootnoteReference"/>
        </w:rPr>
        <w:footnoteRef/>
      </w:r>
      <w:r>
        <w:t xml:space="preserve"> Australian Communications Consumer Action Network, </w:t>
      </w:r>
      <w:hyperlink r:id="rId54" w:history="1">
        <w:r w:rsidRPr="00B80629">
          <w:rPr>
            <w:rStyle w:val="Hyperlink"/>
            <w:i/>
            <w:iCs/>
          </w:rPr>
          <w:t>ACCAN Research</w:t>
        </w:r>
        <w:bookmarkStart w:id="66" w:name="_Hlt193382960"/>
        <w:bookmarkStart w:id="67" w:name="_Hlt193382961"/>
        <w:r w:rsidRPr="00B80629">
          <w:rPr>
            <w:rStyle w:val="Hyperlink"/>
            <w:i/>
            <w:iCs/>
          </w:rPr>
          <w:t xml:space="preserve"> </w:t>
        </w:r>
        <w:bookmarkEnd w:id="66"/>
        <w:bookmarkEnd w:id="67"/>
        <w:r w:rsidRPr="00B80629">
          <w:rPr>
            <w:rStyle w:val="Hyperlink"/>
            <w:i/>
            <w:iCs/>
          </w:rPr>
          <w:t>Snapshot: Direct Debit in Telecommunications</w:t>
        </w:r>
        <w:r w:rsidRPr="00DD22D0">
          <w:rPr>
            <w:rStyle w:val="Hyperlink"/>
          </w:rPr>
          <w:t>,</w:t>
        </w:r>
      </w:hyperlink>
      <w:r>
        <w:t xml:space="preserve"> </w:t>
      </w:r>
      <w:r w:rsidR="00B93542">
        <w:t xml:space="preserve">April </w:t>
      </w:r>
      <w:r>
        <w:t>2023.</w:t>
      </w:r>
    </w:p>
  </w:footnote>
  <w:footnote w:id="67">
    <w:p w14:paraId="0A83552C" w14:textId="77777777" w:rsidR="008E344A" w:rsidRDefault="008E344A" w:rsidP="008E344A">
      <w:pPr>
        <w:pStyle w:val="FootnoteText"/>
      </w:pPr>
      <w:r>
        <w:rPr>
          <w:rStyle w:val="FootnoteReference"/>
        </w:rPr>
        <w:footnoteRef/>
      </w:r>
      <w:r>
        <w:t xml:space="preserve"> Essential Services Commission, </w:t>
      </w:r>
      <w:hyperlink r:id="rId55" w:anchor="toc-consultation-workshops-" w:history="1">
        <w:r w:rsidRPr="00DC4DA3">
          <w:rPr>
            <w:rStyle w:val="Hyperlink"/>
            <w:i/>
          </w:rPr>
          <w:t>Workshop 2 (In-person) Consultation Summary</w:t>
        </w:r>
      </w:hyperlink>
      <w:r>
        <w:t>, January 2025, pp. 2</w:t>
      </w:r>
      <w:r>
        <w:rPr>
          <w:rFonts w:cstheme="minorHAnsi"/>
        </w:rPr>
        <w:t>–</w:t>
      </w:r>
      <w:r>
        <w:t>3.</w:t>
      </w:r>
    </w:p>
  </w:footnote>
  <w:footnote w:id="68">
    <w:p w14:paraId="2E768CAB" w14:textId="46215F8C" w:rsidR="00F658F3" w:rsidRDefault="00F658F3">
      <w:pPr>
        <w:pStyle w:val="FootnoteText"/>
      </w:pPr>
      <w:r>
        <w:rPr>
          <w:rStyle w:val="FootnoteReference"/>
        </w:rPr>
        <w:footnoteRef/>
      </w:r>
      <w:r>
        <w:t xml:space="preserve"> Small customer is defined in the ERCoP as a domestic or small business customer under section 3 of the Electricity Industry Act or section 3 of the Gas Industry Act; and a person to whom electricity is supplied by an exempt distributor</w:t>
      </w:r>
      <w:r w:rsidR="00B977F2">
        <w:t xml:space="preserve"> principally for personal, household or domestic use or whose </w:t>
      </w:r>
      <w:r w:rsidR="00566F7A">
        <w:t>aggregate</w:t>
      </w:r>
      <w:r w:rsidR="00B977F2">
        <w:t xml:space="preserve"> consumption of electricity has not been or is not likely to be, more than 40 megawatt hours in any calendar year.</w:t>
      </w:r>
    </w:p>
  </w:footnote>
  <w:footnote w:id="69">
    <w:p w14:paraId="40505D79" w14:textId="095B583A" w:rsidR="00161245" w:rsidRDefault="00161245">
      <w:pPr>
        <w:pStyle w:val="FootnoteText"/>
      </w:pPr>
      <w:r>
        <w:rPr>
          <w:rStyle w:val="FootnoteReference"/>
        </w:rPr>
        <w:footnoteRef/>
      </w:r>
      <w:r>
        <w:t xml:space="preserve"> Essential Services Commission, </w:t>
      </w:r>
      <w:hyperlink r:id="rId56" w:anchor="toc-consultation-workshops-" w:history="1">
        <w:r w:rsidR="0061736C" w:rsidRPr="00DC4DA3">
          <w:rPr>
            <w:rStyle w:val="Hyperlink"/>
            <w:i/>
          </w:rPr>
          <w:t>Workshop 2 (In-person) Consultation Summary</w:t>
        </w:r>
      </w:hyperlink>
      <w:r w:rsidR="0061736C">
        <w:t>, January 2025</w:t>
      </w:r>
      <w:r>
        <w:t>, pp. 2</w:t>
      </w:r>
      <w:r w:rsidR="005E0A4F">
        <w:rPr>
          <w:rFonts w:cstheme="minorHAnsi"/>
        </w:rPr>
        <w:t>–</w:t>
      </w:r>
      <w:r w:rsidR="006A37EE">
        <w:t>5</w:t>
      </w:r>
      <w:r>
        <w:t>.</w:t>
      </w:r>
    </w:p>
  </w:footnote>
  <w:footnote w:id="70">
    <w:p w14:paraId="680C33EE" w14:textId="24C96E11" w:rsidR="00862BF3" w:rsidRPr="008B3670" w:rsidRDefault="00862BF3" w:rsidP="008B3670">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Council on the Aging Victoria and Seniors Right Victoria, </w:t>
      </w:r>
      <w:hyperlink r:id="rId57" w:anchor="tabs-container2" w:history="1">
        <w:r w:rsidR="00E511E3">
          <w:rPr>
            <w:rStyle w:val="Hyperlink"/>
            <w:i/>
            <w:iCs/>
            <w:sz w:val="18"/>
            <w:szCs w:val="18"/>
          </w:rPr>
          <w:t>submission to the Essential Services Commission ‘Energy Consumer Reforms: Discussion Paper’</w:t>
        </w:r>
      </w:hyperlink>
      <w:r>
        <w:rPr>
          <w:sz w:val="18"/>
          <w:szCs w:val="18"/>
        </w:rPr>
        <w:t>, November 2024, p. 4.</w:t>
      </w:r>
    </w:p>
  </w:footnote>
  <w:footnote w:id="71">
    <w:p w14:paraId="1A07F70C" w14:textId="41951ABB" w:rsidR="00842B1E" w:rsidRDefault="00842B1E">
      <w:pPr>
        <w:pStyle w:val="FootnoteText"/>
      </w:pPr>
      <w:r>
        <w:rPr>
          <w:rStyle w:val="FootnoteReference"/>
        </w:rPr>
        <w:footnoteRef/>
      </w:r>
      <w:r>
        <w:t xml:space="preserve"> </w:t>
      </w:r>
      <w:r w:rsidR="00A13A33">
        <w:t xml:space="preserve">Retailers are required to </w:t>
      </w:r>
      <w:r w:rsidR="00155962">
        <w:t>offer the tariff t</w:t>
      </w:r>
      <w:r w:rsidR="005A4FD2">
        <w:t>h</w:t>
      </w:r>
      <w:r w:rsidR="00155962">
        <w:t>at is most likely to minimise the customer’s energy costs</w:t>
      </w:r>
      <w:r w:rsidR="004C7831">
        <w:t xml:space="preserve">, based on the retailer’s </w:t>
      </w:r>
      <w:r w:rsidR="00FF5D9E">
        <w:t xml:space="preserve">knowledge of </w:t>
      </w:r>
      <w:r w:rsidR="00DC6987">
        <w:t xml:space="preserve">the customer’s pattern of energy use and payment history. </w:t>
      </w:r>
      <w:r w:rsidR="006C4E28">
        <w:t xml:space="preserve">While this is a separate check from the best offer requirements, in many cases </w:t>
      </w:r>
      <w:r w:rsidR="009C3936">
        <w:t xml:space="preserve">this will be the tariff associated with the calculated best offer. </w:t>
      </w:r>
    </w:p>
  </w:footnote>
  <w:footnote w:id="72">
    <w:p w14:paraId="6B051A07" w14:textId="5A15A76B" w:rsidR="008B3670" w:rsidRDefault="008B3670" w:rsidP="008B3670">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w:t>
      </w:r>
      <w:r w:rsidR="00F209C4" w:rsidRPr="00F209C4">
        <w:rPr>
          <w:sz w:val="18"/>
          <w:szCs w:val="18"/>
        </w:rPr>
        <w:t xml:space="preserve">Clause 128(f) of the </w:t>
      </w:r>
      <w:hyperlink r:id="rId58" w:anchor="toc-current-version-of-the-energy-retail-code-of-practice" w:history="1">
        <w:r w:rsidR="00F209C4" w:rsidRPr="00366746">
          <w:rPr>
            <w:rStyle w:val="Hyperlink"/>
            <w:sz w:val="18"/>
            <w:szCs w:val="18"/>
          </w:rPr>
          <w:t>Energy Retail Code of Practice (version 3)</w:t>
        </w:r>
      </w:hyperlink>
      <w:r w:rsidR="00F209C4" w:rsidRPr="00F209C4">
        <w:rPr>
          <w:sz w:val="18"/>
          <w:szCs w:val="18"/>
        </w:rPr>
        <w:t xml:space="preserve">. </w:t>
      </w:r>
    </w:p>
  </w:footnote>
  <w:footnote w:id="73">
    <w:p w14:paraId="2C0B3CA3" w14:textId="01089B4D" w:rsidR="009433DA" w:rsidRDefault="009433DA">
      <w:pPr>
        <w:pStyle w:val="FootnoteText"/>
      </w:pPr>
      <w:r>
        <w:rPr>
          <w:rStyle w:val="FootnoteReference"/>
        </w:rPr>
        <w:footnoteRef/>
      </w:r>
      <w:r>
        <w:t xml:space="preserve"> </w:t>
      </w:r>
      <w:r w:rsidR="00CA2C86">
        <w:t xml:space="preserve">Consumer Action Law Centre, </w:t>
      </w:r>
      <w:hyperlink r:id="rId59" w:anchor="tabs-container2" w:history="1">
        <w:r w:rsidR="00E511E3">
          <w:rPr>
            <w:rStyle w:val="Hyperlink"/>
            <w:i/>
            <w:iCs/>
          </w:rPr>
          <w:t>submission to the Essential Services Commission ‘Energy Consumer Reforms: Discussion Paper’</w:t>
        </w:r>
      </w:hyperlink>
      <w:r w:rsidR="00CA2C86">
        <w:t>, 27 November 2024</w:t>
      </w:r>
      <w:r>
        <w:rPr>
          <w:szCs w:val="18"/>
        </w:rPr>
        <w:t>, p. 3.</w:t>
      </w:r>
    </w:p>
  </w:footnote>
  <w:footnote w:id="74">
    <w:p w14:paraId="35A3EE6B" w14:textId="4ADBD460" w:rsidR="006B7D73" w:rsidRDefault="006B7D73">
      <w:pPr>
        <w:pStyle w:val="FootnoteText"/>
      </w:pPr>
      <w:r>
        <w:rPr>
          <w:rStyle w:val="FootnoteReference"/>
        </w:rPr>
        <w:footnoteRef/>
      </w:r>
      <w:r>
        <w:t xml:space="preserve"> </w:t>
      </w:r>
      <w:r>
        <w:rPr>
          <w:szCs w:val="18"/>
        </w:rPr>
        <w:t xml:space="preserve">Consumer Action Law Centre, </w:t>
      </w:r>
      <w:hyperlink r:id="rId60" w:anchor="tabs-container3" w:history="1">
        <w:r w:rsidR="00E45E43">
          <w:rPr>
            <w:rStyle w:val="Hyperlink"/>
            <w:i/>
            <w:iCs/>
            <w:szCs w:val="18"/>
          </w:rPr>
          <w:t>submission to the Essential Services Commission ‘Energy Retail Code of Practice: Issues Paper’</w:t>
        </w:r>
      </w:hyperlink>
      <w:r>
        <w:rPr>
          <w:szCs w:val="18"/>
        </w:rPr>
        <w:t>, 26 July 2024, p. 20.</w:t>
      </w:r>
    </w:p>
  </w:footnote>
  <w:footnote w:id="75">
    <w:p w14:paraId="3DC4681E" w14:textId="2FE543E1" w:rsidR="008B3670" w:rsidRDefault="008B3670" w:rsidP="008B3670">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Victorian Council of Social Service, </w:t>
      </w:r>
      <w:hyperlink r:id="rId61" w:anchor="tabs-container3" w:history="1">
        <w:r w:rsidR="00E45E43">
          <w:rPr>
            <w:rStyle w:val="Hyperlink"/>
            <w:i/>
            <w:iCs/>
            <w:sz w:val="18"/>
            <w:szCs w:val="18"/>
          </w:rPr>
          <w:t>submission to the Essential Services Commission ‘Energy Retail Code of Practice: Issues Paper’</w:t>
        </w:r>
      </w:hyperlink>
      <w:r>
        <w:rPr>
          <w:sz w:val="18"/>
          <w:szCs w:val="18"/>
        </w:rPr>
        <w:t>, 19 July 2024, p. 9.</w:t>
      </w:r>
    </w:p>
  </w:footnote>
  <w:footnote w:id="76">
    <w:p w14:paraId="32DB1E31" w14:textId="0DED8B03" w:rsidR="008B3670" w:rsidRDefault="008B3670" w:rsidP="004301C8">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Consumer Action Law Centre,</w:t>
      </w:r>
      <w:r w:rsidR="00C4773C" w:rsidRPr="00C4773C">
        <w:t xml:space="preserve"> </w:t>
      </w:r>
      <w:hyperlink r:id="rId62" w:anchor="tabs-container3" w:history="1">
        <w:r w:rsidR="003813EC">
          <w:rPr>
            <w:rStyle w:val="Hyperlink"/>
            <w:i/>
            <w:iCs/>
            <w:sz w:val="18"/>
            <w:szCs w:val="18"/>
          </w:rPr>
          <w:t>submission to the Essential Services Commission ‘Energy Retail Code of Practice: Issues Paper’</w:t>
        </w:r>
      </w:hyperlink>
      <w:r w:rsidR="00C4773C" w:rsidRPr="00C4773C">
        <w:rPr>
          <w:sz w:val="18"/>
          <w:szCs w:val="18"/>
        </w:rPr>
        <w:t>,</w:t>
      </w:r>
      <w:r>
        <w:rPr>
          <w:sz w:val="18"/>
          <w:szCs w:val="18"/>
        </w:rPr>
        <w:t xml:space="preserve"> 26 July 2024, pp. 12</w:t>
      </w:r>
      <w:r w:rsidR="005E0A4F">
        <w:rPr>
          <w:rFonts w:cstheme="minorHAnsi"/>
          <w:sz w:val="18"/>
          <w:szCs w:val="18"/>
        </w:rPr>
        <w:t>–</w:t>
      </w:r>
      <w:r>
        <w:rPr>
          <w:sz w:val="18"/>
          <w:szCs w:val="18"/>
        </w:rPr>
        <w:t>13.</w:t>
      </w:r>
    </w:p>
  </w:footnote>
  <w:footnote w:id="77">
    <w:p w14:paraId="79DBB0A5" w14:textId="56C34B7D" w:rsidR="00391092" w:rsidRDefault="00391092" w:rsidP="004301C8">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Department of Energy, Environment and Climate Action</w:t>
      </w:r>
      <w:r>
        <w:rPr>
          <w:i/>
          <w:iCs/>
          <w:sz w:val="18"/>
          <w:szCs w:val="18"/>
        </w:rPr>
        <w:t>, Energy Assistance Program Quarterly Report</w:t>
      </w:r>
      <w:r>
        <w:rPr>
          <w:sz w:val="18"/>
          <w:szCs w:val="18"/>
        </w:rPr>
        <w:t xml:space="preserve">, </w:t>
      </w:r>
      <w:r w:rsidR="005D1991">
        <w:rPr>
          <w:sz w:val="18"/>
          <w:szCs w:val="18"/>
        </w:rPr>
        <w:t xml:space="preserve">December </w:t>
      </w:r>
      <w:r>
        <w:rPr>
          <w:sz w:val="18"/>
          <w:szCs w:val="18"/>
        </w:rPr>
        <w:t xml:space="preserve">2024, </w:t>
      </w:r>
      <w:r w:rsidR="0051275D">
        <w:rPr>
          <w:sz w:val="18"/>
          <w:szCs w:val="18"/>
        </w:rPr>
        <w:t xml:space="preserve">p. </w:t>
      </w:r>
      <w:r w:rsidR="005D1991">
        <w:rPr>
          <w:sz w:val="18"/>
          <w:szCs w:val="18"/>
        </w:rPr>
        <w:t>4</w:t>
      </w:r>
      <w:r>
        <w:rPr>
          <w:sz w:val="18"/>
          <w:szCs w:val="18"/>
        </w:rPr>
        <w:t>.</w:t>
      </w:r>
      <w:r w:rsidR="005828B4">
        <w:rPr>
          <w:sz w:val="18"/>
          <w:szCs w:val="18"/>
        </w:rPr>
        <w:t xml:space="preserve"> </w:t>
      </w:r>
      <w:r w:rsidR="005828B4" w:rsidRPr="005828B4">
        <w:rPr>
          <w:sz w:val="18"/>
          <w:szCs w:val="18"/>
        </w:rPr>
        <w:t xml:space="preserve">The </w:t>
      </w:r>
      <w:hyperlink r:id="rId63" w:history="1">
        <w:r w:rsidR="005828B4" w:rsidRPr="005828B4">
          <w:rPr>
            <w:rStyle w:val="Hyperlink"/>
            <w:sz w:val="18"/>
            <w:szCs w:val="18"/>
          </w:rPr>
          <w:t>Energy Assistance Program</w:t>
        </w:r>
      </w:hyperlink>
      <w:r w:rsidR="005828B4" w:rsidRPr="005828B4">
        <w:rPr>
          <w:sz w:val="18"/>
          <w:szCs w:val="18"/>
        </w:rPr>
        <w:t xml:space="preserve"> is a free service to support Victorians who are having trouble paying their energy bills. It helps Victorian households to navigate the energy market and access critical energy affordability supports. The program is delivered by the Department of Energy, Environment and Climate Action in partnership with Anglicare Victoria</w:t>
      </w:r>
      <w:r w:rsidR="00FF515D">
        <w:rPr>
          <w:sz w:val="18"/>
          <w:szCs w:val="18"/>
        </w:rPr>
        <w:t xml:space="preserve"> and cohealth</w:t>
      </w:r>
      <w:r w:rsidR="005828B4" w:rsidRPr="005828B4">
        <w:rPr>
          <w:sz w:val="18"/>
          <w:szCs w:val="18"/>
        </w:rPr>
        <w:t>.</w:t>
      </w:r>
    </w:p>
  </w:footnote>
  <w:footnote w:id="78">
    <w:p w14:paraId="57C797C2" w14:textId="04F019AD" w:rsidR="001A7F7D" w:rsidRPr="00805D5C" w:rsidRDefault="001A7F7D" w:rsidP="00805D5C">
      <w:pPr>
        <w:pStyle w:val="FootnoteText"/>
      </w:pPr>
      <w:r w:rsidRPr="008961E4">
        <w:rPr>
          <w:rStyle w:val="FootnoteReference"/>
          <w:color w:val="000000"/>
          <w:szCs w:val="18"/>
        </w:rPr>
        <w:footnoteRef/>
      </w:r>
      <w:r w:rsidRPr="008961E4">
        <w:rPr>
          <w:szCs w:val="18"/>
        </w:rPr>
        <w:t xml:space="preserve"> </w:t>
      </w:r>
      <w:r w:rsidR="00805D5C" w:rsidRPr="008961E4">
        <w:t xml:space="preserve">Essential Services Commission, ‘Customers on older plans significantly better off on their retailer’s best offer’, </w:t>
      </w:r>
      <w:r w:rsidR="008E47E4" w:rsidRPr="008961E4">
        <w:t>1</w:t>
      </w:r>
      <w:r w:rsidR="00B26F2B">
        <w:t>6</w:t>
      </w:r>
      <w:r w:rsidR="008E47E4" w:rsidRPr="008961E4">
        <w:t xml:space="preserve"> </w:t>
      </w:r>
      <w:r w:rsidR="00805D5C" w:rsidRPr="008961E4">
        <w:t>May 2025, p. 2</w:t>
      </w:r>
      <w:r w:rsidR="005F5B13" w:rsidRPr="008961E4">
        <w:t xml:space="preserve"> and 5 (Appendix</w:t>
      </w:r>
      <w:r w:rsidR="00CA23BF" w:rsidRPr="008961E4">
        <w:t xml:space="preserve"> Table 1: Annual savings for customers receiving payment difficulty support on flat-rate market offers compared to their retailer’s best offer, by plan age)</w:t>
      </w:r>
      <w:r w:rsidRPr="008961E4">
        <w:rPr>
          <w:szCs w:val="18"/>
        </w:rPr>
        <w:t>.</w:t>
      </w:r>
    </w:p>
  </w:footnote>
  <w:footnote w:id="79">
    <w:p w14:paraId="13A1DA6E" w14:textId="70D33CCA" w:rsidR="004D2CBE" w:rsidRDefault="004D2CBE">
      <w:pPr>
        <w:pStyle w:val="FootnoteText"/>
      </w:pPr>
      <w:r>
        <w:rPr>
          <w:rStyle w:val="FootnoteReference"/>
        </w:rPr>
        <w:footnoteRef/>
      </w:r>
      <w:r>
        <w:t xml:space="preserve"> </w:t>
      </w:r>
      <w:r w:rsidR="00001DB8">
        <w:t>‘</w:t>
      </w:r>
      <w:hyperlink r:id="rId64" w:history="1">
        <w:r w:rsidRPr="004C75B6">
          <w:rPr>
            <w:rStyle w:val="Hyperlink"/>
          </w:rPr>
          <w:t>Victorian Energy Market Dashboard</w:t>
        </w:r>
      </w:hyperlink>
      <w:r w:rsidR="00001DB8">
        <w:t>’</w:t>
      </w:r>
      <w:r>
        <w:t>, Essential Services Commission, accessed 4 April 2025.</w:t>
      </w:r>
    </w:p>
  </w:footnote>
  <w:footnote w:id="80">
    <w:p w14:paraId="110FCD71" w14:textId="13E1D890" w:rsidR="00E37C4D" w:rsidRDefault="00E37C4D" w:rsidP="00547F6B">
      <w:pPr>
        <w:pStyle w:val="FootnoteText"/>
      </w:pPr>
      <w:r>
        <w:rPr>
          <w:rStyle w:val="FootnoteReference"/>
        </w:rPr>
        <w:footnoteRef/>
      </w:r>
      <w:r>
        <w:t xml:space="preserve"> </w:t>
      </w:r>
      <w:r w:rsidR="00F946E6">
        <w:t>Ibid.</w:t>
      </w:r>
    </w:p>
  </w:footnote>
  <w:footnote w:id="81">
    <w:p w14:paraId="30CF41BD" w14:textId="3CBF9017" w:rsidR="008F2E74" w:rsidRDefault="008F2E74">
      <w:pPr>
        <w:pStyle w:val="FootnoteText"/>
      </w:pPr>
      <w:r>
        <w:rPr>
          <w:rStyle w:val="FootnoteReference"/>
        </w:rPr>
        <w:footnoteRef/>
      </w:r>
      <w:r>
        <w:t xml:space="preserve"> </w:t>
      </w:r>
      <w:r w:rsidR="003C550C">
        <w:t>Ibid</w:t>
      </w:r>
      <w:r w:rsidR="004D2CBE">
        <w:t>.</w:t>
      </w:r>
    </w:p>
  </w:footnote>
  <w:footnote w:id="82">
    <w:p w14:paraId="567AD32E" w14:textId="68D814AA" w:rsidR="00C42A03" w:rsidRDefault="00C42A03">
      <w:pPr>
        <w:pStyle w:val="FootnoteText"/>
      </w:pPr>
      <w:r>
        <w:rPr>
          <w:rStyle w:val="FootnoteReference"/>
        </w:rPr>
        <w:footnoteRef/>
      </w:r>
      <w:r>
        <w:t xml:space="preserve"> </w:t>
      </w:r>
      <w:r w:rsidR="00001DB8">
        <w:t>‘</w:t>
      </w:r>
      <w:hyperlink r:id="rId65" w:history="1">
        <w:r w:rsidR="001D579F" w:rsidRPr="004C75B6">
          <w:rPr>
            <w:rStyle w:val="Hyperlink"/>
          </w:rPr>
          <w:t>Victorian Energy Market Dashboard</w:t>
        </w:r>
      </w:hyperlink>
      <w:r w:rsidR="00001DB8">
        <w:t>’</w:t>
      </w:r>
      <w:r w:rsidR="001D579F">
        <w:t>, Essential Services Commission, accessed 4 April 2025</w:t>
      </w:r>
      <w:r w:rsidR="00DD7768">
        <w:t>.</w:t>
      </w:r>
    </w:p>
  </w:footnote>
  <w:footnote w:id="83">
    <w:p w14:paraId="311B91A4" w14:textId="343E2BB1" w:rsidR="00397983" w:rsidRDefault="00397983" w:rsidP="00FC2E32">
      <w:pPr>
        <w:spacing w:after="0" w:line="240" w:lineRule="auto"/>
        <w:rPr>
          <w:color w:val="000000"/>
          <w:sz w:val="18"/>
          <w:szCs w:val="18"/>
          <w:vertAlign w:val="superscript"/>
        </w:rPr>
      </w:pPr>
      <w:r>
        <w:rPr>
          <w:rStyle w:val="FootnoteReference"/>
          <w:color w:val="000000"/>
          <w:sz w:val="18"/>
          <w:szCs w:val="18"/>
        </w:rPr>
        <w:footnoteRef/>
      </w:r>
      <w:r>
        <w:rPr>
          <w:sz w:val="18"/>
          <w:szCs w:val="18"/>
        </w:rPr>
        <w:t xml:space="preserve"> </w:t>
      </w:r>
      <w:r w:rsidR="00524363">
        <w:rPr>
          <w:sz w:val="18"/>
          <w:szCs w:val="18"/>
        </w:rPr>
        <w:t>‘</w:t>
      </w:r>
      <w:hyperlink r:id="rId66" w:history="1">
        <w:r>
          <w:rPr>
            <w:color w:val="0000FF"/>
            <w:sz w:val="18"/>
            <w:szCs w:val="18"/>
            <w:u w:val="single" w:color="0000FF"/>
          </w:rPr>
          <w:t>Guideline: maximum cap for pay-on-time discounts</w:t>
        </w:r>
      </w:hyperlink>
      <w:r w:rsidR="00524363">
        <w:t>’</w:t>
      </w:r>
      <w:r w:rsidR="00001DB8">
        <w:t>,</w:t>
      </w:r>
      <w:r w:rsidR="00524363" w:rsidRPr="00C45E4C">
        <w:rPr>
          <w:sz w:val="18"/>
          <w:szCs w:val="18"/>
        </w:rPr>
        <w:t xml:space="preserve"> Essential Services Commission, accessed 1 April 2025</w:t>
      </w:r>
      <w:r>
        <w:rPr>
          <w:sz w:val="18"/>
          <w:szCs w:val="18"/>
        </w:rPr>
        <w:t xml:space="preserve">. For contracts entered into from 1 July 2024 to 30 June 2025, the maximum pay-on-time discount cap is 6.62%.  </w:t>
      </w:r>
    </w:p>
  </w:footnote>
  <w:footnote w:id="84">
    <w:p w14:paraId="6CF5C3CD" w14:textId="6502309E" w:rsidR="00B408C9" w:rsidRDefault="00B408C9">
      <w:pPr>
        <w:pStyle w:val="FootnoteText"/>
      </w:pPr>
      <w:r>
        <w:rPr>
          <w:rStyle w:val="FootnoteReference"/>
        </w:rPr>
        <w:footnoteRef/>
      </w:r>
      <w:r>
        <w:t xml:space="preserve"> </w:t>
      </w:r>
      <w:r w:rsidR="00117A4F">
        <w:t xml:space="preserve">Essential Services Commission, </w:t>
      </w:r>
      <w:hyperlink r:id="rId67" w:history="1">
        <w:r w:rsidR="00001DB8" w:rsidRPr="00001DB8">
          <w:rPr>
            <w:rStyle w:val="Hyperlink"/>
            <w:i/>
            <w:iCs/>
          </w:rPr>
          <w:t>Ensuring energy contracts are clear and fair: Draft decision</w:t>
        </w:r>
      </w:hyperlink>
      <w:r w:rsidR="00117A4F">
        <w:t>, 10 December 2019, p</w:t>
      </w:r>
      <w:r w:rsidR="00E15307">
        <w:t>p. 21</w:t>
      </w:r>
      <w:r w:rsidR="005E0A4F">
        <w:rPr>
          <w:rFonts w:cstheme="minorHAnsi"/>
        </w:rPr>
        <w:t>–</w:t>
      </w:r>
      <w:r w:rsidR="00E15307">
        <w:t>24</w:t>
      </w:r>
      <w:r w:rsidR="00117A4F">
        <w:t>.</w:t>
      </w:r>
    </w:p>
  </w:footnote>
  <w:footnote w:id="85">
    <w:p w14:paraId="25CD4A71" w14:textId="3C239253" w:rsidR="008A11E6" w:rsidRDefault="008A11E6" w:rsidP="00547F6B">
      <w:pPr>
        <w:pStyle w:val="FootnoteText"/>
      </w:pPr>
      <w:r>
        <w:rPr>
          <w:rStyle w:val="FootnoteReference"/>
        </w:rPr>
        <w:footnoteRef/>
      </w:r>
      <w:r>
        <w:t xml:space="preserve"> Ibid.</w:t>
      </w:r>
    </w:p>
  </w:footnote>
  <w:footnote w:id="86">
    <w:p w14:paraId="7166FEE6" w14:textId="5F92E178" w:rsidR="00C67BE9" w:rsidRPr="00617870" w:rsidRDefault="00C67BE9" w:rsidP="00C67BE9">
      <w:pPr>
        <w:pStyle w:val="FootnoteText"/>
        <w:rPr>
          <w:szCs w:val="18"/>
        </w:rPr>
      </w:pPr>
      <w:r w:rsidRPr="00617870">
        <w:rPr>
          <w:rStyle w:val="FootnoteReference"/>
          <w:szCs w:val="18"/>
        </w:rPr>
        <w:footnoteRef/>
      </w:r>
      <w:r w:rsidRPr="00617870">
        <w:rPr>
          <w:szCs w:val="18"/>
        </w:rPr>
        <w:t xml:space="preserve"> </w:t>
      </w:r>
      <w:r w:rsidR="007C02B4">
        <w:rPr>
          <w:szCs w:val="18"/>
        </w:rPr>
        <w:t>‘</w:t>
      </w:r>
      <w:hyperlink r:id="rId68" w:history="1">
        <w:r w:rsidR="007C02B4" w:rsidRPr="002271CF">
          <w:rPr>
            <w:rStyle w:val="Hyperlink"/>
            <w:szCs w:val="18"/>
          </w:rPr>
          <w:t>Concessions &amp; benefits</w:t>
        </w:r>
      </w:hyperlink>
      <w:r w:rsidR="007C02B4">
        <w:rPr>
          <w:szCs w:val="18"/>
        </w:rPr>
        <w:t xml:space="preserve">’, Department of Families, Fairness and Housing, </w:t>
      </w:r>
      <w:r w:rsidR="00C30312">
        <w:t xml:space="preserve">accessed 27 February 2025. </w:t>
      </w:r>
    </w:p>
  </w:footnote>
  <w:footnote w:id="87">
    <w:p w14:paraId="4A6B937B" w14:textId="3BA5A882" w:rsidR="00A3665E" w:rsidRDefault="00A3665E">
      <w:pPr>
        <w:pStyle w:val="FootnoteText"/>
      </w:pPr>
      <w:r>
        <w:rPr>
          <w:rStyle w:val="FootnoteReference"/>
        </w:rPr>
        <w:footnoteRef/>
      </w:r>
      <w:r>
        <w:t xml:space="preserve"> Ibid.</w:t>
      </w:r>
    </w:p>
  </w:footnote>
  <w:footnote w:id="88">
    <w:p w14:paraId="174DC374" w14:textId="5C898C48" w:rsidR="00C67BE9" w:rsidRDefault="00C67BE9" w:rsidP="00C67BE9">
      <w:pPr>
        <w:spacing w:line="240" w:lineRule="auto"/>
        <w:rPr>
          <w:color w:val="000000"/>
          <w:sz w:val="18"/>
          <w:szCs w:val="18"/>
          <w:vertAlign w:val="superscript"/>
        </w:rPr>
      </w:pPr>
      <w:r w:rsidRPr="004D785C">
        <w:rPr>
          <w:rStyle w:val="FootnoteReference"/>
          <w:color w:val="000000"/>
          <w:sz w:val="18"/>
          <w:szCs w:val="18"/>
        </w:rPr>
        <w:footnoteRef/>
      </w:r>
      <w:r w:rsidRPr="004D785C">
        <w:rPr>
          <w:sz w:val="18"/>
          <w:szCs w:val="18"/>
        </w:rPr>
        <w:t xml:space="preserve"> Consumer Policy Research Centre, </w:t>
      </w:r>
      <w:hyperlink r:id="rId69" w:history="1">
        <w:r w:rsidRPr="004D785C">
          <w:rPr>
            <w:i/>
            <w:iCs/>
            <w:color w:val="0000FF"/>
            <w:sz w:val="18"/>
            <w:szCs w:val="18"/>
            <w:u w:val="single" w:color="0000FF"/>
          </w:rPr>
          <w:t xml:space="preserve">Mind the Gap: </w:t>
        </w:r>
        <w:r w:rsidR="003421AE">
          <w:rPr>
            <w:i/>
            <w:iCs/>
            <w:color w:val="0000FF"/>
            <w:sz w:val="18"/>
            <w:szCs w:val="18"/>
            <w:u w:val="single" w:color="0000FF"/>
          </w:rPr>
          <w:t>I</w:t>
        </w:r>
        <w:r w:rsidRPr="004D785C">
          <w:rPr>
            <w:i/>
            <w:iCs/>
            <w:color w:val="0000FF"/>
            <w:sz w:val="18"/>
            <w:szCs w:val="18"/>
            <w:u w:val="single" w:color="0000FF"/>
          </w:rPr>
          <w:t>dentifying the gap between ene</w:t>
        </w:r>
        <w:bookmarkStart w:id="70" w:name="_Hlt192167898"/>
        <w:bookmarkStart w:id="71" w:name="_Hlt192167899"/>
        <w:r w:rsidRPr="004D785C">
          <w:rPr>
            <w:i/>
            <w:iCs/>
            <w:color w:val="0000FF"/>
            <w:sz w:val="18"/>
            <w:szCs w:val="18"/>
            <w:u w:val="single" w:color="0000FF"/>
          </w:rPr>
          <w:t>r</w:t>
        </w:r>
        <w:bookmarkEnd w:id="70"/>
        <w:bookmarkEnd w:id="71"/>
        <w:r w:rsidRPr="004D785C">
          <w:rPr>
            <w:i/>
            <w:iCs/>
            <w:color w:val="0000FF"/>
            <w:sz w:val="18"/>
            <w:szCs w:val="18"/>
            <w:u w:val="single" w:color="0000FF"/>
          </w:rPr>
          <w:t>gy concession eligibility and concessions received</w:t>
        </w:r>
      </w:hyperlink>
      <w:r w:rsidRPr="004D785C">
        <w:rPr>
          <w:sz w:val="18"/>
          <w:szCs w:val="18"/>
        </w:rPr>
        <w:t>, November 2022, p. 4.</w:t>
      </w:r>
    </w:p>
  </w:footnote>
  <w:footnote w:id="89">
    <w:p w14:paraId="78688EC1" w14:textId="124BBE97" w:rsidR="002B46D1" w:rsidRPr="00617870" w:rsidRDefault="002B46D1" w:rsidP="002B46D1">
      <w:pPr>
        <w:pStyle w:val="FootnoteText"/>
      </w:pPr>
      <w:r>
        <w:rPr>
          <w:rStyle w:val="FootnoteReference"/>
        </w:rPr>
        <w:footnoteRef/>
      </w:r>
      <w:r>
        <w:t xml:space="preserve"> </w:t>
      </w:r>
      <w:r w:rsidRPr="00617870">
        <w:rPr>
          <w:szCs w:val="18"/>
        </w:rPr>
        <w:t xml:space="preserve">Victorian Council of Social Services, </w:t>
      </w:r>
      <w:hyperlink r:id="rId70" w:history="1">
        <w:r w:rsidRPr="00FC2E32">
          <w:rPr>
            <w:rStyle w:val="Hyperlink"/>
            <w:i/>
            <w:szCs w:val="18"/>
          </w:rPr>
          <w:t>The Missing 14%: why so many Victorians are missing out on energy concessions</w:t>
        </w:r>
      </w:hyperlink>
      <w:r w:rsidRPr="00617870">
        <w:rPr>
          <w:szCs w:val="18"/>
        </w:rPr>
        <w:t xml:space="preserve">, </w:t>
      </w:r>
      <w:r w:rsidR="008811CE">
        <w:rPr>
          <w:szCs w:val="18"/>
        </w:rPr>
        <w:t xml:space="preserve">22 </w:t>
      </w:r>
      <w:r w:rsidRPr="00617870">
        <w:rPr>
          <w:szCs w:val="18"/>
        </w:rPr>
        <w:t xml:space="preserve">May 2023, p. </w:t>
      </w:r>
      <w:r>
        <w:rPr>
          <w:szCs w:val="18"/>
        </w:rPr>
        <w:t>14</w:t>
      </w:r>
      <w:r w:rsidRPr="00617870">
        <w:rPr>
          <w:szCs w:val="18"/>
        </w:rPr>
        <w:t>.</w:t>
      </w:r>
    </w:p>
  </w:footnote>
  <w:footnote w:id="90">
    <w:p w14:paraId="5E3984DD" w14:textId="23336EB0" w:rsidR="002B46D1" w:rsidRDefault="002B46D1" w:rsidP="002B46D1">
      <w:pPr>
        <w:spacing w:line="240" w:lineRule="auto"/>
        <w:rPr>
          <w:color w:val="000000"/>
          <w:sz w:val="18"/>
          <w:szCs w:val="18"/>
          <w:vertAlign w:val="superscript"/>
        </w:rPr>
      </w:pPr>
      <w:r>
        <w:rPr>
          <w:rStyle w:val="FootnoteReference"/>
          <w:color w:val="000000"/>
          <w:sz w:val="18"/>
          <w:szCs w:val="18"/>
        </w:rPr>
        <w:footnoteRef/>
      </w:r>
      <w:r>
        <w:rPr>
          <w:sz w:val="18"/>
          <w:szCs w:val="18"/>
        </w:rPr>
        <w:t xml:space="preserve"> </w:t>
      </w:r>
      <w:r w:rsidR="005F20AD">
        <w:rPr>
          <w:sz w:val="18"/>
          <w:szCs w:val="18"/>
        </w:rPr>
        <w:t xml:space="preserve">Botha, </w:t>
      </w:r>
      <w:r w:rsidR="0064298A">
        <w:rPr>
          <w:sz w:val="18"/>
          <w:szCs w:val="18"/>
        </w:rPr>
        <w:t>D and Prakash, K</w:t>
      </w:r>
      <w:r w:rsidR="006D5241">
        <w:rPr>
          <w:sz w:val="18"/>
          <w:szCs w:val="18"/>
        </w:rPr>
        <w:t>, ‘</w:t>
      </w:r>
      <w:hyperlink r:id="rId71" w:history="1">
        <w:r w:rsidR="006D5241">
          <w:rPr>
            <w:i/>
            <w:iCs/>
            <w:color w:val="0000FF"/>
            <w:sz w:val="18"/>
            <w:szCs w:val="18"/>
            <w:u w:val="single" w:color="0000FF"/>
          </w:rPr>
          <w:t>Insights into energy concession awareness and energy-related behaviours among concession card holders in Australia</w:t>
        </w:r>
      </w:hyperlink>
      <w:r w:rsidR="00476F74">
        <w:t xml:space="preserve">, </w:t>
      </w:r>
      <w:r w:rsidR="00476F74" w:rsidRPr="0083015F">
        <w:rPr>
          <w:sz w:val="18"/>
          <w:szCs w:val="18"/>
        </w:rPr>
        <w:t>Melbourne Institute,</w:t>
      </w:r>
      <w:r w:rsidR="0064298A">
        <w:rPr>
          <w:sz w:val="18"/>
          <w:szCs w:val="18"/>
        </w:rPr>
        <w:t xml:space="preserve"> </w:t>
      </w:r>
      <w:r>
        <w:rPr>
          <w:sz w:val="18"/>
          <w:szCs w:val="18"/>
        </w:rPr>
        <w:t>June 2024, p. 7.</w:t>
      </w:r>
    </w:p>
  </w:footnote>
  <w:footnote w:id="91">
    <w:p w14:paraId="5FAAEAC6" w14:textId="64B02426" w:rsidR="002B46D1" w:rsidRPr="00617870" w:rsidRDefault="002B46D1" w:rsidP="002B46D1">
      <w:pPr>
        <w:pStyle w:val="FootnoteText"/>
        <w:spacing w:before="240"/>
      </w:pPr>
      <w:r>
        <w:rPr>
          <w:rStyle w:val="FootnoteReference"/>
        </w:rPr>
        <w:footnoteRef/>
      </w:r>
      <w:r>
        <w:t xml:space="preserve"> </w:t>
      </w:r>
      <w:r w:rsidRPr="00617870">
        <w:rPr>
          <w:szCs w:val="18"/>
        </w:rPr>
        <w:t>Clause</w:t>
      </w:r>
      <w:r w:rsidR="00F46D1E">
        <w:rPr>
          <w:szCs w:val="18"/>
        </w:rPr>
        <w:t>s</w:t>
      </w:r>
      <w:r w:rsidRPr="00617870">
        <w:rPr>
          <w:szCs w:val="18"/>
        </w:rPr>
        <w:t xml:space="preserve"> 30(1)(c)</w:t>
      </w:r>
      <w:r w:rsidR="0037773C">
        <w:rPr>
          <w:szCs w:val="18"/>
        </w:rPr>
        <w:t xml:space="preserve"> and 47(1)(a)</w:t>
      </w:r>
      <w:r w:rsidRPr="00617870">
        <w:rPr>
          <w:szCs w:val="18"/>
        </w:rPr>
        <w:t xml:space="preserve"> of the </w:t>
      </w:r>
      <w:hyperlink r:id="rId72" w:anchor="toc-current-version-of-the-energy-retail-code-of-practice" w:history="1">
        <w:r w:rsidR="0021736E" w:rsidRPr="00E511E3">
          <w:rPr>
            <w:rStyle w:val="Hyperlink"/>
          </w:rPr>
          <w:t>Energy Retail Code of Practice (version 3)</w:t>
        </w:r>
      </w:hyperlink>
      <w:r w:rsidRPr="00617870">
        <w:rPr>
          <w:szCs w:val="18"/>
        </w:rPr>
        <w:t>.</w:t>
      </w:r>
      <w:r w:rsidR="0074395C">
        <w:rPr>
          <w:szCs w:val="18"/>
        </w:rPr>
        <w:t xml:space="preserve"> </w:t>
      </w:r>
      <w:r w:rsidR="00CD0919">
        <w:rPr>
          <w:szCs w:val="18"/>
        </w:rPr>
        <w:t>We understand r</w:t>
      </w:r>
      <w:r w:rsidR="0074395C">
        <w:rPr>
          <w:szCs w:val="18"/>
        </w:rPr>
        <w:t xml:space="preserve">etailers are also </w:t>
      </w:r>
      <w:r w:rsidR="00BB4C4F">
        <w:rPr>
          <w:szCs w:val="18"/>
        </w:rPr>
        <w:t xml:space="preserve">required to provide </w:t>
      </w:r>
      <w:r w:rsidR="00CD0919">
        <w:rPr>
          <w:szCs w:val="18"/>
        </w:rPr>
        <w:t xml:space="preserve">customers </w:t>
      </w:r>
      <w:r w:rsidR="00BB4C4F">
        <w:rPr>
          <w:szCs w:val="18"/>
        </w:rPr>
        <w:t xml:space="preserve">information </w:t>
      </w:r>
      <w:r w:rsidR="00B528E9">
        <w:rPr>
          <w:szCs w:val="18"/>
        </w:rPr>
        <w:t xml:space="preserve">about concessions eligibility under </w:t>
      </w:r>
      <w:r w:rsidR="00CD0919">
        <w:rPr>
          <w:szCs w:val="18"/>
        </w:rPr>
        <w:t xml:space="preserve">their concessions agreement with the Victorian Government. </w:t>
      </w:r>
    </w:p>
  </w:footnote>
  <w:footnote w:id="92">
    <w:p w14:paraId="5E529B2A" w14:textId="6377273F" w:rsidR="002E01A9" w:rsidRDefault="002E01A9">
      <w:pPr>
        <w:pStyle w:val="FootnoteText"/>
      </w:pPr>
      <w:r>
        <w:rPr>
          <w:rStyle w:val="FootnoteReference"/>
        </w:rPr>
        <w:footnoteRef/>
      </w:r>
      <w:r>
        <w:t xml:space="preserve"> </w:t>
      </w:r>
      <w:r w:rsidRPr="00617870">
        <w:rPr>
          <w:szCs w:val="18"/>
        </w:rPr>
        <w:t xml:space="preserve">Victorian Council of Social Services, </w:t>
      </w:r>
      <w:hyperlink r:id="rId73" w:history="1">
        <w:r w:rsidRPr="00622904">
          <w:rPr>
            <w:rStyle w:val="Hyperlink"/>
            <w:i/>
            <w:szCs w:val="18"/>
          </w:rPr>
          <w:t>The Missing 14%: why so many Victorians are missing out on energy concessions</w:t>
        </w:r>
      </w:hyperlink>
      <w:r w:rsidRPr="00617870">
        <w:rPr>
          <w:szCs w:val="18"/>
        </w:rPr>
        <w:t xml:space="preserve">, </w:t>
      </w:r>
      <w:r>
        <w:rPr>
          <w:szCs w:val="18"/>
        </w:rPr>
        <w:t xml:space="preserve">22 </w:t>
      </w:r>
      <w:r w:rsidRPr="00617870">
        <w:rPr>
          <w:szCs w:val="18"/>
        </w:rPr>
        <w:t xml:space="preserve">May 2023, p. </w:t>
      </w:r>
      <w:r w:rsidR="00855E5A">
        <w:rPr>
          <w:szCs w:val="18"/>
        </w:rPr>
        <w:t>5</w:t>
      </w:r>
      <w:r>
        <w:rPr>
          <w:szCs w:val="18"/>
        </w:rPr>
        <w:t>.</w:t>
      </w:r>
    </w:p>
  </w:footnote>
  <w:footnote w:id="93">
    <w:p w14:paraId="1F8436C7" w14:textId="76661954" w:rsidR="003D0DC5" w:rsidRDefault="003D0DC5" w:rsidP="003D0DC5">
      <w:pPr>
        <w:spacing w:line="240" w:lineRule="auto"/>
        <w:rPr>
          <w:color w:val="000000"/>
          <w:sz w:val="18"/>
          <w:szCs w:val="18"/>
          <w:vertAlign w:val="superscript"/>
        </w:rPr>
      </w:pPr>
      <w:r>
        <w:rPr>
          <w:rStyle w:val="FootnoteReference"/>
          <w:color w:val="000000"/>
          <w:sz w:val="18"/>
          <w:szCs w:val="18"/>
        </w:rPr>
        <w:footnoteRef/>
      </w:r>
      <w:r>
        <w:rPr>
          <w:sz w:val="18"/>
          <w:szCs w:val="18"/>
        </w:rPr>
        <w:t xml:space="preserve"> Energy Consumers Australia, </w:t>
      </w:r>
      <w:hyperlink r:id="rId74" w:history="1">
        <w:r w:rsidR="00CA0633" w:rsidRPr="00950D4F">
          <w:rPr>
            <w:rStyle w:val="Hyperlink"/>
            <w:i/>
            <w:iCs/>
            <w:sz w:val="18"/>
            <w:szCs w:val="18"/>
          </w:rPr>
          <w:t>Energy Consumer Sentiment Survey</w:t>
        </w:r>
        <w:r w:rsidR="0070788C" w:rsidRPr="00EF751C">
          <w:rPr>
            <w:rStyle w:val="Hyperlink"/>
            <w:i/>
            <w:iCs/>
          </w:rPr>
          <w:t xml:space="preserve">: </w:t>
        </w:r>
        <w:r w:rsidR="0070788C" w:rsidRPr="00EF751C">
          <w:rPr>
            <w:rStyle w:val="Hyperlink"/>
            <w:i/>
            <w:iCs/>
            <w:sz w:val="18"/>
            <w:szCs w:val="18"/>
          </w:rPr>
          <w:t>Topline Data</w:t>
        </w:r>
      </w:hyperlink>
      <w:r>
        <w:rPr>
          <w:sz w:val="18"/>
          <w:szCs w:val="18"/>
        </w:rPr>
        <w:t xml:space="preserve">, </w:t>
      </w:r>
      <w:r w:rsidR="0056021D">
        <w:rPr>
          <w:sz w:val="18"/>
          <w:szCs w:val="18"/>
        </w:rPr>
        <w:t xml:space="preserve">12 </w:t>
      </w:r>
      <w:r>
        <w:rPr>
          <w:sz w:val="18"/>
          <w:szCs w:val="18"/>
        </w:rPr>
        <w:t>June 2024.</w:t>
      </w:r>
    </w:p>
  </w:footnote>
  <w:footnote w:id="94">
    <w:p w14:paraId="2E362A4A" w14:textId="70AE2621" w:rsidR="003D0DC5" w:rsidRDefault="003D0DC5" w:rsidP="003D0DC5">
      <w:pPr>
        <w:spacing w:line="240" w:lineRule="auto"/>
        <w:rPr>
          <w:color w:val="000000"/>
          <w:sz w:val="18"/>
          <w:szCs w:val="18"/>
          <w:vertAlign w:val="superscript"/>
        </w:rPr>
      </w:pPr>
      <w:r>
        <w:rPr>
          <w:rStyle w:val="FootnoteReference"/>
          <w:color w:val="000000"/>
          <w:sz w:val="18"/>
          <w:szCs w:val="18"/>
        </w:rPr>
        <w:footnoteRef/>
      </w:r>
      <w:r>
        <w:rPr>
          <w:sz w:val="18"/>
          <w:szCs w:val="18"/>
        </w:rPr>
        <w:t xml:space="preserve"> Uniting</w:t>
      </w:r>
      <w:r w:rsidR="006F5AC4">
        <w:rPr>
          <w:sz w:val="18"/>
          <w:szCs w:val="18"/>
        </w:rPr>
        <w:t xml:space="preserve"> Vic.</w:t>
      </w:r>
      <w:r w:rsidR="00AC3E75">
        <w:rPr>
          <w:sz w:val="18"/>
          <w:szCs w:val="18"/>
        </w:rPr>
        <w:t xml:space="preserve"> </w:t>
      </w:r>
      <w:r w:rsidR="006F5AC4">
        <w:rPr>
          <w:sz w:val="18"/>
          <w:szCs w:val="18"/>
        </w:rPr>
        <w:t>Tas</w:t>
      </w:r>
      <w:r>
        <w:rPr>
          <w:sz w:val="18"/>
          <w:szCs w:val="18"/>
        </w:rPr>
        <w:t xml:space="preserve">, </w:t>
      </w:r>
      <w:hyperlink r:id="rId75" w:history="1">
        <w:r w:rsidR="00F44248" w:rsidRPr="00F44248">
          <w:rPr>
            <w:rStyle w:val="Hyperlink"/>
            <w:i/>
            <w:iCs/>
            <w:sz w:val="18"/>
            <w:szCs w:val="18"/>
          </w:rPr>
          <w:t>Consumer e</w:t>
        </w:r>
        <w:bookmarkStart w:id="73" w:name="_Hlt197950410"/>
        <w:bookmarkStart w:id="74" w:name="_Hlt197950411"/>
        <w:r w:rsidR="00F44248" w:rsidRPr="00F44248">
          <w:rPr>
            <w:rStyle w:val="Hyperlink"/>
            <w:i/>
            <w:iCs/>
            <w:sz w:val="18"/>
            <w:szCs w:val="18"/>
          </w:rPr>
          <w:t>x</w:t>
        </w:r>
        <w:bookmarkEnd w:id="73"/>
        <w:bookmarkEnd w:id="74"/>
        <w:r w:rsidR="00F44248" w:rsidRPr="00F44248">
          <w:rPr>
            <w:rStyle w:val="Hyperlink"/>
            <w:i/>
            <w:iCs/>
            <w:sz w:val="18"/>
            <w:szCs w:val="18"/>
          </w:rPr>
          <w:t xml:space="preserve">perience report </w:t>
        </w:r>
        <w:r w:rsidR="00982147">
          <w:rPr>
            <w:rStyle w:val="Hyperlink"/>
            <w:rFonts w:cstheme="minorHAnsi"/>
            <w:i/>
            <w:iCs/>
            <w:sz w:val="18"/>
            <w:szCs w:val="18"/>
          </w:rPr>
          <w:t>–</w:t>
        </w:r>
        <w:r w:rsidR="00F44248" w:rsidRPr="00F44248">
          <w:rPr>
            <w:rStyle w:val="Hyperlink"/>
            <w:i/>
            <w:iCs/>
            <w:sz w:val="18"/>
            <w:szCs w:val="18"/>
          </w:rPr>
          <w:t xml:space="preserve"> accessing payment support from energy retailers</w:t>
        </w:r>
      </w:hyperlink>
      <w:r>
        <w:rPr>
          <w:sz w:val="18"/>
          <w:szCs w:val="18"/>
        </w:rPr>
        <w:t>, 22 July 2024, p.18.</w:t>
      </w:r>
    </w:p>
  </w:footnote>
  <w:footnote w:id="95">
    <w:p w14:paraId="26973486" w14:textId="0C531764" w:rsidR="00F17861" w:rsidRDefault="00F17861" w:rsidP="00F17861">
      <w:pPr>
        <w:spacing w:line="240" w:lineRule="auto"/>
        <w:rPr>
          <w:color w:val="000000"/>
          <w:sz w:val="18"/>
          <w:szCs w:val="18"/>
          <w:vertAlign w:val="superscript"/>
        </w:rPr>
      </w:pPr>
      <w:r w:rsidRPr="00800122">
        <w:rPr>
          <w:rStyle w:val="FootnoteReference"/>
          <w:color w:val="000000"/>
          <w:sz w:val="18"/>
          <w:szCs w:val="18"/>
        </w:rPr>
        <w:footnoteRef/>
      </w:r>
      <w:r w:rsidRPr="00800122">
        <w:rPr>
          <w:sz w:val="18"/>
          <w:szCs w:val="18"/>
        </w:rPr>
        <w:t xml:space="preserve"> </w:t>
      </w:r>
      <w:r w:rsidR="00A01201" w:rsidRPr="00A01201">
        <w:rPr>
          <w:sz w:val="18"/>
          <w:szCs w:val="18"/>
        </w:rPr>
        <w:t>Energy and Water Ombudsman New South Wales</w:t>
      </w:r>
      <w:r w:rsidR="00F44248">
        <w:rPr>
          <w:sz w:val="18"/>
          <w:szCs w:val="18"/>
        </w:rPr>
        <w:t xml:space="preserve">, </w:t>
      </w:r>
      <w:hyperlink r:id="rId76" w:history="1">
        <w:r w:rsidR="00A01201" w:rsidRPr="00A3006B">
          <w:rPr>
            <w:rStyle w:val="Hyperlink"/>
            <w:i/>
            <w:iCs/>
            <w:sz w:val="18"/>
            <w:szCs w:val="18"/>
          </w:rPr>
          <w:t>Annual Report 2023–24</w:t>
        </w:r>
      </w:hyperlink>
      <w:r w:rsidR="00F44248">
        <w:rPr>
          <w:sz w:val="18"/>
          <w:szCs w:val="18"/>
        </w:rPr>
        <w:t>,</w:t>
      </w:r>
      <w:r w:rsidR="00A01201" w:rsidRPr="00A01201">
        <w:rPr>
          <w:sz w:val="18"/>
          <w:szCs w:val="18"/>
        </w:rPr>
        <w:t xml:space="preserve"> p. 21.</w:t>
      </w:r>
      <w:r w:rsidR="00ED370E">
        <w:rPr>
          <w:sz w:val="18"/>
          <w:szCs w:val="18"/>
        </w:rPr>
        <w:t xml:space="preserve"> </w:t>
      </w:r>
      <w:r w:rsidR="00A01201">
        <w:rPr>
          <w:sz w:val="18"/>
          <w:szCs w:val="18"/>
        </w:rPr>
        <w:t>D</w:t>
      </w:r>
      <w:r w:rsidRPr="00800122">
        <w:rPr>
          <w:sz w:val="18"/>
          <w:szCs w:val="18"/>
        </w:rPr>
        <w:t xml:space="preserve">ata provided by EWON </w:t>
      </w:r>
      <w:r w:rsidR="00B21201">
        <w:rPr>
          <w:sz w:val="18"/>
          <w:szCs w:val="18"/>
        </w:rPr>
        <w:t xml:space="preserve">also </w:t>
      </w:r>
      <w:r w:rsidRPr="00800122">
        <w:rPr>
          <w:sz w:val="18"/>
          <w:szCs w:val="18"/>
        </w:rPr>
        <w:t>indicates that in July 2022, EWON received 1,352 complaints about their retailer, with only 35 customers seeking EWON services resulting from information on their bill, representing 2.6% of customers who contacted EWON. In June 2024, EWON received 2,213 complaints, with 419 customers obtaining information about EWON from bills, representing 18.9% of customers who contacted EWON</w:t>
      </w:r>
      <w:r w:rsidR="00045CBC">
        <w:rPr>
          <w:sz w:val="18"/>
          <w:szCs w:val="18"/>
        </w:rPr>
        <w:t xml:space="preserve"> ; </w:t>
      </w:r>
      <w:r w:rsidR="00045CBC" w:rsidRPr="00045CBC">
        <w:rPr>
          <w:sz w:val="18"/>
          <w:szCs w:val="18"/>
        </w:rPr>
        <w:t xml:space="preserve">The AER’s </w:t>
      </w:r>
      <w:hyperlink r:id="rId77" w:history="1">
        <w:r w:rsidR="00045CBC" w:rsidRPr="00932886">
          <w:rPr>
            <w:rStyle w:val="Hyperlink"/>
            <w:i/>
            <w:iCs/>
            <w:sz w:val="18"/>
            <w:szCs w:val="18"/>
          </w:rPr>
          <w:t>Better Bils Guideline</w:t>
        </w:r>
        <w:r w:rsidR="00DE4863" w:rsidRPr="00932886">
          <w:rPr>
            <w:rStyle w:val="Hyperlink"/>
            <w:i/>
            <w:iCs/>
            <w:sz w:val="18"/>
            <w:szCs w:val="18"/>
          </w:rPr>
          <w:t xml:space="preserve"> (Version 2)</w:t>
        </w:r>
      </w:hyperlink>
      <w:r w:rsidR="00045CBC" w:rsidRPr="00045CBC">
        <w:rPr>
          <w:sz w:val="18"/>
          <w:szCs w:val="18"/>
        </w:rPr>
        <w:t xml:space="preserve"> includes the telephone number of the relevant energy ombudsman in the list of ‘Tier 1’ information. Tier 1 information must appear on the first page of a paginated energy bill and at the beginning of an unpaginated bill.</w:t>
      </w:r>
    </w:p>
  </w:footnote>
  <w:footnote w:id="96">
    <w:p w14:paraId="0AF3C3B5" w14:textId="06899BD7" w:rsidR="00271B95" w:rsidRDefault="00271B95" w:rsidP="00271B95">
      <w:pPr>
        <w:pStyle w:val="FootnoteText"/>
      </w:pPr>
      <w:r>
        <w:rPr>
          <w:rStyle w:val="FootnoteReference"/>
        </w:rPr>
        <w:footnoteRef/>
      </w:r>
      <w:r>
        <w:t xml:space="preserve"> Under s</w:t>
      </w:r>
      <w:r>
        <w:rPr>
          <w:szCs w:val="18"/>
        </w:rPr>
        <w:t xml:space="preserve">ection 8 of the </w:t>
      </w:r>
      <w:r>
        <w:rPr>
          <w:i/>
          <w:iCs/>
          <w:szCs w:val="18"/>
        </w:rPr>
        <w:t>Essential Services Commission Act 2001</w:t>
      </w:r>
      <w:r>
        <w:rPr>
          <w:szCs w:val="18"/>
        </w:rPr>
        <w:t xml:space="preserve"> the objective of the commission is </w:t>
      </w:r>
      <w:r>
        <w:t xml:space="preserve">to promote the long-term interests of Victorian consumers. In performing our functions and powers to achieve this objective, we must have regard to the price, quality and reliability of essential services. </w:t>
      </w:r>
      <w:r>
        <w:rPr>
          <w:szCs w:val="18"/>
        </w:rPr>
        <w:t xml:space="preserve">Section 10 of the </w:t>
      </w:r>
      <w:r>
        <w:rPr>
          <w:i/>
          <w:iCs/>
          <w:szCs w:val="18"/>
        </w:rPr>
        <w:t>Electricity Industry Act 2000</w:t>
      </w:r>
      <w:r>
        <w:rPr>
          <w:szCs w:val="18"/>
        </w:rPr>
        <w:t xml:space="preserve"> and section 18 of the </w:t>
      </w:r>
      <w:r>
        <w:rPr>
          <w:i/>
          <w:iCs/>
          <w:szCs w:val="18"/>
        </w:rPr>
        <w:t>Gas Industry Act 2001</w:t>
      </w:r>
      <w:r>
        <w:rPr>
          <w:szCs w:val="18"/>
        </w:rPr>
        <w:t xml:space="preserve"> also require </w:t>
      </w:r>
      <w:r w:rsidR="00352F3F">
        <w:rPr>
          <w:szCs w:val="18"/>
        </w:rPr>
        <w:t>the commission</w:t>
      </w:r>
      <w:r>
        <w:rPr>
          <w:szCs w:val="18"/>
        </w:rPr>
        <w:t xml:space="preserve"> to promote: </w:t>
      </w:r>
      <w:r w:rsidRPr="0001560A">
        <w:rPr>
          <w:szCs w:val="18"/>
        </w:rPr>
        <w:t>a consistent regulatory approach between the gas industry and the electricity industry, to the extent that it is efficient and practicable to do so</w:t>
      </w:r>
      <w:r>
        <w:rPr>
          <w:szCs w:val="18"/>
        </w:rPr>
        <w:t xml:space="preserve">; </w:t>
      </w:r>
      <w:r w:rsidRPr="0001560A">
        <w:rPr>
          <w:szCs w:val="18"/>
        </w:rPr>
        <w:t>the development of full retail competition</w:t>
      </w:r>
      <w:r>
        <w:rPr>
          <w:szCs w:val="18"/>
        </w:rPr>
        <w:t xml:space="preserve">; and </w:t>
      </w:r>
      <w:r w:rsidRPr="0001560A">
        <w:rPr>
          <w:szCs w:val="18"/>
        </w:rPr>
        <w:t>protections for customers, including assisting customers who are facing payment difficulties</w:t>
      </w:r>
      <w:r>
        <w:rPr>
          <w:szCs w:val="18"/>
        </w:rPr>
        <w:t>.</w:t>
      </w:r>
    </w:p>
  </w:footnote>
  <w:footnote w:id="97">
    <w:p w14:paraId="378D4A2C" w14:textId="02DBE2CC" w:rsidR="00BC1EF6" w:rsidRDefault="00BC1EF6" w:rsidP="00BC1EF6">
      <w:pPr>
        <w:pStyle w:val="FootnoteText"/>
      </w:pPr>
      <w:r>
        <w:rPr>
          <w:rStyle w:val="FootnoteReference"/>
        </w:rPr>
        <w:footnoteRef/>
      </w:r>
      <w:r>
        <w:t xml:space="preserve"> Clause 109(2) and (3) of the </w:t>
      </w:r>
      <w:hyperlink r:id="rId78" w:anchor="toc-current-version-of-the-energy-retail-code-of-practice" w:history="1">
        <w:r w:rsidR="009E13F5">
          <w:rPr>
            <w:rStyle w:val="Hyperlink"/>
          </w:rPr>
          <w:t>Energy Retail Code of Practice (version 3)</w:t>
        </w:r>
      </w:hyperlink>
      <w:r w:rsidR="009E13F5">
        <w:t>.</w:t>
      </w:r>
    </w:p>
  </w:footnote>
  <w:footnote w:id="98">
    <w:p w14:paraId="42634909" w14:textId="50DB1E5E" w:rsidR="00BC1EF6" w:rsidRDefault="00BC1EF6" w:rsidP="00BC1EF6">
      <w:pPr>
        <w:pStyle w:val="FootnoteText"/>
      </w:pPr>
      <w:r>
        <w:rPr>
          <w:rStyle w:val="FootnoteReference"/>
        </w:rPr>
        <w:footnoteRef/>
      </w:r>
      <w:r>
        <w:t xml:space="preserve"> Essential Services Commission, </w:t>
      </w:r>
      <w:hyperlink r:id="rId79" w:history="1">
        <w:r w:rsidRPr="00910CBC">
          <w:rPr>
            <w:rStyle w:val="Hyperlink"/>
            <w:i/>
            <w:iCs/>
          </w:rPr>
          <w:t>Building trust through new customer entitlements in the retail energy market: Final Decision</w:t>
        </w:r>
        <w:r w:rsidRPr="00910CBC">
          <w:rPr>
            <w:rStyle w:val="Hyperlink"/>
          </w:rPr>
          <w:t>,</w:t>
        </w:r>
      </w:hyperlink>
      <w:r>
        <w:t xml:space="preserve"> 30 October 2018, p. 66.</w:t>
      </w:r>
    </w:p>
  </w:footnote>
  <w:footnote w:id="99">
    <w:p w14:paraId="502A6489" w14:textId="77777777" w:rsidR="00A462FD" w:rsidRDefault="00A462FD" w:rsidP="00A462FD">
      <w:pPr>
        <w:pStyle w:val="FootnoteText"/>
      </w:pPr>
      <w:r>
        <w:rPr>
          <w:rStyle w:val="FootnoteReference"/>
        </w:rPr>
        <w:footnoteRef/>
      </w:r>
      <w:r>
        <w:t xml:space="preserve"> Ibid; The Behavioural Insights Team, </w:t>
      </w:r>
      <w:hyperlink r:id="rId80" w:history="1">
        <w:r w:rsidRPr="001316F0">
          <w:rPr>
            <w:rStyle w:val="Hyperlink"/>
            <w:i/>
            <w:iCs/>
          </w:rPr>
          <w:t>Testing the impac</w:t>
        </w:r>
        <w:bookmarkStart w:id="107" w:name="_Hlt198042656"/>
        <w:bookmarkStart w:id="108" w:name="_Hlt198042657"/>
        <w:r w:rsidRPr="001316F0">
          <w:rPr>
            <w:rStyle w:val="Hyperlink"/>
            <w:i/>
            <w:iCs/>
          </w:rPr>
          <w:t>t</w:t>
        </w:r>
        <w:bookmarkEnd w:id="107"/>
        <w:bookmarkEnd w:id="108"/>
        <w:r w:rsidRPr="001316F0">
          <w:rPr>
            <w:rStyle w:val="Hyperlink"/>
            <w:i/>
            <w:iCs/>
          </w:rPr>
          <w:t xml:space="preserve"> of behaviourally informed energy bills and best offers</w:t>
        </w:r>
      </w:hyperlink>
      <w:r>
        <w:t>, 2018, p. 37.</w:t>
      </w:r>
    </w:p>
  </w:footnote>
  <w:footnote w:id="100">
    <w:p w14:paraId="055FCB7E" w14:textId="6AB503C2" w:rsidR="00A462FD" w:rsidRDefault="00A462FD" w:rsidP="00A462FD">
      <w:pPr>
        <w:pStyle w:val="FootnoteText"/>
      </w:pPr>
      <w:r w:rsidRPr="00286FCA">
        <w:rPr>
          <w:rStyle w:val="FootnoteReference"/>
        </w:rPr>
        <w:footnoteRef/>
      </w:r>
      <w:r w:rsidRPr="00286FCA">
        <w:t xml:space="preserve"> Whereto Research, </w:t>
      </w:r>
      <w:r w:rsidRPr="00286FCA">
        <w:rPr>
          <w:i/>
          <w:iCs/>
        </w:rPr>
        <w:t>Consumer focus group stand-up and delivery to support the Energy Retail Code of Practice Review</w:t>
      </w:r>
      <w:r w:rsidRPr="00286FCA">
        <w:t>, March 2025, p. 12</w:t>
      </w:r>
      <w:r w:rsidR="00982147" w:rsidRPr="00286FCA">
        <w:rPr>
          <w:rFonts w:cstheme="minorHAnsi"/>
        </w:rPr>
        <w:t>–</w:t>
      </w:r>
      <w:r w:rsidRPr="00286FCA">
        <w:t>13.</w:t>
      </w:r>
    </w:p>
  </w:footnote>
  <w:footnote w:id="101">
    <w:p w14:paraId="422EF354" w14:textId="59BAA9FB" w:rsidR="004F4A18" w:rsidRDefault="004F4A18" w:rsidP="004F4A18">
      <w:pPr>
        <w:pStyle w:val="FootnoteText"/>
      </w:pPr>
      <w:r>
        <w:rPr>
          <w:rStyle w:val="FootnoteReference"/>
        </w:rPr>
        <w:footnoteRef/>
      </w:r>
      <w:r>
        <w:t xml:space="preserve"> Based on an average Victorian Default Offer for domestic customers in 2024–25 is $1,655 (based on annual usage of 4,000 kWh). Essential Services Commission, </w:t>
      </w:r>
      <w:hyperlink r:id="rId81" w:history="1">
        <w:r w:rsidRPr="00875C0A">
          <w:rPr>
            <w:rStyle w:val="Hyperlink"/>
            <w:i/>
            <w:iCs/>
          </w:rPr>
          <w:t>Victorian Default Offer 2024–25: Final decision paper</w:t>
        </w:r>
      </w:hyperlink>
      <w:r>
        <w:t>, 20 May 2024, p. 1.</w:t>
      </w:r>
    </w:p>
  </w:footnote>
  <w:footnote w:id="102">
    <w:p w14:paraId="385A85FD" w14:textId="72AD716C" w:rsidR="00345EB4" w:rsidRDefault="00345EB4">
      <w:pPr>
        <w:pStyle w:val="FootnoteText"/>
      </w:pPr>
      <w:r>
        <w:rPr>
          <w:rStyle w:val="FootnoteReference"/>
        </w:rPr>
        <w:footnoteRef/>
      </w:r>
      <w:r>
        <w:t xml:space="preserve"> </w:t>
      </w:r>
      <w:r w:rsidR="00937D94">
        <w:t xml:space="preserve">Our estimates are based </w:t>
      </w:r>
      <w:r w:rsidR="008F16E3">
        <w:t>on</w:t>
      </w:r>
      <w:r w:rsidR="00937D94">
        <w:t xml:space="preserve"> </w:t>
      </w:r>
      <w:r w:rsidR="0032248E">
        <w:t>data from</w:t>
      </w:r>
      <w:r w:rsidR="00583EEE">
        <w:t xml:space="preserve"> September 2023 </w:t>
      </w:r>
      <w:r w:rsidR="0032248E">
        <w:t>to</w:t>
      </w:r>
      <w:r w:rsidR="00583EEE">
        <w:t xml:space="preserve"> October 2024. </w:t>
      </w:r>
      <w:r w:rsidR="00B01EC4">
        <w:t xml:space="preserve">We assume an average response rate to best offer messages of one per cent, </w:t>
      </w:r>
      <w:r w:rsidR="00D10376">
        <w:t xml:space="preserve">based on </w:t>
      </w:r>
      <w:r w:rsidR="000519F6">
        <w:t xml:space="preserve">current </w:t>
      </w:r>
      <w:r w:rsidR="00CC6DF9">
        <w:t>switching rates</w:t>
      </w:r>
      <w:r w:rsidR="00F40BE9">
        <w:t xml:space="preserve">. We assume </w:t>
      </w:r>
      <w:r w:rsidR="001F0049">
        <w:t xml:space="preserve">an actual response rate for customers affected by this change of </w:t>
      </w:r>
      <w:r w:rsidR="008E7F55">
        <w:t>0.</w:t>
      </w:r>
      <w:r w:rsidR="00DC4B65">
        <w:t>25</w:t>
      </w:r>
      <w:r w:rsidR="008E7F55">
        <w:t xml:space="preserve"> to 0.5 per cent, </w:t>
      </w:r>
      <w:r w:rsidR="00AF10B4">
        <w:t>as</w:t>
      </w:r>
      <w:r w:rsidR="00F91248">
        <w:t xml:space="preserve"> the </w:t>
      </w:r>
      <w:r w:rsidR="00AF10B4">
        <w:t xml:space="preserve">relatively low savings reported on best offer messages for this group of customers </w:t>
      </w:r>
      <w:r w:rsidR="00310DFD">
        <w:t xml:space="preserve">means we expect them to have a lower response rate. </w:t>
      </w:r>
      <w:r w:rsidR="000334A4">
        <w:t>To calculate the potential impact, we assume all customers who respond to the best offer message would save $50</w:t>
      </w:r>
      <w:r w:rsidR="00DC4B65">
        <w:t xml:space="preserve"> each per year</w:t>
      </w:r>
      <w:r w:rsidR="00535332">
        <w:t>.</w:t>
      </w:r>
    </w:p>
  </w:footnote>
  <w:footnote w:id="103">
    <w:p w14:paraId="45310F5D" w14:textId="08204D9A" w:rsidR="006E140E" w:rsidRDefault="006E140E" w:rsidP="006E140E">
      <w:pPr>
        <w:pStyle w:val="FootnoteText"/>
      </w:pPr>
      <w:r>
        <w:rPr>
          <w:rStyle w:val="FootnoteReference"/>
        </w:rPr>
        <w:footnoteRef/>
      </w:r>
      <w:r w:rsidR="00F95B26">
        <w:t xml:space="preserve"> Essential Services Commission,</w:t>
      </w:r>
      <w:r>
        <w:t xml:space="preserve"> </w:t>
      </w:r>
      <w:hyperlink r:id="rId82" w:history="1">
        <w:r w:rsidRPr="00F95B26">
          <w:rPr>
            <w:rStyle w:val="Hyperlink"/>
            <w:i/>
          </w:rPr>
          <w:t>Amendments to the Energy Retail Code: Revised Minimum Disconnection Amount</w:t>
        </w:r>
      </w:hyperlink>
      <w:r w:rsidR="00F95B26">
        <w:t>, 10 October 2017.</w:t>
      </w:r>
      <w:r>
        <w:t xml:space="preserve"> This threshold was later incorporated in legislation through section 40SM(1)(b)(i) of the </w:t>
      </w:r>
      <w:r>
        <w:rPr>
          <w:i/>
          <w:iCs/>
        </w:rPr>
        <w:t>Electricity Industry Act 2000</w:t>
      </w:r>
      <w:r>
        <w:t xml:space="preserve"> and section 48DO(1)(b)(i) of the </w:t>
      </w:r>
      <w:r>
        <w:rPr>
          <w:i/>
          <w:iCs/>
        </w:rPr>
        <w:t>Gas Industry Act 2001</w:t>
      </w:r>
      <w:r>
        <w:t>.</w:t>
      </w:r>
    </w:p>
  </w:footnote>
  <w:footnote w:id="104">
    <w:p w14:paraId="7DF1285F" w14:textId="10309ACF" w:rsidR="00B4660F" w:rsidRPr="0058512C" w:rsidRDefault="00B4660F" w:rsidP="00B4660F">
      <w:pPr>
        <w:pStyle w:val="FootnoteText"/>
        <w:rPr>
          <w:lang w:val="en-US"/>
        </w:rPr>
      </w:pPr>
      <w:r>
        <w:rPr>
          <w:rStyle w:val="FootnoteReference"/>
        </w:rPr>
        <w:footnoteRef/>
      </w:r>
      <w:r>
        <w:t xml:space="preserve"> Based on compliance and performance data provided by retailers. Some of this data is published in our </w:t>
      </w:r>
      <w:hyperlink r:id="rId83" w:history="1">
        <w:r w:rsidRPr="00AB255F">
          <w:rPr>
            <w:rStyle w:val="Hyperlink"/>
            <w:szCs w:val="18"/>
          </w:rPr>
          <w:t>Victorian Energy Market Dashboard</w:t>
        </w:r>
      </w:hyperlink>
      <w:r>
        <w:rPr>
          <w:szCs w:val="18"/>
        </w:rPr>
        <w:t>.</w:t>
      </w:r>
    </w:p>
  </w:footnote>
  <w:footnote w:id="105">
    <w:p w14:paraId="0627441F" w14:textId="5A4DBF4C" w:rsidR="006E140E" w:rsidRDefault="006E140E" w:rsidP="006E140E">
      <w:pPr>
        <w:pStyle w:val="FootnoteText"/>
      </w:pPr>
      <w:r>
        <w:rPr>
          <w:rStyle w:val="FootnoteReference"/>
        </w:rPr>
        <w:footnoteRef/>
      </w:r>
      <w:r>
        <w:t xml:space="preserve"> St Vincent de Paul’s latest tariff tracking report found the average gas market offer in Victoria produces an annual bill of between $2,115 and $2,265 for households using 63,000 MJ per year. </w:t>
      </w:r>
      <w:r>
        <w:rPr>
          <w:szCs w:val="18"/>
        </w:rPr>
        <w:t xml:space="preserve">St Vincent de Paul, </w:t>
      </w:r>
      <w:hyperlink r:id="rId84" w:history="1">
        <w:r>
          <w:rPr>
            <w:i/>
            <w:iCs/>
            <w:color w:val="0000FF"/>
            <w:szCs w:val="18"/>
            <w:u w:val="single" w:color="0000FF"/>
          </w:rPr>
          <w:t>Victoria Energy Prices January 2025: An update report on the Victorian Tariff-Tracking Project</w:t>
        </w:r>
      </w:hyperlink>
      <w:r>
        <w:rPr>
          <w:szCs w:val="18"/>
        </w:rPr>
        <w:t>, February 2025, p. 2.</w:t>
      </w:r>
    </w:p>
  </w:footnote>
  <w:footnote w:id="106">
    <w:p w14:paraId="5BF58F68" w14:textId="77777777" w:rsidR="00FB3D87" w:rsidRDefault="00FB3D87" w:rsidP="00FB3D87">
      <w:pPr>
        <w:pStyle w:val="FootnoteText"/>
      </w:pPr>
      <w:r>
        <w:rPr>
          <w:rStyle w:val="FootnoteReference"/>
        </w:rPr>
        <w:footnoteRef/>
      </w:r>
      <w:r>
        <w:t xml:space="preserve"> </w:t>
      </w:r>
      <w:hyperlink r:id="rId85" w:history="1">
        <w:r w:rsidRPr="00DF6774">
          <w:rPr>
            <w:rStyle w:val="Hyperlink"/>
          </w:rPr>
          <w:t>Heat in Homes Survey Report 2025</w:t>
        </w:r>
      </w:hyperlink>
      <w:r>
        <w:t xml:space="preserve">, </w:t>
      </w:r>
      <w:r w:rsidRPr="00764277">
        <w:t>Australian Council of Social Service</w:t>
      </w:r>
      <w:r>
        <w:t xml:space="preserve">, accessed 24 April 2025. </w:t>
      </w:r>
    </w:p>
  </w:footnote>
  <w:footnote w:id="107">
    <w:p w14:paraId="1F2773E3" w14:textId="35EBEE91" w:rsidR="00FD3009" w:rsidRDefault="00FD3009" w:rsidP="009E7F86">
      <w:pPr>
        <w:spacing w:line="240" w:lineRule="auto"/>
      </w:pPr>
      <w:r>
        <w:rPr>
          <w:rStyle w:val="FootnoteReference"/>
        </w:rPr>
        <w:footnoteRef/>
      </w:r>
      <w:r>
        <w:t xml:space="preserve"> </w:t>
      </w:r>
      <w:r w:rsidR="009026D4">
        <w:rPr>
          <w:sz w:val="18"/>
          <w:szCs w:val="20"/>
        </w:rPr>
        <w:t xml:space="preserve">Four retailers commented that </w:t>
      </w:r>
      <w:r w:rsidR="00CB0A19">
        <w:rPr>
          <w:sz w:val="18"/>
          <w:szCs w:val="20"/>
        </w:rPr>
        <w:t xml:space="preserve">the highest once-off costs could relate to </w:t>
      </w:r>
      <w:r w:rsidR="00D0340C">
        <w:rPr>
          <w:sz w:val="18"/>
          <w:szCs w:val="20"/>
        </w:rPr>
        <w:t xml:space="preserve">major IT system </w:t>
      </w:r>
      <w:r w:rsidR="00CB0A19">
        <w:rPr>
          <w:sz w:val="18"/>
          <w:szCs w:val="20"/>
        </w:rPr>
        <w:t>changes</w:t>
      </w:r>
      <w:r w:rsidR="009026D4">
        <w:rPr>
          <w:sz w:val="18"/>
          <w:szCs w:val="20"/>
        </w:rPr>
        <w:t>, and</w:t>
      </w:r>
      <w:r w:rsidR="00FB7C08">
        <w:rPr>
          <w:sz w:val="18"/>
          <w:szCs w:val="20"/>
        </w:rPr>
        <w:t xml:space="preserve"> one retailer provided </w:t>
      </w:r>
      <w:r w:rsidR="003B7BF5">
        <w:rPr>
          <w:sz w:val="18"/>
          <w:szCs w:val="20"/>
        </w:rPr>
        <w:t>confidential</w:t>
      </w:r>
      <w:r w:rsidR="00FB7C08">
        <w:rPr>
          <w:sz w:val="18"/>
          <w:szCs w:val="20"/>
        </w:rPr>
        <w:t xml:space="preserve"> </w:t>
      </w:r>
      <w:r w:rsidR="003B7BF5">
        <w:rPr>
          <w:sz w:val="18"/>
          <w:szCs w:val="20"/>
        </w:rPr>
        <w:t xml:space="preserve">cost estimates in response </w:t>
      </w:r>
      <w:r w:rsidRPr="00FB7C08">
        <w:rPr>
          <w:sz w:val="18"/>
          <w:szCs w:val="20"/>
        </w:rPr>
        <w:t xml:space="preserve">to </w:t>
      </w:r>
      <w:r w:rsidR="003B7BF5">
        <w:rPr>
          <w:sz w:val="18"/>
          <w:szCs w:val="20"/>
        </w:rPr>
        <w:t>our</w:t>
      </w:r>
      <w:r w:rsidRPr="00FB7C08">
        <w:rPr>
          <w:sz w:val="18"/>
          <w:szCs w:val="20"/>
        </w:rPr>
        <w:t xml:space="preserve"> issues and discussion paper</w:t>
      </w:r>
      <w:r w:rsidR="003B7BF5">
        <w:rPr>
          <w:sz w:val="18"/>
          <w:szCs w:val="20"/>
        </w:rPr>
        <w:t xml:space="preserve">s. </w:t>
      </w:r>
    </w:p>
  </w:footnote>
  <w:footnote w:id="108">
    <w:p w14:paraId="6362F0BE" w14:textId="00405EB0" w:rsidR="00D67F95" w:rsidRPr="00291D82" w:rsidRDefault="00D67F95" w:rsidP="00D67F95">
      <w:pPr>
        <w:pStyle w:val="FootnoteText"/>
        <w:spacing w:before="120"/>
      </w:pPr>
      <w:r>
        <w:rPr>
          <w:rStyle w:val="FootnoteReference"/>
        </w:rPr>
        <w:footnoteRef/>
      </w:r>
      <w:r>
        <w:t xml:space="preserve"> Cost </w:t>
      </w:r>
      <w:r w:rsidR="0070162B" w:rsidRPr="0070162B">
        <w:t>to government has been assigned a lower weighting compared to effectiveness and cost to industry in recognition that cost to industry also includes considerations of transferred costs that may be passed to the wider customer base. As a result, cost to government is weighted lower to reflect the reduced relative importance to the policy decisions for the proposed reforms.</w:t>
      </w:r>
    </w:p>
  </w:footnote>
  <w:footnote w:id="109">
    <w:p w14:paraId="7AA6C1F4" w14:textId="77777777" w:rsidR="0071191A" w:rsidRDefault="0071191A" w:rsidP="0071191A">
      <w:pPr>
        <w:pStyle w:val="FootnoteText"/>
        <w:rPr>
          <w:color w:val="000000"/>
          <w:vertAlign w:val="superscript"/>
        </w:rPr>
      </w:pPr>
      <w:r>
        <w:rPr>
          <w:rStyle w:val="FootnoteReference"/>
          <w:rFonts w:ascii="Arial" w:eastAsia="Arial" w:hAnsi="Arial" w:cs="Arial"/>
          <w:color w:val="000000"/>
          <w:szCs w:val="18"/>
        </w:rPr>
        <w:footnoteRef/>
      </w:r>
      <w:r>
        <w:t xml:space="preserve"> These theories include economic principles such as diminishing marginal utility, opportunity cost, and income elasticity of demand. Diminishing marginal utility states that as a person consumes more of a good or service, the additional satisfaction (utility) gained from each extra unit decreases. Opportunity cost refers to the value of the best alternative foregone when a decision is made. Since a person in financial distress operates under strict budget constraints, their opportunity cost for every dollar spent is high. Income elasticity of demand measures how the demand for goods and services responds to changes in income. Less well-off individuals or family units have a higher marginal propensity to consume, meaning they are more likely to spend an additional dollar on essential goods and services.</w:t>
      </w:r>
    </w:p>
  </w:footnote>
  <w:footnote w:id="110">
    <w:p w14:paraId="7620DB68" w14:textId="51D18770" w:rsidR="002607B4" w:rsidRPr="00805D42" w:rsidRDefault="002607B4" w:rsidP="002607B4">
      <w:pPr>
        <w:pStyle w:val="FootnoteText"/>
      </w:pPr>
      <w:r>
        <w:rPr>
          <w:rStyle w:val="FootnoteReference"/>
        </w:rPr>
        <w:footnoteRef/>
      </w:r>
      <w:r>
        <w:t xml:space="preserve"> </w:t>
      </w:r>
      <w:r>
        <w:rPr>
          <w:szCs w:val="18"/>
        </w:rPr>
        <w:t xml:space="preserve">Essential Services Commission, </w:t>
      </w:r>
      <w:hyperlink r:id="rId86" w:anchor="toc-latest-publication" w:history="1">
        <w:r w:rsidRPr="00C95D7A">
          <w:rPr>
            <w:rStyle w:val="Hyperlink"/>
            <w:i/>
            <w:iCs/>
            <w:szCs w:val="18"/>
          </w:rPr>
          <w:t>Victorian Energy Market Report</w:t>
        </w:r>
        <w:r w:rsidRPr="000C62F7">
          <w:rPr>
            <w:rStyle w:val="Hyperlink"/>
            <w:szCs w:val="18"/>
          </w:rPr>
          <w:t>:</w:t>
        </w:r>
        <w:r w:rsidRPr="00FC2E32">
          <w:rPr>
            <w:rStyle w:val="Hyperlink"/>
            <w:i/>
            <w:szCs w:val="18"/>
          </w:rPr>
          <w:t xml:space="preserve"> Annual 2024</w:t>
        </w:r>
      </w:hyperlink>
      <w:r>
        <w:rPr>
          <w:szCs w:val="18"/>
        </w:rPr>
        <w:t>, 29 November 2024, p. 6.</w:t>
      </w:r>
    </w:p>
  </w:footnote>
  <w:footnote w:id="111">
    <w:p w14:paraId="658E0BF5" w14:textId="77777777" w:rsidR="002607B4" w:rsidRDefault="002607B4" w:rsidP="002607B4">
      <w:pPr>
        <w:pStyle w:val="FootnoteText"/>
      </w:pPr>
      <w:r>
        <w:rPr>
          <w:rStyle w:val="FootnoteReference"/>
        </w:rPr>
        <w:footnoteRef/>
      </w:r>
      <w:r>
        <w:t xml:space="preserve"> Ibid, p. 6 (Figure 1). </w:t>
      </w:r>
    </w:p>
  </w:footnote>
  <w:footnote w:id="112">
    <w:p w14:paraId="156D947E" w14:textId="77777777" w:rsidR="002607B4" w:rsidRDefault="002607B4" w:rsidP="002607B4">
      <w:pPr>
        <w:pStyle w:val="FootnoteText"/>
      </w:pPr>
      <w:r>
        <w:rPr>
          <w:rStyle w:val="FootnoteReference"/>
        </w:rPr>
        <w:footnoteRef/>
      </w:r>
      <w:r>
        <w:t xml:space="preserve"> Ibid, p. 10 (Figure 6). </w:t>
      </w:r>
    </w:p>
  </w:footnote>
  <w:footnote w:id="113">
    <w:p w14:paraId="27E65B20" w14:textId="5E5613C5" w:rsidR="002607B4" w:rsidRPr="00137D17" w:rsidRDefault="002607B4" w:rsidP="002607B4">
      <w:pPr>
        <w:pStyle w:val="FootnoteText"/>
      </w:pPr>
      <w:r>
        <w:rPr>
          <w:rStyle w:val="FootnoteReference"/>
        </w:rPr>
        <w:footnoteRef/>
      </w:r>
      <w:r>
        <w:t xml:space="preserve"> Essential Services Commission, </w:t>
      </w:r>
      <w:hyperlink r:id="rId87" w:anchor="toc-key-resources" w:history="1">
        <w:r w:rsidRPr="009179BC">
          <w:rPr>
            <w:rStyle w:val="Hyperlink"/>
            <w:i/>
            <w:iCs/>
          </w:rPr>
          <w:t xml:space="preserve">Payment </w:t>
        </w:r>
        <w:r w:rsidR="00E533DD">
          <w:rPr>
            <w:rStyle w:val="Hyperlink"/>
            <w:i/>
            <w:iCs/>
          </w:rPr>
          <w:t>D</w:t>
        </w:r>
        <w:r w:rsidRPr="009179BC">
          <w:rPr>
            <w:rStyle w:val="Hyperlink"/>
            <w:i/>
            <w:iCs/>
          </w:rPr>
          <w:t xml:space="preserve">ifficulty </w:t>
        </w:r>
        <w:r w:rsidR="00E533DD">
          <w:rPr>
            <w:rStyle w:val="Hyperlink"/>
            <w:i/>
            <w:iCs/>
          </w:rPr>
          <w:t>F</w:t>
        </w:r>
        <w:r w:rsidRPr="009179BC">
          <w:rPr>
            <w:rStyle w:val="Hyperlink"/>
            <w:i/>
            <w:iCs/>
          </w:rPr>
          <w:t xml:space="preserve">ramework: Final </w:t>
        </w:r>
        <w:r w:rsidR="00E533DD">
          <w:rPr>
            <w:rStyle w:val="Hyperlink"/>
            <w:i/>
            <w:iCs/>
          </w:rPr>
          <w:t>D</w:t>
        </w:r>
        <w:r w:rsidRPr="009179BC">
          <w:rPr>
            <w:rStyle w:val="Hyperlink"/>
            <w:i/>
            <w:iCs/>
          </w:rPr>
          <w:t>ecision</w:t>
        </w:r>
      </w:hyperlink>
      <w:r>
        <w:t>, 10 October 2017, p. xiv.</w:t>
      </w:r>
    </w:p>
  </w:footnote>
  <w:footnote w:id="114">
    <w:p w14:paraId="4B429AB0" w14:textId="1FE7FF7C" w:rsidR="002607B4" w:rsidRPr="0099406C" w:rsidRDefault="002607B4" w:rsidP="002607B4">
      <w:pPr>
        <w:pStyle w:val="FootnoteText"/>
      </w:pPr>
      <w:r>
        <w:rPr>
          <w:rStyle w:val="FootnoteReference"/>
        </w:rPr>
        <w:footnoteRef/>
      </w:r>
      <w:r>
        <w:t xml:space="preserve"> Clause 128(1)(f)(i) of the </w:t>
      </w:r>
      <w:hyperlink r:id="rId88" w:anchor="toc-current-version-of-the-energy-retail-code-of-practice" w:history="1">
        <w:r w:rsidR="005A5BCC">
          <w:rPr>
            <w:rStyle w:val="Hyperlink"/>
          </w:rPr>
          <w:t>Energy Retail Code of Practice (version 3)</w:t>
        </w:r>
      </w:hyperlink>
      <w:r w:rsidR="005A5BCC">
        <w:t>.</w:t>
      </w:r>
      <w:r>
        <w:t xml:space="preserve"> </w:t>
      </w:r>
    </w:p>
  </w:footnote>
  <w:footnote w:id="115">
    <w:p w14:paraId="55353764" w14:textId="43A6AA53" w:rsidR="002607B4" w:rsidRPr="009C1105" w:rsidRDefault="002607B4" w:rsidP="002607B4">
      <w:pPr>
        <w:pStyle w:val="FootnoteText"/>
      </w:pPr>
      <w:r>
        <w:rPr>
          <w:rStyle w:val="FootnoteReference"/>
        </w:rPr>
        <w:footnoteRef/>
      </w:r>
      <w:r>
        <w:t xml:space="preserve"> Essential Services Commission, </w:t>
      </w:r>
      <w:hyperlink r:id="rId89" w:history="1">
        <w:r w:rsidRPr="002D39B6">
          <w:rPr>
            <w:rStyle w:val="Hyperlink"/>
            <w:i/>
            <w:iCs/>
          </w:rPr>
          <w:t xml:space="preserve">Payment </w:t>
        </w:r>
        <w:r w:rsidR="00AE1B55">
          <w:rPr>
            <w:rStyle w:val="Hyperlink"/>
            <w:i/>
            <w:iCs/>
          </w:rPr>
          <w:t>D</w:t>
        </w:r>
        <w:r w:rsidRPr="002D39B6">
          <w:rPr>
            <w:rStyle w:val="Hyperlink"/>
            <w:i/>
            <w:iCs/>
          </w:rPr>
          <w:t xml:space="preserve">ifficulty </w:t>
        </w:r>
        <w:r w:rsidR="00AE1B55">
          <w:rPr>
            <w:rStyle w:val="Hyperlink"/>
            <w:i/>
            <w:iCs/>
          </w:rPr>
          <w:t>F</w:t>
        </w:r>
        <w:r w:rsidRPr="002D39B6">
          <w:rPr>
            <w:rStyle w:val="Hyperlink"/>
            <w:i/>
            <w:iCs/>
          </w:rPr>
          <w:t xml:space="preserve">ramework </w:t>
        </w:r>
        <w:r w:rsidR="00AE1B55">
          <w:rPr>
            <w:rStyle w:val="Hyperlink"/>
            <w:i/>
            <w:iCs/>
          </w:rPr>
          <w:t>I</w:t>
        </w:r>
        <w:r w:rsidRPr="002D39B6">
          <w:rPr>
            <w:rStyle w:val="Hyperlink"/>
            <w:i/>
            <w:iCs/>
          </w:rPr>
          <w:t xml:space="preserve">mplementation </w:t>
        </w:r>
        <w:r w:rsidR="00AE1B55">
          <w:rPr>
            <w:rStyle w:val="Hyperlink"/>
            <w:i/>
            <w:iCs/>
          </w:rPr>
          <w:t>R</w:t>
        </w:r>
        <w:r w:rsidRPr="002D39B6">
          <w:rPr>
            <w:rStyle w:val="Hyperlink"/>
            <w:i/>
            <w:iCs/>
          </w:rPr>
          <w:t xml:space="preserve">eview 2022: Findings </w:t>
        </w:r>
        <w:r w:rsidR="00AE1B55">
          <w:rPr>
            <w:rStyle w:val="Hyperlink"/>
            <w:i/>
            <w:iCs/>
          </w:rPr>
          <w:t>R</w:t>
        </w:r>
        <w:r w:rsidRPr="002D39B6">
          <w:rPr>
            <w:rStyle w:val="Hyperlink"/>
            <w:i/>
            <w:iCs/>
          </w:rPr>
          <w:t>eport</w:t>
        </w:r>
      </w:hyperlink>
      <w:r>
        <w:t xml:space="preserve">, 31 May 2022, p. 9. </w:t>
      </w:r>
    </w:p>
  </w:footnote>
  <w:footnote w:id="116">
    <w:p w14:paraId="759ACEEB" w14:textId="45975280" w:rsidR="002607B4" w:rsidRDefault="002607B4" w:rsidP="002607B4">
      <w:pPr>
        <w:pStyle w:val="FootnoteText"/>
      </w:pPr>
      <w:r>
        <w:rPr>
          <w:rStyle w:val="FootnoteReference"/>
        </w:rPr>
        <w:footnoteRef/>
      </w:r>
      <w:r>
        <w:t xml:space="preserve"> </w:t>
      </w:r>
      <w:r w:rsidR="008D1631">
        <w:rPr>
          <w:szCs w:val="18"/>
        </w:rPr>
        <w:t>Consumer Action Law Centre,</w:t>
      </w:r>
      <w:r w:rsidR="008D1631" w:rsidRPr="00C4773C">
        <w:t xml:space="preserve"> </w:t>
      </w:r>
      <w:hyperlink r:id="rId90" w:anchor="tabs-container3" w:history="1">
        <w:r w:rsidR="00074AFC">
          <w:rPr>
            <w:rStyle w:val="Hyperlink"/>
            <w:i/>
            <w:iCs/>
            <w:szCs w:val="18"/>
          </w:rPr>
          <w:t>submission to the Essential Services Commission ‘Energy Retail Code of Practice: Issues Paper’</w:t>
        </w:r>
      </w:hyperlink>
      <w:r w:rsidR="008D1631" w:rsidRPr="00C4773C">
        <w:rPr>
          <w:szCs w:val="18"/>
        </w:rPr>
        <w:t>,</w:t>
      </w:r>
      <w:r w:rsidR="008D1631">
        <w:rPr>
          <w:szCs w:val="18"/>
        </w:rPr>
        <w:t xml:space="preserve"> 26 July 2024</w:t>
      </w:r>
      <w:r>
        <w:rPr>
          <w:szCs w:val="18"/>
        </w:rPr>
        <w:t>, pp. 12</w:t>
      </w:r>
      <w:r w:rsidR="00982147">
        <w:rPr>
          <w:rFonts w:cstheme="minorHAnsi"/>
          <w:szCs w:val="18"/>
        </w:rPr>
        <w:t>–</w:t>
      </w:r>
      <w:r>
        <w:rPr>
          <w:szCs w:val="18"/>
        </w:rPr>
        <w:t xml:space="preserve">13; </w:t>
      </w:r>
      <w:r w:rsidR="00AA0987">
        <w:t xml:space="preserve">Energy and Water Ombudsman Victoria, </w:t>
      </w:r>
      <w:hyperlink r:id="rId91" w:anchor="tabs-container3" w:history="1">
        <w:r w:rsidR="00074AFC">
          <w:rPr>
            <w:rStyle w:val="Hyperlink"/>
            <w:i/>
          </w:rPr>
          <w:t>submission to the Essential Services Commission ‘Energy Retail Code of Practice: Issues Paper’</w:t>
        </w:r>
      </w:hyperlink>
      <w:r w:rsidR="00AA0987">
        <w:t>, 31 July 2024</w:t>
      </w:r>
      <w:r w:rsidRPr="005A34A4">
        <w:rPr>
          <w:szCs w:val="18"/>
        </w:rPr>
        <w:t>, p</w:t>
      </w:r>
      <w:r>
        <w:rPr>
          <w:szCs w:val="18"/>
        </w:rPr>
        <w:t>p. 8, 36;</w:t>
      </w:r>
      <w:r w:rsidRPr="005A34A4">
        <w:rPr>
          <w:szCs w:val="18"/>
        </w:rPr>
        <w:t xml:space="preserve"> </w:t>
      </w:r>
      <w:r>
        <w:rPr>
          <w:szCs w:val="18"/>
        </w:rPr>
        <w:t xml:space="preserve">Victorian Council of Social Service, </w:t>
      </w:r>
      <w:hyperlink r:id="rId92" w:anchor="tabs-container3" w:history="1">
        <w:r w:rsidR="00074AFC">
          <w:rPr>
            <w:rStyle w:val="Hyperlink"/>
            <w:i/>
            <w:iCs/>
            <w:szCs w:val="18"/>
          </w:rPr>
          <w:t>submission to the Essential Services Commission ‘Energy Retail Code of Practice: Issues Paper’</w:t>
        </w:r>
      </w:hyperlink>
      <w:r>
        <w:rPr>
          <w:szCs w:val="18"/>
        </w:rPr>
        <w:t>, 19 July 2024, pp.</w:t>
      </w:r>
      <w:r>
        <w:t xml:space="preserve"> 9</w:t>
      </w:r>
      <w:r w:rsidR="00982147">
        <w:rPr>
          <w:rFonts w:cstheme="minorHAnsi"/>
        </w:rPr>
        <w:t>–</w:t>
      </w:r>
      <w:r>
        <w:t>10.</w:t>
      </w:r>
    </w:p>
  </w:footnote>
  <w:footnote w:id="117">
    <w:p w14:paraId="4F00F42C" w14:textId="77777777" w:rsidR="002607B4" w:rsidRDefault="002607B4" w:rsidP="002607B4">
      <w:pPr>
        <w:pStyle w:val="FootnoteText"/>
      </w:pPr>
      <w:r>
        <w:rPr>
          <w:rStyle w:val="FootnoteReference"/>
        </w:rPr>
        <w:footnoteRef/>
      </w:r>
      <w:r>
        <w:t xml:space="preserve"> ‘</w:t>
      </w:r>
      <w:hyperlink r:id="rId93" w:history="1">
        <w:r w:rsidRPr="004C2137">
          <w:rPr>
            <w:rStyle w:val="Hyperlink"/>
          </w:rPr>
          <w:t>Foresighting Forum 2025: Panel Discussion – Embedding a Duty of Care across the Energy System</w:t>
        </w:r>
      </w:hyperlink>
      <w:r>
        <w:t xml:space="preserve">’, Energy Consumers Australia, accessed 27 March 2025. </w:t>
      </w:r>
    </w:p>
  </w:footnote>
  <w:footnote w:id="118">
    <w:p w14:paraId="72A41DEA" w14:textId="0AE8FB1C" w:rsidR="002607B4" w:rsidRDefault="002607B4" w:rsidP="002607B4">
      <w:pPr>
        <w:pStyle w:val="FootnoteText"/>
      </w:pPr>
      <w:r>
        <w:rPr>
          <w:rStyle w:val="FootnoteReference"/>
        </w:rPr>
        <w:footnoteRef/>
      </w:r>
      <w:r>
        <w:t xml:space="preserve"> </w:t>
      </w:r>
      <w:r>
        <w:rPr>
          <w:szCs w:val="18"/>
        </w:rPr>
        <w:t xml:space="preserve">Essential Services Commission, </w:t>
      </w:r>
      <w:hyperlink r:id="rId94" w:anchor="toc-latest-publication" w:history="1">
        <w:r w:rsidRPr="00C95D7A">
          <w:rPr>
            <w:rStyle w:val="Hyperlink"/>
            <w:i/>
            <w:iCs/>
            <w:szCs w:val="18"/>
          </w:rPr>
          <w:t>Victorian Energy Market Report</w:t>
        </w:r>
        <w:r w:rsidRPr="000C62F7">
          <w:rPr>
            <w:rStyle w:val="Hyperlink"/>
            <w:szCs w:val="18"/>
          </w:rPr>
          <w:t>:</w:t>
        </w:r>
        <w:r w:rsidRPr="00FC2E32">
          <w:rPr>
            <w:rStyle w:val="Hyperlink"/>
            <w:i/>
            <w:szCs w:val="18"/>
          </w:rPr>
          <w:t xml:space="preserve"> Annual 2024</w:t>
        </w:r>
      </w:hyperlink>
      <w:r>
        <w:rPr>
          <w:szCs w:val="18"/>
        </w:rPr>
        <w:t>, 29 November 2024, p. 7 (Figures 3 and 4).</w:t>
      </w:r>
    </w:p>
  </w:footnote>
  <w:footnote w:id="119">
    <w:p w14:paraId="1D1C835C" w14:textId="26F607C3" w:rsidR="002607B4" w:rsidRDefault="002607B4" w:rsidP="002607B4">
      <w:pPr>
        <w:pStyle w:val="FootnoteText"/>
      </w:pPr>
      <w:r>
        <w:rPr>
          <w:rStyle w:val="FootnoteReference"/>
        </w:rPr>
        <w:footnoteRef/>
      </w:r>
      <w:r>
        <w:t xml:space="preserve"> Clause 132 of the </w:t>
      </w:r>
      <w:hyperlink r:id="rId95" w:anchor="toc-current-version-of-the-energy-retail-code-of-practice" w:history="1">
        <w:r w:rsidRPr="00066031">
          <w:rPr>
            <w:rStyle w:val="Hyperlink"/>
          </w:rPr>
          <w:t>Energy Retail Code of Practice (version 3)</w:t>
        </w:r>
      </w:hyperlink>
      <w:r>
        <w:t>.</w:t>
      </w:r>
    </w:p>
  </w:footnote>
  <w:footnote w:id="120">
    <w:p w14:paraId="69E822E2" w14:textId="5944DFAD" w:rsidR="002607B4" w:rsidRDefault="002607B4" w:rsidP="002607B4">
      <w:pPr>
        <w:pStyle w:val="FootnoteText"/>
      </w:pPr>
      <w:r>
        <w:rPr>
          <w:rStyle w:val="FootnoteReference"/>
        </w:rPr>
        <w:footnoteRef/>
      </w:r>
      <w:r>
        <w:t xml:space="preserve"> </w:t>
      </w:r>
      <w:r w:rsidRPr="001E4BEF">
        <w:t xml:space="preserve">Essential Services Commission, </w:t>
      </w:r>
      <w:hyperlink r:id="rId96" w:anchor="tabs-container2" w:history="1">
        <w:r w:rsidRPr="001E4BEF">
          <w:rPr>
            <w:rStyle w:val="Hyperlink"/>
            <w:i/>
            <w:iCs/>
          </w:rPr>
          <w:t>Victorian Energy Market Report</w:t>
        </w:r>
        <w:r w:rsidRPr="001E4BEF">
          <w:rPr>
            <w:rStyle w:val="Hyperlink"/>
          </w:rPr>
          <w:t xml:space="preserve">: </w:t>
        </w:r>
        <w:r>
          <w:rPr>
            <w:rStyle w:val="Hyperlink"/>
          </w:rPr>
          <w:t>March</w:t>
        </w:r>
        <w:r w:rsidRPr="001E4BEF">
          <w:rPr>
            <w:rStyle w:val="Hyperlink"/>
          </w:rPr>
          <w:t xml:space="preserve"> 2024</w:t>
        </w:r>
      </w:hyperlink>
      <w:r w:rsidRPr="001E4BEF">
        <w:t xml:space="preserve">, </w:t>
      </w:r>
      <w:r>
        <w:t>26 March</w:t>
      </w:r>
      <w:r w:rsidRPr="001E4BEF">
        <w:t xml:space="preserve"> 2024, p</w:t>
      </w:r>
      <w:r>
        <w:t>p</w:t>
      </w:r>
      <w:r w:rsidRPr="001E4BEF">
        <w:t xml:space="preserve">. </w:t>
      </w:r>
      <w:r>
        <w:t>20</w:t>
      </w:r>
      <w:r w:rsidR="00982147">
        <w:rPr>
          <w:rFonts w:cstheme="minorHAnsi"/>
        </w:rPr>
        <w:t>–</w:t>
      </w:r>
      <w:r>
        <w:t>21</w:t>
      </w:r>
      <w:r w:rsidRPr="001E4BEF">
        <w:t>.</w:t>
      </w:r>
    </w:p>
  </w:footnote>
  <w:footnote w:id="121">
    <w:p w14:paraId="098F165D" w14:textId="4245CE42" w:rsidR="002607B4" w:rsidRDefault="002607B4" w:rsidP="002607B4">
      <w:pPr>
        <w:pStyle w:val="FootnoteText"/>
      </w:pPr>
      <w:r>
        <w:rPr>
          <w:rStyle w:val="FootnoteReference"/>
        </w:rPr>
        <w:footnoteRef/>
      </w:r>
      <w:r>
        <w:t xml:space="preserve"> </w:t>
      </w:r>
      <w:r>
        <w:rPr>
          <w:szCs w:val="18"/>
        </w:rPr>
        <w:t xml:space="preserve">Essential Services Commission, </w:t>
      </w:r>
      <w:hyperlink r:id="rId97" w:anchor="toc-latest-publication" w:history="1">
        <w:r w:rsidRPr="00C95D7A">
          <w:rPr>
            <w:rStyle w:val="Hyperlink"/>
            <w:i/>
            <w:iCs/>
            <w:szCs w:val="18"/>
          </w:rPr>
          <w:t>Victorian Energy Market Report</w:t>
        </w:r>
        <w:r w:rsidRPr="000C62F7">
          <w:rPr>
            <w:rStyle w:val="Hyperlink"/>
            <w:szCs w:val="18"/>
          </w:rPr>
          <w:t>:</w:t>
        </w:r>
        <w:r w:rsidRPr="00FC2E32">
          <w:rPr>
            <w:rStyle w:val="Hyperlink"/>
            <w:i/>
            <w:szCs w:val="18"/>
          </w:rPr>
          <w:t xml:space="preserve"> Annual 2024</w:t>
        </w:r>
      </w:hyperlink>
      <w:r>
        <w:rPr>
          <w:szCs w:val="18"/>
        </w:rPr>
        <w:t xml:space="preserve">, 29 November 2024, p. 10 (Figure 7); Essential Services Commission, </w:t>
      </w:r>
      <w:hyperlink r:id="rId98" w:anchor="tabs-container2" w:history="1">
        <w:r w:rsidRPr="00415E1D">
          <w:rPr>
            <w:rStyle w:val="Hyperlink"/>
            <w:i/>
            <w:iCs/>
            <w:szCs w:val="18"/>
          </w:rPr>
          <w:t>Victorian Energy Market Report: 202</w:t>
        </w:r>
        <w:r w:rsidR="006E1FDD">
          <w:rPr>
            <w:rStyle w:val="Hyperlink"/>
            <w:i/>
            <w:iCs/>
            <w:szCs w:val="18"/>
          </w:rPr>
          <w:t>2</w:t>
        </w:r>
        <w:r w:rsidR="00982147">
          <w:rPr>
            <w:rStyle w:val="Hyperlink"/>
            <w:rFonts w:cstheme="minorHAnsi"/>
            <w:i/>
            <w:iCs/>
            <w:szCs w:val="18"/>
          </w:rPr>
          <w:t>–</w:t>
        </w:r>
        <w:r w:rsidR="006E1FDD">
          <w:rPr>
            <w:rStyle w:val="Hyperlink"/>
            <w:i/>
            <w:iCs/>
            <w:szCs w:val="18"/>
          </w:rPr>
          <w:t>2</w:t>
        </w:r>
        <w:r w:rsidRPr="00415E1D">
          <w:rPr>
            <w:rStyle w:val="Hyperlink"/>
            <w:i/>
            <w:iCs/>
            <w:szCs w:val="18"/>
          </w:rPr>
          <w:t>3</w:t>
        </w:r>
      </w:hyperlink>
      <w:r>
        <w:rPr>
          <w:szCs w:val="18"/>
        </w:rPr>
        <w:t>, 30 November 2023, p. 9 (Figure 5).</w:t>
      </w:r>
    </w:p>
  </w:footnote>
  <w:footnote w:id="122">
    <w:p w14:paraId="7971F7A4" w14:textId="77777777" w:rsidR="002607B4" w:rsidRPr="008C56C0" w:rsidRDefault="002607B4" w:rsidP="002607B4">
      <w:pPr>
        <w:pStyle w:val="FootnoteText"/>
      </w:pPr>
      <w:r>
        <w:rPr>
          <w:rStyle w:val="FootnoteReference"/>
        </w:rPr>
        <w:footnoteRef/>
      </w:r>
      <w:r>
        <w:t xml:space="preserve"> Ibid, p. 3.</w:t>
      </w:r>
    </w:p>
  </w:footnote>
  <w:footnote w:id="123">
    <w:p w14:paraId="24365946" w14:textId="0B068EB9" w:rsidR="002607B4" w:rsidRDefault="002607B4" w:rsidP="002607B4">
      <w:pPr>
        <w:pStyle w:val="FootnoteText"/>
      </w:pPr>
      <w:r>
        <w:rPr>
          <w:rStyle w:val="FootnoteReference"/>
        </w:rPr>
        <w:footnoteRef/>
      </w:r>
      <w:r>
        <w:t xml:space="preserve"> Clauses 108</w:t>
      </w:r>
      <w:r w:rsidR="00CE1B78">
        <w:rPr>
          <w:rFonts w:cstheme="minorHAnsi"/>
        </w:rPr>
        <w:t>–</w:t>
      </w:r>
      <w:r>
        <w:t xml:space="preserve">111 of the </w:t>
      </w:r>
      <w:hyperlink r:id="rId99" w:anchor="toc-current-version-of-the-energy-retail-code-of-practice" w:history="1">
        <w:r w:rsidRPr="00DF5A60">
          <w:rPr>
            <w:rStyle w:val="Hyperlink"/>
          </w:rPr>
          <w:t>Energy Retail Code of Practice (version 3).</w:t>
        </w:r>
      </w:hyperlink>
      <w:r>
        <w:t xml:space="preserve"> </w:t>
      </w:r>
    </w:p>
  </w:footnote>
  <w:footnote w:id="124">
    <w:p w14:paraId="3A1B937D" w14:textId="159E1365" w:rsidR="00044A0C" w:rsidRDefault="00044A0C">
      <w:pPr>
        <w:pStyle w:val="FootnoteText"/>
      </w:pPr>
      <w:r>
        <w:rPr>
          <w:rStyle w:val="FootnoteReference"/>
        </w:rPr>
        <w:footnoteRef/>
      </w:r>
      <w:r>
        <w:t xml:space="preserve"> </w:t>
      </w:r>
      <w:r w:rsidRPr="009E71A0">
        <w:t xml:space="preserve">Essential Services Commission, </w:t>
      </w:r>
      <w:hyperlink r:id="rId100" w:anchor="toc-consultation-workshops-" w:history="1">
        <w:r w:rsidRPr="007B680C">
          <w:rPr>
            <w:rStyle w:val="Hyperlink"/>
            <w:i/>
            <w:iCs/>
          </w:rPr>
          <w:t>Workshop 2 (In-person) Consultation Summary</w:t>
        </w:r>
      </w:hyperlink>
      <w:r w:rsidRPr="009E71A0">
        <w:t>, January 2025</w:t>
      </w:r>
      <w:r w:rsidR="0092055B">
        <w:t>, pp. 5</w:t>
      </w:r>
      <w:r w:rsidR="008F7FB0">
        <w:rPr>
          <w:rFonts w:cstheme="minorHAnsi"/>
        </w:rPr>
        <w:t>–</w:t>
      </w:r>
      <w:r w:rsidR="0092055B">
        <w:t>6</w:t>
      </w:r>
      <w:r w:rsidRPr="009E71A0">
        <w:t>.</w:t>
      </w:r>
    </w:p>
  </w:footnote>
  <w:footnote w:id="125">
    <w:p w14:paraId="15DC371E" w14:textId="45826D2D" w:rsidR="00044A0C" w:rsidRDefault="00044A0C">
      <w:pPr>
        <w:pStyle w:val="FootnoteText"/>
      </w:pPr>
      <w:r>
        <w:rPr>
          <w:rStyle w:val="FootnoteReference"/>
        </w:rPr>
        <w:footnoteRef/>
      </w:r>
      <w:r>
        <w:t xml:space="preserve"> </w:t>
      </w:r>
      <w:r w:rsidR="0092055B">
        <w:t>Ibid, p. 6.</w:t>
      </w:r>
    </w:p>
  </w:footnote>
  <w:footnote w:id="126">
    <w:p w14:paraId="657E9C92" w14:textId="511C0D0B" w:rsidR="00DB355C" w:rsidRDefault="00DB355C">
      <w:pPr>
        <w:pStyle w:val="FootnoteText"/>
      </w:pPr>
      <w:r>
        <w:rPr>
          <w:rStyle w:val="FootnoteReference"/>
        </w:rPr>
        <w:footnoteRef/>
      </w:r>
      <w:r>
        <w:t xml:space="preserve"> Financial Counse</w:t>
      </w:r>
      <w:r w:rsidR="00C74366">
        <w:t xml:space="preserve">lling Victoria, </w:t>
      </w:r>
      <w:hyperlink r:id="rId101" w:anchor="tabs-container2" w:history="1">
        <w:r w:rsidR="00074AFC">
          <w:rPr>
            <w:rStyle w:val="Hyperlink"/>
            <w:i/>
            <w:iCs/>
          </w:rPr>
          <w:t>submission to the Essential Services Commission ‘Energy Consumer Reforms: Discussion Paper’</w:t>
        </w:r>
      </w:hyperlink>
      <w:r w:rsidR="00A96D14">
        <w:t xml:space="preserve">, </w:t>
      </w:r>
      <w:r w:rsidR="002C4E5C">
        <w:t>26 November 2024</w:t>
      </w:r>
      <w:r w:rsidR="00AD3779">
        <w:t xml:space="preserve">, p. 2. </w:t>
      </w:r>
    </w:p>
  </w:footnote>
  <w:footnote w:id="127">
    <w:p w14:paraId="0899D730" w14:textId="570A6AC5" w:rsidR="00044A0C" w:rsidRDefault="00044A0C">
      <w:pPr>
        <w:pStyle w:val="FootnoteText"/>
      </w:pPr>
      <w:r>
        <w:rPr>
          <w:rStyle w:val="FootnoteReference"/>
        </w:rPr>
        <w:footnoteRef/>
      </w:r>
      <w:r>
        <w:t xml:space="preserve"> </w:t>
      </w:r>
      <w:r w:rsidRPr="009E71A0">
        <w:t xml:space="preserve">Essential Services Commission, </w:t>
      </w:r>
      <w:hyperlink r:id="rId102" w:anchor="toc-consultation-workshops-" w:history="1">
        <w:r w:rsidRPr="007B680C">
          <w:rPr>
            <w:rStyle w:val="Hyperlink"/>
            <w:i/>
            <w:iCs/>
          </w:rPr>
          <w:t>Workshop 2 (In-person) Consultation Summary</w:t>
        </w:r>
      </w:hyperlink>
      <w:r w:rsidRPr="009E71A0">
        <w:t>, January 2025.</w:t>
      </w:r>
    </w:p>
  </w:footnote>
  <w:footnote w:id="128">
    <w:p w14:paraId="582DA091" w14:textId="3F36ECB7" w:rsidR="002F2757" w:rsidRDefault="002F2757">
      <w:pPr>
        <w:pStyle w:val="FootnoteText"/>
      </w:pPr>
      <w:r>
        <w:rPr>
          <w:rStyle w:val="FootnoteReference"/>
        </w:rPr>
        <w:footnoteRef/>
      </w:r>
      <w:r>
        <w:t xml:space="preserve"> </w:t>
      </w:r>
      <w:r w:rsidR="000A2F4C">
        <w:t xml:space="preserve">Australian Energy Regulator, </w:t>
      </w:r>
      <w:hyperlink r:id="rId103" w:anchor="tabs-container2" w:history="1">
        <w:r w:rsidR="00074AFC">
          <w:rPr>
            <w:rStyle w:val="Hyperlink"/>
            <w:i/>
            <w:iCs/>
          </w:rPr>
          <w:t>submission to the Essential Services Commission ‘Energy Consumer Reforms: Discussion Paper’</w:t>
        </w:r>
      </w:hyperlink>
      <w:r w:rsidR="00481A09">
        <w:t xml:space="preserve">, 5 December 2024, p. 2. </w:t>
      </w:r>
    </w:p>
  </w:footnote>
  <w:footnote w:id="129">
    <w:p w14:paraId="4994B625" w14:textId="77777777" w:rsidR="007E32B9" w:rsidRDefault="007E32B9" w:rsidP="007E32B9">
      <w:pPr>
        <w:pStyle w:val="FootnoteText"/>
      </w:pPr>
      <w:r>
        <w:rPr>
          <w:rStyle w:val="FootnoteReference"/>
        </w:rPr>
        <w:footnoteRef/>
      </w:r>
      <w:r>
        <w:t xml:space="preserve"> Australian Energy Regulator, </w:t>
      </w:r>
      <w:hyperlink r:id="rId104" w:history="1">
        <w:r w:rsidRPr="007330C6">
          <w:rPr>
            <w:rStyle w:val="Hyperlink"/>
            <w:i/>
            <w:iCs/>
          </w:rPr>
          <w:t>Game changer: A package of reforms to improve outcomes for consumers in energy hardship</w:t>
        </w:r>
      </w:hyperlink>
      <w:r>
        <w:rPr>
          <w:i/>
          <w:iCs/>
        </w:rPr>
        <w:t xml:space="preserve">, </w:t>
      </w:r>
      <w:r>
        <w:t>November 2023, pp. 22.</w:t>
      </w:r>
    </w:p>
  </w:footnote>
  <w:footnote w:id="130">
    <w:p w14:paraId="01717C92" w14:textId="1CB2E37E" w:rsidR="001F0200" w:rsidRDefault="001F0200">
      <w:pPr>
        <w:pStyle w:val="FootnoteText"/>
      </w:pPr>
      <w:r>
        <w:rPr>
          <w:rStyle w:val="FootnoteReference"/>
        </w:rPr>
        <w:footnoteRef/>
      </w:r>
      <w:r>
        <w:t xml:space="preserve"> Australian Energy Regulator, </w:t>
      </w:r>
      <w:hyperlink r:id="rId105" w:history="1">
        <w:r w:rsidR="005841FD" w:rsidRPr="00FC2E32">
          <w:rPr>
            <w:rStyle w:val="Hyperlink"/>
            <w:i/>
            <w:iCs/>
          </w:rPr>
          <w:t>Game Changer: A package of reforms to improve outcomes for consumers in energy hardship</w:t>
        </w:r>
      </w:hyperlink>
      <w:r w:rsidR="005841FD">
        <w:t xml:space="preserve">, November 2023; </w:t>
      </w:r>
      <w:r w:rsidR="005841FD" w:rsidRPr="005841FD">
        <w:t>E</w:t>
      </w:r>
      <w:r w:rsidR="00380CBB">
        <w:t xml:space="preserve">nergy and </w:t>
      </w:r>
      <w:r w:rsidR="005841FD" w:rsidRPr="005841FD">
        <w:t>C</w:t>
      </w:r>
      <w:r w:rsidR="00380CBB">
        <w:t xml:space="preserve">limate Change </w:t>
      </w:r>
      <w:r w:rsidR="005841FD" w:rsidRPr="005841FD">
        <w:t>M</w:t>
      </w:r>
      <w:r w:rsidR="00380CBB">
        <w:t xml:space="preserve">inisterial </w:t>
      </w:r>
      <w:r w:rsidR="005841FD" w:rsidRPr="005841FD">
        <w:t>C</w:t>
      </w:r>
      <w:r w:rsidR="00380CBB">
        <w:t>ouncil</w:t>
      </w:r>
      <w:r w:rsidR="005841FD" w:rsidRPr="005841FD">
        <w:t xml:space="preserve">, </w:t>
      </w:r>
      <w:hyperlink r:id="rId106" w:anchor=":~:text=This%20rule%20change%20request%20seeks,presented%20on%20the%20customer's%20bill." w:history="1">
        <w:r w:rsidR="005841FD" w:rsidRPr="00FC2E32">
          <w:rPr>
            <w:rStyle w:val="Hyperlink"/>
            <w:i/>
            <w:iCs/>
          </w:rPr>
          <w:t>Rule change request: improving the ability to switch to a better offer</w:t>
        </w:r>
      </w:hyperlink>
      <w:r w:rsidR="005841FD" w:rsidRPr="005841FD">
        <w:t>, 12 August 2024</w:t>
      </w:r>
      <w:r w:rsidR="005841FD">
        <w:t xml:space="preserve">; </w:t>
      </w:r>
      <w:r w:rsidR="001D46D9">
        <w:t>A</w:t>
      </w:r>
      <w:r w:rsidR="00380CBB">
        <w:t xml:space="preserve">ustralian </w:t>
      </w:r>
      <w:r w:rsidR="001D46D9">
        <w:t>E</w:t>
      </w:r>
      <w:r w:rsidR="00380CBB">
        <w:t xml:space="preserve">nergy </w:t>
      </w:r>
      <w:r w:rsidR="001D46D9">
        <w:t>M</w:t>
      </w:r>
      <w:r w:rsidR="00380CBB">
        <w:t xml:space="preserve">arket </w:t>
      </w:r>
      <w:r w:rsidR="001D46D9">
        <w:t>C</w:t>
      </w:r>
      <w:r w:rsidR="00380CBB">
        <w:t>ommission</w:t>
      </w:r>
      <w:r w:rsidR="001D46D9">
        <w:t xml:space="preserve">, </w:t>
      </w:r>
      <w:hyperlink r:id="rId107" w:anchor=":~:text=This%20rule%20change%20request%20seeks,presented%20on%20the%20customer's%20bill." w:history="1">
        <w:r w:rsidR="001D46D9" w:rsidRPr="00FC2E32">
          <w:rPr>
            <w:rStyle w:val="Hyperlink"/>
            <w:i/>
            <w:iCs/>
          </w:rPr>
          <w:t>Improving the ability to switch to a better offer: Consultation paper</w:t>
        </w:r>
      </w:hyperlink>
      <w:r w:rsidR="001D46D9">
        <w:t xml:space="preserve">, 6 February 2025. </w:t>
      </w:r>
    </w:p>
  </w:footnote>
  <w:footnote w:id="131">
    <w:p w14:paraId="4D15779D" w14:textId="21AC5BDE" w:rsidR="002828DE" w:rsidRDefault="002828DE">
      <w:pPr>
        <w:pStyle w:val="FootnoteText"/>
      </w:pPr>
      <w:r>
        <w:rPr>
          <w:rStyle w:val="FootnoteReference"/>
        </w:rPr>
        <w:footnoteRef/>
      </w:r>
      <w:r>
        <w:t xml:space="preserve"> Australian Energy Market Commission</w:t>
      </w:r>
      <w:r w:rsidRPr="007F1F0C">
        <w:t>,</w:t>
      </w:r>
      <w:r w:rsidRPr="007F1F0C">
        <w:rPr>
          <w:i/>
          <w:iCs/>
        </w:rPr>
        <w:t xml:space="preserve"> </w:t>
      </w:r>
      <w:hyperlink r:id="rId108" w:history="1">
        <w:r w:rsidRPr="007F1F0C">
          <w:rPr>
            <w:rStyle w:val="Hyperlink"/>
            <w:i/>
            <w:iCs/>
          </w:rPr>
          <w:t xml:space="preserve">Assisting hardship customers: </w:t>
        </w:r>
        <w:r w:rsidR="0055167A" w:rsidRPr="007F1F0C">
          <w:rPr>
            <w:rStyle w:val="Hyperlink"/>
            <w:i/>
            <w:iCs/>
          </w:rPr>
          <w:t>Draft rule determination</w:t>
        </w:r>
      </w:hyperlink>
      <w:r w:rsidR="0055167A">
        <w:t xml:space="preserve">, 27 March 2025. </w:t>
      </w:r>
    </w:p>
  </w:footnote>
  <w:footnote w:id="132">
    <w:p w14:paraId="4FCA6B48" w14:textId="178CA125" w:rsidR="00901A77" w:rsidRDefault="00901A77">
      <w:pPr>
        <w:pStyle w:val="FootnoteText"/>
      </w:pPr>
      <w:r>
        <w:rPr>
          <w:rStyle w:val="FootnoteReference"/>
        </w:rPr>
        <w:footnoteRef/>
      </w:r>
      <w:r>
        <w:t xml:space="preserve"> </w:t>
      </w:r>
      <w:r w:rsidR="00702DF5">
        <w:t>The d</w:t>
      </w:r>
      <w:r w:rsidR="000520F9">
        <w:t xml:space="preserve">eemed better offer is the equivalent of the Victorian deemed best offer </w:t>
      </w:r>
      <w:r w:rsidR="00702DF5">
        <w:t xml:space="preserve">in the Australian Energy Regulator’s </w:t>
      </w:r>
      <w:hyperlink r:id="rId109" w:history="1">
        <w:r w:rsidR="00702DF5" w:rsidRPr="00E84184">
          <w:rPr>
            <w:rStyle w:val="Hyperlink"/>
          </w:rPr>
          <w:t>Better Bills Guideline (version 2)</w:t>
        </w:r>
      </w:hyperlink>
      <w:r w:rsidR="00702DF5">
        <w:t xml:space="preserve">. </w:t>
      </w:r>
    </w:p>
  </w:footnote>
  <w:footnote w:id="133">
    <w:p w14:paraId="442EDCC5" w14:textId="0128E068" w:rsidR="00AD75A8" w:rsidRDefault="00AD75A8" w:rsidP="00AD75A8">
      <w:pPr>
        <w:pStyle w:val="FootnoteText"/>
      </w:pPr>
      <w:r>
        <w:rPr>
          <w:rStyle w:val="FootnoteReference"/>
        </w:rPr>
        <w:footnoteRef/>
      </w:r>
      <w:r>
        <w:t xml:space="preserve"> ‘</w:t>
      </w:r>
      <w:hyperlink r:id="rId110" w:history="1">
        <w:r w:rsidRPr="00596509">
          <w:rPr>
            <w:rStyle w:val="Hyperlink"/>
          </w:rPr>
          <w:t>Concessions and benefits</w:t>
        </w:r>
      </w:hyperlink>
      <w:r>
        <w:t>’, Department of Department of Families, Fairness and Housing, accessed 11 April 2025.</w:t>
      </w:r>
    </w:p>
  </w:footnote>
  <w:footnote w:id="134">
    <w:p w14:paraId="675BA46A" w14:textId="1835AA9C" w:rsidR="001C686F" w:rsidRDefault="001C686F" w:rsidP="001C686F">
      <w:pPr>
        <w:pStyle w:val="FootnoteText"/>
      </w:pPr>
      <w:r>
        <w:rPr>
          <w:rStyle w:val="FootnoteReference"/>
        </w:rPr>
        <w:footnoteRef/>
      </w:r>
      <w:r>
        <w:t xml:space="preserve"> Department of Families, Fairness and Housing, </w:t>
      </w:r>
      <w:hyperlink r:id="rId111" w:history="1">
        <w:r w:rsidRPr="00FC2E32">
          <w:rPr>
            <w:rStyle w:val="Hyperlink"/>
            <w:i/>
            <w:iCs/>
          </w:rPr>
          <w:t>Victorian co</w:t>
        </w:r>
        <w:bookmarkStart w:id="136" w:name="_Hlt198043222"/>
        <w:bookmarkStart w:id="137" w:name="_Hlt198043223"/>
        <w:r w:rsidRPr="00FC2E32">
          <w:rPr>
            <w:rStyle w:val="Hyperlink"/>
            <w:i/>
            <w:iCs/>
          </w:rPr>
          <w:t>n</w:t>
        </w:r>
        <w:bookmarkEnd w:id="136"/>
        <w:bookmarkEnd w:id="137"/>
        <w:r w:rsidRPr="00FC2E32">
          <w:rPr>
            <w:rStyle w:val="Hyperlink"/>
            <w:i/>
            <w:iCs/>
          </w:rPr>
          <w:t>cessions: A guide to discounts and services for eligible households in Victoria</w:t>
        </w:r>
      </w:hyperlink>
      <w:r>
        <w:t xml:space="preserve">, July 2024, p. 3. </w:t>
      </w:r>
    </w:p>
  </w:footnote>
  <w:footnote w:id="135">
    <w:p w14:paraId="00A8EFC2" w14:textId="7A2320F3" w:rsidR="00A047A2" w:rsidRDefault="00A047A2" w:rsidP="00A047A2">
      <w:pPr>
        <w:pStyle w:val="FootnoteText"/>
      </w:pPr>
      <w:r>
        <w:rPr>
          <w:rStyle w:val="FootnoteReference"/>
        </w:rPr>
        <w:footnoteRef/>
      </w:r>
      <w:r>
        <w:t xml:space="preserve"> The commission’s the </w:t>
      </w:r>
      <w:hyperlink r:id="rId112" w:history="1">
        <w:r w:rsidR="00F129DA" w:rsidRPr="00C0325A">
          <w:rPr>
            <w:rStyle w:val="Hyperlink"/>
          </w:rPr>
          <w:t>P</w:t>
        </w:r>
        <w:r w:rsidRPr="00C0325A">
          <w:rPr>
            <w:rStyle w:val="Hyperlink"/>
          </w:rPr>
          <w:t xml:space="preserve">ayment </w:t>
        </w:r>
        <w:r w:rsidR="00C0325A" w:rsidRPr="00C0325A">
          <w:rPr>
            <w:rStyle w:val="Hyperlink"/>
          </w:rPr>
          <w:t>D</w:t>
        </w:r>
        <w:r w:rsidRPr="00C0325A">
          <w:rPr>
            <w:rStyle w:val="Hyperlink"/>
          </w:rPr>
          <w:t xml:space="preserve">ifficulty </w:t>
        </w:r>
        <w:r w:rsidR="00C0325A" w:rsidRPr="00C0325A">
          <w:rPr>
            <w:rStyle w:val="Hyperlink"/>
          </w:rPr>
          <w:t>F</w:t>
        </w:r>
        <w:r w:rsidRPr="00C0325A">
          <w:rPr>
            <w:rStyle w:val="Hyperlink"/>
          </w:rPr>
          <w:t xml:space="preserve">ramework </w:t>
        </w:r>
        <w:r w:rsidR="00C0325A" w:rsidRPr="00C0325A">
          <w:rPr>
            <w:rStyle w:val="Hyperlink"/>
          </w:rPr>
          <w:t>G</w:t>
        </w:r>
        <w:r w:rsidRPr="00C0325A">
          <w:rPr>
            <w:rStyle w:val="Hyperlink"/>
          </w:rPr>
          <w:t>uideline</w:t>
        </w:r>
      </w:hyperlink>
      <w:r>
        <w:t xml:space="preserve"> came into effect on 24 July 2024. It provides guidance to retailers and exempt sellers on the payment difficulty framework. </w:t>
      </w:r>
    </w:p>
    <w:p w14:paraId="6C02A7F0" w14:textId="77777777" w:rsidR="00A047A2" w:rsidRDefault="00A047A2" w:rsidP="00A047A2">
      <w:pPr>
        <w:pStyle w:val="FootnoteText"/>
      </w:pPr>
      <w:r>
        <w:t>The commission’s latest version of the compliance and performance reporting guideline came into effect on 1 October 2024. It sets out the reporting obligations for energy retailers to enable the commission to perform its functions, including reporting on the extent to which a licensee has complied, or failed to comply, with its obligations under licence conditions, industry acts and codes of practice and on indicators of performance.</w:t>
      </w:r>
    </w:p>
    <w:p w14:paraId="3CF18073" w14:textId="77777777" w:rsidR="00A047A2" w:rsidRDefault="00A047A2" w:rsidP="00A047A2">
      <w:pPr>
        <w:pStyle w:val="FootnoteText"/>
      </w:pPr>
      <w:r>
        <w:t>The commission’s form and content of deemed best offer messages guideline (</w:t>
      </w:r>
      <w:hyperlink r:id="rId113" w:history="1">
        <w:r w:rsidRPr="004E24F7">
          <w:rPr>
            <w:rStyle w:val="Hyperlink"/>
          </w:rPr>
          <w:t>Guideline 1 (2023)</w:t>
        </w:r>
      </w:hyperlink>
      <w:r>
        <w:t xml:space="preserve">) was published on 23 November 2023 and outlines the commission’s expectations for best offer messages and their appearance on bills, bill summaries and bill change alerts. </w:t>
      </w:r>
    </w:p>
    <w:p w14:paraId="17D98E20" w14:textId="336D8A2B" w:rsidR="00A047A2" w:rsidRDefault="00A047A2" w:rsidP="00A047A2">
      <w:pPr>
        <w:pStyle w:val="FootnoteText"/>
      </w:pPr>
      <w:r>
        <w:t xml:space="preserve">Clause 137 of the </w:t>
      </w:r>
      <w:hyperlink r:id="rId114" w:anchor="toc-current-version-of-the-energy-retail-code-of-practice" w:history="1">
        <w:r w:rsidRPr="006D69EC">
          <w:rPr>
            <w:rStyle w:val="Hyperlink"/>
          </w:rPr>
          <w:t>Energy Retail Code of Practice (version 3)</w:t>
        </w:r>
      </w:hyperlink>
      <w:r>
        <w:t xml:space="preserve"> requires retailers to prepare and submit a financial hardship policy to the commission and specifies what that policy must include. </w:t>
      </w:r>
    </w:p>
  </w:footnote>
  <w:footnote w:id="136">
    <w:p w14:paraId="79F67F8E" w14:textId="0C5A5B8E" w:rsidR="00A003B2" w:rsidRDefault="00A003B2" w:rsidP="00A003B2">
      <w:pPr>
        <w:pStyle w:val="FootnoteText"/>
      </w:pPr>
      <w:r>
        <w:rPr>
          <w:rStyle w:val="FootnoteReference"/>
        </w:rPr>
        <w:footnoteRef/>
      </w:r>
      <w:r>
        <w:t xml:space="preserve"> Clause 126 of the </w:t>
      </w:r>
      <w:hyperlink r:id="rId115" w:anchor="toc-current-version-of-the-energy-retail-code-of-practice" w:history="1">
        <w:r w:rsidRPr="006D69EC">
          <w:rPr>
            <w:rStyle w:val="Hyperlink"/>
          </w:rPr>
          <w:t>Energy Retail Code of Practice (version 3).</w:t>
        </w:r>
      </w:hyperlink>
      <w:r>
        <w:t xml:space="preserve"> </w:t>
      </w:r>
    </w:p>
  </w:footnote>
  <w:footnote w:id="137">
    <w:p w14:paraId="00886AB8" w14:textId="01771874" w:rsidR="00A003B2" w:rsidRDefault="00A003B2" w:rsidP="00A003B2">
      <w:pPr>
        <w:pStyle w:val="FootnoteText"/>
      </w:pPr>
      <w:r>
        <w:rPr>
          <w:rStyle w:val="FootnoteReference"/>
        </w:rPr>
        <w:footnoteRef/>
      </w:r>
      <w:r>
        <w:t xml:space="preserve"> Clause</w:t>
      </w:r>
      <w:r w:rsidR="006A57A0">
        <w:t>s</w:t>
      </w:r>
      <w:r>
        <w:t xml:space="preserve"> 128(1)(f)(i) </w:t>
      </w:r>
      <w:r w:rsidR="006A57A0">
        <w:t xml:space="preserve">and 128(3) </w:t>
      </w:r>
      <w:r>
        <w:t xml:space="preserve">of the </w:t>
      </w:r>
      <w:hyperlink r:id="rId116" w:anchor="toc-current-version-of-the-energy-retail-code-of-practice" w:history="1">
        <w:r w:rsidRPr="006D69EC">
          <w:rPr>
            <w:rStyle w:val="Hyperlink"/>
          </w:rPr>
          <w:t>Energy Retail Code of Practice (version 3).</w:t>
        </w:r>
      </w:hyperlink>
      <w:r>
        <w:t xml:space="preserve"> </w:t>
      </w:r>
    </w:p>
  </w:footnote>
  <w:footnote w:id="138">
    <w:p w14:paraId="48BE250D" w14:textId="50F1C0A7" w:rsidR="006C751A" w:rsidRDefault="006C751A">
      <w:pPr>
        <w:pStyle w:val="FootnoteText"/>
      </w:pPr>
      <w:r>
        <w:rPr>
          <w:rStyle w:val="FootnoteReference"/>
        </w:rPr>
        <w:footnoteRef/>
      </w:r>
      <w:r>
        <w:t xml:space="preserve"> Clause 110(1) of the </w:t>
      </w:r>
      <w:hyperlink r:id="rId117" w:anchor="toc-current-version-of-the-energy-retail-code-of-practice" w:history="1">
        <w:r w:rsidRPr="006D69EC">
          <w:rPr>
            <w:rStyle w:val="Hyperlink"/>
          </w:rPr>
          <w:t>Energy Retail Code of Practice (version 3)</w:t>
        </w:r>
      </w:hyperlink>
      <w:r>
        <w:t xml:space="preserve">. </w:t>
      </w:r>
      <w:r w:rsidR="002F5B49">
        <w:t>A d</w:t>
      </w:r>
      <w:r>
        <w:t xml:space="preserve">eemed best offer </w:t>
      </w:r>
      <w:r w:rsidR="00721477">
        <w:t xml:space="preserve">message must be provided to a </w:t>
      </w:r>
      <w:r w:rsidR="00313217">
        <w:t xml:space="preserve">small </w:t>
      </w:r>
      <w:r w:rsidR="00721477">
        <w:t xml:space="preserve">customer on a bill or bill summary </w:t>
      </w:r>
      <w:r w:rsidR="00313217">
        <w:t xml:space="preserve">at least once every three months for electricity </w:t>
      </w:r>
      <w:r w:rsidR="00A75583">
        <w:t xml:space="preserve">or at least once every four months for gas. </w:t>
      </w:r>
    </w:p>
  </w:footnote>
  <w:footnote w:id="139">
    <w:p w14:paraId="0AE8F66A" w14:textId="19353696" w:rsidR="00981721" w:rsidRDefault="00981721">
      <w:pPr>
        <w:pStyle w:val="FootnoteText"/>
      </w:pPr>
      <w:r>
        <w:rPr>
          <w:rStyle w:val="FootnoteReference"/>
        </w:rPr>
        <w:footnoteRef/>
      </w:r>
      <w:r>
        <w:t xml:space="preserve"> </w:t>
      </w:r>
      <w:r w:rsidR="00906337">
        <w:t>Section 52</w:t>
      </w:r>
      <w:r w:rsidR="00BF601E">
        <w:t xml:space="preserve"> of t</w:t>
      </w:r>
      <w:r w:rsidR="00175167">
        <w:t>he A</w:t>
      </w:r>
      <w:r w:rsidR="00906337">
        <w:t xml:space="preserve">ustralian </w:t>
      </w:r>
      <w:r w:rsidR="00175167">
        <w:t>E</w:t>
      </w:r>
      <w:r w:rsidR="00906337">
        <w:t xml:space="preserve">nergy </w:t>
      </w:r>
      <w:r w:rsidR="00BF601E">
        <w:t>Regulator’s</w:t>
      </w:r>
      <w:r w:rsidR="00175167">
        <w:t xml:space="preserve"> </w:t>
      </w:r>
      <w:hyperlink r:id="rId118" w:history="1">
        <w:r w:rsidR="00175167" w:rsidRPr="00E84184">
          <w:rPr>
            <w:rStyle w:val="Hyperlink"/>
          </w:rPr>
          <w:t>Better Bills Guideline (version 2)</w:t>
        </w:r>
      </w:hyperlink>
      <w:r w:rsidR="00175167">
        <w:t xml:space="preserve"> requires a retailer to provide a deemed best offer message on a bill to a small customer at least once every 100 days </w:t>
      </w:r>
      <w:r w:rsidR="00E24D6C">
        <w:t xml:space="preserve">or by agreement </w:t>
      </w:r>
      <w:r w:rsidR="008B1E05">
        <w:t>on</w:t>
      </w:r>
      <w:r w:rsidR="00E24D6C">
        <w:t xml:space="preserve"> </w:t>
      </w:r>
      <w:r w:rsidR="00E07AEB">
        <w:t xml:space="preserve">each billing cycle </w:t>
      </w:r>
      <w:r w:rsidR="00E24D6C">
        <w:t xml:space="preserve">where the retailer and customer have </w:t>
      </w:r>
      <w:r w:rsidR="00E07AEB">
        <w:t xml:space="preserve">agreed to a billing cycle of greater than 100 days. </w:t>
      </w:r>
    </w:p>
  </w:footnote>
  <w:footnote w:id="140">
    <w:p w14:paraId="2E22482C" w14:textId="6578AE71" w:rsidR="00800387" w:rsidRDefault="00800387">
      <w:pPr>
        <w:pStyle w:val="FootnoteText"/>
      </w:pPr>
      <w:r>
        <w:rPr>
          <w:rStyle w:val="FootnoteReference"/>
        </w:rPr>
        <w:footnoteRef/>
      </w:r>
      <w:r>
        <w:t xml:space="preserve"> Clause 128 of the </w:t>
      </w:r>
      <w:hyperlink r:id="rId119" w:anchor="toc-current-version-of-the-energy-retail-code-of-practice" w:history="1">
        <w:r w:rsidRPr="00800387">
          <w:rPr>
            <w:rStyle w:val="Hyperlink"/>
          </w:rPr>
          <w:t>Energy Retail Code of Practice (version 3).</w:t>
        </w:r>
      </w:hyperlink>
    </w:p>
  </w:footnote>
  <w:footnote w:id="141">
    <w:p w14:paraId="33C9349B" w14:textId="61C9204E" w:rsidR="00AE7D2E" w:rsidRDefault="00AE7D2E">
      <w:pPr>
        <w:pStyle w:val="FootnoteText"/>
      </w:pPr>
      <w:r>
        <w:rPr>
          <w:rStyle w:val="FootnoteReference"/>
        </w:rPr>
        <w:footnoteRef/>
      </w:r>
      <w:r>
        <w:t xml:space="preserve"> Clause 129(2) of the </w:t>
      </w:r>
      <w:hyperlink r:id="rId120" w:anchor="toc-current-version-of-the-energy-retail-code-of-practice" w:history="1">
        <w:r w:rsidRPr="00D550E1">
          <w:rPr>
            <w:rStyle w:val="Hyperlink"/>
          </w:rPr>
          <w:t>Energy Retail Code of Practice (version 3)</w:t>
        </w:r>
      </w:hyperlink>
      <w:r>
        <w:t>.</w:t>
      </w:r>
    </w:p>
  </w:footnote>
  <w:footnote w:id="142">
    <w:p w14:paraId="2D9C3824" w14:textId="30B40982" w:rsidR="00343C68" w:rsidRDefault="00343C68">
      <w:pPr>
        <w:pStyle w:val="FootnoteText"/>
      </w:pPr>
      <w:r>
        <w:rPr>
          <w:rStyle w:val="FootnoteReference"/>
        </w:rPr>
        <w:footnoteRef/>
      </w:r>
      <w:r>
        <w:t xml:space="preserve"> Essential Services Commission, </w:t>
      </w:r>
      <w:hyperlink r:id="rId121" w:anchor="toc-latest-publication" w:history="1">
        <w:r w:rsidR="00AF0A76" w:rsidRPr="00FC2E32">
          <w:rPr>
            <w:rStyle w:val="Hyperlink"/>
            <w:i/>
          </w:rPr>
          <w:t>Victorian Energy Market Repor</w:t>
        </w:r>
        <w:r w:rsidR="00C87D4D">
          <w:rPr>
            <w:rStyle w:val="Hyperlink"/>
            <w:i/>
            <w:iCs/>
          </w:rPr>
          <w:t xml:space="preserve">t: Annual </w:t>
        </w:r>
        <w:r w:rsidR="00BB6023" w:rsidRPr="00FC2E32">
          <w:rPr>
            <w:rStyle w:val="Hyperlink"/>
            <w:i/>
            <w:iCs/>
          </w:rPr>
          <w:t>2024</w:t>
        </w:r>
        <w:r w:rsidR="00BB6023" w:rsidRPr="00FD04CB">
          <w:rPr>
            <w:rStyle w:val="Hyperlink"/>
          </w:rPr>
          <w:t>,</w:t>
        </w:r>
      </w:hyperlink>
      <w:r w:rsidR="00BB6023">
        <w:t xml:space="preserve"> 29 November 2024</w:t>
      </w:r>
      <w:r w:rsidR="00CE0E22">
        <w:t>, pp. 6</w:t>
      </w:r>
      <w:r w:rsidR="008F7FB0">
        <w:rPr>
          <w:rFonts w:cstheme="minorHAnsi"/>
        </w:rPr>
        <w:t>–</w:t>
      </w:r>
      <w:r w:rsidR="00CE0E22">
        <w:t>7</w:t>
      </w:r>
      <w:r w:rsidR="00BB6023">
        <w:t xml:space="preserve">. </w:t>
      </w:r>
    </w:p>
  </w:footnote>
  <w:footnote w:id="143">
    <w:p w14:paraId="50C49EB5" w14:textId="733FE38B" w:rsidR="00B31226" w:rsidRDefault="00B31226">
      <w:pPr>
        <w:pStyle w:val="FootnoteText"/>
      </w:pPr>
      <w:r>
        <w:rPr>
          <w:rStyle w:val="FootnoteReference"/>
        </w:rPr>
        <w:footnoteRef/>
      </w:r>
      <w:r>
        <w:t xml:space="preserve"> Ibid, p. 10. </w:t>
      </w:r>
    </w:p>
  </w:footnote>
  <w:footnote w:id="144">
    <w:p w14:paraId="7D9D85FD" w14:textId="77777777" w:rsidR="00131703" w:rsidRPr="00955E71" w:rsidRDefault="00131703" w:rsidP="00131703">
      <w:pPr>
        <w:pStyle w:val="FootnoteText"/>
      </w:pPr>
      <w:r>
        <w:rPr>
          <w:rStyle w:val="FootnoteReference"/>
        </w:rPr>
        <w:footnoteRef/>
      </w:r>
      <w:r>
        <w:t xml:space="preserve"> Section 40SM(1)(b)(i) of the </w:t>
      </w:r>
      <w:r w:rsidRPr="00955E71">
        <w:rPr>
          <w:i/>
          <w:iCs/>
        </w:rPr>
        <w:t>Electricity Industry Act 2000</w:t>
      </w:r>
      <w:r>
        <w:t xml:space="preserve"> and Section 48DO (1)(b)(i) of the </w:t>
      </w:r>
      <w:r w:rsidRPr="00955E71">
        <w:rPr>
          <w:i/>
          <w:iCs/>
        </w:rPr>
        <w:t>Gas Industry Act 2001</w:t>
      </w:r>
      <w:r>
        <w:t>.</w:t>
      </w:r>
    </w:p>
  </w:footnote>
  <w:footnote w:id="145">
    <w:p w14:paraId="1F2A3AF7" w14:textId="716F4779" w:rsidR="00131703" w:rsidRPr="00955E71" w:rsidRDefault="00131703" w:rsidP="00131703">
      <w:pPr>
        <w:pStyle w:val="FootnoteText"/>
      </w:pPr>
      <w:r>
        <w:rPr>
          <w:rStyle w:val="FootnoteReference"/>
        </w:rPr>
        <w:footnoteRef/>
      </w:r>
      <w:r>
        <w:t xml:space="preserve"> </w:t>
      </w:r>
      <w:hyperlink r:id="rId122" w:history="1">
        <w:r w:rsidR="00645275" w:rsidRPr="004C75B6">
          <w:rPr>
            <w:rStyle w:val="Hyperlink"/>
          </w:rPr>
          <w:t>Victorian Energy Market Dashboard</w:t>
        </w:r>
      </w:hyperlink>
      <w:r w:rsidR="00645275">
        <w:t>, Essential Services Commission, accessed 9 April 2025</w:t>
      </w:r>
      <w:r w:rsidR="0041237C">
        <w:t>.</w:t>
      </w:r>
    </w:p>
  </w:footnote>
  <w:footnote w:id="146">
    <w:p w14:paraId="43BFBF02" w14:textId="2D2AD8BF" w:rsidR="00C27428" w:rsidRDefault="00C27428">
      <w:pPr>
        <w:pStyle w:val="FootnoteText"/>
      </w:pPr>
      <w:r>
        <w:rPr>
          <w:rStyle w:val="FootnoteReference"/>
        </w:rPr>
        <w:footnoteRef/>
      </w:r>
      <w:r>
        <w:t xml:space="preserve"> </w:t>
      </w:r>
      <w:r w:rsidR="0091740B">
        <w:t xml:space="preserve">Based on performance data received by retailers under the </w:t>
      </w:r>
      <w:hyperlink r:id="rId123" w:history="1">
        <w:r w:rsidR="0091740B" w:rsidRPr="003818A1">
          <w:rPr>
            <w:rStyle w:val="Hyperlink"/>
          </w:rPr>
          <w:t>Compliance and Performance Reporting Guideline</w:t>
        </w:r>
        <w:r w:rsidR="00D400C8" w:rsidRPr="003818A1">
          <w:rPr>
            <w:rStyle w:val="Hyperlink"/>
          </w:rPr>
          <w:t xml:space="preserve"> (version 9)</w:t>
        </w:r>
      </w:hyperlink>
      <w:r w:rsidR="00D400C8">
        <w:t>.</w:t>
      </w:r>
    </w:p>
  </w:footnote>
  <w:footnote w:id="147">
    <w:p w14:paraId="0D6922A9" w14:textId="77777777" w:rsidR="00160541" w:rsidRDefault="00160541" w:rsidP="00160541">
      <w:pPr>
        <w:pStyle w:val="FootnoteText"/>
      </w:pPr>
      <w:r>
        <w:rPr>
          <w:rStyle w:val="FootnoteReference"/>
        </w:rPr>
        <w:footnoteRef/>
      </w:r>
      <w:r>
        <w:t xml:space="preserve"> Clause 187(1)(a)(ii) of the </w:t>
      </w:r>
      <w:hyperlink r:id="rId124" w:anchor="toc-current-version-of-the-energy-retail-code-of-practice" w:history="1">
        <w:r w:rsidRPr="00026187">
          <w:rPr>
            <w:rStyle w:val="Hyperlink"/>
          </w:rPr>
          <w:t>Energy Retail Code of Practice (version 3)</w:t>
        </w:r>
      </w:hyperlink>
      <w:r>
        <w:t xml:space="preserve">. </w:t>
      </w:r>
    </w:p>
  </w:footnote>
  <w:footnote w:id="148">
    <w:p w14:paraId="7BD85B1A" w14:textId="5515D3FC" w:rsidR="00C90B70" w:rsidRDefault="00C90B70">
      <w:pPr>
        <w:pStyle w:val="FootnoteText"/>
      </w:pPr>
      <w:r>
        <w:rPr>
          <w:rStyle w:val="FootnoteReference"/>
        </w:rPr>
        <w:footnoteRef/>
      </w:r>
      <w:r>
        <w:t xml:space="preserve"> Clause </w:t>
      </w:r>
      <w:r w:rsidR="0086574A">
        <w:t xml:space="preserve">62 of the </w:t>
      </w:r>
      <w:hyperlink r:id="rId125" w:anchor="toc-current-version-of-the-energy-retail-code-of-practice" w:history="1">
        <w:r w:rsidR="0086574A" w:rsidRPr="00BE4CA6">
          <w:rPr>
            <w:rStyle w:val="Hyperlink"/>
          </w:rPr>
          <w:t>Energy Retail Code of Practice (version 3).</w:t>
        </w:r>
      </w:hyperlink>
    </w:p>
  </w:footnote>
  <w:footnote w:id="149">
    <w:p w14:paraId="31ACECE6" w14:textId="49DEDF67" w:rsidR="002A4293" w:rsidRDefault="002A4293">
      <w:pPr>
        <w:pStyle w:val="FootnoteText"/>
      </w:pPr>
      <w:r>
        <w:rPr>
          <w:rStyle w:val="FootnoteReference"/>
        </w:rPr>
        <w:footnoteRef/>
      </w:r>
      <w:r>
        <w:t xml:space="preserve"> </w:t>
      </w:r>
      <w:r w:rsidR="00BD10DE">
        <w:t xml:space="preserve">This would be similar to the ‘Debt Trigger’ </w:t>
      </w:r>
      <w:r w:rsidR="00735F37">
        <w:t>in Of</w:t>
      </w:r>
      <w:r w:rsidR="00B32283">
        <w:t>g</w:t>
      </w:r>
      <w:r w:rsidR="00735F37">
        <w:t xml:space="preserve">em’s </w:t>
      </w:r>
      <w:hyperlink r:id="rId126" w:history="1">
        <w:r w:rsidR="00735F37" w:rsidRPr="009F20FC">
          <w:rPr>
            <w:rStyle w:val="Hyperlink"/>
          </w:rPr>
          <w:t>standard conditions of electricity supply licence</w:t>
        </w:r>
      </w:hyperlink>
      <w:r w:rsidR="00533BF3">
        <w:t xml:space="preserve"> in the United Kingdom</w:t>
      </w:r>
      <w:r w:rsidR="00934EB3">
        <w:t>, a</w:t>
      </w:r>
      <w:r w:rsidR="00E47F13">
        <w:t xml:space="preserve">lthough that trigger applies </w:t>
      </w:r>
      <w:r w:rsidR="00E3573C">
        <w:t>for other purposes (the potential installation of prepayment meters)</w:t>
      </w:r>
      <w:r w:rsidR="00934EB3">
        <w:t>.</w:t>
      </w:r>
      <w:r w:rsidR="00E3573C">
        <w:t xml:space="preserve"> </w:t>
      </w:r>
    </w:p>
  </w:footnote>
  <w:footnote w:id="150">
    <w:p w14:paraId="775C27A6" w14:textId="77777777" w:rsidR="007D157C" w:rsidRDefault="007D157C" w:rsidP="007D157C">
      <w:pPr>
        <w:spacing w:after="0" w:line="240" w:lineRule="auto"/>
        <w:rPr>
          <w:sz w:val="18"/>
          <w:szCs w:val="18"/>
        </w:rPr>
      </w:pPr>
      <w:r>
        <w:rPr>
          <w:rStyle w:val="FootnoteReference"/>
          <w:color w:val="000000"/>
          <w:sz w:val="18"/>
          <w:szCs w:val="18"/>
        </w:rPr>
        <w:footnoteRef/>
      </w:r>
      <w:r>
        <w:rPr>
          <w:sz w:val="18"/>
          <w:szCs w:val="18"/>
        </w:rPr>
        <w:t xml:space="preserve"> ‘</w:t>
      </w:r>
      <w:hyperlink r:id="rId127" w:history="1">
        <w:r w:rsidRPr="00111B6A">
          <w:rPr>
            <w:color w:val="0000FF"/>
            <w:sz w:val="18"/>
            <w:szCs w:val="18"/>
            <w:u w:val="single" w:color="0000FF"/>
          </w:rPr>
          <w:t>Victorian Energy Market Dashboard</w:t>
        </w:r>
      </w:hyperlink>
      <w:r>
        <w:t>’</w:t>
      </w:r>
      <w:r>
        <w:rPr>
          <w:sz w:val="18"/>
          <w:szCs w:val="18"/>
        </w:rPr>
        <w:t xml:space="preserve">, Essential Services Commission, accessed 23 January 2025. Note that we did not have specific data on the percentage of tailored assistance customers not on their retailers’ best offer. However, </w:t>
      </w:r>
      <w:r w:rsidRPr="00A76FB6">
        <w:rPr>
          <w:sz w:val="18"/>
          <w:szCs w:val="18"/>
        </w:rPr>
        <w:t>we expect a potentially lower proportion of customers on tailored assistance would not be on their retailer’s best offer</w:t>
      </w:r>
      <w:r>
        <w:rPr>
          <w:sz w:val="18"/>
          <w:szCs w:val="18"/>
        </w:rPr>
        <w:t>.</w:t>
      </w:r>
    </w:p>
    <w:p w14:paraId="256A025E" w14:textId="3993989E" w:rsidR="007D157C" w:rsidRDefault="007D157C" w:rsidP="007D157C">
      <w:pPr>
        <w:spacing w:after="0" w:line="240" w:lineRule="auto"/>
        <w:rPr>
          <w:color w:val="000000"/>
          <w:sz w:val="18"/>
          <w:szCs w:val="18"/>
          <w:vertAlign w:val="superscript"/>
        </w:rPr>
      </w:pPr>
      <w:r w:rsidRPr="00150F6E">
        <w:rPr>
          <w:sz w:val="18"/>
          <w:szCs w:val="18"/>
        </w:rPr>
        <w:t xml:space="preserve">We note that our proposal to increase the current $22 threshold to $50 (see Section 4.3) would mean a slightly lower number of customers would benefit from this option. </w:t>
      </w:r>
      <w:r w:rsidR="00495D80">
        <w:rPr>
          <w:sz w:val="18"/>
          <w:szCs w:val="18"/>
        </w:rPr>
        <w:t xml:space="preserve">We could not </w:t>
      </w:r>
      <w:r w:rsidR="00BE3436">
        <w:rPr>
          <w:sz w:val="18"/>
          <w:szCs w:val="18"/>
        </w:rPr>
        <w:t>estimate the difference in savings due to this change in thresholds, due to data limitations.</w:t>
      </w:r>
      <w:r w:rsidR="00495D80">
        <w:rPr>
          <w:sz w:val="18"/>
          <w:szCs w:val="18"/>
        </w:rPr>
        <w:t xml:space="preserve"> </w:t>
      </w:r>
      <w:r>
        <w:rPr>
          <w:sz w:val="18"/>
          <w:szCs w:val="18"/>
        </w:rPr>
        <w:t>However, w</w:t>
      </w:r>
      <w:r w:rsidRPr="00150F6E">
        <w:rPr>
          <w:sz w:val="18"/>
          <w:szCs w:val="18"/>
        </w:rPr>
        <w:t>e consider this would not have a significant impact on the expected benefits of this reform.</w:t>
      </w:r>
    </w:p>
  </w:footnote>
  <w:footnote w:id="151">
    <w:p w14:paraId="6EE99BC0" w14:textId="064B723E" w:rsidR="007D157C" w:rsidRDefault="007D157C" w:rsidP="007D157C">
      <w:pPr>
        <w:pStyle w:val="FootnoteText"/>
      </w:pPr>
      <w:r>
        <w:rPr>
          <w:rStyle w:val="FootnoteReference"/>
        </w:rPr>
        <w:footnoteRef/>
      </w:r>
      <w:r>
        <w:t xml:space="preserve"> </w:t>
      </w:r>
      <w:r w:rsidRPr="00801341">
        <w:t xml:space="preserve">Average savings are based on data </w:t>
      </w:r>
      <w:r w:rsidR="002541FB">
        <w:t xml:space="preserve">reported by retailers </w:t>
      </w:r>
      <w:r w:rsidRPr="00801341">
        <w:t xml:space="preserve">from September 2024 (excluding data from </w:t>
      </w:r>
      <w:r w:rsidR="001F25C2">
        <w:t>Engie</w:t>
      </w:r>
      <w:r w:rsidR="00F91220" w:rsidRPr="00F91220">
        <w:t>)</w:t>
      </w:r>
      <w:r w:rsidR="001F25C2">
        <w:t xml:space="preserve"> for i</w:t>
      </w:r>
      <w:r w:rsidR="00F91220" w:rsidRPr="00F91220">
        <w:t xml:space="preserve">ndicators B201 and B181 in the </w:t>
      </w:r>
      <w:r w:rsidR="00671ED3">
        <w:t>‘</w:t>
      </w:r>
      <w:hyperlink r:id="rId128" w:history="1">
        <w:r w:rsidR="00671ED3" w:rsidRPr="00AD673A">
          <w:rPr>
            <w:rStyle w:val="Hyperlink"/>
          </w:rPr>
          <w:t>Compliance and Performance Reporting Guideline (version 9)</w:t>
        </w:r>
      </w:hyperlink>
      <w:r w:rsidR="00671ED3">
        <w:t>’</w:t>
      </w:r>
      <w:r w:rsidR="00F91220" w:rsidRPr="00F91220">
        <w:t>. Calculation uses the mid-point method based on the number of customers by</w:t>
      </w:r>
      <w:r w:rsidRPr="00801341">
        <w:t xml:space="preserve"> range </w:t>
      </w:r>
      <w:r w:rsidR="00F91220" w:rsidRPr="00F91220">
        <w:t>of savings</w:t>
      </w:r>
      <w:r w:rsidR="00F91220">
        <w:t xml:space="preserve">, with the lower and upper averages </w:t>
      </w:r>
      <w:r w:rsidR="001F25C2">
        <w:t>at</w:t>
      </w:r>
      <w:r w:rsidRPr="00801341">
        <w:t xml:space="preserve"> $201 to $247 (for electricity) and $160 to $204 (for gas), </w:t>
      </w:r>
      <w:r w:rsidR="001F25C2">
        <w:t>respectively</w:t>
      </w:r>
      <w:r w:rsidRPr="00801341">
        <w:t>.</w:t>
      </w:r>
    </w:p>
  </w:footnote>
  <w:footnote w:id="152">
    <w:p w14:paraId="5B85F72D" w14:textId="7F081A83" w:rsidR="00C95D3C" w:rsidRDefault="00C95D3C">
      <w:pPr>
        <w:pStyle w:val="FootnoteText"/>
      </w:pPr>
      <w:r>
        <w:rPr>
          <w:rStyle w:val="FootnoteReference"/>
        </w:rPr>
        <w:footnoteRef/>
      </w:r>
      <w:r>
        <w:t xml:space="preserve"> We also </w:t>
      </w:r>
      <w:r w:rsidR="002D6CAB" w:rsidRPr="002D6CAB">
        <w:t xml:space="preserve">applied the same average percentage of Victorian customers not on their energy retailer’s best offer (which was 69 per cent for electricity and 62 per cent for gas each month in 2023–24). See footnote </w:t>
      </w:r>
      <w:r w:rsidR="002D6CAB">
        <w:fldChar w:fldCharType="begin"/>
      </w:r>
      <w:r w:rsidR="002D6CAB">
        <w:instrText xml:space="preserve"> NOTEREF _Ref197682435 \h </w:instrText>
      </w:r>
      <w:r w:rsidR="002D6CAB">
        <w:fldChar w:fldCharType="separate"/>
      </w:r>
      <w:r w:rsidR="009A244B">
        <w:t>149</w:t>
      </w:r>
      <w:r w:rsidR="002D6CAB">
        <w:fldChar w:fldCharType="end"/>
      </w:r>
      <w:r w:rsidR="002D6CAB" w:rsidRPr="002D6CAB">
        <w:t>.</w:t>
      </w:r>
    </w:p>
  </w:footnote>
  <w:footnote w:id="153">
    <w:p w14:paraId="1FB72356" w14:textId="77777777" w:rsidR="00113C75" w:rsidRDefault="00113C75" w:rsidP="00113C75">
      <w:pPr>
        <w:pStyle w:val="FootnoteText"/>
      </w:pPr>
      <w:r>
        <w:rPr>
          <w:rStyle w:val="FootnoteReference"/>
        </w:rPr>
        <w:footnoteRef/>
      </w:r>
      <w:r>
        <w:t xml:space="preserve"> These numbers were extrapolated from data collected for our </w:t>
      </w:r>
      <w:hyperlink r:id="rId129" w:history="1">
        <w:r w:rsidRPr="006F0EFA">
          <w:rPr>
            <w:rStyle w:val="Hyperlink"/>
          </w:rPr>
          <w:t>Payment Difficulty Framework implementation review 2021</w:t>
        </w:r>
      </w:hyperlink>
      <w:r>
        <w:t>, accounting for growth in the proportion of customers with arrears over $300 since this data was collected.</w:t>
      </w:r>
    </w:p>
  </w:footnote>
  <w:footnote w:id="154">
    <w:p w14:paraId="4FD34A45" w14:textId="77777777" w:rsidR="00113C75" w:rsidRDefault="00113C75" w:rsidP="00113C75">
      <w:pPr>
        <w:pStyle w:val="FootnoteText"/>
      </w:pPr>
      <w:r>
        <w:rPr>
          <w:rStyle w:val="FootnoteReference"/>
        </w:rPr>
        <w:footnoteRef/>
      </w:r>
      <w:r>
        <w:t xml:space="preserve"> While we do not have exact data on the period of time customers are in arrears of $1,000 or more, to estimate potential impact we made an assumption that two thirds of those customers would be in arrears for three or more months by extrapolating from data for customers in arrears over $300 (s</w:t>
      </w:r>
      <w:r w:rsidRPr="00DA6F6F">
        <w:t>ee Figure 15).</w:t>
      </w:r>
    </w:p>
  </w:footnote>
  <w:footnote w:id="155">
    <w:p w14:paraId="1CEAB427" w14:textId="79645AC3" w:rsidR="000C7F41" w:rsidRDefault="000C7F41">
      <w:pPr>
        <w:pStyle w:val="FootnoteText"/>
      </w:pPr>
      <w:r>
        <w:rPr>
          <w:rStyle w:val="FootnoteReference"/>
        </w:rPr>
        <w:footnoteRef/>
      </w:r>
      <w:r>
        <w:t xml:space="preserve"> Essential Services Commission, ‘</w:t>
      </w:r>
      <w:hyperlink r:id="rId130" w:history="1">
        <w:r w:rsidRPr="00AD673A">
          <w:rPr>
            <w:rStyle w:val="Hyperlink"/>
          </w:rPr>
          <w:t>Compliance and Performance Reporting Guideline</w:t>
        </w:r>
        <w:r w:rsidR="00AD673A" w:rsidRPr="00AD673A">
          <w:rPr>
            <w:rStyle w:val="Hyperlink"/>
          </w:rPr>
          <w:t xml:space="preserve"> (version 9)</w:t>
        </w:r>
      </w:hyperlink>
      <w:r>
        <w:t xml:space="preserve">’, </w:t>
      </w:r>
      <w:r w:rsidR="00AD673A">
        <w:t>1 October 2024, p. 59.</w:t>
      </w:r>
    </w:p>
  </w:footnote>
  <w:footnote w:id="156">
    <w:p w14:paraId="2B4EE009" w14:textId="3980F8A1" w:rsidR="00237D92" w:rsidRDefault="00237D92">
      <w:pPr>
        <w:pStyle w:val="FootnoteText"/>
      </w:pPr>
      <w:r>
        <w:rPr>
          <w:rStyle w:val="FootnoteReference"/>
        </w:rPr>
        <w:footnoteRef/>
      </w:r>
      <w:r>
        <w:t xml:space="preserve"> </w:t>
      </w:r>
      <w:r w:rsidR="005974B8">
        <w:t xml:space="preserve">Clause 128(1)(f)(i) of the Energy Retail Code of Practice (version 3). </w:t>
      </w:r>
    </w:p>
  </w:footnote>
  <w:footnote w:id="157">
    <w:p w14:paraId="53561AC0" w14:textId="1FCB0B2A" w:rsidR="000C0994" w:rsidRDefault="000C0994">
      <w:pPr>
        <w:pStyle w:val="FootnoteText"/>
      </w:pPr>
      <w:r>
        <w:rPr>
          <w:rStyle w:val="FootnoteReference"/>
        </w:rPr>
        <w:footnoteRef/>
      </w:r>
      <w:r>
        <w:t xml:space="preserve"> </w:t>
      </w:r>
      <w:r w:rsidRPr="000C0994">
        <w:t xml:space="preserve">Requirements to obtain a small customer’s explicit informed consent are imposed by clauses 10(1)(a)(iii), 26(4), 57(1)(a)(iii), 57(1)(b)(iv), 59(1)(a), 61(2), 62(2), 72(3)(b), 93(2), 113(1)(a), 120(1)(c)(ii), 139(2), 146(5), 166(7)(b) and 171(6)(b) of </w:t>
      </w:r>
      <w:r>
        <w:t xml:space="preserve">the </w:t>
      </w:r>
      <w:hyperlink r:id="rId131" w:anchor="toc-current-version-of-the-energy-retail-code-of-practice" w:history="1">
        <w:r w:rsidRPr="00EE048E">
          <w:rPr>
            <w:rStyle w:val="Hyperlink"/>
          </w:rPr>
          <w:t>Energy Retail Code of Practice (version 3)</w:t>
        </w:r>
      </w:hyperlink>
      <w:r>
        <w:t xml:space="preserve">. </w:t>
      </w:r>
    </w:p>
  </w:footnote>
  <w:footnote w:id="158">
    <w:p w14:paraId="4ABA6BBB" w14:textId="5819A6C4" w:rsidR="00131703" w:rsidRPr="00955E71" w:rsidRDefault="00131703" w:rsidP="00131703">
      <w:pPr>
        <w:pStyle w:val="FootnoteText"/>
      </w:pPr>
      <w:r>
        <w:rPr>
          <w:rStyle w:val="FootnoteReference"/>
        </w:rPr>
        <w:footnoteRef/>
      </w:r>
      <w:r>
        <w:t xml:space="preserve"> Clause </w:t>
      </w:r>
      <w:r w:rsidR="00BB0489">
        <w:t xml:space="preserve">26(4) </w:t>
      </w:r>
      <w:r w:rsidR="00133EBB">
        <w:t>and 118</w:t>
      </w:r>
      <w:r w:rsidR="006757E5">
        <w:t>(1)</w:t>
      </w:r>
      <w:r w:rsidR="00BB0489">
        <w:t xml:space="preserve"> </w:t>
      </w:r>
      <w:r>
        <w:t xml:space="preserve">of the </w:t>
      </w:r>
      <w:hyperlink r:id="rId132" w:anchor="toc-current-version-of-the-energy-retail-code-of-practice" w:history="1">
        <w:r w:rsidRPr="00EE048E">
          <w:rPr>
            <w:rStyle w:val="Hyperlink"/>
          </w:rPr>
          <w:t>Energy Retail Code of Practice (version 3).</w:t>
        </w:r>
      </w:hyperlink>
      <w:r>
        <w:t xml:space="preserve"> </w:t>
      </w:r>
    </w:p>
  </w:footnote>
  <w:footnote w:id="159">
    <w:p w14:paraId="306328BE" w14:textId="3DF2773F" w:rsidR="004E1063" w:rsidRDefault="004E1063">
      <w:pPr>
        <w:pStyle w:val="FootnoteText"/>
      </w:pPr>
      <w:r>
        <w:rPr>
          <w:rStyle w:val="FootnoteReference"/>
        </w:rPr>
        <w:footnoteRef/>
      </w:r>
      <w:r>
        <w:t xml:space="preserve"> Sections 35 and 39 of the </w:t>
      </w:r>
      <w:r>
        <w:rPr>
          <w:i/>
          <w:iCs/>
        </w:rPr>
        <w:t>Electricity Industry Act 2000</w:t>
      </w:r>
      <w:r>
        <w:t xml:space="preserve"> and sections 42 and 46 of the </w:t>
      </w:r>
      <w:r>
        <w:rPr>
          <w:i/>
          <w:iCs/>
        </w:rPr>
        <w:t>Gas Industry Act 2001</w:t>
      </w:r>
      <w:r>
        <w:t>.</w:t>
      </w:r>
    </w:p>
  </w:footnote>
  <w:footnote w:id="160">
    <w:p w14:paraId="3525C2C6" w14:textId="5DB90C7F" w:rsidR="00EE048E" w:rsidRDefault="001B6DC7">
      <w:pPr>
        <w:pStyle w:val="FootnoteText"/>
      </w:pPr>
      <w:r>
        <w:rPr>
          <w:rStyle w:val="FootnoteReference"/>
        </w:rPr>
        <w:footnoteRef/>
      </w:r>
      <w:r>
        <w:t xml:space="preserve"> </w:t>
      </w:r>
      <w:r w:rsidR="00EE048E">
        <w:t xml:space="preserve">Australian Securities and Investment Commission, </w:t>
      </w:r>
      <w:hyperlink r:id="rId133" w:history="1">
        <w:r w:rsidR="00872F7D" w:rsidRPr="00426813">
          <w:rPr>
            <w:rStyle w:val="Hyperlink"/>
            <w:i/>
            <w:iCs/>
          </w:rPr>
          <w:t xml:space="preserve">Report 785: </w:t>
        </w:r>
        <w:r w:rsidR="00EE048E" w:rsidRPr="00426813">
          <w:rPr>
            <w:rStyle w:val="Hyperlink"/>
            <w:i/>
            <w:iCs/>
          </w:rPr>
          <w:t>Better banking for Indigenous consumers</w:t>
        </w:r>
      </w:hyperlink>
      <w:r w:rsidR="00EE048E">
        <w:t xml:space="preserve">, </w:t>
      </w:r>
      <w:r w:rsidR="00872F7D">
        <w:t>15</w:t>
      </w:r>
      <w:r w:rsidR="00EE048E">
        <w:t xml:space="preserve"> July 2024, p. 19.</w:t>
      </w:r>
    </w:p>
    <w:p w14:paraId="40B2E6F0" w14:textId="17EDB161" w:rsidR="001B6DC7" w:rsidRDefault="00131123">
      <w:pPr>
        <w:pStyle w:val="FootnoteText"/>
      </w:pPr>
      <w:r>
        <w:t xml:space="preserve">Evidence from the banking sector </w:t>
      </w:r>
      <w:r w:rsidR="008B2F6A">
        <w:t xml:space="preserve">indicates that opt-out campaigns tend to be far more effective than opt-in campaigns in moving customers to lower-priced products and services. </w:t>
      </w:r>
      <w:r w:rsidR="00AC0A57">
        <w:t>Following a review of low-income customers on high-fee accounts by the Australian Securities and Investment Commission (ASIC), all participating b</w:t>
      </w:r>
      <w:r w:rsidR="00577D2A">
        <w:t xml:space="preserve">anks </w:t>
      </w:r>
      <w:r w:rsidR="002B228F" w:rsidRPr="002B228F">
        <w:t>took up ASIC’s recommendation to embrace opt-out migration where the banks write to customers advising they will be switched to a low-fee account, unless they choose to retain their higher-fee account by opting out</w:t>
      </w:r>
      <w:r w:rsidR="00BD20EC">
        <w:t>.</w:t>
      </w:r>
    </w:p>
  </w:footnote>
  <w:footnote w:id="161">
    <w:p w14:paraId="6CA25A0C" w14:textId="315B910C" w:rsidR="00BB003E" w:rsidRDefault="00BB003E">
      <w:pPr>
        <w:pStyle w:val="FootnoteText"/>
      </w:pPr>
      <w:r>
        <w:rPr>
          <w:rStyle w:val="FootnoteReference"/>
        </w:rPr>
        <w:footnoteRef/>
      </w:r>
      <w:r>
        <w:t xml:space="preserve"> Clauses </w:t>
      </w:r>
      <w:r w:rsidR="009B42C9">
        <w:t>97(2)</w:t>
      </w:r>
      <w:r w:rsidR="005A44F2">
        <w:t xml:space="preserve">, </w:t>
      </w:r>
      <w:r w:rsidR="00714376">
        <w:t>71(1)</w:t>
      </w:r>
      <w:r w:rsidR="00FB6D71">
        <w:t xml:space="preserve"> and 75(3) of the </w:t>
      </w:r>
      <w:hyperlink r:id="rId134" w:anchor="toc-current-version-of-the-energy-retail-code-of-practice" w:history="1">
        <w:r w:rsidR="005404E7">
          <w:rPr>
            <w:rStyle w:val="Hyperlink"/>
          </w:rPr>
          <w:t>Energy Retail Code of Practice (version 3)</w:t>
        </w:r>
      </w:hyperlink>
      <w:r w:rsidR="005404E7">
        <w:t>.</w:t>
      </w:r>
      <w:r w:rsidR="00FB6D71">
        <w:t xml:space="preserve"> </w:t>
      </w:r>
    </w:p>
  </w:footnote>
  <w:footnote w:id="162">
    <w:p w14:paraId="6CC3D4A6" w14:textId="26B1B50E" w:rsidR="00131703" w:rsidRPr="00955E71" w:rsidRDefault="00131703" w:rsidP="00131703">
      <w:pPr>
        <w:pStyle w:val="FootnoteText"/>
      </w:pPr>
      <w:r>
        <w:rPr>
          <w:rStyle w:val="FootnoteReference"/>
        </w:rPr>
        <w:footnoteRef/>
      </w:r>
      <w:r>
        <w:t xml:space="preserve"> Clause 97 of the </w:t>
      </w:r>
      <w:hyperlink r:id="rId135" w:anchor="toc-current-version-of-the-energy-retail-code-of-practice" w:history="1">
        <w:r w:rsidR="005404E7">
          <w:rPr>
            <w:rStyle w:val="Hyperlink"/>
          </w:rPr>
          <w:t>Energy Retail Code of Practice (version 3)</w:t>
        </w:r>
      </w:hyperlink>
      <w:r w:rsidR="005404E7">
        <w:t>.</w:t>
      </w:r>
    </w:p>
  </w:footnote>
  <w:footnote w:id="163">
    <w:p w14:paraId="3785BE50" w14:textId="77CE6F89" w:rsidR="001F1072" w:rsidRDefault="001F1072">
      <w:pPr>
        <w:pStyle w:val="FootnoteText"/>
      </w:pPr>
      <w:r w:rsidRPr="00286FCA">
        <w:rPr>
          <w:rStyle w:val="FootnoteReference"/>
        </w:rPr>
        <w:footnoteRef/>
      </w:r>
      <w:r w:rsidRPr="00286FCA">
        <w:t xml:space="preserve"> </w:t>
      </w:r>
      <w:r w:rsidR="00352A0B" w:rsidRPr="00286FCA">
        <w:t xml:space="preserve">Whereto Research, </w:t>
      </w:r>
      <w:r w:rsidR="00352A0B" w:rsidRPr="000C62DD">
        <w:rPr>
          <w:i/>
        </w:rPr>
        <w:t xml:space="preserve">Consumer focus group stand-up and delivery to support the Energy Retail Code of Practice </w:t>
      </w:r>
      <w:r w:rsidR="00426813" w:rsidRPr="000C62DD">
        <w:rPr>
          <w:i/>
        </w:rPr>
        <w:t>R</w:t>
      </w:r>
      <w:r w:rsidR="00352A0B" w:rsidRPr="000C62DD">
        <w:rPr>
          <w:i/>
        </w:rPr>
        <w:t>eview</w:t>
      </w:r>
      <w:r w:rsidR="00352A0B" w:rsidRPr="00286FCA">
        <w:t xml:space="preserve">, March 2025, p. </w:t>
      </w:r>
      <w:r w:rsidR="00E728BB" w:rsidRPr="00286FCA">
        <w:t>21</w:t>
      </w:r>
      <w:r w:rsidR="00352A0B" w:rsidRPr="00286FCA">
        <w:t>.</w:t>
      </w:r>
    </w:p>
  </w:footnote>
  <w:footnote w:id="164">
    <w:p w14:paraId="5857C62A" w14:textId="05DD8431" w:rsidR="00506408" w:rsidRPr="00506408" w:rsidRDefault="00506408">
      <w:pPr>
        <w:pStyle w:val="FootnoteText"/>
      </w:pPr>
      <w:r>
        <w:rPr>
          <w:rStyle w:val="FootnoteReference"/>
        </w:rPr>
        <w:footnoteRef/>
      </w:r>
      <w:r>
        <w:t xml:space="preserve"> Section 40SM of the </w:t>
      </w:r>
      <w:r>
        <w:rPr>
          <w:i/>
          <w:iCs/>
        </w:rPr>
        <w:t>Electricity Industry Act 2000</w:t>
      </w:r>
      <w:r w:rsidR="00791D51">
        <w:t xml:space="preserve"> and section 48DO of the </w:t>
      </w:r>
      <w:r w:rsidR="00791D51" w:rsidRPr="00791D51">
        <w:rPr>
          <w:i/>
          <w:iCs/>
        </w:rPr>
        <w:t>Gas Industry Act 2001</w:t>
      </w:r>
      <w:r w:rsidR="00207C65">
        <w:rPr>
          <w:i/>
          <w:iCs/>
        </w:rPr>
        <w:t>.</w:t>
      </w:r>
    </w:p>
  </w:footnote>
  <w:footnote w:id="165">
    <w:p w14:paraId="3EB5F210" w14:textId="2C529423" w:rsidR="00D11C13" w:rsidRDefault="00D11C13">
      <w:pPr>
        <w:pStyle w:val="FootnoteText"/>
      </w:pPr>
      <w:r>
        <w:rPr>
          <w:rStyle w:val="FootnoteReference"/>
        </w:rPr>
        <w:footnoteRef/>
      </w:r>
      <w:r>
        <w:t xml:space="preserve"> </w:t>
      </w:r>
      <w:r w:rsidR="006C4645">
        <w:t xml:space="preserve">Clause 109 </w:t>
      </w:r>
      <w:r w:rsidR="00BB12FE">
        <w:t>and 111</w:t>
      </w:r>
      <w:r w:rsidR="006715E3">
        <w:t xml:space="preserve">(3) and 111(4) </w:t>
      </w:r>
      <w:r w:rsidR="006C4645">
        <w:t xml:space="preserve">of the </w:t>
      </w:r>
      <w:hyperlink r:id="rId136" w:anchor="toc-current-version-of-the-energy-retail-code-of-practice" w:history="1">
        <w:r w:rsidR="006C4645" w:rsidRPr="00DF0CDE">
          <w:rPr>
            <w:rStyle w:val="Hyperlink"/>
          </w:rPr>
          <w:t>Energy Retail Code of Practice (version 3)</w:t>
        </w:r>
      </w:hyperlink>
      <w:r w:rsidR="006C4645">
        <w:t xml:space="preserve">. </w:t>
      </w:r>
      <w:r w:rsidR="00AB7EBB">
        <w:t>Currently, a</w:t>
      </w:r>
      <w:r w:rsidR="001B79EE">
        <w:t xml:space="preserve"> deemed best offer check is positive</w:t>
      </w:r>
      <w:r w:rsidR="006715E3">
        <w:t xml:space="preserve"> if a customer</w:t>
      </w:r>
      <w:r w:rsidR="001B79EE">
        <w:t xml:space="preserve"> </w:t>
      </w:r>
      <w:r w:rsidR="00EC149D">
        <w:t xml:space="preserve">would save less than or equal to $22 per year </w:t>
      </w:r>
      <w:r w:rsidR="002D7612">
        <w:t>from switching to</w:t>
      </w:r>
      <w:r w:rsidR="00EC149D">
        <w:t xml:space="preserve"> the </w:t>
      </w:r>
      <w:r w:rsidR="002D7612">
        <w:t>deemed best offer</w:t>
      </w:r>
      <w:r w:rsidR="00266796">
        <w:t xml:space="preserve"> from their current plan. A deemed best offer check is negative if a customer would save more than $22 </w:t>
      </w:r>
      <w:r w:rsidR="00B91AA6">
        <w:t>per year</w:t>
      </w:r>
      <w:r w:rsidR="00BB710C">
        <w:t xml:space="preserve"> </w:t>
      </w:r>
      <w:r w:rsidR="00266796">
        <w:t>from switching to the deemed best offer from their current pla</w:t>
      </w:r>
      <w:r w:rsidR="00516BD6">
        <w:t xml:space="preserve">n. </w:t>
      </w:r>
      <w:r w:rsidR="00AB7EBB">
        <w:t xml:space="preserve">We are proposing to amend this threshold to $50 which would alter the meaning of a positive or negative result. </w:t>
      </w:r>
    </w:p>
  </w:footnote>
  <w:footnote w:id="166">
    <w:p w14:paraId="17734D22" w14:textId="1C8158D0" w:rsidR="008675A5" w:rsidRDefault="008675A5">
      <w:pPr>
        <w:pStyle w:val="FootnoteText"/>
      </w:pPr>
      <w:r>
        <w:rPr>
          <w:rStyle w:val="FootnoteReference"/>
        </w:rPr>
        <w:footnoteRef/>
      </w:r>
      <w:r>
        <w:t xml:space="preserve"> </w:t>
      </w:r>
      <w:r w:rsidR="00C95DB9">
        <w:t xml:space="preserve">Sections 35 and 39 of the </w:t>
      </w:r>
      <w:r w:rsidR="00C95DB9" w:rsidRPr="00EE1D9A">
        <w:rPr>
          <w:i/>
        </w:rPr>
        <w:t>Electricity Industry Act</w:t>
      </w:r>
      <w:r w:rsidR="0009193F" w:rsidRPr="00EE1D9A">
        <w:rPr>
          <w:i/>
        </w:rPr>
        <w:t xml:space="preserve"> 2000</w:t>
      </w:r>
      <w:r w:rsidR="0009193F">
        <w:t xml:space="preserve"> and sections 42 and 46 of the </w:t>
      </w:r>
      <w:r w:rsidR="0009193F" w:rsidRPr="00EE1D9A">
        <w:rPr>
          <w:i/>
        </w:rPr>
        <w:t>Gas Industry Act 2001</w:t>
      </w:r>
      <w:r w:rsidR="0009193F">
        <w:t xml:space="preserve">. </w:t>
      </w:r>
    </w:p>
  </w:footnote>
  <w:footnote w:id="167">
    <w:p w14:paraId="02EA27C2" w14:textId="63DEC094" w:rsidR="009F33F3" w:rsidRDefault="009F33F3" w:rsidP="009F33F3">
      <w:pPr>
        <w:pStyle w:val="FootnoteText"/>
      </w:pPr>
      <w:r>
        <w:rPr>
          <w:rStyle w:val="FootnoteReference"/>
        </w:rPr>
        <w:footnoteRef/>
      </w:r>
      <w:r>
        <w:t xml:space="preserve"> Clause 94 of the </w:t>
      </w:r>
      <w:hyperlink r:id="rId137" w:anchor="toc-current-version-of-the-energy-retail-code-of-practice" w:history="1">
        <w:r w:rsidR="00197C0D">
          <w:rPr>
            <w:rStyle w:val="Hyperlink"/>
          </w:rPr>
          <w:t>Energy Retail Code of Practice (version 3)</w:t>
        </w:r>
      </w:hyperlink>
      <w:r w:rsidR="00197C0D">
        <w:t>.</w:t>
      </w:r>
      <w:r>
        <w:t xml:space="preserve"> </w:t>
      </w:r>
    </w:p>
  </w:footnote>
  <w:footnote w:id="168">
    <w:p w14:paraId="4D50EBA4" w14:textId="4C26E1F5" w:rsidR="000C670C" w:rsidRDefault="000C670C">
      <w:pPr>
        <w:pStyle w:val="FootnoteText"/>
      </w:pPr>
      <w:r>
        <w:rPr>
          <w:rStyle w:val="FootnoteReference"/>
        </w:rPr>
        <w:footnoteRef/>
      </w:r>
      <w:r>
        <w:t xml:space="preserve"> Clause 93 of the </w:t>
      </w:r>
      <w:hyperlink r:id="rId138" w:anchor="toc-current-version-of-the-energy-retail-code-of-practice" w:history="1">
        <w:r w:rsidR="00197C0D" w:rsidRPr="00197C0D">
          <w:rPr>
            <w:rStyle w:val="Hyperlink"/>
          </w:rPr>
          <w:t>Energy Retail Code of Practice (version 3)</w:t>
        </w:r>
      </w:hyperlink>
      <w:r w:rsidR="00197C0D" w:rsidRPr="00197C0D">
        <w:t xml:space="preserve">. </w:t>
      </w:r>
    </w:p>
  </w:footnote>
  <w:footnote w:id="169">
    <w:p w14:paraId="1ECB8873" w14:textId="34E1ACC3" w:rsidR="009E0BEF" w:rsidRDefault="009E0BEF">
      <w:pPr>
        <w:pStyle w:val="FootnoteText"/>
      </w:pPr>
      <w:r>
        <w:rPr>
          <w:rStyle w:val="FootnoteReference"/>
        </w:rPr>
        <w:footnoteRef/>
      </w:r>
      <w:r>
        <w:t xml:space="preserve"> Clause 92</w:t>
      </w:r>
      <w:r w:rsidR="00917015">
        <w:t>(3)</w:t>
      </w:r>
      <w:r>
        <w:t xml:space="preserve"> of the </w:t>
      </w:r>
      <w:hyperlink r:id="rId139" w:anchor="toc-current-version-of-the-energy-retail-code-of-practice" w:history="1">
        <w:hyperlink r:id="rId140" w:anchor="toc-current-version-of-the-energy-retail-code-of-practice" w:history="1">
          <w:r w:rsidR="00197C0D">
            <w:rPr>
              <w:rStyle w:val="Hyperlink"/>
            </w:rPr>
            <w:t>Energy Retail Code of Practice (version 3)</w:t>
          </w:r>
        </w:hyperlink>
        <w:r w:rsidR="00197C0D">
          <w:t xml:space="preserve">. </w:t>
        </w:r>
      </w:hyperlink>
    </w:p>
  </w:footnote>
  <w:footnote w:id="170">
    <w:p w14:paraId="1D9F4B6D" w14:textId="2D41BB25" w:rsidR="00AD20EC" w:rsidRDefault="00AD20EC">
      <w:pPr>
        <w:pStyle w:val="FootnoteText"/>
      </w:pPr>
      <w:r>
        <w:rPr>
          <w:rStyle w:val="FootnoteReference"/>
        </w:rPr>
        <w:footnoteRef/>
      </w:r>
      <w:r>
        <w:t xml:space="preserve"> </w:t>
      </w:r>
      <w:r w:rsidR="00634859">
        <w:t>Existing requirements include</w:t>
      </w:r>
      <w:r w:rsidR="00082010">
        <w:t xml:space="preserve"> </w:t>
      </w:r>
      <w:r w:rsidR="006C2C6F">
        <w:t xml:space="preserve">rules that state </w:t>
      </w:r>
      <w:r w:rsidR="00367797">
        <w:t xml:space="preserve">tariffs can only be increased </w:t>
      </w:r>
      <w:r w:rsidR="00805E5D">
        <w:t xml:space="preserve">once a year </w:t>
      </w:r>
      <w:r w:rsidR="004762C3">
        <w:t xml:space="preserve">and changes </w:t>
      </w:r>
      <w:r w:rsidR="00201CC6">
        <w:t xml:space="preserve">to the structure and nature of the tariff of </w:t>
      </w:r>
      <w:r w:rsidR="002D431C">
        <w:t xml:space="preserve">market retail contracts must be agreed between a customer and a retailer. See clauses 92, 93 and 94 of the </w:t>
      </w:r>
      <w:hyperlink r:id="rId141" w:anchor="toc-current-version-of-the-energy-retail-code-of-practice" w:history="1">
        <w:r w:rsidR="007071A4">
          <w:rPr>
            <w:rStyle w:val="Hyperlink"/>
          </w:rPr>
          <w:t>Energy Retail Code of Practice (version 3)</w:t>
        </w:r>
      </w:hyperlink>
      <w:r w:rsidR="007071A4">
        <w:t xml:space="preserve">. </w:t>
      </w:r>
    </w:p>
  </w:footnote>
  <w:footnote w:id="171">
    <w:p w14:paraId="4332CC41" w14:textId="6F6F7D44" w:rsidR="004519D0" w:rsidRDefault="004519D0">
      <w:pPr>
        <w:pStyle w:val="FootnoteText"/>
      </w:pPr>
      <w:r>
        <w:rPr>
          <w:rStyle w:val="FootnoteReference"/>
        </w:rPr>
        <w:footnoteRef/>
      </w:r>
      <w:r>
        <w:t xml:space="preserve"> Note that Pacific Blue Retail and Tango Energy are brands under the same licensed retailer, </w:t>
      </w:r>
      <w:r w:rsidR="002F5487">
        <w:t>Pacific Blue Retail Pty Ltd.</w:t>
      </w:r>
    </w:p>
  </w:footnote>
  <w:footnote w:id="172">
    <w:p w14:paraId="5C55193D" w14:textId="77777777" w:rsidR="00982BE4" w:rsidRDefault="00982BE4" w:rsidP="00982BE4">
      <w:pPr>
        <w:pStyle w:val="FootnoteText"/>
      </w:pPr>
      <w:r>
        <w:rPr>
          <w:rStyle w:val="FootnoteReference"/>
        </w:rPr>
        <w:footnoteRef/>
      </w:r>
      <w:r>
        <w:t xml:space="preserve"> Our analysis is based on a sample of 2,132 residential electricity offers and 847 gas offers on Victorian Energy Compare (VEC) data downloaded in April 2025. </w:t>
      </w:r>
    </w:p>
  </w:footnote>
  <w:footnote w:id="173">
    <w:p w14:paraId="2E68692B" w14:textId="1ADBB5EC" w:rsidR="00322CE2" w:rsidRDefault="00322CE2" w:rsidP="00322CE2">
      <w:pPr>
        <w:pStyle w:val="FootnoteText"/>
      </w:pPr>
      <w:r>
        <w:rPr>
          <w:rStyle w:val="FootnoteReference"/>
        </w:rPr>
        <w:footnoteRef/>
      </w:r>
      <w:r>
        <w:t xml:space="preserve"> </w:t>
      </w:r>
      <w:r w:rsidR="00973C60">
        <w:t>Energy and Water Ombudsman</w:t>
      </w:r>
      <w:r w:rsidR="002607B4">
        <w:t xml:space="preserve"> Victoria</w:t>
      </w:r>
      <w:r w:rsidR="00973C60">
        <w:t>,</w:t>
      </w:r>
      <w:r>
        <w:t xml:space="preserve"> </w:t>
      </w:r>
      <w:hyperlink r:id="rId142" w:anchor="tabs-container3" w:history="1">
        <w:r w:rsidR="0003731D">
          <w:rPr>
            <w:rStyle w:val="Hyperlink"/>
            <w:i/>
          </w:rPr>
          <w:t>submission to the Essential Services Commission ‘Energy Retail Code of Practice: Issues Paper’</w:t>
        </w:r>
      </w:hyperlink>
      <w:r w:rsidR="000E2452">
        <w:t xml:space="preserve">, 31 July 2024; </w:t>
      </w:r>
      <w:r>
        <w:t xml:space="preserve">Essential Services Commission, </w:t>
      </w:r>
      <w:hyperlink r:id="rId143" w:anchor="tabs-container2" w:history="1">
        <w:r w:rsidRPr="000043F3">
          <w:rPr>
            <w:rStyle w:val="Hyperlink"/>
            <w:i/>
          </w:rPr>
          <w:t>Workshop 2 (In-person) Consultation Summary</w:t>
        </w:r>
        <w:r w:rsidRPr="000043F3">
          <w:rPr>
            <w:rStyle w:val="Hyperlink"/>
          </w:rPr>
          <w:t>,</w:t>
        </w:r>
      </w:hyperlink>
      <w:r>
        <w:t xml:space="preserve"> January 2025, pp. 2</w:t>
      </w:r>
      <w:r w:rsidR="006813E1">
        <w:rPr>
          <w:rFonts w:cstheme="minorHAnsi"/>
        </w:rPr>
        <w:t>–</w:t>
      </w:r>
      <w:r>
        <w:t>3</w:t>
      </w:r>
      <w:r w:rsidR="00AA0987">
        <w:t>;</w:t>
      </w:r>
      <w:r w:rsidR="00AA0987" w:rsidRPr="00AA0987">
        <w:rPr>
          <w:szCs w:val="18"/>
        </w:rPr>
        <w:t xml:space="preserve"> </w:t>
      </w:r>
      <w:r w:rsidR="00AA0987">
        <w:rPr>
          <w:szCs w:val="18"/>
        </w:rPr>
        <w:t xml:space="preserve">Victorian Council of Social Service, </w:t>
      </w:r>
      <w:hyperlink r:id="rId144" w:anchor="tabs-container3" w:history="1">
        <w:r w:rsidR="0003731D">
          <w:rPr>
            <w:rStyle w:val="Hyperlink"/>
            <w:i/>
            <w:iCs/>
            <w:szCs w:val="18"/>
          </w:rPr>
          <w:t>submission to the Essential Services Commission ‘Energy Retail Code of Practice: Issues Paper’</w:t>
        </w:r>
      </w:hyperlink>
      <w:r w:rsidR="00AA0987">
        <w:rPr>
          <w:szCs w:val="18"/>
        </w:rPr>
        <w:t>, 19 July 2024.</w:t>
      </w:r>
    </w:p>
  </w:footnote>
  <w:footnote w:id="174">
    <w:p w14:paraId="72AEEA3D" w14:textId="1B59E4A0" w:rsidR="00AA06D7" w:rsidRDefault="00AA06D7" w:rsidP="00AA06D7">
      <w:pPr>
        <w:pStyle w:val="FootnoteText"/>
      </w:pPr>
      <w:r>
        <w:rPr>
          <w:rStyle w:val="FootnoteReference"/>
        </w:rPr>
        <w:footnoteRef/>
      </w:r>
      <w:r>
        <w:t xml:space="preserve"> Essential Services Commission, </w:t>
      </w:r>
      <w:hyperlink r:id="rId145" w:anchor="tabs-container2" w:history="1">
        <w:r w:rsidRPr="00BB379C">
          <w:rPr>
            <w:rStyle w:val="Hyperlink"/>
            <w:i/>
          </w:rPr>
          <w:t>Workshop 2 (In-person) Consultation Summary</w:t>
        </w:r>
      </w:hyperlink>
      <w:r>
        <w:t xml:space="preserve">, </w:t>
      </w:r>
      <w:r w:rsidR="00F41FD8">
        <w:t xml:space="preserve">January </w:t>
      </w:r>
      <w:r>
        <w:t>2025.</w:t>
      </w:r>
    </w:p>
  </w:footnote>
  <w:footnote w:id="175">
    <w:p w14:paraId="14E0B575" w14:textId="2601F0B9" w:rsidR="006E1562" w:rsidRDefault="006E1562">
      <w:pPr>
        <w:pStyle w:val="FootnoteText"/>
      </w:pPr>
      <w:r>
        <w:rPr>
          <w:rStyle w:val="FootnoteReference"/>
        </w:rPr>
        <w:footnoteRef/>
      </w:r>
      <w:r>
        <w:t xml:space="preserve"> </w:t>
      </w:r>
      <w:r w:rsidRPr="006E1562">
        <w:t xml:space="preserve"> Clauses 77 and 78 of the </w:t>
      </w:r>
      <w:hyperlink r:id="rId146" w:anchor="toc-current-version-of-the-energy-retail-code-of-practice" w:history="1">
        <w:r w:rsidR="000E762C">
          <w:rPr>
            <w:rStyle w:val="Hyperlink"/>
          </w:rPr>
          <w:t>Energy Retail Code of Practice (version 3)</w:t>
        </w:r>
      </w:hyperlink>
      <w:r w:rsidR="000E762C">
        <w:t>.</w:t>
      </w:r>
    </w:p>
  </w:footnote>
  <w:footnote w:id="176">
    <w:p w14:paraId="1A49CCCA" w14:textId="72DC23A0" w:rsidR="00656375" w:rsidRDefault="00656375">
      <w:pPr>
        <w:pStyle w:val="FootnoteText"/>
      </w:pPr>
      <w:r>
        <w:rPr>
          <w:rStyle w:val="FootnoteReference"/>
        </w:rPr>
        <w:footnoteRef/>
      </w:r>
      <w:r>
        <w:t xml:space="preserve"> </w:t>
      </w:r>
      <w:r w:rsidR="002935F1">
        <w:t xml:space="preserve">Australian Energy Market Commission, </w:t>
      </w:r>
      <w:hyperlink r:id="rId147" w:history="1">
        <w:r w:rsidR="002935F1" w:rsidRPr="007731C4">
          <w:rPr>
            <w:rStyle w:val="Hyperlink"/>
            <w:i/>
            <w:iCs/>
          </w:rPr>
          <w:t>Improving consumer confidence in retail energy plans</w:t>
        </w:r>
        <w:r w:rsidR="00CE60E8" w:rsidRPr="007731C4">
          <w:rPr>
            <w:rStyle w:val="Hyperlink"/>
            <w:i/>
            <w:iCs/>
          </w:rPr>
          <w:t xml:space="preserve">: </w:t>
        </w:r>
        <w:r w:rsidR="007731C4" w:rsidRPr="007731C4">
          <w:rPr>
            <w:rStyle w:val="Hyperlink"/>
            <w:i/>
            <w:iCs/>
          </w:rPr>
          <w:t>D</w:t>
        </w:r>
        <w:r w:rsidR="00CE60E8" w:rsidRPr="007731C4">
          <w:rPr>
            <w:rStyle w:val="Hyperlink"/>
            <w:i/>
            <w:iCs/>
          </w:rPr>
          <w:t>raft rule determination</w:t>
        </w:r>
      </w:hyperlink>
      <w:r w:rsidR="002935F1">
        <w:t>, 27 March 2025.</w:t>
      </w:r>
    </w:p>
  </w:footnote>
  <w:footnote w:id="177">
    <w:p w14:paraId="3F96F018" w14:textId="3FF97F60" w:rsidR="002E0E85" w:rsidRDefault="002E0E85">
      <w:pPr>
        <w:pStyle w:val="FootnoteText"/>
      </w:pPr>
      <w:r>
        <w:rPr>
          <w:rStyle w:val="FootnoteReference"/>
        </w:rPr>
        <w:footnoteRef/>
      </w:r>
      <w:r>
        <w:t xml:space="preserve"> Ibid., pp. 41 and 5</w:t>
      </w:r>
      <w:r w:rsidR="003F75CB">
        <w:t>2.</w:t>
      </w:r>
    </w:p>
  </w:footnote>
  <w:footnote w:id="178">
    <w:p w14:paraId="599B2A1C" w14:textId="4DB535B6" w:rsidR="00174FD5" w:rsidRDefault="00174FD5" w:rsidP="00174FD5">
      <w:pPr>
        <w:pStyle w:val="FootnoteText"/>
      </w:pPr>
      <w:r>
        <w:rPr>
          <w:rStyle w:val="FootnoteReference"/>
        </w:rPr>
        <w:footnoteRef/>
      </w:r>
      <w:r>
        <w:t xml:space="preserve"> Clauses 77 and 78 of the </w:t>
      </w:r>
      <w:hyperlink r:id="rId148" w:anchor="toc-current-version-of-the-energy-retail-code-of-practice" w:history="1">
        <w:r w:rsidR="000E762C">
          <w:rPr>
            <w:rStyle w:val="Hyperlink"/>
          </w:rPr>
          <w:t>Energy Retail Code of Practice (version 3)</w:t>
        </w:r>
      </w:hyperlink>
      <w:r w:rsidR="000E762C">
        <w:t>.</w:t>
      </w:r>
    </w:p>
  </w:footnote>
  <w:footnote w:id="179">
    <w:p w14:paraId="458486CD" w14:textId="1211A51B" w:rsidR="001B2F1B" w:rsidRDefault="001B2F1B">
      <w:pPr>
        <w:pStyle w:val="FootnoteText"/>
      </w:pPr>
      <w:r>
        <w:rPr>
          <w:rStyle w:val="FootnoteReference"/>
        </w:rPr>
        <w:footnoteRef/>
      </w:r>
      <w:r>
        <w:t xml:space="preserve"> </w:t>
      </w:r>
      <w:r w:rsidR="00A1619D">
        <w:t>Ibid.</w:t>
      </w:r>
    </w:p>
  </w:footnote>
  <w:footnote w:id="180">
    <w:p w14:paraId="051A06F3" w14:textId="317EEFC9" w:rsidR="00D57EFA" w:rsidRDefault="00D57EFA">
      <w:pPr>
        <w:pStyle w:val="FootnoteText"/>
      </w:pPr>
      <w:r>
        <w:rPr>
          <w:rStyle w:val="FootnoteReference"/>
        </w:rPr>
        <w:footnoteRef/>
      </w:r>
      <w:r>
        <w:t xml:space="preserve"> Clause 95</w:t>
      </w:r>
      <w:r w:rsidRPr="00D57EFA">
        <w:t xml:space="preserve"> </w:t>
      </w:r>
      <w:r>
        <w:t xml:space="preserve">of the </w:t>
      </w:r>
      <w:hyperlink r:id="rId149" w:anchor="toc-current-version-of-the-energy-retail-code-of-practice" w:history="1">
        <w:r w:rsidRPr="009E1AD6">
          <w:rPr>
            <w:rStyle w:val="Hyperlink"/>
          </w:rPr>
          <w:t>Energy Retail Code of Practice (version 3)</w:t>
        </w:r>
      </w:hyperlink>
      <w:r>
        <w:t>.</w:t>
      </w:r>
    </w:p>
  </w:footnote>
  <w:footnote w:id="181">
    <w:p w14:paraId="0A91B8D4" w14:textId="5E0FAC13" w:rsidR="009E37B4" w:rsidRDefault="009E37B4">
      <w:pPr>
        <w:pStyle w:val="FootnoteText"/>
      </w:pPr>
      <w:r>
        <w:rPr>
          <w:rStyle w:val="FootnoteReference"/>
        </w:rPr>
        <w:footnoteRef/>
      </w:r>
      <w:r>
        <w:t xml:space="preserve"> </w:t>
      </w:r>
      <w:r w:rsidR="00223B03">
        <w:t>Rules 46C and 52B of the National Energy Retail Rules</w:t>
      </w:r>
      <w:r>
        <w:t>.</w:t>
      </w:r>
    </w:p>
  </w:footnote>
  <w:footnote w:id="182">
    <w:p w14:paraId="41BF0665" w14:textId="49187331" w:rsidR="00AD44B2" w:rsidRDefault="00AD44B2" w:rsidP="00AD44B2">
      <w:pPr>
        <w:pStyle w:val="FootnoteText"/>
      </w:pPr>
      <w:r>
        <w:rPr>
          <w:rStyle w:val="FootnoteReference"/>
        </w:rPr>
        <w:footnoteRef/>
      </w:r>
      <w:r>
        <w:t xml:space="preserve"> Australian Energy Market Commission, </w:t>
      </w:r>
      <w:hyperlink r:id="rId150" w:history="1">
        <w:r w:rsidR="00483438" w:rsidRPr="0073566C">
          <w:rPr>
            <w:rStyle w:val="Hyperlink"/>
            <w:i/>
            <w:iCs/>
          </w:rPr>
          <w:t>Regulating conditional discounting: Rule determination</w:t>
        </w:r>
      </w:hyperlink>
      <w:r>
        <w:t>, 27 February 2020</w:t>
      </w:r>
      <w:r w:rsidR="0076121B">
        <w:t>, p. 12</w:t>
      </w:r>
      <w:r>
        <w:t>.</w:t>
      </w:r>
    </w:p>
  </w:footnote>
  <w:footnote w:id="183">
    <w:p w14:paraId="15F0D88C" w14:textId="7455B1BC" w:rsidR="001B4B8E" w:rsidRDefault="001B4B8E">
      <w:pPr>
        <w:pStyle w:val="FootnoteText"/>
      </w:pPr>
      <w:r>
        <w:rPr>
          <w:rStyle w:val="FootnoteReference"/>
        </w:rPr>
        <w:footnoteRef/>
      </w:r>
      <w:r w:rsidRPr="001B4B8E">
        <w:t xml:space="preserve"> Australian Energy Market Commission, </w:t>
      </w:r>
      <w:hyperlink r:id="rId151" w:history="1">
        <w:r w:rsidRPr="0073566C">
          <w:rPr>
            <w:rStyle w:val="Hyperlink"/>
            <w:i/>
            <w:iCs/>
          </w:rPr>
          <w:t>Improving consumer confidence in retail energy plans: Draft rule determination</w:t>
        </w:r>
      </w:hyperlink>
      <w:r w:rsidRPr="001B4B8E">
        <w:t>, 27 March 2025.</w:t>
      </w:r>
    </w:p>
  </w:footnote>
  <w:footnote w:id="184">
    <w:p w14:paraId="16990F21" w14:textId="377945C6" w:rsidR="00AE2790" w:rsidRDefault="00AE2790" w:rsidP="00AE2790">
      <w:pPr>
        <w:pStyle w:val="FootnoteText"/>
      </w:pPr>
      <w:r>
        <w:rPr>
          <w:rStyle w:val="FootnoteReference"/>
        </w:rPr>
        <w:footnoteRef/>
      </w:r>
      <w:r>
        <w:t xml:space="preserve"> Based on offers available on 23 April 2025, in the Jemena distribution area. The offers identified were Momentum’s Nothing Fancy, Tango’s eSelect, Pacific Blue’s Blue First, Ovo Energy’s The One Plan, and AGL’s Netflix Plan. Savings </w:t>
      </w:r>
      <w:r w:rsidR="00CB3448">
        <w:t xml:space="preserve">were based on an annual consumption of 4,000kWh per year, </w:t>
      </w:r>
      <w:r>
        <w:t>based on flat-rate offers (except for The One Plan, which assumes all consumption at the peak rate)</w:t>
      </w:r>
      <w:r w:rsidR="00CB3448">
        <w:t xml:space="preserve">, and do not include the value of </w:t>
      </w:r>
      <w:r w:rsidR="00325DEF">
        <w:t>additional</w:t>
      </w:r>
      <w:r w:rsidR="00CB3448">
        <w:t xml:space="preserve"> benefits</w:t>
      </w:r>
      <w:r>
        <w:t>.</w:t>
      </w:r>
      <w:r w:rsidR="008A2C9E">
        <w:t xml:space="preserve"> We have used the VDO </w:t>
      </w:r>
      <w:r w:rsidR="005D0B10">
        <w:t xml:space="preserve">to compare benefits as </w:t>
      </w:r>
      <w:r w:rsidR="00F76F9A">
        <w:t xml:space="preserve">it </w:t>
      </w:r>
      <w:r w:rsidR="005D0B10">
        <w:t>is</w:t>
      </w:r>
      <w:r w:rsidR="00F76F9A">
        <w:t xml:space="preserve"> </w:t>
      </w:r>
      <w:r w:rsidR="00F76F9A" w:rsidRPr="00F76F9A">
        <w:t xml:space="preserve">a reasonably priced electricity offer set by </w:t>
      </w:r>
      <w:r w:rsidR="00F76F9A">
        <w:t xml:space="preserve">the commission that </w:t>
      </w:r>
      <w:r w:rsidR="005D0B10">
        <w:t>is usually used as a benchmark.</w:t>
      </w:r>
      <w:r w:rsidR="004B21AB">
        <w:t xml:space="preserve"> As market offers can be below the VDO, </w:t>
      </w:r>
      <w:r w:rsidR="004B21AB" w:rsidRPr="004B21AB">
        <w:t>the use of the VDO may understate the potential saving</w:t>
      </w:r>
      <w:r w:rsidR="004B21AB">
        <w:t xml:space="preserve">s. </w:t>
      </w:r>
    </w:p>
  </w:footnote>
  <w:footnote w:id="185">
    <w:p w14:paraId="636523C2" w14:textId="2A21C031" w:rsidR="0098657D" w:rsidRDefault="0098657D">
      <w:pPr>
        <w:pStyle w:val="FootnoteText"/>
      </w:pPr>
      <w:r>
        <w:rPr>
          <w:rStyle w:val="FootnoteReference"/>
        </w:rPr>
        <w:footnoteRef/>
      </w:r>
      <w:r>
        <w:t xml:space="preserve"> Based on an annual consumption of 4,000kWh per year in the Jemena distribution area.</w:t>
      </w:r>
    </w:p>
  </w:footnote>
  <w:footnote w:id="186">
    <w:p w14:paraId="587609A9" w14:textId="09E75946" w:rsidR="00F07BE8" w:rsidRDefault="00F07BE8">
      <w:pPr>
        <w:pStyle w:val="FootnoteText"/>
      </w:pPr>
      <w:r>
        <w:rPr>
          <w:rStyle w:val="FootnoteReference"/>
        </w:rPr>
        <w:footnoteRef/>
      </w:r>
      <w:r>
        <w:t xml:space="preserve"> </w:t>
      </w:r>
      <w:r w:rsidR="0070557B">
        <w:t>Based on paper bill fees charged by seven electricity retailers</w:t>
      </w:r>
      <w:r w:rsidR="003679E8">
        <w:t xml:space="preserve"> in February 2025</w:t>
      </w:r>
      <w:r w:rsidR="0070557B">
        <w:t>.</w:t>
      </w:r>
    </w:p>
  </w:footnote>
  <w:footnote w:id="187">
    <w:p w14:paraId="5EEA1BDE" w14:textId="77777777" w:rsidR="00C119FD" w:rsidRDefault="00C119FD">
      <w:pPr>
        <w:pStyle w:val="FootnoteText"/>
      </w:pPr>
      <w:r>
        <w:rPr>
          <w:rStyle w:val="FootnoteReference"/>
        </w:rPr>
        <w:footnoteRef/>
      </w:r>
      <w:r>
        <w:t xml:space="preserve"> </w:t>
      </w:r>
      <w:r w:rsidRPr="00B976AF">
        <w:rPr>
          <w:szCs w:val="18"/>
        </w:rPr>
        <w:t>‘</w:t>
      </w:r>
      <w:hyperlink r:id="rId152" w:history="1">
        <w:r w:rsidRPr="00B976AF">
          <w:rPr>
            <w:rStyle w:val="Hyperlink"/>
            <w:szCs w:val="18"/>
          </w:rPr>
          <w:t>Victorian Energy Market Dashboard</w:t>
        </w:r>
        <w:r w:rsidRPr="00B976AF">
          <w:rPr>
            <w:rStyle w:val="Hyperlink"/>
          </w:rPr>
          <w:t>’</w:t>
        </w:r>
      </w:hyperlink>
      <w:r>
        <w:rPr>
          <w:szCs w:val="18"/>
        </w:rPr>
        <w:t>, Essential Services Commission, accessed 23 January 2025.</w:t>
      </w:r>
    </w:p>
  </w:footnote>
  <w:footnote w:id="188">
    <w:p w14:paraId="59112C17" w14:textId="4A07EFB9" w:rsidR="003707D7" w:rsidRDefault="003707D7" w:rsidP="003707D7">
      <w:pPr>
        <w:pStyle w:val="FootnoteText"/>
      </w:pPr>
      <w:r>
        <w:rPr>
          <w:rStyle w:val="FootnoteReference"/>
        </w:rPr>
        <w:footnoteRef/>
      </w:r>
      <w:r>
        <w:t xml:space="preserve"> </w:t>
      </w:r>
      <w:r w:rsidR="00763B8F">
        <w:t>Council of the Aging</w:t>
      </w:r>
      <w:r w:rsidR="000B23B9">
        <w:t xml:space="preserve"> Victoria, </w:t>
      </w:r>
      <w:hyperlink r:id="rId153" w:history="1">
        <w:r w:rsidR="00FE6800" w:rsidRPr="007A3639">
          <w:rPr>
            <w:rStyle w:val="Hyperlink"/>
            <w:i/>
            <w:iCs/>
          </w:rPr>
          <w:t>Energy Retail Code of Practice Review</w:t>
        </w:r>
      </w:hyperlink>
      <w:r w:rsidR="00FE6800">
        <w:t xml:space="preserve">, </w:t>
      </w:r>
      <w:r w:rsidR="00765D59">
        <w:t>November 2024.</w:t>
      </w:r>
      <w:r w:rsidR="00FE6800">
        <w:t xml:space="preserve"> </w:t>
      </w:r>
      <w:r>
        <w:t xml:space="preserve">Essential Services Commission, </w:t>
      </w:r>
      <w:hyperlink r:id="rId154" w:anchor="tabs-container2" w:history="1">
        <w:r w:rsidRPr="00810DEB">
          <w:rPr>
            <w:rStyle w:val="Hyperlink"/>
            <w:i/>
          </w:rPr>
          <w:t>Workshop 2 (In-person) Consultation Summary</w:t>
        </w:r>
      </w:hyperlink>
      <w:r>
        <w:t xml:space="preserve">, </w:t>
      </w:r>
      <w:r w:rsidR="00F41FD8">
        <w:t xml:space="preserve">January </w:t>
      </w:r>
      <w:r>
        <w:t>2025.</w:t>
      </w:r>
      <w:r w:rsidR="0018246A">
        <w:t xml:space="preserve"> </w:t>
      </w:r>
    </w:p>
  </w:footnote>
  <w:footnote w:id="189">
    <w:p w14:paraId="75D1B66C" w14:textId="730EB8E5" w:rsidR="0007449D" w:rsidRDefault="0007449D">
      <w:pPr>
        <w:pStyle w:val="FootnoteText"/>
      </w:pPr>
      <w:r>
        <w:rPr>
          <w:rStyle w:val="FootnoteReference"/>
        </w:rPr>
        <w:footnoteRef/>
      </w:r>
      <w:r>
        <w:t xml:space="preserve"> Victorian Council of Social Services, </w:t>
      </w:r>
      <w:hyperlink r:id="rId155" w:anchor="tabs-container2" w:history="1">
        <w:r w:rsidR="0003731D">
          <w:rPr>
            <w:rStyle w:val="Hyperlink"/>
            <w:i/>
            <w:iCs/>
          </w:rPr>
          <w:t>submission to the Essential Services Commission ‘Energy Consumer Reforms: Discussion Paper’</w:t>
        </w:r>
      </w:hyperlink>
      <w:r>
        <w:t xml:space="preserve">, </w:t>
      </w:r>
      <w:r w:rsidR="008770A5">
        <w:t>December 2024.</w:t>
      </w:r>
    </w:p>
  </w:footnote>
  <w:footnote w:id="190">
    <w:p w14:paraId="70332F42" w14:textId="169345F0" w:rsidR="003707D7" w:rsidRDefault="003707D7" w:rsidP="003707D7">
      <w:pPr>
        <w:pStyle w:val="FootnoteText"/>
      </w:pPr>
      <w:r>
        <w:rPr>
          <w:rStyle w:val="FootnoteReference"/>
        </w:rPr>
        <w:footnoteRef/>
      </w:r>
      <w:r>
        <w:t xml:space="preserve"> Energy and Water Ombudsman Victoria, </w:t>
      </w:r>
      <w:hyperlink r:id="rId156" w:anchor="tabs-container2" w:history="1">
        <w:hyperlink r:id="rId157" w:anchor="toc-submissions-on-the-energy-consumer-reforms-discussion-paper|tabs-container2" w:history="1">
          <w:r w:rsidR="0003731D">
            <w:rPr>
              <w:rStyle w:val="Hyperlink"/>
              <w:i/>
              <w:iCs/>
            </w:rPr>
            <w:t>submission to the Essential Services Commission ‘Energy Consumer Reforms: Discussion Paper’</w:t>
          </w:r>
        </w:hyperlink>
        <w:r w:rsidRPr="00A40773">
          <w:rPr>
            <w:rStyle w:val="Hyperlink"/>
          </w:rPr>
          <w:t>,</w:t>
        </w:r>
      </w:hyperlink>
      <w:r w:rsidR="00CA4E22">
        <w:t xml:space="preserve"> 26 November</w:t>
      </w:r>
      <w:r>
        <w:t xml:space="preserve"> 2024</w:t>
      </w:r>
      <w:r w:rsidR="00A438FD">
        <w:t>, p. 7</w:t>
      </w:r>
      <w:r>
        <w:t>.</w:t>
      </w:r>
    </w:p>
  </w:footnote>
  <w:footnote w:id="191">
    <w:p w14:paraId="7473ECED" w14:textId="41EC1E04" w:rsidR="00A332B0" w:rsidRDefault="00A332B0">
      <w:pPr>
        <w:pStyle w:val="FootnoteText"/>
      </w:pPr>
      <w:r>
        <w:rPr>
          <w:rStyle w:val="FootnoteReference"/>
        </w:rPr>
        <w:footnoteRef/>
      </w:r>
      <w:r>
        <w:t xml:space="preserve"> </w:t>
      </w:r>
      <w:r w:rsidRPr="00286FCA">
        <w:t xml:space="preserve">Whereto Research, </w:t>
      </w:r>
      <w:hyperlink r:id="rId158" w:anchor="tabs-container2" w:history="1">
        <w:r w:rsidRPr="008C6166">
          <w:rPr>
            <w:rStyle w:val="Hyperlink"/>
          </w:rPr>
          <w:t>Consumer focus group stand-up and delivery to support the Energy Retail Code of Practice Review</w:t>
        </w:r>
      </w:hyperlink>
      <w:r w:rsidRPr="00286FCA">
        <w:t xml:space="preserve">, March 2025, </w:t>
      </w:r>
      <w:r w:rsidR="001A6083" w:rsidRPr="00286FCA">
        <w:t>p</w:t>
      </w:r>
      <w:r w:rsidRPr="00286FCA">
        <w:t xml:space="preserve">p. </w:t>
      </w:r>
      <w:r w:rsidR="001A6083" w:rsidRPr="00286FCA">
        <w:t>1</w:t>
      </w:r>
      <w:r w:rsidR="00751F03" w:rsidRPr="00286FCA">
        <w:t>1</w:t>
      </w:r>
      <w:r w:rsidR="00B053CE">
        <w:t>-12</w:t>
      </w:r>
      <w:r w:rsidR="00ED5934" w:rsidRPr="00286FCA">
        <w:t xml:space="preserve"> &amp; </w:t>
      </w:r>
      <w:r w:rsidR="00A25578">
        <w:t>14-</w:t>
      </w:r>
      <w:r w:rsidR="00ED5934" w:rsidRPr="00286FCA">
        <w:t>16</w:t>
      </w:r>
      <w:r w:rsidRPr="00286FCA">
        <w:t>.</w:t>
      </w:r>
    </w:p>
  </w:footnote>
  <w:footnote w:id="192">
    <w:p w14:paraId="3CC97697" w14:textId="2D741295" w:rsidR="00690A46" w:rsidRDefault="00690A46" w:rsidP="00690A46">
      <w:pPr>
        <w:pStyle w:val="FootnoteText"/>
      </w:pPr>
      <w:r>
        <w:rPr>
          <w:rStyle w:val="FootnoteReference"/>
        </w:rPr>
        <w:footnoteRef/>
      </w:r>
      <w:r>
        <w:t xml:space="preserve"> Energy and Water Ombudsman Victoria, </w:t>
      </w:r>
      <w:hyperlink r:id="rId159" w:anchor="tabs-container3" w:history="1">
        <w:r w:rsidR="0003731D">
          <w:rPr>
            <w:i/>
            <w:u w:val="single"/>
          </w:rPr>
          <w:t>submission to the Essential Services Commission ‘Energy Retail Code of Practice: Issues Paper’</w:t>
        </w:r>
      </w:hyperlink>
      <w:r w:rsidR="007A3639">
        <w:t>,</w:t>
      </w:r>
      <w:r>
        <w:t xml:space="preserve"> 31 July 2024; Essential Services Commission, </w:t>
      </w:r>
      <w:hyperlink r:id="rId160" w:anchor="tabs-container2" w:history="1">
        <w:r w:rsidRPr="00810DEB">
          <w:rPr>
            <w:rStyle w:val="Hyperlink"/>
            <w:i/>
          </w:rPr>
          <w:t>Workshop 2 (In-person) Consultation Summary</w:t>
        </w:r>
      </w:hyperlink>
      <w:r>
        <w:t>, January 2025, pp. 2</w:t>
      </w:r>
      <w:r w:rsidR="006813E1">
        <w:rPr>
          <w:rFonts w:cstheme="minorHAnsi"/>
        </w:rPr>
        <w:t>–</w:t>
      </w:r>
      <w:r>
        <w:t xml:space="preserve">3; Victorian Council of Social Service, </w:t>
      </w:r>
      <w:hyperlink r:id="rId161" w:anchor="tabs-container3" w:history="1">
        <w:hyperlink r:id="rId162" w:anchor="tabs-container3" w:history="1">
          <w:r w:rsidR="0003731D">
            <w:rPr>
              <w:rStyle w:val="Hyperlink"/>
              <w:i/>
              <w:iCs/>
              <w:szCs w:val="18"/>
            </w:rPr>
            <w:t>submission to the Essential Services Commission ‘Energy Retail Code of Practice: Issues Paper’</w:t>
          </w:r>
        </w:hyperlink>
        <w:r w:rsidRPr="00CB5CB1">
          <w:rPr>
            <w:rStyle w:val="Hyperlink"/>
          </w:rPr>
          <w:t>,</w:t>
        </w:r>
      </w:hyperlink>
      <w:r>
        <w:t xml:space="preserve"> July 2024.</w:t>
      </w:r>
    </w:p>
  </w:footnote>
  <w:footnote w:id="193">
    <w:p w14:paraId="025D20E9" w14:textId="1FE7F146" w:rsidR="00147419" w:rsidRDefault="00147419">
      <w:pPr>
        <w:pStyle w:val="FootnoteText"/>
      </w:pPr>
      <w:r>
        <w:rPr>
          <w:rStyle w:val="FootnoteReference"/>
        </w:rPr>
        <w:footnoteRef/>
      </w:r>
      <w:r>
        <w:t xml:space="preserve"> </w:t>
      </w:r>
      <w:r w:rsidRPr="00286FCA">
        <w:t xml:space="preserve">Whereto Research, </w:t>
      </w:r>
      <w:hyperlink r:id="rId163" w:anchor="tabs-container2" w:history="1">
        <w:r w:rsidRPr="0009265E">
          <w:rPr>
            <w:rStyle w:val="Hyperlink"/>
          </w:rPr>
          <w:t>Consumer focus group stand-up and delivery to support the Energy Retail Code of Practice Review</w:t>
        </w:r>
      </w:hyperlink>
      <w:r w:rsidRPr="00286FCA">
        <w:t xml:space="preserve">, March 2025, pp. </w:t>
      </w:r>
      <w:r w:rsidR="00F84DE4" w:rsidRPr="00286FCA">
        <w:t>16–17</w:t>
      </w:r>
      <w:r w:rsidRPr="00286FCA">
        <w:t>.</w:t>
      </w:r>
    </w:p>
  </w:footnote>
  <w:footnote w:id="194">
    <w:p w14:paraId="5ED6A582" w14:textId="04F883FF" w:rsidR="00E717CA" w:rsidRDefault="00E717CA">
      <w:pPr>
        <w:pStyle w:val="FootnoteText"/>
      </w:pPr>
      <w:r>
        <w:rPr>
          <w:rStyle w:val="FootnoteReference"/>
        </w:rPr>
        <w:footnoteRef/>
      </w:r>
      <w:r>
        <w:t xml:space="preserve"> </w:t>
      </w:r>
      <w:r w:rsidR="00EE2743">
        <w:t xml:space="preserve">Essential Services Commission, </w:t>
      </w:r>
      <w:hyperlink r:id="rId164" w:anchor="tabs-container2" w:history="1">
        <w:r w:rsidR="00EE2743" w:rsidRPr="00E672D3">
          <w:rPr>
            <w:rStyle w:val="Hyperlink"/>
            <w:i/>
          </w:rPr>
          <w:t>Workshop 2 (In-person) Consultation Summary</w:t>
        </w:r>
      </w:hyperlink>
      <w:r w:rsidR="00EE2743">
        <w:t>, January 2025, pp. 3</w:t>
      </w:r>
      <w:r w:rsidR="00F84DE4">
        <w:t>–</w:t>
      </w:r>
      <w:r w:rsidR="00EE2743">
        <w:t>4.</w:t>
      </w:r>
    </w:p>
  </w:footnote>
  <w:footnote w:id="195">
    <w:p w14:paraId="07E81FBE" w14:textId="6ED179F6" w:rsidR="001A0DF4" w:rsidRDefault="001A0DF4">
      <w:pPr>
        <w:pStyle w:val="FootnoteText"/>
      </w:pPr>
      <w:r>
        <w:rPr>
          <w:rStyle w:val="FootnoteReference"/>
        </w:rPr>
        <w:footnoteRef/>
      </w:r>
      <w:r>
        <w:t xml:space="preserve"> Essential Services Commission, </w:t>
      </w:r>
      <w:hyperlink r:id="rId165" w:history="1">
        <w:r w:rsidRPr="001A0DF4">
          <w:rPr>
            <w:rStyle w:val="Hyperlink"/>
            <w:i/>
            <w:iCs/>
          </w:rPr>
          <w:t>Victorian Energy Market Report: September 2023</w:t>
        </w:r>
      </w:hyperlink>
      <w:r>
        <w:t>, September 2023, p 6.</w:t>
      </w:r>
    </w:p>
  </w:footnote>
  <w:footnote w:id="196">
    <w:p w14:paraId="58ACA3E4" w14:textId="5B596975" w:rsidR="00DC2138" w:rsidRDefault="00DC2138">
      <w:pPr>
        <w:pStyle w:val="FootnoteText"/>
      </w:pPr>
      <w:r>
        <w:rPr>
          <w:rStyle w:val="FootnoteReference"/>
        </w:rPr>
        <w:footnoteRef/>
      </w:r>
      <w:r>
        <w:t xml:space="preserve"> </w:t>
      </w:r>
      <w:r w:rsidR="004F68CF">
        <w:t xml:space="preserve">Essential Services Commission, </w:t>
      </w:r>
      <w:hyperlink r:id="rId166" w:history="1">
        <w:r w:rsidR="004F68CF" w:rsidRPr="000725A5">
          <w:rPr>
            <w:rStyle w:val="Hyperlink"/>
          </w:rPr>
          <w:t>Gu</w:t>
        </w:r>
        <w:r w:rsidR="00592675" w:rsidRPr="000725A5">
          <w:rPr>
            <w:rStyle w:val="Hyperlink"/>
          </w:rPr>
          <w:t>ideline 1 (2023): Form and content of deemed best offer messages</w:t>
        </w:r>
      </w:hyperlink>
      <w:r w:rsidR="00592675">
        <w:t>, 23 November 2023, p</w:t>
      </w:r>
      <w:r w:rsidR="000D2704">
        <w:t>. 7.</w:t>
      </w:r>
    </w:p>
  </w:footnote>
  <w:footnote w:id="197">
    <w:p w14:paraId="5BA33610" w14:textId="77633E5A" w:rsidR="006C5E69" w:rsidRDefault="006C5E69" w:rsidP="006C5E69">
      <w:pPr>
        <w:pStyle w:val="FootnoteText"/>
      </w:pPr>
      <w:r w:rsidRPr="008961E4">
        <w:rPr>
          <w:rStyle w:val="FootnoteReference"/>
        </w:rPr>
        <w:footnoteRef/>
      </w:r>
      <w:r w:rsidRPr="008961E4">
        <w:t xml:space="preserve"> </w:t>
      </w:r>
      <w:r w:rsidR="00B86B14" w:rsidRPr="008961E4">
        <w:t xml:space="preserve">Essential Services Commission, ‘Customers on older plans significantly better off on their retailer’s best offer’, </w:t>
      </w:r>
      <w:r w:rsidR="008E47E4" w:rsidRPr="008961E4">
        <w:t>1</w:t>
      </w:r>
      <w:r w:rsidR="007F6761">
        <w:t>6</w:t>
      </w:r>
      <w:r w:rsidR="00B86B14" w:rsidRPr="008961E4">
        <w:t xml:space="preserve"> May 2025</w:t>
      </w:r>
      <w:r w:rsidR="0074137E" w:rsidRPr="008961E4">
        <w:t>.</w:t>
      </w:r>
      <w:r w:rsidR="0074137E">
        <w:t xml:space="preserve"> </w:t>
      </w:r>
    </w:p>
  </w:footnote>
  <w:footnote w:id="198">
    <w:p w14:paraId="6BB52A5D" w14:textId="77777777" w:rsidR="009F3249" w:rsidRDefault="009F3249" w:rsidP="009F3249">
      <w:pPr>
        <w:pStyle w:val="FootnoteText"/>
      </w:pPr>
      <w:r w:rsidRPr="00800122">
        <w:rPr>
          <w:rStyle w:val="FootnoteReference"/>
        </w:rPr>
        <w:footnoteRef/>
      </w:r>
      <w:r w:rsidRPr="00800122">
        <w:t xml:space="preserve"> </w:t>
      </w:r>
      <w:r>
        <w:t>Ibid.</w:t>
      </w:r>
    </w:p>
  </w:footnote>
  <w:footnote w:id="199">
    <w:p w14:paraId="4AD5DD9C" w14:textId="15846922" w:rsidR="009F15DC" w:rsidRDefault="009F15DC" w:rsidP="009F15DC">
      <w:pPr>
        <w:pStyle w:val="FootnoteText"/>
      </w:pPr>
      <w:r>
        <w:rPr>
          <w:rStyle w:val="FootnoteReference"/>
        </w:rPr>
        <w:footnoteRef/>
      </w:r>
      <w:r>
        <w:t xml:space="preserve"> </w:t>
      </w:r>
      <w:r w:rsidR="005C523C">
        <w:t>Ibid.</w:t>
      </w:r>
    </w:p>
  </w:footnote>
  <w:footnote w:id="200">
    <w:p w14:paraId="1ABA5D25" w14:textId="513B601E" w:rsidR="001B5CF6" w:rsidRDefault="001B5CF6" w:rsidP="001B5CF6">
      <w:pPr>
        <w:pStyle w:val="FootnoteText"/>
      </w:pPr>
      <w:r>
        <w:rPr>
          <w:rStyle w:val="FootnoteReference"/>
        </w:rPr>
        <w:footnoteRef/>
      </w:r>
      <w:r>
        <w:t xml:space="preserve"> Essential Services Commission, </w:t>
      </w:r>
      <w:hyperlink r:id="rId167" w:anchor="tabs-container2" w:history="1">
        <w:r w:rsidRPr="00AA40DB">
          <w:rPr>
            <w:rStyle w:val="Hyperlink"/>
            <w:i/>
          </w:rPr>
          <w:t>Workshop 1 (Online) Consultation Summary</w:t>
        </w:r>
      </w:hyperlink>
      <w:r>
        <w:t>, January 2025, pp. 2</w:t>
      </w:r>
      <w:r w:rsidR="006813E1">
        <w:rPr>
          <w:rFonts w:cstheme="minorHAnsi"/>
        </w:rPr>
        <w:t>–</w:t>
      </w:r>
      <w:r>
        <w:t>3.</w:t>
      </w:r>
    </w:p>
  </w:footnote>
  <w:footnote w:id="201">
    <w:p w14:paraId="39DCA0E6" w14:textId="660BA7C6" w:rsidR="00F5108D" w:rsidRDefault="00F5108D">
      <w:pPr>
        <w:pStyle w:val="FootnoteText"/>
      </w:pPr>
      <w:r>
        <w:rPr>
          <w:rStyle w:val="FootnoteReference"/>
        </w:rPr>
        <w:footnoteRef/>
      </w:r>
      <w:r>
        <w:t xml:space="preserve"> Ibid</w:t>
      </w:r>
      <w:r w:rsidR="003B1A06">
        <w:t>.</w:t>
      </w:r>
    </w:p>
  </w:footnote>
  <w:footnote w:id="202">
    <w:p w14:paraId="52D316F5" w14:textId="45F7CC7F" w:rsidR="00E65359" w:rsidRDefault="00E65359" w:rsidP="00E65359">
      <w:pPr>
        <w:pStyle w:val="FootnoteText"/>
      </w:pPr>
      <w:r>
        <w:rPr>
          <w:rStyle w:val="FootnoteReference"/>
        </w:rPr>
        <w:footnoteRef/>
      </w:r>
      <w:r>
        <w:t xml:space="preserve"> B</w:t>
      </w:r>
      <w:r w:rsidR="00CA2960">
        <w:t xml:space="preserve">rotherhood of </w:t>
      </w:r>
      <w:r>
        <w:t>S</w:t>
      </w:r>
      <w:r w:rsidR="00CA2960">
        <w:t>t</w:t>
      </w:r>
      <w:r w:rsidR="00E05251">
        <w:t xml:space="preserve">. </w:t>
      </w:r>
      <w:r>
        <w:t>L</w:t>
      </w:r>
      <w:r w:rsidR="00E05251">
        <w:t>aurence</w:t>
      </w:r>
      <w:r w:rsidR="002F51A4">
        <w:t xml:space="preserve">, </w:t>
      </w:r>
      <w:hyperlink r:id="rId168" w:anchor="tabs-container2" w:history="1">
        <w:r w:rsidR="0003731D">
          <w:rPr>
            <w:rStyle w:val="Hyperlink"/>
            <w:i/>
            <w:iCs/>
          </w:rPr>
          <w:t>submission to the Essential Services Commission ‘Energy Consumer Reforms: Discussion Paper’</w:t>
        </w:r>
      </w:hyperlink>
      <w:r w:rsidR="002F51A4">
        <w:t>,</w:t>
      </w:r>
      <w:r w:rsidR="009918AF">
        <w:t xml:space="preserve"> </w:t>
      </w:r>
      <w:r w:rsidR="009918AF" w:rsidRPr="00A3295A">
        <w:t>December 2024</w:t>
      </w:r>
      <w:r w:rsidR="009918AF">
        <w:t xml:space="preserve">, </w:t>
      </w:r>
      <w:r>
        <w:t xml:space="preserve">p. 1; </w:t>
      </w:r>
      <w:r w:rsidR="00E05251">
        <w:t xml:space="preserve">Energy </w:t>
      </w:r>
      <w:r>
        <w:t>C</w:t>
      </w:r>
      <w:r w:rsidR="00E05251">
        <w:t xml:space="preserve">onsumers </w:t>
      </w:r>
      <w:r>
        <w:t>A</w:t>
      </w:r>
      <w:r w:rsidR="00E05251">
        <w:t>ustralia</w:t>
      </w:r>
      <w:r>
        <w:t>,</w:t>
      </w:r>
      <w:r w:rsidRPr="005A7053">
        <w:t xml:space="preserve"> </w:t>
      </w:r>
      <w:hyperlink r:id="rId169" w:anchor="tabs-container2" w:history="1">
        <w:r w:rsidR="0003731D">
          <w:rPr>
            <w:rStyle w:val="Hyperlink"/>
            <w:i/>
            <w:iCs/>
          </w:rPr>
          <w:t>submission to the Essential Services Commission ‘Energy Consumer Reforms: Discussion Paper’</w:t>
        </w:r>
      </w:hyperlink>
      <w:r>
        <w:t xml:space="preserve">, </w:t>
      </w:r>
      <w:r w:rsidR="007B37B0">
        <w:t>26 Nov</w:t>
      </w:r>
      <w:r>
        <w:t>ember 2024</w:t>
      </w:r>
      <w:r w:rsidR="007B37B0">
        <w:t>, p.8</w:t>
      </w:r>
      <w:r>
        <w:t>.</w:t>
      </w:r>
    </w:p>
  </w:footnote>
  <w:footnote w:id="203">
    <w:p w14:paraId="55E21C7C" w14:textId="5D7C1B7F" w:rsidR="00F6357F" w:rsidRDefault="00F6357F">
      <w:pPr>
        <w:pStyle w:val="FootnoteText"/>
      </w:pPr>
      <w:r>
        <w:rPr>
          <w:rStyle w:val="FootnoteReference"/>
        </w:rPr>
        <w:footnoteRef/>
      </w:r>
      <w:r>
        <w:t xml:space="preserve"> </w:t>
      </w:r>
      <w:r w:rsidR="00E934B6">
        <w:t xml:space="preserve">Red </w:t>
      </w:r>
      <w:r w:rsidR="004B0048">
        <w:t>Energy &amp; Lumo Energy</w:t>
      </w:r>
      <w:r w:rsidR="000061C8">
        <w:t>,</w:t>
      </w:r>
      <w:r w:rsidR="000061C8" w:rsidRPr="005A7053">
        <w:t xml:space="preserve"> </w:t>
      </w:r>
      <w:hyperlink r:id="rId170" w:anchor="tabs-container2" w:history="1">
        <w:r w:rsidR="0003731D">
          <w:rPr>
            <w:rStyle w:val="Hyperlink"/>
            <w:i/>
            <w:iCs/>
          </w:rPr>
          <w:t>submission to the Essential Services Commission ‘Energy Consumer Reforms: Discussion Paper’</w:t>
        </w:r>
      </w:hyperlink>
      <w:r w:rsidR="000061C8">
        <w:t xml:space="preserve">, </w:t>
      </w:r>
      <w:r w:rsidR="005833C6">
        <w:t>26 Nov</w:t>
      </w:r>
      <w:r w:rsidR="000061C8">
        <w:t xml:space="preserve">ember 2024, p. </w:t>
      </w:r>
      <w:r w:rsidR="00FC1169">
        <w:t>3</w:t>
      </w:r>
      <w:r w:rsidR="003B1A06">
        <w:t>.</w:t>
      </w:r>
    </w:p>
  </w:footnote>
  <w:footnote w:id="204">
    <w:p w14:paraId="140ACC60" w14:textId="6A892EBD" w:rsidR="00E579F6" w:rsidRDefault="00E579F6">
      <w:pPr>
        <w:pStyle w:val="FootnoteText"/>
      </w:pPr>
      <w:r>
        <w:rPr>
          <w:rStyle w:val="FootnoteReference"/>
        </w:rPr>
        <w:footnoteRef/>
      </w:r>
      <w:r>
        <w:t xml:space="preserve"> </w:t>
      </w:r>
      <w:r w:rsidR="00FC1169">
        <w:t xml:space="preserve">Essential Services Commission, </w:t>
      </w:r>
      <w:hyperlink r:id="rId171" w:anchor="tabs-container2" w:history="1">
        <w:r w:rsidR="00FC1169" w:rsidRPr="00AA40DB">
          <w:rPr>
            <w:rStyle w:val="Hyperlink"/>
            <w:i/>
          </w:rPr>
          <w:t>Workshop 1 (Online) Consultation Summary</w:t>
        </w:r>
      </w:hyperlink>
      <w:r w:rsidR="00FC1169">
        <w:t>, January 2025, pg. 3</w:t>
      </w:r>
      <w:r w:rsidR="003B1A06">
        <w:t>.</w:t>
      </w:r>
    </w:p>
  </w:footnote>
  <w:footnote w:id="205">
    <w:p w14:paraId="7E383EB0" w14:textId="2942C9AA" w:rsidR="000F77F9" w:rsidRDefault="000F77F9">
      <w:pPr>
        <w:pStyle w:val="FootnoteText"/>
      </w:pPr>
      <w:r>
        <w:rPr>
          <w:rStyle w:val="FootnoteReference"/>
        </w:rPr>
        <w:footnoteRef/>
      </w:r>
      <w:r>
        <w:t xml:space="preserve"> Ibid</w:t>
      </w:r>
      <w:r w:rsidR="000E5275">
        <w:t>.</w:t>
      </w:r>
    </w:p>
  </w:footnote>
  <w:footnote w:id="206">
    <w:p w14:paraId="2727A411" w14:textId="059C1BBB" w:rsidR="00C82271" w:rsidRDefault="00C82271">
      <w:pPr>
        <w:pStyle w:val="FootnoteText"/>
      </w:pPr>
      <w:r>
        <w:rPr>
          <w:rStyle w:val="FootnoteReference"/>
        </w:rPr>
        <w:footnoteRef/>
      </w:r>
      <w:r>
        <w:t xml:space="preserve"> </w:t>
      </w:r>
      <w:r w:rsidR="00817F40">
        <w:t>Ibid.</w:t>
      </w:r>
      <w:r w:rsidR="000D0B19" w:rsidRPr="000D0B19">
        <w:t xml:space="preserve"> </w:t>
      </w:r>
    </w:p>
  </w:footnote>
  <w:footnote w:id="207">
    <w:p w14:paraId="03A87388" w14:textId="24BD10C1" w:rsidR="004F6690" w:rsidRDefault="004F6690" w:rsidP="004F6690">
      <w:pPr>
        <w:pStyle w:val="FootnoteText"/>
      </w:pPr>
      <w:r w:rsidRPr="008961E4">
        <w:rPr>
          <w:rStyle w:val="FootnoteReference"/>
        </w:rPr>
        <w:footnoteRef/>
      </w:r>
      <w:r w:rsidRPr="008961E4">
        <w:t xml:space="preserve"> </w:t>
      </w:r>
      <w:r w:rsidR="000E5275" w:rsidRPr="008961E4">
        <w:t xml:space="preserve">Essential Services Commission, ‘Customers on older plans significantly better off on their retailer’s best offer’, </w:t>
      </w:r>
      <w:r w:rsidR="008E47E4" w:rsidRPr="008961E4">
        <w:t>1</w:t>
      </w:r>
      <w:r w:rsidR="007F6761">
        <w:t>6</w:t>
      </w:r>
      <w:r w:rsidR="000E5275" w:rsidRPr="008961E4">
        <w:t xml:space="preserve"> May 2025.</w:t>
      </w:r>
      <w:r w:rsidR="000E5275">
        <w:t xml:space="preserve"> </w:t>
      </w:r>
      <w:r w:rsidR="00C66384">
        <w:t xml:space="preserve"> </w:t>
      </w:r>
    </w:p>
  </w:footnote>
  <w:footnote w:id="208">
    <w:p w14:paraId="3336D343" w14:textId="54192CC3" w:rsidR="00E10CED" w:rsidRDefault="00E10CED">
      <w:pPr>
        <w:pStyle w:val="FootnoteText"/>
      </w:pPr>
      <w:r>
        <w:rPr>
          <w:rStyle w:val="FootnoteReference"/>
        </w:rPr>
        <w:footnoteRef/>
      </w:r>
      <w:r>
        <w:t xml:space="preserve"> Ibid.</w:t>
      </w:r>
    </w:p>
  </w:footnote>
  <w:footnote w:id="209">
    <w:p w14:paraId="045F602C" w14:textId="26D25671" w:rsidR="004958C7" w:rsidRPr="00DD38A1" w:rsidRDefault="004958C7" w:rsidP="004958C7">
      <w:pPr>
        <w:pStyle w:val="FootnoteText"/>
        <w:rPr>
          <w:color w:val="000000" w:themeColor="text1"/>
          <w:szCs w:val="18"/>
        </w:rPr>
      </w:pPr>
      <w:r>
        <w:rPr>
          <w:rStyle w:val="FootnoteReference"/>
        </w:rPr>
        <w:footnoteRef/>
      </w:r>
      <w:r>
        <w:t xml:space="preserve"> </w:t>
      </w:r>
      <w:r w:rsidRPr="00DD38A1">
        <w:rPr>
          <w:color w:val="000000" w:themeColor="text1"/>
          <w:szCs w:val="18"/>
        </w:rPr>
        <w:t>Based on historical data, we estimated the extent consumers are currently paying above the VDO across the following possible scenarios for what a is a ‘reasonable price’:</w:t>
      </w:r>
    </w:p>
    <w:p w14:paraId="59F939C5" w14:textId="5509045C" w:rsidR="004958C7" w:rsidRPr="00DD38A1" w:rsidRDefault="004958C7" w:rsidP="00FA03C9">
      <w:pPr>
        <w:pStyle w:val="FootnoteText"/>
        <w:numPr>
          <w:ilvl w:val="0"/>
          <w:numId w:val="32"/>
        </w:numPr>
        <w:rPr>
          <w:color w:val="000000" w:themeColor="text1"/>
          <w:szCs w:val="18"/>
        </w:rPr>
      </w:pPr>
      <w:r w:rsidRPr="00DD38A1">
        <w:rPr>
          <w:b/>
          <w:bCs/>
          <w:color w:val="000000" w:themeColor="text1"/>
          <w:szCs w:val="18"/>
        </w:rPr>
        <w:t xml:space="preserve">50% above the VDO. </w:t>
      </w:r>
      <w:r w:rsidRPr="00DD38A1">
        <w:rPr>
          <w:color w:val="000000" w:themeColor="text1"/>
          <w:szCs w:val="18"/>
        </w:rPr>
        <w:t>1,373 affected electricity customers (or 0.17% of customers) could save on average $613 annually (midpoint between $383 to $842) by switching to the VDO. Total savings estimated at $0.84m</w:t>
      </w:r>
      <w:r w:rsidR="00673AE0">
        <w:rPr>
          <w:color w:val="000000" w:themeColor="text1"/>
          <w:szCs w:val="18"/>
        </w:rPr>
        <w:t xml:space="preserve"> per year </w:t>
      </w:r>
      <w:r w:rsidRPr="00DD38A1">
        <w:rPr>
          <w:color w:val="000000" w:themeColor="text1"/>
          <w:szCs w:val="18"/>
        </w:rPr>
        <w:t>(midpoint between $0.52 to $1.15m).</w:t>
      </w:r>
    </w:p>
    <w:p w14:paraId="492A26D6" w14:textId="0C7B86C9" w:rsidR="004958C7" w:rsidRPr="00DD38A1" w:rsidRDefault="004958C7" w:rsidP="00FA03C9">
      <w:pPr>
        <w:pStyle w:val="FootnoteText"/>
        <w:numPr>
          <w:ilvl w:val="0"/>
          <w:numId w:val="32"/>
        </w:numPr>
        <w:rPr>
          <w:sz w:val="16"/>
          <w:szCs w:val="18"/>
        </w:rPr>
      </w:pPr>
      <w:r w:rsidRPr="00DD38A1">
        <w:rPr>
          <w:b/>
          <w:bCs/>
          <w:szCs w:val="18"/>
        </w:rPr>
        <w:t>25% above the VDO.</w:t>
      </w:r>
      <w:r w:rsidRPr="00DD38A1">
        <w:rPr>
          <w:color w:val="000000" w:themeColor="text1"/>
          <w:szCs w:val="18"/>
        </w:rPr>
        <w:t xml:space="preserve"> 27,729 affected electricity customers (or 2% of electricity customers) could save on average $365 annually (midpoint between $178 to $551) by switching to the VDO. Total estimated at $10.1m </w:t>
      </w:r>
      <w:r w:rsidR="00673AE0">
        <w:rPr>
          <w:color w:val="000000" w:themeColor="text1"/>
          <w:szCs w:val="18"/>
        </w:rPr>
        <w:t xml:space="preserve">per year </w:t>
      </w:r>
      <w:r w:rsidRPr="00DD38A1">
        <w:rPr>
          <w:color w:val="000000" w:themeColor="text1"/>
          <w:szCs w:val="18"/>
        </w:rPr>
        <w:t>(midpoint between $4.9m and $15.2m).</w:t>
      </w:r>
    </w:p>
    <w:p w14:paraId="7120CBA3" w14:textId="48EDDF61" w:rsidR="004958C7" w:rsidRDefault="004958C7" w:rsidP="00FA03C9">
      <w:pPr>
        <w:pStyle w:val="FootnoteText"/>
        <w:numPr>
          <w:ilvl w:val="0"/>
          <w:numId w:val="32"/>
        </w:numPr>
      </w:pPr>
      <w:r w:rsidRPr="00DD38A1">
        <w:rPr>
          <w:b/>
          <w:bCs/>
          <w:szCs w:val="18"/>
        </w:rPr>
        <w:t>10% above the VDO.</w:t>
      </w:r>
      <w:r w:rsidRPr="00DD38A1">
        <w:rPr>
          <w:sz w:val="16"/>
          <w:szCs w:val="18"/>
        </w:rPr>
        <w:t xml:space="preserve"> </w:t>
      </w:r>
      <w:r w:rsidRPr="00DD38A1">
        <w:rPr>
          <w:color w:val="000000" w:themeColor="text1"/>
          <w:szCs w:val="18"/>
        </w:rPr>
        <w:t xml:space="preserve">53,391 affected electricity customers (or 3% of electricity customers) could save on average $229 annually (midpoint between $82 to $379) by switching to the VDO. Total savings estimated at $12.2m </w:t>
      </w:r>
      <w:r w:rsidR="00673AE0">
        <w:rPr>
          <w:color w:val="000000" w:themeColor="text1"/>
          <w:szCs w:val="18"/>
        </w:rPr>
        <w:t xml:space="preserve">per year </w:t>
      </w:r>
      <w:r w:rsidRPr="00DD38A1">
        <w:rPr>
          <w:color w:val="000000" w:themeColor="text1"/>
          <w:szCs w:val="18"/>
        </w:rPr>
        <w:t>(midpoint between $4.4m and $20.2m).</w:t>
      </w:r>
    </w:p>
  </w:footnote>
  <w:footnote w:id="210">
    <w:p w14:paraId="5C7AD76A" w14:textId="749EBFA6" w:rsidR="00852D2C" w:rsidRPr="00A04461" w:rsidRDefault="00852D2C" w:rsidP="00852D2C">
      <w:pPr>
        <w:pStyle w:val="FootnoteText"/>
        <w:rPr>
          <w:iCs/>
        </w:rPr>
      </w:pPr>
      <w:r>
        <w:rPr>
          <w:rStyle w:val="FootnoteReference"/>
        </w:rPr>
        <w:footnoteRef/>
      </w:r>
      <w:r>
        <w:t xml:space="preserve"> Victorian Council of Social Services, </w:t>
      </w:r>
      <w:hyperlink r:id="rId172" w:history="1">
        <w:r w:rsidR="008B3613" w:rsidRPr="00FC2E32">
          <w:rPr>
            <w:rStyle w:val="Hyperlink"/>
            <w:i/>
            <w:szCs w:val="18"/>
          </w:rPr>
          <w:t>The Missing 14%: why so many Victorians are missing out on energy concessions</w:t>
        </w:r>
      </w:hyperlink>
      <w:r w:rsidR="00900E68" w:rsidRPr="00900E68">
        <w:rPr>
          <w:szCs w:val="18"/>
        </w:rPr>
        <w:t>, 22 May 2023</w:t>
      </w:r>
      <w:r w:rsidR="00900E68" w:rsidRPr="00900E68">
        <w:t>, p. 9.</w:t>
      </w:r>
      <w:r w:rsidR="00A04461">
        <w:rPr>
          <w:i/>
          <w:szCs w:val="18"/>
        </w:rPr>
        <w:t xml:space="preserve"> </w:t>
      </w:r>
    </w:p>
  </w:footnote>
  <w:footnote w:id="211">
    <w:p w14:paraId="6AD84BD6" w14:textId="77777777" w:rsidR="00AA28E0" w:rsidRDefault="00AA28E0" w:rsidP="00AA28E0">
      <w:pPr>
        <w:pStyle w:val="FootnoteText"/>
      </w:pPr>
      <w:r>
        <w:rPr>
          <w:rStyle w:val="FootnoteReference"/>
        </w:rPr>
        <w:footnoteRef/>
      </w:r>
      <w:r>
        <w:t xml:space="preserve"> </w:t>
      </w:r>
      <w:r w:rsidRPr="00F64DCC">
        <w:t xml:space="preserve">Consumer Policy Research Centre, </w:t>
      </w:r>
      <w:hyperlink r:id="rId173" w:history="1">
        <w:r w:rsidRPr="004D785C">
          <w:rPr>
            <w:i/>
            <w:iCs/>
            <w:color w:val="0000FF"/>
            <w:szCs w:val="18"/>
            <w:u w:val="single" w:color="0000FF"/>
          </w:rPr>
          <w:t xml:space="preserve">Mind the Gap: </w:t>
        </w:r>
        <w:r>
          <w:rPr>
            <w:i/>
            <w:iCs/>
            <w:color w:val="0000FF"/>
            <w:szCs w:val="18"/>
            <w:u w:val="single" w:color="0000FF"/>
          </w:rPr>
          <w:t>I</w:t>
        </w:r>
        <w:r w:rsidRPr="004D785C">
          <w:rPr>
            <w:i/>
            <w:iCs/>
            <w:color w:val="0000FF"/>
            <w:szCs w:val="18"/>
            <w:u w:val="single" w:color="0000FF"/>
          </w:rPr>
          <w:t>dentifying the gap between energy concession eligibility and concessions received</w:t>
        </w:r>
      </w:hyperlink>
      <w:r w:rsidRPr="004D785C">
        <w:rPr>
          <w:szCs w:val="18"/>
        </w:rPr>
        <w:t>, November 2022</w:t>
      </w:r>
      <w:r w:rsidRPr="00F64DCC">
        <w:t>, p. 4.</w:t>
      </w:r>
    </w:p>
  </w:footnote>
  <w:footnote w:id="212">
    <w:p w14:paraId="32769A2E" w14:textId="2C0D9D27" w:rsidR="00C51B15" w:rsidRPr="00FC2E32" w:rsidRDefault="00C51B15">
      <w:pPr>
        <w:pStyle w:val="FootnoteText"/>
        <w:rPr>
          <w:lang w:val="en-US"/>
        </w:rPr>
      </w:pPr>
      <w:r>
        <w:rPr>
          <w:rStyle w:val="FootnoteReference"/>
        </w:rPr>
        <w:footnoteRef/>
      </w:r>
      <w:r>
        <w:t xml:space="preserve"> Victorian Council of Social Services</w:t>
      </w:r>
      <w:r w:rsidR="00E47F17">
        <w:t xml:space="preserve">, </w:t>
      </w:r>
      <w:hyperlink r:id="rId174" w:history="1">
        <w:r w:rsidR="008B3613" w:rsidRPr="00FC2E32">
          <w:rPr>
            <w:rStyle w:val="Hyperlink"/>
            <w:i/>
            <w:szCs w:val="18"/>
          </w:rPr>
          <w:t>The Missing 14%: why so many Victorians are missing out on energy concessions</w:t>
        </w:r>
      </w:hyperlink>
      <w:r w:rsidR="008B3613" w:rsidRPr="00617870">
        <w:rPr>
          <w:szCs w:val="18"/>
        </w:rPr>
        <w:t xml:space="preserve">, </w:t>
      </w:r>
      <w:r w:rsidR="008B3613">
        <w:rPr>
          <w:szCs w:val="18"/>
        </w:rPr>
        <w:t xml:space="preserve">22 </w:t>
      </w:r>
      <w:r w:rsidR="008B3613" w:rsidRPr="00617870">
        <w:rPr>
          <w:szCs w:val="18"/>
        </w:rPr>
        <w:t>May 2023</w:t>
      </w:r>
      <w:r>
        <w:t xml:space="preserve">, </w:t>
      </w:r>
      <w:r w:rsidR="009401CA">
        <w:t>p</w:t>
      </w:r>
      <w:r w:rsidR="00F916F6">
        <w:t>. 14.</w:t>
      </w:r>
    </w:p>
  </w:footnote>
  <w:footnote w:id="213">
    <w:p w14:paraId="624FAAD2" w14:textId="4DE02A8D" w:rsidR="00BD4F22" w:rsidRDefault="00BD4F22">
      <w:pPr>
        <w:pStyle w:val="FootnoteText"/>
      </w:pPr>
      <w:r>
        <w:rPr>
          <w:rStyle w:val="FootnoteReference"/>
        </w:rPr>
        <w:footnoteRef/>
      </w:r>
      <w:r>
        <w:t xml:space="preserve"> </w:t>
      </w:r>
      <w:r w:rsidRPr="00617870">
        <w:rPr>
          <w:szCs w:val="18"/>
        </w:rPr>
        <w:t>Clause</w:t>
      </w:r>
      <w:r>
        <w:rPr>
          <w:szCs w:val="18"/>
        </w:rPr>
        <w:t>s</w:t>
      </w:r>
      <w:r w:rsidRPr="00617870">
        <w:rPr>
          <w:szCs w:val="18"/>
        </w:rPr>
        <w:t xml:space="preserve"> 30(1)(c)</w:t>
      </w:r>
      <w:r>
        <w:rPr>
          <w:szCs w:val="18"/>
        </w:rPr>
        <w:t xml:space="preserve"> and 47(1)(a)</w:t>
      </w:r>
      <w:r w:rsidRPr="00617870">
        <w:rPr>
          <w:szCs w:val="18"/>
        </w:rPr>
        <w:t xml:space="preserve"> of the </w:t>
      </w:r>
      <w:hyperlink r:id="rId175" w:anchor="toc-current-version-of-the-energy-retail-code-of-practice" w:history="1">
        <w:r w:rsidRPr="00677A86">
          <w:rPr>
            <w:rStyle w:val="Hyperlink"/>
          </w:rPr>
          <w:t>Energy Retail Code of Practice (version 3)</w:t>
        </w:r>
      </w:hyperlink>
      <w:r w:rsidRPr="00617870">
        <w:rPr>
          <w:szCs w:val="18"/>
        </w:rPr>
        <w:t>.</w:t>
      </w:r>
      <w:r>
        <w:rPr>
          <w:szCs w:val="18"/>
        </w:rPr>
        <w:t xml:space="preserve"> We understand retailers are also required to provide customers information about concessions eligibility under their concessions agreement with the Victorian Government.</w:t>
      </w:r>
    </w:p>
  </w:footnote>
  <w:footnote w:id="214">
    <w:p w14:paraId="2B4128CE" w14:textId="356C0A75" w:rsidR="00205C4A" w:rsidRDefault="00205C4A">
      <w:pPr>
        <w:pStyle w:val="FootnoteText"/>
      </w:pPr>
      <w:r>
        <w:rPr>
          <w:rStyle w:val="FootnoteReference"/>
        </w:rPr>
        <w:footnoteRef/>
      </w:r>
      <w:r>
        <w:t xml:space="preserve"> Victorian Council of Social Services 2023, </w:t>
      </w:r>
      <w:hyperlink r:id="rId176" w:history="1">
        <w:r w:rsidR="008B3613" w:rsidRPr="00FC2E32">
          <w:rPr>
            <w:rStyle w:val="Hyperlink"/>
            <w:i/>
            <w:szCs w:val="18"/>
          </w:rPr>
          <w:t>The Missing 14%: why so many Victorians are missing out on energy concessions</w:t>
        </w:r>
      </w:hyperlink>
      <w:r w:rsidR="008B3613" w:rsidRPr="00617870">
        <w:rPr>
          <w:szCs w:val="18"/>
        </w:rPr>
        <w:t xml:space="preserve">, </w:t>
      </w:r>
      <w:r w:rsidR="008B3613">
        <w:rPr>
          <w:szCs w:val="18"/>
        </w:rPr>
        <w:t xml:space="preserve">22 </w:t>
      </w:r>
      <w:r w:rsidR="008B3613" w:rsidRPr="00617870">
        <w:rPr>
          <w:szCs w:val="18"/>
        </w:rPr>
        <w:t>May 2023</w:t>
      </w:r>
      <w:r>
        <w:t xml:space="preserve">, p. 9; </w:t>
      </w:r>
      <w:r w:rsidRPr="00F64DCC">
        <w:t xml:space="preserve">Consumer Policy Research Centre, </w:t>
      </w:r>
      <w:hyperlink r:id="rId177" w:history="1">
        <w:r w:rsidR="006C1AF0" w:rsidRPr="004D785C">
          <w:rPr>
            <w:i/>
            <w:iCs/>
            <w:color w:val="0000FF"/>
            <w:szCs w:val="18"/>
            <w:u w:val="single" w:color="0000FF"/>
          </w:rPr>
          <w:t xml:space="preserve">Mind the Gap: </w:t>
        </w:r>
        <w:r w:rsidR="006C1AF0">
          <w:rPr>
            <w:i/>
            <w:iCs/>
            <w:color w:val="0000FF"/>
            <w:szCs w:val="18"/>
            <w:u w:val="single" w:color="0000FF"/>
          </w:rPr>
          <w:t>I</w:t>
        </w:r>
        <w:r w:rsidR="006C1AF0" w:rsidRPr="004D785C">
          <w:rPr>
            <w:i/>
            <w:iCs/>
            <w:color w:val="0000FF"/>
            <w:szCs w:val="18"/>
            <w:u w:val="single" w:color="0000FF"/>
          </w:rPr>
          <w:t>dentifying the gap between energy concession eligibility and concessions received</w:t>
        </w:r>
      </w:hyperlink>
      <w:r w:rsidR="006C1AF0" w:rsidRPr="004D785C">
        <w:rPr>
          <w:szCs w:val="18"/>
        </w:rPr>
        <w:t>, November 2022</w:t>
      </w:r>
      <w:r w:rsidRPr="00F64DCC">
        <w:t>, p. 4.</w:t>
      </w:r>
    </w:p>
  </w:footnote>
  <w:footnote w:id="215">
    <w:p w14:paraId="141BF381" w14:textId="1EBCEFE8" w:rsidR="002324CB" w:rsidRDefault="002324CB">
      <w:pPr>
        <w:pStyle w:val="FootnoteText"/>
      </w:pPr>
      <w:r>
        <w:rPr>
          <w:rStyle w:val="FootnoteReference"/>
        </w:rPr>
        <w:footnoteRef/>
      </w:r>
      <w:r>
        <w:t xml:space="preserve"> </w:t>
      </w:r>
      <w:r w:rsidRPr="00280790">
        <w:rPr>
          <w:lang w:val="en-US"/>
        </w:rPr>
        <w:t>AGL (p. 8); Alinta</w:t>
      </w:r>
      <w:r w:rsidR="00F800DE" w:rsidRPr="00280790">
        <w:rPr>
          <w:lang w:val="en-US"/>
        </w:rPr>
        <w:t xml:space="preserve"> Energy</w:t>
      </w:r>
      <w:r w:rsidRPr="00280790">
        <w:rPr>
          <w:lang w:val="en-US"/>
        </w:rPr>
        <w:t xml:space="preserve"> (p. 2); EnergyAustralia (p. 3); Energy Locals (p. 3), Red </w:t>
      </w:r>
      <w:r w:rsidR="005F7E6A" w:rsidRPr="00280790">
        <w:rPr>
          <w:lang w:val="en-US"/>
        </w:rPr>
        <w:t>Energy &amp;</w:t>
      </w:r>
      <w:r w:rsidRPr="00280790">
        <w:rPr>
          <w:lang w:val="en-US"/>
        </w:rPr>
        <w:t xml:space="preserve"> Lumo </w:t>
      </w:r>
      <w:r w:rsidR="005F7E6A" w:rsidRPr="00280790">
        <w:rPr>
          <w:lang w:val="en-US"/>
        </w:rPr>
        <w:t xml:space="preserve">Energy </w:t>
      </w:r>
      <w:r w:rsidRPr="00280790">
        <w:rPr>
          <w:lang w:val="en-US"/>
        </w:rPr>
        <w:t>(p. 3), Shell (p. 4</w:t>
      </w:r>
      <w:r w:rsidR="006813E1" w:rsidRPr="00280790">
        <w:rPr>
          <w:rFonts w:cstheme="minorHAnsi"/>
          <w:lang w:val="en-US"/>
        </w:rPr>
        <w:t>–</w:t>
      </w:r>
      <w:r w:rsidRPr="00280790">
        <w:rPr>
          <w:lang w:val="en-US"/>
        </w:rPr>
        <w:t xml:space="preserve">5), Origin </w:t>
      </w:r>
      <w:r w:rsidR="005C33E4" w:rsidRPr="00280790">
        <w:rPr>
          <w:lang w:val="en-US"/>
        </w:rPr>
        <w:t xml:space="preserve">Energy </w:t>
      </w:r>
      <w:r w:rsidRPr="00280790">
        <w:rPr>
          <w:lang w:val="en-US"/>
        </w:rPr>
        <w:t xml:space="preserve">(p. 4) </w:t>
      </w:r>
      <w:hyperlink r:id="rId178" w:anchor="tabs-container2" w:history="1">
        <w:r w:rsidR="00615994" w:rsidRPr="00280790">
          <w:rPr>
            <w:rStyle w:val="Hyperlink"/>
            <w:lang w:val="en-US"/>
          </w:rPr>
          <w:t xml:space="preserve">submissions </w:t>
        </w:r>
        <w:r w:rsidRPr="00280790">
          <w:rPr>
            <w:rStyle w:val="Hyperlink"/>
            <w:lang w:val="en-US"/>
          </w:rPr>
          <w:t xml:space="preserve">to the Essential Services Commission ‘Energy Consumer Reforms: Discussion </w:t>
        </w:r>
        <w:r w:rsidR="006C1AF0" w:rsidRPr="00280790">
          <w:rPr>
            <w:rStyle w:val="Hyperlink"/>
            <w:lang w:val="en-US"/>
          </w:rPr>
          <w:t>P</w:t>
        </w:r>
        <w:r w:rsidRPr="00280790">
          <w:rPr>
            <w:rStyle w:val="Hyperlink"/>
            <w:lang w:val="en-US"/>
          </w:rPr>
          <w:t>aper’</w:t>
        </w:r>
      </w:hyperlink>
      <w:r w:rsidRPr="00280790">
        <w:rPr>
          <w:lang w:val="en-US"/>
        </w:rPr>
        <w:t>, 24 October 2024.</w:t>
      </w:r>
    </w:p>
  </w:footnote>
  <w:footnote w:id="216">
    <w:p w14:paraId="3A65327D" w14:textId="5B7A64F5" w:rsidR="00D6503F" w:rsidRDefault="00D6503F">
      <w:pPr>
        <w:pStyle w:val="FootnoteText"/>
      </w:pPr>
      <w:r>
        <w:rPr>
          <w:rStyle w:val="FootnoteReference"/>
        </w:rPr>
        <w:footnoteRef/>
      </w:r>
      <w:r>
        <w:t xml:space="preserve"> </w:t>
      </w:r>
      <w:r w:rsidR="00E4699B">
        <w:t>Ibid.</w:t>
      </w:r>
    </w:p>
  </w:footnote>
  <w:footnote w:id="217">
    <w:p w14:paraId="1525D7A5" w14:textId="2E0D5577" w:rsidR="008B215B" w:rsidRPr="00E410AF" w:rsidRDefault="008B215B">
      <w:pPr>
        <w:pStyle w:val="FootnoteText"/>
      </w:pPr>
      <w:r>
        <w:rPr>
          <w:rStyle w:val="FootnoteReference"/>
        </w:rPr>
        <w:footnoteRef/>
      </w:r>
      <w:r>
        <w:t xml:space="preserve"> </w:t>
      </w:r>
      <w:r w:rsidR="009001C9">
        <w:rPr>
          <w:lang w:val="en-US"/>
        </w:rPr>
        <w:t xml:space="preserve">Essential Services Commission, </w:t>
      </w:r>
      <w:hyperlink r:id="rId179" w:anchor="tabs-container2" w:history="1">
        <w:r w:rsidR="009001C9" w:rsidRPr="00AD3515">
          <w:rPr>
            <w:rStyle w:val="Hyperlink"/>
            <w:lang w:val="en-US"/>
          </w:rPr>
          <w:t>Workshop 1 (online)</w:t>
        </w:r>
        <w:r w:rsidR="00E61F18" w:rsidRPr="00AD3515">
          <w:rPr>
            <w:rStyle w:val="Hyperlink"/>
            <w:lang w:val="en-US"/>
          </w:rPr>
          <w:t xml:space="preserve"> Consultation</w:t>
        </w:r>
        <w:r w:rsidR="009001C9" w:rsidRPr="00AD3515">
          <w:rPr>
            <w:rStyle w:val="Hyperlink"/>
            <w:lang w:val="en-US"/>
          </w:rPr>
          <w:t xml:space="preserve"> Summary</w:t>
        </w:r>
      </w:hyperlink>
      <w:r w:rsidR="009001C9">
        <w:rPr>
          <w:lang w:val="en-US"/>
        </w:rPr>
        <w:t>, January 2025, p. 4;</w:t>
      </w:r>
      <w:r w:rsidR="00891780">
        <w:rPr>
          <w:lang w:val="en-US"/>
        </w:rPr>
        <w:t xml:space="preserve"> </w:t>
      </w:r>
      <w:r w:rsidR="009001C9" w:rsidRPr="00E410AF">
        <w:t>A</w:t>
      </w:r>
      <w:r w:rsidR="00D16420" w:rsidRPr="00E410AF">
        <w:t xml:space="preserve">ustralian </w:t>
      </w:r>
      <w:r w:rsidR="009001C9" w:rsidRPr="00E410AF">
        <w:t>E</w:t>
      </w:r>
      <w:r w:rsidR="00D16420" w:rsidRPr="00E410AF">
        <w:t xml:space="preserve">nergy </w:t>
      </w:r>
      <w:r w:rsidR="009001C9" w:rsidRPr="00E410AF">
        <w:t>C</w:t>
      </w:r>
      <w:r w:rsidR="00D16420" w:rsidRPr="00E410AF">
        <w:t>ouncil</w:t>
      </w:r>
      <w:r w:rsidR="009001C9" w:rsidRPr="00E410AF">
        <w:t xml:space="preserve"> (p. 2), Energy</w:t>
      </w:r>
      <w:r w:rsidR="00FE764F">
        <w:t xml:space="preserve"> </w:t>
      </w:r>
      <w:r w:rsidR="009001C9" w:rsidRPr="00E410AF">
        <w:t xml:space="preserve">Locals (p. 3), EnergyAustralia (p. 8), Shell (p. 4) </w:t>
      </w:r>
      <w:hyperlink r:id="rId180" w:anchor="tabs-container2" w:history="1">
        <w:r w:rsidR="00D16420" w:rsidRPr="00E410AF">
          <w:rPr>
            <w:rStyle w:val="Hyperlink"/>
            <w:lang w:val="en-US"/>
          </w:rPr>
          <w:t>submissions to the Essential Services Commission ‘Energy Consumer Reforms: Discussion Paper’</w:t>
        </w:r>
      </w:hyperlink>
      <w:r w:rsidR="009001C9" w:rsidRPr="00E410AF">
        <w:t>, 24 October 2024.</w:t>
      </w:r>
    </w:p>
  </w:footnote>
  <w:footnote w:id="218">
    <w:p w14:paraId="53AF686D" w14:textId="39FCE39C" w:rsidR="00AA02BD" w:rsidRPr="00E410AF" w:rsidRDefault="00AA02BD" w:rsidP="00AA02BD">
      <w:pPr>
        <w:pStyle w:val="FootnoteText"/>
        <w:rPr>
          <w:lang w:val="en-US"/>
        </w:rPr>
      </w:pPr>
      <w:r w:rsidRPr="00E410AF">
        <w:rPr>
          <w:rStyle w:val="FootnoteReference"/>
        </w:rPr>
        <w:footnoteRef/>
      </w:r>
      <w:r w:rsidRPr="00E410AF">
        <w:t>A</w:t>
      </w:r>
      <w:r w:rsidR="00D16420" w:rsidRPr="00E410AF">
        <w:t xml:space="preserve">ustralian Energy </w:t>
      </w:r>
      <w:r w:rsidRPr="00E410AF">
        <w:t>C</w:t>
      </w:r>
      <w:r w:rsidR="00D16420" w:rsidRPr="00E410AF">
        <w:t>ouncil</w:t>
      </w:r>
      <w:r w:rsidRPr="00E410AF">
        <w:t xml:space="preserve"> (p. 2), Energy</w:t>
      </w:r>
      <w:r w:rsidR="00FE764F">
        <w:t xml:space="preserve"> </w:t>
      </w:r>
      <w:r w:rsidRPr="00E410AF">
        <w:t xml:space="preserve">Locals (p. 3), EnergyAustralia (p. 8), Shell (p. 4) </w:t>
      </w:r>
      <w:hyperlink r:id="rId181" w:anchor="tabs-container2" w:history="1">
        <w:r w:rsidR="00D16420" w:rsidRPr="00E410AF">
          <w:rPr>
            <w:rStyle w:val="Hyperlink"/>
            <w:lang w:val="en-US"/>
          </w:rPr>
          <w:t>submissions to the Essential Services Commission ‘Energy Consumer Reforms: Discussion Paper’</w:t>
        </w:r>
      </w:hyperlink>
      <w:r w:rsidRPr="00E410AF">
        <w:t>, 24 October 2024.</w:t>
      </w:r>
    </w:p>
  </w:footnote>
  <w:footnote w:id="219">
    <w:p w14:paraId="3A21E60E" w14:textId="0D62A9D6" w:rsidR="00C403ED" w:rsidRPr="00A13F6E" w:rsidRDefault="00C403ED">
      <w:pPr>
        <w:pStyle w:val="FootnoteText"/>
        <w:rPr>
          <w:color w:val="FFFFFF" w:themeColor="background1"/>
          <w:lang w:val="en-US"/>
        </w:rPr>
      </w:pPr>
      <w:r w:rsidRPr="00E410AF">
        <w:rPr>
          <w:rStyle w:val="FootnoteReference"/>
        </w:rPr>
        <w:footnoteRef/>
      </w:r>
      <w:r w:rsidRPr="00E410AF">
        <w:t xml:space="preserve"> </w:t>
      </w:r>
      <w:r w:rsidR="003F704E" w:rsidRPr="00E410AF">
        <w:t>Brotherhood of St Laurence</w:t>
      </w:r>
      <w:r w:rsidR="00E70D87" w:rsidRPr="00E410AF">
        <w:t xml:space="preserve"> (p. 1)</w:t>
      </w:r>
      <w:r w:rsidR="003F704E" w:rsidRPr="00E410AF">
        <w:rPr>
          <w:lang w:val="en-US"/>
        </w:rPr>
        <w:t>; Consumer Action Law Centre</w:t>
      </w:r>
      <w:r w:rsidR="009A1D9B" w:rsidRPr="00E410AF">
        <w:rPr>
          <w:lang w:val="en-US"/>
        </w:rPr>
        <w:t xml:space="preserve"> (p. 10)</w:t>
      </w:r>
      <w:r w:rsidR="003F704E" w:rsidRPr="00E410AF">
        <w:rPr>
          <w:lang w:val="en-US"/>
        </w:rPr>
        <w:t>, Council for the Aging, Victoria</w:t>
      </w:r>
      <w:r w:rsidR="00E21D4D" w:rsidRPr="00E410AF">
        <w:rPr>
          <w:lang w:val="en-US"/>
        </w:rPr>
        <w:t xml:space="preserve"> (p. 5)</w:t>
      </w:r>
      <w:r w:rsidR="003F704E" w:rsidRPr="00E410AF">
        <w:rPr>
          <w:lang w:val="en-US"/>
        </w:rPr>
        <w:t>; Energy Consumers Australia</w:t>
      </w:r>
      <w:r w:rsidR="002E5789" w:rsidRPr="00E410AF">
        <w:rPr>
          <w:lang w:val="en-US"/>
        </w:rPr>
        <w:t xml:space="preserve"> (p. </w:t>
      </w:r>
      <w:r w:rsidR="00117573" w:rsidRPr="00E410AF">
        <w:rPr>
          <w:lang w:val="en-US"/>
        </w:rPr>
        <w:t>11)</w:t>
      </w:r>
      <w:r w:rsidR="003F704E" w:rsidRPr="00E410AF">
        <w:rPr>
          <w:lang w:val="en-US"/>
        </w:rPr>
        <w:t>, Energy and Water Ombudsman Victoria</w:t>
      </w:r>
      <w:r w:rsidR="00117573" w:rsidRPr="00E410AF">
        <w:rPr>
          <w:lang w:val="en-US"/>
        </w:rPr>
        <w:t xml:space="preserve"> (p. </w:t>
      </w:r>
      <w:r w:rsidR="00841B4C" w:rsidRPr="00E410AF">
        <w:rPr>
          <w:lang w:val="en-US"/>
        </w:rPr>
        <w:t>16</w:t>
      </w:r>
      <w:r w:rsidR="0053377B" w:rsidRPr="00E410AF">
        <w:rPr>
          <w:lang w:val="en-US"/>
        </w:rPr>
        <w:t>)</w:t>
      </w:r>
      <w:r w:rsidR="003F704E" w:rsidRPr="00E410AF">
        <w:rPr>
          <w:lang w:val="en-US"/>
        </w:rPr>
        <w:t>; Financial Counselling Victoria</w:t>
      </w:r>
      <w:r w:rsidR="00C002B3" w:rsidRPr="00E410AF">
        <w:rPr>
          <w:lang w:val="en-US"/>
        </w:rPr>
        <w:t xml:space="preserve"> (p.</w:t>
      </w:r>
      <w:r w:rsidR="00513927" w:rsidRPr="00E410AF">
        <w:rPr>
          <w:lang w:val="en-US"/>
        </w:rPr>
        <w:t>3)</w:t>
      </w:r>
      <w:r w:rsidR="003F704E" w:rsidRPr="00E410AF">
        <w:rPr>
          <w:lang w:val="en-US"/>
        </w:rPr>
        <w:t>, Victorian Council of Social Service</w:t>
      </w:r>
      <w:r w:rsidR="00DC636C" w:rsidRPr="00E410AF">
        <w:rPr>
          <w:lang w:val="en-US"/>
        </w:rPr>
        <w:t xml:space="preserve"> </w:t>
      </w:r>
      <w:r w:rsidR="00E73D0E" w:rsidRPr="00E410AF">
        <w:rPr>
          <w:lang w:val="en-US"/>
        </w:rPr>
        <w:t xml:space="preserve">(p. </w:t>
      </w:r>
      <w:r w:rsidR="00F76124" w:rsidRPr="00E410AF">
        <w:rPr>
          <w:lang w:val="en-US"/>
        </w:rPr>
        <w:t>6)</w:t>
      </w:r>
      <w:r w:rsidR="00DC636C" w:rsidRPr="00E410AF">
        <w:rPr>
          <w:lang w:val="en-US"/>
        </w:rPr>
        <w:t xml:space="preserve"> </w:t>
      </w:r>
      <w:hyperlink r:id="rId182" w:anchor="tabs-container2" w:history="1">
        <w:r w:rsidR="0003731D" w:rsidRPr="00AC7A78">
          <w:rPr>
            <w:rStyle w:val="Hyperlink"/>
            <w:lang w:val="en-US"/>
          </w:rPr>
          <w:t xml:space="preserve">submissions </w:t>
        </w:r>
        <w:r w:rsidR="003F704E" w:rsidRPr="00AC7A78">
          <w:rPr>
            <w:rStyle w:val="Hyperlink"/>
            <w:lang w:val="en-US"/>
          </w:rPr>
          <w:t>to the Essential Services Commission ‘</w:t>
        </w:r>
        <w:r w:rsidR="0003731D" w:rsidRPr="00AC7A78">
          <w:rPr>
            <w:rStyle w:val="Hyperlink"/>
            <w:lang w:val="en-US"/>
          </w:rPr>
          <w:t>Energy Consumer Reforms</w:t>
        </w:r>
        <w:r w:rsidR="00AC7A78">
          <w:rPr>
            <w:rStyle w:val="Hyperlink"/>
            <w:lang w:val="en-US"/>
          </w:rPr>
          <w:t>:</w:t>
        </w:r>
        <w:r w:rsidR="0003731D" w:rsidRPr="00AC7A78">
          <w:rPr>
            <w:rStyle w:val="Hyperlink"/>
            <w:lang w:val="en-US"/>
          </w:rPr>
          <w:t xml:space="preserve"> Discussion </w:t>
        </w:r>
        <w:r w:rsidR="00AC7A78">
          <w:rPr>
            <w:rStyle w:val="Hyperlink"/>
            <w:lang w:val="en-US"/>
          </w:rPr>
          <w:t>P</w:t>
        </w:r>
        <w:r w:rsidR="0003731D" w:rsidRPr="00AC7A78">
          <w:rPr>
            <w:rStyle w:val="Hyperlink"/>
            <w:lang w:val="en-US"/>
          </w:rPr>
          <w:t>aper</w:t>
        </w:r>
        <w:r w:rsidR="003F704E" w:rsidRPr="00AC7A78">
          <w:rPr>
            <w:rStyle w:val="Hyperlink"/>
            <w:lang w:val="en-US"/>
          </w:rPr>
          <w:t>’</w:t>
        </w:r>
      </w:hyperlink>
      <w:r w:rsidR="003F704E" w:rsidRPr="00E410AF">
        <w:rPr>
          <w:lang w:val="en-US"/>
        </w:rPr>
        <w:t xml:space="preserve">, </w:t>
      </w:r>
      <w:r w:rsidR="001B60D4" w:rsidRPr="00E410AF">
        <w:rPr>
          <w:lang w:val="en-US"/>
        </w:rPr>
        <w:t xml:space="preserve">24 </w:t>
      </w:r>
      <w:r w:rsidR="00511396" w:rsidRPr="00E410AF">
        <w:rPr>
          <w:lang w:val="en-US"/>
        </w:rPr>
        <w:t>October</w:t>
      </w:r>
      <w:r w:rsidR="003F704E" w:rsidRPr="00E410AF">
        <w:rPr>
          <w:lang w:val="en-US"/>
        </w:rPr>
        <w:t xml:space="preserve"> 2024.</w:t>
      </w:r>
    </w:p>
  </w:footnote>
  <w:footnote w:id="220">
    <w:p w14:paraId="4DA7C96E" w14:textId="45B836FE" w:rsidR="00AC7749" w:rsidRPr="00AC7749" w:rsidRDefault="00AC7749">
      <w:pPr>
        <w:pStyle w:val="FootnoteText"/>
        <w:rPr>
          <w:lang w:val="en-US"/>
        </w:rPr>
      </w:pPr>
      <w:r>
        <w:rPr>
          <w:rStyle w:val="FootnoteReference"/>
        </w:rPr>
        <w:footnoteRef/>
      </w:r>
      <w:r>
        <w:t xml:space="preserve"> Australian Energy Market Commission, </w:t>
      </w:r>
      <w:hyperlink r:id="rId183" w:history="1">
        <w:r>
          <w:rPr>
            <w:rStyle w:val="Hyperlink"/>
            <w:i/>
            <w:iCs/>
          </w:rPr>
          <w:t>Rule change proposal: Improving the application of concessions to bills</w:t>
        </w:r>
      </w:hyperlink>
      <w:r>
        <w:t>, 6 February, 2025.</w:t>
      </w:r>
    </w:p>
  </w:footnote>
  <w:footnote w:id="221">
    <w:p w14:paraId="29712383" w14:textId="52C28E6B" w:rsidR="00680370" w:rsidRPr="00FC2E32" w:rsidRDefault="00680370">
      <w:pPr>
        <w:pStyle w:val="FootnoteText"/>
        <w:rPr>
          <w:lang w:val="en-US"/>
        </w:rPr>
      </w:pPr>
      <w:r>
        <w:rPr>
          <w:rStyle w:val="FootnoteReference"/>
        </w:rPr>
        <w:footnoteRef/>
      </w:r>
      <w:r>
        <w:t xml:space="preserve"> Essential Services Commission, </w:t>
      </w:r>
      <w:hyperlink r:id="rId184" w:anchor="tabs-container2" w:history="1">
        <w:r w:rsidRPr="00BA02A5">
          <w:rPr>
            <w:rStyle w:val="Hyperlink"/>
            <w:i/>
            <w:iCs/>
          </w:rPr>
          <w:t>Energy Consumer Reforms</w:t>
        </w:r>
        <w:r w:rsidR="00856BB8" w:rsidRPr="00BA02A5">
          <w:rPr>
            <w:rStyle w:val="Hyperlink"/>
            <w:i/>
            <w:iCs/>
          </w:rPr>
          <w:t xml:space="preserve">: </w:t>
        </w:r>
        <w:r w:rsidRPr="00BA02A5">
          <w:rPr>
            <w:rStyle w:val="Hyperlink"/>
            <w:i/>
            <w:iCs/>
          </w:rPr>
          <w:t>Discussion paper</w:t>
        </w:r>
      </w:hyperlink>
      <w:r>
        <w:t xml:space="preserve">, </w:t>
      </w:r>
      <w:r w:rsidR="00856BB8">
        <w:t xml:space="preserve">24 </w:t>
      </w:r>
      <w:r>
        <w:t>October 202</w:t>
      </w:r>
      <w:r w:rsidR="00856BB8">
        <w:t>4</w:t>
      </w:r>
      <w:r>
        <w:t>, p. 2</w:t>
      </w:r>
      <w:r w:rsidR="002E7B41">
        <w:t>2</w:t>
      </w:r>
      <w:r>
        <w:t>.</w:t>
      </w:r>
    </w:p>
  </w:footnote>
  <w:footnote w:id="222">
    <w:p w14:paraId="6E82A1A4" w14:textId="33A078C1" w:rsidR="00EC17F3" w:rsidRDefault="00EC17F3">
      <w:pPr>
        <w:pStyle w:val="FootnoteText"/>
      </w:pPr>
      <w:r>
        <w:rPr>
          <w:rStyle w:val="FootnoteReference"/>
        </w:rPr>
        <w:footnoteRef/>
      </w:r>
      <w:r w:rsidR="00C17EB0">
        <w:t xml:space="preserve"> </w:t>
      </w:r>
      <w:r w:rsidR="000648C6">
        <w:t>Australian Energy Council (p.2), AGL (p.8), EnergyAustralia (p.9), Energy Consumers Australia (p.10), Engie (p.4-</w:t>
      </w:r>
      <w:r w:rsidR="001E5885">
        <w:t xml:space="preserve">5), Next Business Energy (p.2), Shell (p.5) </w:t>
      </w:r>
      <w:hyperlink r:id="rId185" w:anchor="tabs-container2" w:history="1">
        <w:r w:rsidR="001E5885" w:rsidRPr="00E53A6B">
          <w:rPr>
            <w:rStyle w:val="Hyperlink"/>
          </w:rPr>
          <w:t>submissions to the Essential Services Commission ‘Energy Consumers Reforms: Discussion Paper’</w:t>
        </w:r>
      </w:hyperlink>
      <w:r w:rsidR="001E5885">
        <w:t>, 24 October 2024.</w:t>
      </w:r>
    </w:p>
  </w:footnote>
  <w:footnote w:id="223">
    <w:p w14:paraId="66AB350B" w14:textId="498F81AA" w:rsidR="00FC6779" w:rsidRDefault="00FC6779" w:rsidP="00FC6779">
      <w:pPr>
        <w:pStyle w:val="FootnoteText"/>
      </w:pPr>
      <w:r>
        <w:rPr>
          <w:rStyle w:val="FootnoteReference"/>
        </w:rPr>
        <w:footnoteRef/>
      </w:r>
      <w:r>
        <w:t xml:space="preserve"> Energy and Climate Change Ministerial Council, </w:t>
      </w:r>
      <w:hyperlink r:id="rId186" w:history="1">
        <w:r w:rsidRPr="00BA02A5">
          <w:rPr>
            <w:rStyle w:val="Hyperlink"/>
            <w:i/>
            <w:iCs/>
          </w:rPr>
          <w:t>Meeting Communique</w:t>
        </w:r>
      </w:hyperlink>
      <w:r>
        <w:t>, 19 July 2024.</w:t>
      </w:r>
    </w:p>
  </w:footnote>
  <w:footnote w:id="224">
    <w:p w14:paraId="7B315085" w14:textId="45E64099" w:rsidR="00A011B3" w:rsidRDefault="00A011B3" w:rsidP="00A011B3">
      <w:pPr>
        <w:pStyle w:val="FootnoteText"/>
      </w:pPr>
      <w:r>
        <w:rPr>
          <w:rStyle w:val="FootnoteReference"/>
        </w:rPr>
        <w:footnoteRef/>
      </w:r>
      <w:r w:rsidR="00BA02A5">
        <w:t xml:space="preserve"> </w:t>
      </w:r>
      <w:r w:rsidRPr="00280790">
        <w:t>A</w:t>
      </w:r>
      <w:r w:rsidR="00D16420" w:rsidRPr="00280790">
        <w:t xml:space="preserve">ustralian </w:t>
      </w:r>
      <w:r w:rsidRPr="00280790">
        <w:t>E</w:t>
      </w:r>
      <w:r w:rsidR="00D16420" w:rsidRPr="00280790">
        <w:t xml:space="preserve">nergy </w:t>
      </w:r>
      <w:r w:rsidRPr="00280790">
        <w:t>C</w:t>
      </w:r>
      <w:r w:rsidR="00D16420" w:rsidRPr="00280790">
        <w:t>ouncil</w:t>
      </w:r>
      <w:r w:rsidRPr="00280790">
        <w:t xml:space="preserve"> (p. 2), AGL (p. 8), Energy</w:t>
      </w:r>
      <w:r w:rsidR="000F7009">
        <w:t xml:space="preserve"> </w:t>
      </w:r>
      <w:r w:rsidRPr="00280790">
        <w:t xml:space="preserve">Locals (p. 3), EnergyAustralia (p. 8), Shell (p. 4) </w:t>
      </w:r>
      <w:hyperlink r:id="rId187" w:anchor="tabs-container2" w:history="1">
        <w:r w:rsidR="00D16420" w:rsidRPr="00280790">
          <w:rPr>
            <w:rStyle w:val="Hyperlink"/>
            <w:lang w:val="en-US"/>
          </w:rPr>
          <w:t>submissions to the Essential Services Commission ‘Energy Consumer Reforms: Discussio</w:t>
        </w:r>
        <w:bookmarkStart w:id="265" w:name="_Hlt198042988"/>
        <w:bookmarkStart w:id="266" w:name="_Hlt198042989"/>
        <w:bookmarkEnd w:id="265"/>
        <w:bookmarkEnd w:id="266"/>
        <w:r w:rsidR="00D16420" w:rsidRPr="00280790">
          <w:rPr>
            <w:rStyle w:val="Hyperlink"/>
            <w:lang w:val="en-US"/>
          </w:rPr>
          <w:t>n Paper’</w:t>
        </w:r>
      </w:hyperlink>
      <w:r w:rsidRPr="00280790">
        <w:rPr>
          <w:lang w:val="en-US"/>
        </w:rPr>
        <w:t>, 24 October 2024.</w:t>
      </w:r>
      <w:r>
        <w:rPr>
          <w:lang w:val="en-US"/>
        </w:rPr>
        <w:t xml:space="preserve"> </w:t>
      </w:r>
    </w:p>
  </w:footnote>
  <w:footnote w:id="225">
    <w:p w14:paraId="74098718" w14:textId="4EDDEF4F" w:rsidR="00CC257C" w:rsidRDefault="00CC257C">
      <w:pPr>
        <w:pStyle w:val="FootnoteText"/>
      </w:pPr>
      <w:r>
        <w:rPr>
          <w:rStyle w:val="FootnoteReference"/>
        </w:rPr>
        <w:footnoteRef/>
      </w:r>
      <w:r>
        <w:t xml:space="preserve"> </w:t>
      </w:r>
      <w:r w:rsidR="005739D0">
        <w:t xml:space="preserve">Clauses </w:t>
      </w:r>
      <w:r w:rsidR="00E82F67">
        <w:t>45</w:t>
      </w:r>
      <w:r w:rsidR="00AB49D7">
        <w:t>(1)</w:t>
      </w:r>
      <w:r w:rsidR="00E82F67">
        <w:t>, 47</w:t>
      </w:r>
      <w:r w:rsidR="00AB49D7">
        <w:t>(1)(a)</w:t>
      </w:r>
      <w:r w:rsidR="00E82F67">
        <w:t>,</w:t>
      </w:r>
      <w:r w:rsidR="00132657">
        <w:t xml:space="preserve"> 128(1)(d), </w:t>
      </w:r>
      <w:r w:rsidR="00FC76B5">
        <w:t xml:space="preserve">163(1)(a)(ix) and </w:t>
      </w:r>
      <w:r w:rsidR="00760591">
        <w:t>168(1)(a)(</w:t>
      </w:r>
      <w:r w:rsidR="00150DAA">
        <w:t xml:space="preserve">vii) of the </w:t>
      </w:r>
      <w:hyperlink r:id="rId188" w:anchor="toc-current-version-of-the-energy-retail-code-of-practice" w:history="1">
        <w:r w:rsidR="00150DAA" w:rsidRPr="007F67E3">
          <w:rPr>
            <w:rStyle w:val="Hyperlink"/>
          </w:rPr>
          <w:t>Energy Retail Code of Pra</w:t>
        </w:r>
        <w:bookmarkStart w:id="268" w:name="_Hlt196296112"/>
        <w:bookmarkStart w:id="269" w:name="_Hlt196296113"/>
        <w:bookmarkEnd w:id="268"/>
        <w:bookmarkEnd w:id="269"/>
        <w:r w:rsidR="00150DAA" w:rsidRPr="007F67E3">
          <w:rPr>
            <w:rStyle w:val="Hyperlink"/>
          </w:rPr>
          <w:t>ctice (version 3).</w:t>
        </w:r>
      </w:hyperlink>
      <w:r w:rsidR="00E82F67">
        <w:t xml:space="preserve"> </w:t>
      </w:r>
    </w:p>
  </w:footnote>
  <w:footnote w:id="226">
    <w:p w14:paraId="0CF42168" w14:textId="33327E12" w:rsidR="0078213D" w:rsidRDefault="0078213D">
      <w:pPr>
        <w:pStyle w:val="FootnoteText"/>
      </w:pPr>
      <w:r>
        <w:rPr>
          <w:rStyle w:val="FootnoteReference"/>
        </w:rPr>
        <w:footnoteRef/>
      </w:r>
      <w:r>
        <w:t xml:space="preserve"> This is calculated using </w:t>
      </w:r>
      <w:r w:rsidR="00B93469">
        <w:t>the average</w:t>
      </w:r>
      <w:r w:rsidR="00634F4A">
        <w:t xml:space="preserve"> Victorian Default Offer price for domestic customers for 2024–25 ($1,655)</w:t>
      </w:r>
      <w:r w:rsidR="00416E21">
        <w:t xml:space="preserve"> and applying the annual electricity concession (17.5</w:t>
      </w:r>
      <w:r w:rsidR="002E4A20">
        <w:t>%</w:t>
      </w:r>
      <w:r w:rsidR="00416E21">
        <w:t xml:space="preserve"> discount applied </w:t>
      </w:r>
      <w:r w:rsidR="00211B8C">
        <w:t xml:space="preserve">after the first $171.60 of the annual bill). </w:t>
      </w:r>
      <w:r w:rsidR="007802DA">
        <w:t xml:space="preserve">It is hard to estimate similar savings for gas bills as there is no reference price for gas standing offers (such as the VDO for electricity) and </w:t>
      </w:r>
      <w:r w:rsidR="00387F51">
        <w:t>winter gas concessions only apply to gas usage between 1 May to 31 October each year.</w:t>
      </w:r>
    </w:p>
  </w:footnote>
  <w:footnote w:id="227">
    <w:p w14:paraId="7C57C375" w14:textId="77777777" w:rsidR="00CC3996" w:rsidRDefault="00CC3996" w:rsidP="00CC3996">
      <w:pPr>
        <w:pStyle w:val="FootnoteText"/>
        <w:rPr>
          <w:szCs w:val="18"/>
        </w:rPr>
      </w:pPr>
      <w:r>
        <w:rPr>
          <w:rStyle w:val="FootnoteReference"/>
        </w:rPr>
        <w:footnoteRef/>
      </w:r>
      <w:r>
        <w:t xml:space="preserve"> ‘</w:t>
      </w:r>
      <w:hyperlink r:id="rId189" w:history="1">
        <w:r w:rsidRPr="00617870">
          <w:rPr>
            <w:rStyle w:val="Hyperlink"/>
            <w:szCs w:val="18"/>
          </w:rPr>
          <w:t>Ensuring contracts are clear and fair 2019</w:t>
        </w:r>
      </w:hyperlink>
      <w:r w:rsidRPr="00617870">
        <w:rPr>
          <w:szCs w:val="18"/>
        </w:rPr>
        <w:t xml:space="preserve">’, Essential Services Commission, accessed </w:t>
      </w:r>
      <w:r>
        <w:rPr>
          <w:szCs w:val="18"/>
        </w:rPr>
        <w:t>21</w:t>
      </w:r>
      <w:r w:rsidRPr="00617870">
        <w:rPr>
          <w:szCs w:val="18"/>
        </w:rPr>
        <w:t xml:space="preserve"> February 2025.</w:t>
      </w:r>
    </w:p>
    <w:p w14:paraId="4DF2694C" w14:textId="12BEEA5B" w:rsidR="00CC3996" w:rsidRDefault="00CC3996" w:rsidP="00CC3996">
      <w:pPr>
        <w:pStyle w:val="FootnoteText"/>
      </w:pPr>
      <w:r w:rsidRPr="0019534B">
        <w:rPr>
          <w:szCs w:val="18"/>
        </w:rPr>
        <w:t xml:space="preserve">The cap is </w:t>
      </w:r>
      <w:r>
        <w:rPr>
          <w:szCs w:val="18"/>
        </w:rPr>
        <w:t xml:space="preserve">set </w:t>
      </w:r>
      <w:r w:rsidRPr="0019534B">
        <w:rPr>
          <w:szCs w:val="18"/>
        </w:rPr>
        <w:t xml:space="preserve">in our </w:t>
      </w:r>
      <w:hyperlink r:id="rId190" w:history="1">
        <w:r w:rsidRPr="0019534B">
          <w:rPr>
            <w:rStyle w:val="Hyperlink"/>
            <w:szCs w:val="18"/>
          </w:rPr>
          <w:t>Guideline: maximum cap for pay-on-time discounts</w:t>
        </w:r>
      </w:hyperlink>
      <w:r w:rsidRPr="0019534B">
        <w:rPr>
          <w:szCs w:val="18"/>
        </w:rPr>
        <w:t xml:space="preserve">. For contracts entered into from 1 July 2024 to 30 June 2025, the maximum pay-on-time discount cap is 6.62%. </w:t>
      </w:r>
    </w:p>
  </w:footnote>
  <w:footnote w:id="228">
    <w:p w14:paraId="28D5ACDA" w14:textId="77777777" w:rsidR="00C23DF4" w:rsidRDefault="00C23DF4" w:rsidP="00C23DF4">
      <w:pPr>
        <w:pStyle w:val="FootnoteText"/>
      </w:pPr>
      <w:r>
        <w:rPr>
          <w:rStyle w:val="FootnoteReference"/>
        </w:rPr>
        <w:footnoteRef/>
      </w:r>
      <w:r>
        <w:t xml:space="preserve"> Australian Competition and Consumer Commission</w:t>
      </w:r>
      <w:r w:rsidRPr="00282D70">
        <w:t xml:space="preserve">, </w:t>
      </w:r>
      <w:hyperlink r:id="rId191" w:history="1">
        <w:r w:rsidRPr="00A30CE5">
          <w:rPr>
            <w:rStyle w:val="Hyperlink"/>
            <w:i/>
            <w:iCs/>
          </w:rPr>
          <w:t>Inquiry into the National Electricity Market: December 2023 Report</w:t>
        </w:r>
      </w:hyperlink>
      <w:r>
        <w:t>, 1 December 2023, p. 39.</w:t>
      </w:r>
    </w:p>
  </w:footnote>
  <w:footnote w:id="229">
    <w:p w14:paraId="417329D4" w14:textId="41315A1C" w:rsidR="00F16922" w:rsidRDefault="00F16922">
      <w:pPr>
        <w:pStyle w:val="FootnoteText"/>
      </w:pPr>
      <w:r>
        <w:rPr>
          <w:rStyle w:val="FootnoteReference"/>
        </w:rPr>
        <w:footnoteRef/>
      </w:r>
      <w:r>
        <w:t xml:space="preserve"> Essential Services Commission, </w:t>
      </w:r>
      <w:hyperlink r:id="rId192" w:anchor="tabs-container2" w:history="1">
        <w:r w:rsidRPr="00AA40DB">
          <w:rPr>
            <w:rStyle w:val="Hyperlink"/>
            <w:i/>
          </w:rPr>
          <w:t>Workshop 1 (Online) Consultation Summary</w:t>
        </w:r>
      </w:hyperlink>
      <w:r>
        <w:t>, January 2025, pp. 2</w:t>
      </w:r>
      <w:r w:rsidR="00D82418">
        <w:rPr>
          <w:rFonts w:cstheme="minorHAnsi"/>
        </w:rPr>
        <w:t>–</w:t>
      </w:r>
      <w:r>
        <w:t>3.</w:t>
      </w:r>
    </w:p>
  </w:footnote>
  <w:footnote w:id="230">
    <w:p w14:paraId="1A23EAE8" w14:textId="0F7CD5E5" w:rsidR="00843DAD" w:rsidRDefault="00843DAD">
      <w:pPr>
        <w:pStyle w:val="FootnoteText"/>
      </w:pPr>
      <w:r>
        <w:rPr>
          <w:rStyle w:val="FootnoteReference"/>
        </w:rPr>
        <w:footnoteRef/>
      </w:r>
      <w:r>
        <w:t xml:space="preserve"> Ibid</w:t>
      </w:r>
      <w:r w:rsidR="001F3913">
        <w:t>.</w:t>
      </w:r>
    </w:p>
  </w:footnote>
  <w:footnote w:id="231">
    <w:p w14:paraId="5931528D" w14:textId="40950588" w:rsidR="00DF3BAC" w:rsidRDefault="00DF3BAC">
      <w:pPr>
        <w:pStyle w:val="FootnoteText"/>
      </w:pPr>
      <w:r>
        <w:rPr>
          <w:rStyle w:val="FootnoteReference"/>
        </w:rPr>
        <w:footnoteRef/>
      </w:r>
      <w:r>
        <w:t xml:space="preserve"> </w:t>
      </w:r>
      <w:r w:rsidR="00F33FD1">
        <w:t>Alinta</w:t>
      </w:r>
      <w:r w:rsidR="0057105D">
        <w:t xml:space="preserve"> Energy</w:t>
      </w:r>
      <w:r w:rsidR="005A7053">
        <w:t>,</w:t>
      </w:r>
      <w:r w:rsidR="005A7053" w:rsidRPr="005A7053">
        <w:t xml:space="preserve"> </w:t>
      </w:r>
      <w:hyperlink r:id="rId193" w:anchor="tabs-container2" w:history="1">
        <w:r w:rsidR="004A69DE">
          <w:rPr>
            <w:rStyle w:val="Hyperlink"/>
            <w:i/>
            <w:iCs/>
          </w:rPr>
          <w:t>submission to the Essential Services Commission ‘</w:t>
        </w:r>
        <w:r w:rsidR="0057105D" w:rsidRPr="0057105D">
          <w:rPr>
            <w:rStyle w:val="Hyperlink"/>
            <w:i/>
            <w:iCs/>
          </w:rPr>
          <w:t xml:space="preserve">Energy Consumer Reforms: Discussion </w:t>
        </w:r>
        <w:r w:rsidR="004A69DE">
          <w:rPr>
            <w:rStyle w:val="Hyperlink"/>
            <w:i/>
            <w:iCs/>
          </w:rPr>
          <w:t>Paper’</w:t>
        </w:r>
      </w:hyperlink>
      <w:r w:rsidR="005A7053">
        <w:t>, 3 December 2024, p. 2</w:t>
      </w:r>
      <w:r w:rsidR="00E5377C">
        <w:t>.</w:t>
      </w:r>
    </w:p>
  </w:footnote>
  <w:footnote w:id="232">
    <w:p w14:paraId="277568BA" w14:textId="261539D6" w:rsidR="002B31E3" w:rsidRDefault="002B31E3">
      <w:pPr>
        <w:pStyle w:val="FootnoteText"/>
      </w:pPr>
      <w:r>
        <w:rPr>
          <w:rStyle w:val="FootnoteReference"/>
        </w:rPr>
        <w:footnoteRef/>
      </w:r>
      <w:r>
        <w:t xml:space="preserve"> Essential Services Commission, </w:t>
      </w:r>
      <w:hyperlink r:id="rId194" w:anchor="tabs-container2" w:history="1">
        <w:r w:rsidR="002C4CCF" w:rsidRPr="00AA40DB">
          <w:rPr>
            <w:rStyle w:val="Hyperlink"/>
            <w:i/>
          </w:rPr>
          <w:t>Workshop 1 (Online) Consultation Summary</w:t>
        </w:r>
      </w:hyperlink>
      <w:r w:rsidR="002C4CCF">
        <w:t>, January 2025, pp. 2</w:t>
      </w:r>
      <w:r w:rsidR="00D82418">
        <w:rPr>
          <w:rFonts w:cstheme="minorHAnsi"/>
        </w:rPr>
        <w:t>–</w:t>
      </w:r>
      <w:r w:rsidR="002C4CCF">
        <w:t>3.</w:t>
      </w:r>
    </w:p>
  </w:footnote>
  <w:footnote w:id="233">
    <w:p w14:paraId="1DE101B6" w14:textId="432667B1" w:rsidR="00104029" w:rsidRDefault="00104029">
      <w:pPr>
        <w:pStyle w:val="FootnoteText"/>
      </w:pPr>
      <w:r>
        <w:rPr>
          <w:rStyle w:val="FootnoteReference"/>
        </w:rPr>
        <w:footnoteRef/>
      </w:r>
      <w:r>
        <w:t xml:space="preserve"> Ibid</w:t>
      </w:r>
      <w:r w:rsidR="001F3913">
        <w:t>.</w:t>
      </w:r>
    </w:p>
  </w:footnote>
  <w:footnote w:id="234">
    <w:p w14:paraId="65642E99" w14:textId="77777777" w:rsidR="005B6E79" w:rsidRDefault="005B6E79" w:rsidP="005B6E79">
      <w:pPr>
        <w:pStyle w:val="FootnoteText"/>
      </w:pPr>
      <w:r>
        <w:rPr>
          <w:rStyle w:val="FootnoteReference"/>
        </w:rPr>
        <w:footnoteRef/>
      </w:r>
      <w:r>
        <w:t xml:space="preserve"> ‘</w:t>
      </w:r>
      <w:hyperlink r:id="rId195" w:history="1">
        <w:r w:rsidRPr="00617870">
          <w:rPr>
            <w:rStyle w:val="Hyperlink"/>
            <w:szCs w:val="18"/>
          </w:rPr>
          <w:t>Ensuring contracts are</w:t>
        </w:r>
        <w:bookmarkStart w:id="282" w:name="_Hlt194494666"/>
        <w:bookmarkStart w:id="283" w:name="_Hlt194494667"/>
        <w:r w:rsidRPr="00617870">
          <w:rPr>
            <w:rStyle w:val="Hyperlink"/>
            <w:szCs w:val="18"/>
          </w:rPr>
          <w:t xml:space="preserve"> </w:t>
        </w:r>
        <w:bookmarkEnd w:id="282"/>
        <w:bookmarkEnd w:id="283"/>
        <w:r w:rsidRPr="00617870">
          <w:rPr>
            <w:rStyle w:val="Hyperlink"/>
            <w:szCs w:val="18"/>
          </w:rPr>
          <w:t>clear and fair 2019</w:t>
        </w:r>
      </w:hyperlink>
      <w:r w:rsidRPr="00617870">
        <w:rPr>
          <w:szCs w:val="18"/>
        </w:rPr>
        <w:t xml:space="preserve">’, Essential Services Commission, accessed </w:t>
      </w:r>
      <w:r>
        <w:rPr>
          <w:szCs w:val="18"/>
        </w:rPr>
        <w:t>21</w:t>
      </w:r>
      <w:r w:rsidRPr="00617870">
        <w:rPr>
          <w:szCs w:val="18"/>
        </w:rPr>
        <w:t xml:space="preserve"> February 2025.</w:t>
      </w:r>
    </w:p>
  </w:footnote>
  <w:footnote w:id="235">
    <w:p w14:paraId="3906B342" w14:textId="41BADF6B" w:rsidR="003C17AA" w:rsidRPr="00C26A7E" w:rsidRDefault="003C17AA">
      <w:pPr>
        <w:pStyle w:val="FootnoteText"/>
      </w:pPr>
      <w:r w:rsidRPr="00C26A7E">
        <w:rPr>
          <w:rStyle w:val="FootnoteReference"/>
        </w:rPr>
        <w:footnoteRef/>
      </w:r>
      <w:r w:rsidRPr="00C26A7E">
        <w:t xml:space="preserve"> Figure 1</w:t>
      </w:r>
      <w:r w:rsidR="00A1560F">
        <w:t>2</w:t>
      </w:r>
      <w:r w:rsidRPr="00C26A7E">
        <w:t xml:space="preserve"> </w:t>
      </w:r>
      <w:r w:rsidR="00620667">
        <w:t>i</w:t>
      </w:r>
      <w:r w:rsidRPr="00C26A7E">
        <w:t xml:space="preserve">n </w:t>
      </w:r>
      <w:r w:rsidR="003800B0" w:rsidRPr="00C26A7E">
        <w:t>Section 2.1.2.</w:t>
      </w:r>
    </w:p>
  </w:footnote>
  <w:footnote w:id="236">
    <w:p w14:paraId="1CF8C358" w14:textId="1F032334" w:rsidR="00CF2CEC" w:rsidRPr="00502564" w:rsidRDefault="00CF2CEC" w:rsidP="00CF2CEC">
      <w:pPr>
        <w:pStyle w:val="FootnoteText"/>
        <w:rPr>
          <w:highlight w:val="yellow"/>
        </w:rPr>
      </w:pPr>
      <w:r w:rsidRPr="00C26A7E">
        <w:rPr>
          <w:rStyle w:val="FootnoteReference"/>
        </w:rPr>
        <w:footnoteRef/>
      </w:r>
      <w:r w:rsidRPr="00C26A7E">
        <w:t xml:space="preserve"> Ibid</w:t>
      </w:r>
      <w:r w:rsidR="0057105D">
        <w:t>.</w:t>
      </w:r>
    </w:p>
  </w:footnote>
  <w:footnote w:id="237">
    <w:p w14:paraId="5CC3CFB5" w14:textId="6D92EAD2" w:rsidR="008D466C" w:rsidRDefault="008D466C">
      <w:pPr>
        <w:pStyle w:val="FootnoteText"/>
      </w:pPr>
      <w:r>
        <w:rPr>
          <w:rStyle w:val="FootnoteReference"/>
        </w:rPr>
        <w:footnoteRef/>
      </w:r>
      <w:r>
        <w:t xml:space="preserve"> Australian Competition and </w:t>
      </w:r>
      <w:r w:rsidR="00E57E37">
        <w:t xml:space="preserve">Consumer Commission, </w:t>
      </w:r>
      <w:hyperlink r:id="rId196" w:history="1">
        <w:r w:rsidR="00E57E37" w:rsidRPr="000A46CF">
          <w:rPr>
            <w:rStyle w:val="Hyperlink"/>
            <w:i/>
            <w:iCs/>
          </w:rPr>
          <w:t>Inquiry into the National Electricity Market</w:t>
        </w:r>
      </w:hyperlink>
      <w:r w:rsidR="00E57E37">
        <w:t>, June 2024 Report, p. 62.</w:t>
      </w:r>
    </w:p>
  </w:footnote>
  <w:footnote w:id="238">
    <w:p w14:paraId="607DD1A5" w14:textId="1E22FC45" w:rsidR="00357544" w:rsidRDefault="00357544">
      <w:pPr>
        <w:pStyle w:val="FootnoteText"/>
      </w:pPr>
      <w:r>
        <w:rPr>
          <w:rStyle w:val="FootnoteReference"/>
        </w:rPr>
        <w:footnoteRef/>
      </w:r>
      <w:r>
        <w:t xml:space="preserve"> </w:t>
      </w:r>
      <w:r w:rsidR="00C52555">
        <w:t>Ibid (Figure 12).</w:t>
      </w:r>
    </w:p>
  </w:footnote>
  <w:footnote w:id="239">
    <w:p w14:paraId="46ED45FA" w14:textId="23738942" w:rsidR="0061083D" w:rsidRDefault="0061083D">
      <w:pPr>
        <w:pStyle w:val="FootnoteText"/>
      </w:pPr>
      <w:r>
        <w:rPr>
          <w:rStyle w:val="FootnoteReference"/>
        </w:rPr>
        <w:footnoteRef/>
      </w:r>
      <w:r>
        <w:t xml:space="preserve"> </w:t>
      </w:r>
      <w:r w:rsidR="00826D77">
        <w:t xml:space="preserve">As </w:t>
      </w:r>
      <w:r w:rsidR="009F60C9">
        <w:t>record</w:t>
      </w:r>
      <w:r w:rsidR="00E57C66">
        <w:t>ed</w:t>
      </w:r>
      <w:r w:rsidR="009F60C9">
        <w:t xml:space="preserve"> on our </w:t>
      </w:r>
      <w:hyperlink r:id="rId197" w:history="1">
        <w:r w:rsidR="00C51B24" w:rsidRPr="00C51B24">
          <w:rPr>
            <w:rStyle w:val="Hyperlink"/>
          </w:rPr>
          <w:t>Victorian Energy Market Dashboard</w:t>
        </w:r>
      </w:hyperlink>
      <w:r w:rsidR="009F60C9">
        <w:t xml:space="preserve">, as </w:t>
      </w:r>
      <w:r w:rsidR="00826D77">
        <w:t xml:space="preserve">of </w:t>
      </w:r>
      <w:r w:rsidR="00F148FD">
        <w:t>Q2 2024-25, there were 2.771 million residential electricity customers in Victoria</w:t>
      </w:r>
      <w:r w:rsidR="00C51B24">
        <w:t xml:space="preserve">. </w:t>
      </w:r>
      <w:r w:rsidR="00073987">
        <w:t xml:space="preserve">138,550 represents </w:t>
      </w:r>
      <w:r w:rsidR="009618C6">
        <w:t xml:space="preserve">five per cent of this figure. </w:t>
      </w:r>
    </w:p>
  </w:footnote>
  <w:footnote w:id="240">
    <w:p w14:paraId="41A83855" w14:textId="6D0E604B" w:rsidR="0099255A" w:rsidRDefault="0099255A">
      <w:pPr>
        <w:pStyle w:val="FootnoteText"/>
      </w:pPr>
      <w:r>
        <w:rPr>
          <w:rStyle w:val="FootnoteReference"/>
        </w:rPr>
        <w:footnoteRef/>
      </w:r>
      <w:r>
        <w:t xml:space="preserve"> Assuming </w:t>
      </w:r>
      <w:r w:rsidR="00D704C9">
        <w:t>10</w:t>
      </w:r>
      <w:r w:rsidR="008B7277">
        <w:t>%</w:t>
      </w:r>
      <w:r w:rsidR="00D704C9">
        <w:t xml:space="preserve"> of the </w:t>
      </w:r>
      <w:r w:rsidR="008D12A8">
        <w:t>13</w:t>
      </w:r>
      <w:r w:rsidR="00D22E81">
        <w:t>8</w:t>
      </w:r>
      <w:r w:rsidR="008D12A8">
        <w:t>,</w:t>
      </w:r>
      <w:r w:rsidR="00D22E81">
        <w:t>5</w:t>
      </w:r>
      <w:r w:rsidR="006A4AFB">
        <w:t>5</w:t>
      </w:r>
      <w:r w:rsidR="008D12A8">
        <w:t xml:space="preserve">0 customers </w:t>
      </w:r>
      <w:r w:rsidR="00F43333">
        <w:t xml:space="preserve">estimated as remaining on legacy contracts with conditional </w:t>
      </w:r>
      <w:r w:rsidR="005357BD">
        <w:t xml:space="preserve">pay-on-time </w:t>
      </w:r>
      <w:r w:rsidR="00F43333">
        <w:t xml:space="preserve">discounts </w:t>
      </w:r>
      <w:r w:rsidR="005357BD">
        <w:t xml:space="preserve">greater than </w:t>
      </w:r>
      <w:r w:rsidR="008B7277">
        <w:t>5%</w:t>
      </w:r>
      <w:r w:rsidR="005357BD">
        <w:t xml:space="preserve">. </w:t>
      </w:r>
      <w:r w:rsidR="00D704C9">
        <w:t xml:space="preserve"> </w:t>
      </w:r>
    </w:p>
  </w:footnote>
  <w:footnote w:id="241">
    <w:p w14:paraId="4C11B3F5" w14:textId="5DBC47F1" w:rsidR="00BB65B8" w:rsidRDefault="00BB65B8">
      <w:pPr>
        <w:pStyle w:val="FootnoteText"/>
      </w:pPr>
      <w:r>
        <w:rPr>
          <w:rStyle w:val="FootnoteReference"/>
        </w:rPr>
        <w:footnoteRef/>
      </w:r>
      <w:r>
        <w:t xml:space="preserve"> Essential Services Commission, </w:t>
      </w:r>
      <w:r w:rsidRPr="007F3A2F">
        <w:t>‘</w:t>
      </w:r>
      <w:hyperlink r:id="rId198" w:history="1">
        <w:r w:rsidRPr="00EE2E4C">
          <w:rPr>
            <w:rStyle w:val="Hyperlink"/>
          </w:rPr>
          <w:t xml:space="preserve">Ensuring </w:t>
        </w:r>
        <w:r w:rsidR="005E71EA" w:rsidRPr="00EE2E4C">
          <w:rPr>
            <w:rStyle w:val="Hyperlink"/>
          </w:rPr>
          <w:t xml:space="preserve">energy </w:t>
        </w:r>
        <w:r w:rsidRPr="00EE2E4C">
          <w:rPr>
            <w:rStyle w:val="Hyperlink"/>
          </w:rPr>
          <w:t>contracts are clear and fair 2019</w:t>
        </w:r>
        <w:r w:rsidR="005E71EA" w:rsidRPr="00EE2E4C">
          <w:rPr>
            <w:rStyle w:val="Hyperlink"/>
          </w:rPr>
          <w:t xml:space="preserve"> Draft Decision</w:t>
        </w:r>
      </w:hyperlink>
      <w:r w:rsidRPr="007F3A2F">
        <w:t xml:space="preserve">’, </w:t>
      </w:r>
      <w:r w:rsidR="005E71EA">
        <w:t>10 December 2019, p</w:t>
      </w:r>
      <w:r w:rsidRPr="007F3A2F">
        <w:t>.</w:t>
      </w:r>
      <w:r w:rsidR="005E3FE6">
        <w:t xml:space="preserve"> 24</w:t>
      </w:r>
      <w:r w:rsidR="00D0439D">
        <w:t>.</w:t>
      </w:r>
    </w:p>
  </w:footnote>
  <w:footnote w:id="242">
    <w:p w14:paraId="764E0AC1" w14:textId="3FF94A8E" w:rsidR="0009616C" w:rsidRDefault="0009616C">
      <w:pPr>
        <w:pStyle w:val="FootnoteText"/>
      </w:pPr>
      <w:r>
        <w:rPr>
          <w:rStyle w:val="FootnoteReference"/>
        </w:rPr>
        <w:footnoteRef/>
      </w:r>
      <w:r>
        <w:t xml:space="preserve"> </w:t>
      </w:r>
      <w:r w:rsidR="00C50A8C">
        <w:t xml:space="preserve">Assuming 13,855 customers on legacy contracts </w:t>
      </w:r>
      <w:r w:rsidR="00612582">
        <w:t>with high conditional discounts</w:t>
      </w:r>
      <w:r w:rsidR="006A154B">
        <w:t xml:space="preserve"> are not meeting discount conditions</w:t>
      </w:r>
      <w:r w:rsidR="00D17FBE">
        <w:t xml:space="preserve">, which results in an average cost to these consumers of $188 annually. </w:t>
      </w:r>
    </w:p>
  </w:footnote>
  <w:footnote w:id="243">
    <w:p w14:paraId="49FB9BD5" w14:textId="7EA77E82" w:rsidR="00C91B72" w:rsidRDefault="00C91B72">
      <w:pPr>
        <w:pStyle w:val="FootnoteText"/>
      </w:pPr>
      <w:r>
        <w:rPr>
          <w:rStyle w:val="FootnoteReference"/>
        </w:rPr>
        <w:footnoteRef/>
      </w:r>
      <w:r>
        <w:t xml:space="preserve"> </w:t>
      </w:r>
      <w:r w:rsidR="00F354EA">
        <w:t xml:space="preserve">Ibid (Figure 12). Based on </w:t>
      </w:r>
      <w:r w:rsidR="00F7328D">
        <w:t xml:space="preserve">analysis of a sample of residential electricity customer billing data, </w:t>
      </w:r>
      <w:r w:rsidR="00240D94">
        <w:t xml:space="preserve">the proportion of </w:t>
      </w:r>
      <w:r w:rsidR="00F7328D">
        <w:t xml:space="preserve">customers on legacy contracts with </w:t>
      </w:r>
      <w:r w:rsidR="00240D94">
        <w:t>discounts</w:t>
      </w:r>
      <w:r w:rsidR="00F7328D">
        <w:t xml:space="preserve"> greater than 5 per cent was 26 per cent in 2020, </w:t>
      </w:r>
      <w:r w:rsidR="00240D94">
        <w:t>14 per cent in 2021, 8 per cent in 2022 and 5 per cent in 2023.</w:t>
      </w:r>
    </w:p>
  </w:footnote>
  <w:footnote w:id="244">
    <w:p w14:paraId="7D323791" w14:textId="7C75D476" w:rsidR="008509D0" w:rsidRDefault="008509D0">
      <w:pPr>
        <w:pStyle w:val="FootnoteText"/>
      </w:pPr>
      <w:r>
        <w:rPr>
          <w:rStyle w:val="FootnoteReference"/>
        </w:rPr>
        <w:footnoteRef/>
      </w:r>
      <w:r>
        <w:t xml:space="preserve"> </w:t>
      </w:r>
      <w:r w:rsidR="00117207">
        <w:t xml:space="preserve">As recorded on our </w:t>
      </w:r>
      <w:hyperlink r:id="rId199" w:history="1">
        <w:r w:rsidR="00117207" w:rsidRPr="00C51B24">
          <w:rPr>
            <w:rStyle w:val="Hyperlink"/>
          </w:rPr>
          <w:t>Victorian Energy Market Dashboard</w:t>
        </w:r>
      </w:hyperlink>
      <w:r w:rsidR="00117207">
        <w:t xml:space="preserve">, as of Q2 2024-25, there were 2.771 million residential electricity customers in Victoria. </w:t>
      </w:r>
      <w:r w:rsidR="009379D1">
        <w:t xml:space="preserve">While total customer numbers are </w:t>
      </w:r>
      <w:r w:rsidR="000A0A9C">
        <w:t>expected to be different in five years following these reforms, this number is used as a simplified reference point.</w:t>
      </w:r>
      <w:r w:rsidR="009379D1">
        <w:t xml:space="preserve"> </w:t>
      </w:r>
      <w:r w:rsidR="003F161A">
        <w:t>27,710 and 55,420 represent one and two per cent of this number (respectively). 2</w:t>
      </w:r>
      <w:r w:rsidR="006D27E4">
        <w:t xml:space="preserve">,710 and 5,542 represent </w:t>
      </w:r>
      <w:r w:rsidR="00D554B5">
        <w:t xml:space="preserve">10 per cent of these numbers to account for the proportion of customers </w:t>
      </w:r>
      <w:r w:rsidR="00A13876">
        <w:t>that do not meet conditional discount</w:t>
      </w:r>
      <w:r w:rsidR="00AA4D35">
        <w:t xml:space="preserve"> conditions. </w:t>
      </w:r>
    </w:p>
  </w:footnote>
  <w:footnote w:id="245">
    <w:p w14:paraId="2D55F62E" w14:textId="17588443" w:rsidR="00992C59" w:rsidRPr="00A2020D" w:rsidRDefault="00992C59" w:rsidP="00992C59">
      <w:pPr>
        <w:pStyle w:val="FootnoteText"/>
      </w:pPr>
      <w:r>
        <w:rPr>
          <w:rStyle w:val="FootnoteReference"/>
        </w:rPr>
        <w:footnoteRef/>
      </w:r>
      <w:r>
        <w:t xml:space="preserve"> Behavioural Economics Team of the Australian Government, </w:t>
      </w:r>
      <w:hyperlink r:id="rId200" w:history="1">
        <w:r w:rsidRPr="0066065C">
          <w:rPr>
            <w:rStyle w:val="Hyperlink"/>
            <w:i/>
            <w:iCs/>
          </w:rPr>
          <w:t>Improving energy bills: Final report</w:t>
        </w:r>
      </w:hyperlink>
      <w:r>
        <w:t xml:space="preserve">, October 2021, p.19. </w:t>
      </w:r>
    </w:p>
  </w:footnote>
  <w:footnote w:id="246">
    <w:p w14:paraId="7B298599" w14:textId="65190BE0" w:rsidR="00DE5FFD" w:rsidRDefault="00DE5FFD">
      <w:pPr>
        <w:pStyle w:val="FootnoteText"/>
      </w:pPr>
      <w:r>
        <w:rPr>
          <w:rStyle w:val="FootnoteReference"/>
        </w:rPr>
        <w:footnoteRef/>
      </w:r>
      <w:r>
        <w:t xml:space="preserve"> Section 40(l)(ii) of the A</w:t>
      </w:r>
      <w:r w:rsidR="00A57C1E">
        <w:t xml:space="preserve">ustralian </w:t>
      </w:r>
      <w:r>
        <w:t>E</w:t>
      </w:r>
      <w:r w:rsidR="00A57C1E">
        <w:t xml:space="preserve">nergy </w:t>
      </w:r>
      <w:r>
        <w:t>R</w:t>
      </w:r>
      <w:r w:rsidR="00A57C1E">
        <w:t>egulator</w:t>
      </w:r>
      <w:r>
        <w:t xml:space="preserve">’s </w:t>
      </w:r>
      <w:hyperlink r:id="rId201" w:history="1">
        <w:r w:rsidRPr="00A57C1E">
          <w:rPr>
            <w:rStyle w:val="Hyperlink"/>
          </w:rPr>
          <w:t>Better Bills Guideline</w:t>
        </w:r>
        <w:r w:rsidR="00D65EF2" w:rsidRPr="00A57C1E">
          <w:rPr>
            <w:rStyle w:val="Hyperlink"/>
          </w:rPr>
          <w:t xml:space="preserve"> (ver</w:t>
        </w:r>
        <w:bookmarkStart w:id="291" w:name="_Hlt195541259"/>
        <w:r w:rsidR="00D65EF2" w:rsidRPr="00A57C1E">
          <w:rPr>
            <w:rStyle w:val="Hyperlink"/>
          </w:rPr>
          <w:t>s</w:t>
        </w:r>
        <w:bookmarkEnd w:id="291"/>
        <w:r w:rsidR="00D65EF2" w:rsidRPr="00A57C1E">
          <w:rPr>
            <w:rStyle w:val="Hyperlink"/>
          </w:rPr>
          <w:t>ion 2</w:t>
        </w:r>
        <w:r w:rsidR="00504B62">
          <w:rPr>
            <w:rStyle w:val="Hyperlink"/>
          </w:rPr>
          <w:t>)</w:t>
        </w:r>
      </w:hyperlink>
      <w:r w:rsidR="00504B62">
        <w:t>.</w:t>
      </w:r>
    </w:p>
  </w:footnote>
  <w:footnote w:id="247">
    <w:p w14:paraId="3779BC2A" w14:textId="7D2B4830" w:rsidR="009F639F" w:rsidRDefault="009F639F">
      <w:pPr>
        <w:pStyle w:val="FootnoteText"/>
      </w:pPr>
      <w:r>
        <w:rPr>
          <w:rStyle w:val="FootnoteReference"/>
        </w:rPr>
        <w:footnoteRef/>
      </w:r>
      <w:r w:rsidR="00B65E59">
        <w:t xml:space="preserve"> Consumer Action Law Centre</w:t>
      </w:r>
      <w:r w:rsidR="00900978">
        <w:t xml:space="preserve">, </w:t>
      </w:r>
      <w:hyperlink r:id="rId202" w:anchor="toc-submissions-on-the-energy-consumer-reforms-discussion-paper%7Ctabs-container2" w:history="1">
        <w:r w:rsidR="004A69DE">
          <w:rPr>
            <w:rStyle w:val="Hyperlink"/>
            <w:i/>
            <w:iCs/>
          </w:rPr>
          <w:t>submission to the Essential Services Commission ‘Energy Consumer Reforms: Discussion Paper’</w:t>
        </w:r>
      </w:hyperlink>
      <w:r w:rsidR="009D6B70">
        <w:t>, 27 November 2024</w:t>
      </w:r>
      <w:r w:rsidR="005F4576">
        <w:t>, p. 12</w:t>
      </w:r>
      <w:r w:rsidR="003D1840">
        <w:t>;</w:t>
      </w:r>
      <w:r>
        <w:t xml:space="preserve"> </w:t>
      </w:r>
      <w:r w:rsidR="008F40A0">
        <w:t>Financi</w:t>
      </w:r>
      <w:r w:rsidR="0066177A">
        <w:t>al Counselling Victoria</w:t>
      </w:r>
      <w:r w:rsidR="00490EDF">
        <w:t>,</w:t>
      </w:r>
      <w:r w:rsidR="0066177A">
        <w:t xml:space="preserve"> </w:t>
      </w:r>
      <w:hyperlink r:id="rId203" w:anchor="toc-submissions-on-the-energy-consumer-reforms-discussion-paper%7Ctabs-container2" w:history="1">
        <w:r w:rsidR="004A69DE">
          <w:rPr>
            <w:rStyle w:val="Hyperlink"/>
            <w:i/>
            <w:iCs/>
          </w:rPr>
          <w:t>submission</w:t>
        </w:r>
        <w:r w:rsidR="00D4125F" w:rsidRPr="00D4125F">
          <w:rPr>
            <w:rStyle w:val="Hyperlink"/>
            <w:i/>
            <w:iCs/>
          </w:rPr>
          <w:t xml:space="preserve"> to the Essential Services </w:t>
        </w:r>
        <w:r w:rsidR="004A69DE">
          <w:rPr>
            <w:rStyle w:val="Hyperlink"/>
            <w:i/>
            <w:iCs/>
          </w:rPr>
          <w:t>Commission ‘</w:t>
        </w:r>
        <w:r w:rsidR="00D4125F" w:rsidRPr="00D4125F">
          <w:rPr>
            <w:rStyle w:val="Hyperlink"/>
            <w:i/>
            <w:iCs/>
          </w:rPr>
          <w:t>Energy Consumer Reforms</w:t>
        </w:r>
        <w:r w:rsidR="004A69DE">
          <w:rPr>
            <w:rStyle w:val="Hyperlink"/>
            <w:i/>
            <w:iCs/>
          </w:rPr>
          <w:t>:</w:t>
        </w:r>
        <w:r w:rsidR="00D4125F" w:rsidRPr="00D4125F">
          <w:rPr>
            <w:rStyle w:val="Hyperlink"/>
            <w:i/>
            <w:iCs/>
          </w:rPr>
          <w:t xml:space="preserve"> Discussion </w:t>
        </w:r>
        <w:r w:rsidR="004A69DE">
          <w:rPr>
            <w:rStyle w:val="Hyperlink"/>
            <w:i/>
            <w:iCs/>
          </w:rPr>
          <w:t>Paper’</w:t>
        </w:r>
      </w:hyperlink>
      <w:r w:rsidR="00BC32B6">
        <w:t xml:space="preserve">, </w:t>
      </w:r>
      <w:r w:rsidR="001C0700">
        <w:t xml:space="preserve">26 November </w:t>
      </w:r>
      <w:r w:rsidR="00BC32B6">
        <w:t>2024</w:t>
      </w:r>
      <w:r w:rsidR="00982EDD">
        <w:t>, p. 5</w:t>
      </w:r>
      <w:r w:rsidR="001C0700">
        <w:t>.</w:t>
      </w:r>
    </w:p>
  </w:footnote>
  <w:footnote w:id="248">
    <w:p w14:paraId="034C8364" w14:textId="007D59DE" w:rsidR="00370DF5" w:rsidRDefault="00370DF5">
      <w:pPr>
        <w:pStyle w:val="FootnoteText"/>
      </w:pPr>
      <w:r>
        <w:rPr>
          <w:rStyle w:val="FootnoteReference"/>
        </w:rPr>
        <w:footnoteRef/>
      </w:r>
      <w:r>
        <w:t xml:space="preserve"> </w:t>
      </w:r>
      <w:r w:rsidR="000A67E5">
        <w:t>Australian Energy Council</w:t>
      </w:r>
      <w:r w:rsidR="001C0700">
        <w:t>,</w:t>
      </w:r>
      <w:r w:rsidR="00AB0CC4">
        <w:t xml:space="preserve"> </w:t>
      </w:r>
      <w:hyperlink r:id="rId204" w:anchor="toc-submissions-on-the-energy-consumer-reforms-discussion-paper%7Ctabs-container2" w:history="1">
        <w:r w:rsidR="004A69DE">
          <w:rPr>
            <w:rStyle w:val="Hyperlink"/>
            <w:i/>
            <w:iCs/>
          </w:rPr>
          <w:t>submission to the Essential Services Commission ‘Energy Consumer Reforms: Discussion Paper’</w:t>
        </w:r>
      </w:hyperlink>
      <w:r w:rsidR="00AB0CC4">
        <w:t xml:space="preserve">, </w:t>
      </w:r>
      <w:r w:rsidR="00501975">
        <w:t xml:space="preserve">3 December </w:t>
      </w:r>
      <w:r w:rsidR="00AB0CC4">
        <w:t>2024</w:t>
      </w:r>
      <w:r w:rsidR="003D2775">
        <w:t>, p. 2</w:t>
      </w:r>
      <w:r w:rsidR="006B703F">
        <w:t>.</w:t>
      </w:r>
    </w:p>
  </w:footnote>
  <w:footnote w:id="249">
    <w:p w14:paraId="5A1AC08F" w14:textId="1D39E45D" w:rsidR="00B31FD1" w:rsidRDefault="00B31FD1">
      <w:pPr>
        <w:pStyle w:val="FootnoteText"/>
      </w:pPr>
      <w:r>
        <w:rPr>
          <w:rStyle w:val="FootnoteReference"/>
        </w:rPr>
        <w:footnoteRef/>
      </w:r>
      <w:r>
        <w:t xml:space="preserve"> </w:t>
      </w:r>
      <w:r w:rsidR="009E0864" w:rsidRPr="004B23D1">
        <w:t xml:space="preserve">For example, in our sample bills from AGL, Powershop, Red Energy, </w:t>
      </w:r>
      <w:r w:rsidR="008A75FD" w:rsidRPr="004B23D1">
        <w:t xml:space="preserve">Engie, </w:t>
      </w:r>
      <w:r w:rsidR="009E0864" w:rsidRPr="004B23D1">
        <w:t>Lumo</w:t>
      </w:r>
      <w:r w:rsidR="005F7E6A" w:rsidRPr="004B23D1">
        <w:t xml:space="preserve"> Energy</w:t>
      </w:r>
      <w:r w:rsidR="009E0864" w:rsidRPr="004B23D1">
        <w:t xml:space="preserve">, Nectr, Dodo and CovaU </w:t>
      </w:r>
      <w:r w:rsidR="00E43810" w:rsidRPr="004B23D1">
        <w:t>included EWOV’s phone number</w:t>
      </w:r>
      <w:r w:rsidR="0043187E" w:rsidRPr="004B23D1">
        <w:t xml:space="preserve"> (and in some cases EWOV’s website).</w:t>
      </w:r>
    </w:p>
  </w:footnote>
  <w:footnote w:id="250">
    <w:p w14:paraId="5028844B" w14:textId="2588482A" w:rsidR="00990853" w:rsidRDefault="00990853">
      <w:pPr>
        <w:pStyle w:val="FootnoteText"/>
      </w:pPr>
      <w:r>
        <w:rPr>
          <w:rStyle w:val="FootnoteReference"/>
        </w:rPr>
        <w:footnoteRef/>
      </w:r>
      <w:r>
        <w:t xml:space="preserve"> </w:t>
      </w:r>
      <w:r w:rsidR="00773536">
        <w:t xml:space="preserve">Clause 63(1)(v) of the </w:t>
      </w:r>
      <w:hyperlink r:id="rId205" w:anchor="toc-current-version-of-the-energy-retail-code-of-practice" w:history="1">
        <w:r w:rsidR="00773536" w:rsidRPr="00420F16">
          <w:rPr>
            <w:rStyle w:val="Hyperlink"/>
          </w:rPr>
          <w:t>Energy Retail Code of Practice (version 3).</w:t>
        </w:r>
      </w:hyperlink>
    </w:p>
  </w:footnote>
  <w:footnote w:id="251">
    <w:p w14:paraId="43C48A43" w14:textId="5B9104DF" w:rsidR="00B50067" w:rsidRDefault="00B50067" w:rsidP="00B50067">
      <w:pPr>
        <w:pStyle w:val="FootnoteText"/>
      </w:pPr>
      <w:r>
        <w:rPr>
          <w:rStyle w:val="FootnoteReference"/>
        </w:rPr>
        <w:footnoteRef/>
      </w:r>
      <w:r>
        <w:t xml:space="preserve"> </w:t>
      </w:r>
      <w:r w:rsidR="00CD4950">
        <w:t xml:space="preserve">Garforth-Bles S, </w:t>
      </w:r>
      <w:r w:rsidR="008E7E0B">
        <w:t>Warner</w:t>
      </w:r>
      <w:r w:rsidR="001809C8">
        <w:t xml:space="preserve"> </w:t>
      </w:r>
      <w:r w:rsidR="008E7E0B">
        <w:t>C</w:t>
      </w:r>
      <w:r w:rsidR="001809C8">
        <w:t xml:space="preserve"> and</w:t>
      </w:r>
      <w:r w:rsidR="008E7E0B">
        <w:t xml:space="preserve"> </w:t>
      </w:r>
      <w:r w:rsidR="000C11AE">
        <w:t xml:space="preserve">Keohane K, </w:t>
      </w:r>
      <w:r w:rsidR="00604C51">
        <w:t>‘</w:t>
      </w:r>
      <w:hyperlink r:id="rId206" w:history="1">
        <w:r w:rsidRPr="00604C51">
          <w:rPr>
            <w:rStyle w:val="Hyperlink"/>
          </w:rPr>
          <w:t>The wellbeing effects of debt and debt-related factors</w:t>
        </w:r>
      </w:hyperlink>
      <w:r w:rsidR="00604C51" w:rsidRPr="00604C51">
        <w:t>’</w:t>
      </w:r>
      <w:r>
        <w:t xml:space="preserve">, </w:t>
      </w:r>
      <w:r w:rsidRPr="00604C51">
        <w:rPr>
          <w:i/>
          <w:iCs/>
        </w:rPr>
        <w:t>Simetrica</w:t>
      </w:r>
      <w:r w:rsidR="000C11AE" w:rsidRPr="00604C51">
        <w:rPr>
          <w:i/>
          <w:iCs/>
        </w:rPr>
        <w:t>-</w:t>
      </w:r>
      <w:r w:rsidRPr="00604C51">
        <w:rPr>
          <w:i/>
          <w:iCs/>
        </w:rPr>
        <w:t>Jacobs</w:t>
      </w:r>
      <w:r>
        <w:t xml:space="preserve">, </w:t>
      </w:r>
      <w:r w:rsidR="000C11AE">
        <w:t>6 November 2020</w:t>
      </w:r>
      <w:r>
        <w:t>.</w:t>
      </w:r>
    </w:p>
  </w:footnote>
  <w:footnote w:id="252">
    <w:p w14:paraId="017B802C" w14:textId="11F1F9BA" w:rsidR="00AA56FF" w:rsidRDefault="00AA56FF" w:rsidP="00AA56FF">
      <w:pPr>
        <w:pStyle w:val="FootnoteText"/>
      </w:pPr>
      <w:r>
        <w:rPr>
          <w:rStyle w:val="FootnoteReference"/>
        </w:rPr>
        <w:footnoteRef/>
      </w:r>
      <w:r>
        <w:t xml:space="preserve"> </w:t>
      </w:r>
      <w:r w:rsidR="00D34769">
        <w:t xml:space="preserve">For example, in 2020, the </w:t>
      </w:r>
      <w:r w:rsidR="00EC0222">
        <w:t xml:space="preserve">Australian Communications Consumer Action Network </w:t>
      </w:r>
      <w:r w:rsidR="00745631">
        <w:t xml:space="preserve">conducted a survey with consumers on the </w:t>
      </w:r>
      <w:r w:rsidR="001D04C4">
        <w:t xml:space="preserve">cost </w:t>
      </w:r>
      <w:r w:rsidR="00912F0B">
        <w:t xml:space="preserve">of trying to resolve issues with their telecommunication </w:t>
      </w:r>
      <w:r w:rsidR="00141420">
        <w:t xml:space="preserve">provider. </w:t>
      </w:r>
      <w:r w:rsidR="00205BBE">
        <w:t xml:space="preserve">The average cost of a customer </w:t>
      </w:r>
      <w:r w:rsidR="006E1F3D">
        <w:t xml:space="preserve">for </w:t>
      </w:r>
      <w:r w:rsidR="007B54EB">
        <w:t xml:space="preserve">a phone call could be up to $18.60, </w:t>
      </w:r>
      <w:r w:rsidR="00DD4B83">
        <w:t xml:space="preserve">with additional costs for repeated contacts. </w:t>
      </w:r>
      <w:hyperlink r:id="rId207" w:history="1">
        <w:r w:rsidR="007D64D5" w:rsidRPr="00A0705D">
          <w:rPr>
            <w:rStyle w:val="Hyperlink"/>
          </w:rPr>
          <w:t>‘Still Waiting… the cost of customer service’</w:t>
        </w:r>
      </w:hyperlink>
      <w:r w:rsidR="007D64D5">
        <w:t>, Au</w:t>
      </w:r>
      <w:r w:rsidR="00F80D4C">
        <w:t>stralian Communications Consumer Action Network, 16 December 2020.</w:t>
      </w:r>
    </w:p>
  </w:footnote>
  <w:footnote w:id="253">
    <w:p w14:paraId="5B39B3C1" w14:textId="10A930EF" w:rsidR="00E30EB0" w:rsidRDefault="00E30EB0">
      <w:pPr>
        <w:pStyle w:val="FootnoteText"/>
      </w:pPr>
      <w:r>
        <w:rPr>
          <w:rStyle w:val="FootnoteReference"/>
        </w:rPr>
        <w:footnoteRef/>
      </w:r>
      <w:r>
        <w:t xml:space="preserve"> </w:t>
      </w:r>
      <w:r w:rsidR="00794CBA">
        <w:t xml:space="preserve">A full list of large, medium and small retailers can be found </w:t>
      </w:r>
      <w:r w:rsidR="00873925">
        <w:t xml:space="preserve">in our Victorian Energy Market Dashboard. </w:t>
      </w:r>
      <w:hyperlink r:id="rId208" w:history="1">
        <w:r w:rsidR="00873925" w:rsidRPr="00B47F49">
          <w:rPr>
            <w:rStyle w:val="Hyperlink"/>
          </w:rPr>
          <w:t>Victorian Energy Market Dashboard</w:t>
        </w:r>
      </w:hyperlink>
      <w:r w:rsidR="00873925" w:rsidRPr="00A874AD">
        <w:t xml:space="preserve">’, Essential Services Commission, accessed </w:t>
      </w:r>
      <w:r w:rsidR="00873925">
        <w:t>2 May</w:t>
      </w:r>
      <w:r w:rsidR="00873925" w:rsidRPr="00A874AD">
        <w:t xml:space="preserve"> 2025</w:t>
      </w:r>
      <w:r w:rsidR="00873925">
        <w:t>.</w:t>
      </w:r>
    </w:p>
  </w:footnote>
  <w:footnote w:id="254">
    <w:p w14:paraId="77CBE002" w14:textId="77777777" w:rsidR="00874472" w:rsidRDefault="00874472" w:rsidP="00874472">
      <w:pPr>
        <w:pStyle w:val="FootnoteText"/>
      </w:pPr>
      <w:r>
        <w:rPr>
          <w:rStyle w:val="FootnoteReference"/>
        </w:rPr>
        <w:footnoteRef/>
      </w:r>
      <w:r>
        <w:t xml:space="preserve"> Assuming the average 2024</w:t>
      </w:r>
      <w:r>
        <w:rPr>
          <w:rFonts w:cstheme="minorHAnsi"/>
        </w:rPr>
        <w:t>–</w:t>
      </w:r>
      <w:r>
        <w:t>25 VDO price for electricity of $1,655 for annual bills and average gas annual bills of $2,190 (based on St. Vincent de Paul’s January 2025 tariff tracking report), and that estimated savings of $18.2 million for affected electricity customers and of $11.9 million for affected gas customers (see Section 5.3.5) are fully transferred and spread out equally among other customers. However, as some retailers would be more impacted than others, these distributional impacts would affect customers differently, depending on their retailer.</w:t>
      </w:r>
    </w:p>
  </w:footnote>
  <w:footnote w:id="255">
    <w:p w14:paraId="79F0D400" w14:textId="77777777" w:rsidR="00AA56FF" w:rsidRPr="00176767" w:rsidRDefault="00AA56FF" w:rsidP="00AA56FF">
      <w:pPr>
        <w:spacing w:line="240" w:lineRule="auto"/>
        <w:rPr>
          <w:sz w:val="18"/>
          <w:szCs w:val="18"/>
        </w:rPr>
      </w:pPr>
      <w:r>
        <w:rPr>
          <w:rStyle w:val="FootnoteReference"/>
          <w:color w:val="000000"/>
          <w:sz w:val="18"/>
          <w:szCs w:val="18"/>
        </w:rPr>
        <w:footnoteRef/>
      </w:r>
      <w:r>
        <w:rPr>
          <w:sz w:val="18"/>
          <w:szCs w:val="18"/>
        </w:rPr>
        <w:t xml:space="preserve"> ‘</w:t>
      </w:r>
      <w:hyperlink r:id="rId209" w:history="1">
        <w:r w:rsidRPr="00863335">
          <w:rPr>
            <w:rStyle w:val="Hyperlink"/>
            <w:sz w:val="18"/>
            <w:szCs w:val="18"/>
          </w:rPr>
          <w:t>Small Business in Australia’</w:t>
        </w:r>
      </w:hyperlink>
      <w:r>
        <w:rPr>
          <w:sz w:val="18"/>
          <w:szCs w:val="18"/>
        </w:rPr>
        <w:t>, Australian Bureau of Statistics, accessed 1 April 2025; ‘</w:t>
      </w:r>
      <w:hyperlink r:id="rId210" w:history="1">
        <w:r w:rsidRPr="00677904">
          <w:rPr>
            <w:rStyle w:val="Hyperlink"/>
            <w:sz w:val="18"/>
            <w:szCs w:val="18"/>
          </w:rPr>
          <w:t>Small business entity’</w:t>
        </w:r>
      </w:hyperlink>
      <w:r>
        <w:rPr>
          <w:sz w:val="18"/>
          <w:szCs w:val="18"/>
        </w:rPr>
        <w:t>, Australian Taxation Office, accessed 1 April 2025.</w:t>
      </w:r>
    </w:p>
  </w:footnote>
  <w:footnote w:id="256">
    <w:p w14:paraId="084FBA0A" w14:textId="63ED5A03" w:rsidR="000D62A9" w:rsidRPr="00617870" w:rsidRDefault="000D62A9" w:rsidP="000D62A9">
      <w:pPr>
        <w:pStyle w:val="FootnoteText"/>
      </w:pPr>
      <w:r>
        <w:rPr>
          <w:rStyle w:val="FootnoteReference"/>
        </w:rPr>
        <w:footnoteRef/>
      </w:r>
      <w:r>
        <w:t xml:space="preserve"> </w:t>
      </w:r>
      <w:r>
        <w:rPr>
          <w:szCs w:val="18"/>
        </w:rPr>
        <w:t>‘</w:t>
      </w:r>
      <w:hyperlink r:id="rId211" w:history="1">
        <w:r w:rsidRPr="00AB255F">
          <w:rPr>
            <w:rStyle w:val="Hyperlink"/>
            <w:szCs w:val="18"/>
          </w:rPr>
          <w:t>Victorian Energy Market Dashboard</w:t>
        </w:r>
      </w:hyperlink>
      <w:r>
        <w:rPr>
          <w:szCs w:val="18"/>
        </w:rPr>
        <w:t xml:space="preserve">’, Essential Services Commission, </w:t>
      </w:r>
      <w:r w:rsidRPr="006C2B1F">
        <w:rPr>
          <w:szCs w:val="18"/>
        </w:rPr>
        <w:t xml:space="preserve">accessed </w:t>
      </w:r>
      <w:r>
        <w:rPr>
          <w:szCs w:val="18"/>
        </w:rPr>
        <w:t>2 May</w:t>
      </w:r>
      <w:r w:rsidRPr="006C2B1F">
        <w:rPr>
          <w:szCs w:val="18"/>
        </w:rPr>
        <w:t xml:space="preserve"> </w:t>
      </w:r>
      <w:r>
        <w:rPr>
          <w:szCs w:val="18"/>
        </w:rPr>
        <w:t>2025.</w:t>
      </w:r>
    </w:p>
    <w:p w14:paraId="2CF5CF42" w14:textId="75A0CCE6" w:rsidR="000D62A9" w:rsidRDefault="000D62A9">
      <w:pPr>
        <w:pStyle w:val="FootnoteText"/>
      </w:pPr>
    </w:p>
  </w:footnote>
  <w:footnote w:id="257">
    <w:p w14:paraId="62BA1370" w14:textId="16031A34" w:rsidR="00304ABD" w:rsidRDefault="00304ABD" w:rsidP="00304ABD">
      <w:pPr>
        <w:pStyle w:val="FootnoteText"/>
      </w:pPr>
      <w:r>
        <w:rPr>
          <w:rStyle w:val="FootnoteReference"/>
        </w:rPr>
        <w:footnoteRef/>
      </w:r>
      <w:r>
        <w:t xml:space="preserve"> </w:t>
      </w:r>
      <w:r w:rsidR="00D6719A">
        <w:t>‘</w:t>
      </w:r>
      <w:hyperlink r:id="rId212" w:history="1">
        <w:r w:rsidRPr="000F23DC">
          <w:rPr>
            <w:rStyle w:val="Hyperlink"/>
          </w:rPr>
          <w:t>Consumer information</w:t>
        </w:r>
      </w:hyperlink>
      <w:r w:rsidR="00D6719A">
        <w:t>’</w:t>
      </w:r>
      <w:r>
        <w:t>,</w:t>
      </w:r>
      <w:r w:rsidR="00D6719A">
        <w:t xml:space="preserve"> Essential Services Commission,</w:t>
      </w:r>
      <w:r>
        <w:t xml:space="preserve"> accessed 7 April 2025</w:t>
      </w:r>
      <w:r w:rsidR="00D6719A">
        <w:t>.</w:t>
      </w:r>
    </w:p>
  </w:footnote>
  <w:footnote w:id="258">
    <w:p w14:paraId="1E0C7983" w14:textId="2F52A2C1" w:rsidR="00241DBF" w:rsidRDefault="00241DBF">
      <w:pPr>
        <w:pStyle w:val="FootnoteText"/>
      </w:pPr>
      <w:r>
        <w:rPr>
          <w:rStyle w:val="FootnoteReference"/>
        </w:rPr>
        <w:footnoteRef/>
      </w:r>
      <w:r>
        <w:t xml:space="preserve"> For a complete list of the preferred option</w:t>
      </w:r>
      <w:r w:rsidR="005D3922">
        <w:t xml:space="preserve"> under each reform area, see Table </w:t>
      </w:r>
      <w:r w:rsidR="005D3922" w:rsidRPr="00E92423">
        <w:t>35</w:t>
      </w:r>
      <w:r w:rsidR="004A69DE">
        <w:t>.</w:t>
      </w:r>
      <w:r>
        <w:t xml:space="preserve"> </w:t>
      </w:r>
    </w:p>
  </w:footnote>
  <w:footnote w:id="259">
    <w:p w14:paraId="352B36D2" w14:textId="1C7891E3" w:rsidR="00E92423" w:rsidRDefault="00E92423">
      <w:pPr>
        <w:pStyle w:val="FootnoteText"/>
      </w:pPr>
      <w:r>
        <w:rPr>
          <w:rStyle w:val="FootnoteReference"/>
        </w:rPr>
        <w:footnoteRef/>
      </w:r>
      <w:r>
        <w:t xml:space="preserve"> </w:t>
      </w:r>
      <w:r w:rsidR="000E5CB4" w:rsidDel="005C0C6D">
        <w:rPr>
          <w:szCs w:val="18"/>
        </w:rPr>
        <w:t xml:space="preserve">Essential Services Commission, </w:t>
      </w:r>
      <w:hyperlink r:id="rId213" w:history="1">
        <w:r w:rsidR="000E5CB4" w:rsidRPr="00767C72" w:rsidDel="005C0C6D">
          <w:rPr>
            <w:rStyle w:val="Hyperlink"/>
            <w:i/>
            <w:iCs/>
            <w:szCs w:val="18"/>
          </w:rPr>
          <w:t>Compliance and enforcement policy</w:t>
        </w:r>
      </w:hyperlink>
      <w:r w:rsidR="000E5CB4" w:rsidDel="005C0C6D">
        <w:rPr>
          <w:szCs w:val="18"/>
        </w:rPr>
        <w:t>, March 2024, p. 4</w:t>
      </w:r>
      <w:r w:rsidR="000E5CB4">
        <w:rPr>
          <w:szCs w:val="18"/>
        </w:rPr>
        <w:t>.</w:t>
      </w:r>
    </w:p>
  </w:footnote>
  <w:footnote w:id="260">
    <w:p w14:paraId="2B248063" w14:textId="23A3000E" w:rsidR="00DD7E30" w:rsidDel="005C0C6D" w:rsidRDefault="00DD7E30">
      <w:pPr>
        <w:pStyle w:val="FootnoteText"/>
      </w:pPr>
      <w:r w:rsidDel="005C0C6D">
        <w:rPr>
          <w:rStyle w:val="FootnoteReference"/>
        </w:rPr>
        <w:footnoteRef/>
      </w:r>
      <w:r w:rsidR="000E5CB4">
        <w:t xml:space="preserve"> </w:t>
      </w:r>
      <w:r w:rsidR="00920FCE" w:rsidDel="005C0C6D">
        <w:rPr>
          <w:szCs w:val="18"/>
        </w:rPr>
        <w:t xml:space="preserve">Essential Services Commission, </w:t>
      </w:r>
      <w:hyperlink r:id="rId214" w:anchor="toc-our-energy-compliance-and-enforcement-priorities" w:history="1">
        <w:r w:rsidR="00920FCE" w:rsidRPr="003E778B" w:rsidDel="005C0C6D">
          <w:rPr>
            <w:rStyle w:val="Hyperlink"/>
            <w:i/>
            <w:iCs/>
            <w:szCs w:val="18"/>
          </w:rPr>
          <w:t>Compliance and enforcement priorities in energy for 2024–25</w:t>
        </w:r>
      </w:hyperlink>
      <w:r w:rsidR="00920FCE" w:rsidDel="005C0C6D">
        <w:rPr>
          <w:szCs w:val="18"/>
        </w:rPr>
        <w:t>, 25</w:t>
      </w:r>
      <w:r w:rsidR="00920FCE">
        <w:rPr>
          <w:szCs w:val="18"/>
        </w:rPr>
        <w:t xml:space="preserve"> </w:t>
      </w:r>
      <w:r w:rsidR="00920FCE" w:rsidDel="005C0C6D">
        <w:rPr>
          <w:szCs w:val="18"/>
        </w:rPr>
        <w:t>June 2024</w:t>
      </w:r>
      <w:r w:rsidR="00920FCE">
        <w:rPr>
          <w:szCs w:val="18"/>
        </w:rPr>
        <w:t>.</w:t>
      </w:r>
    </w:p>
  </w:footnote>
  <w:footnote w:id="261">
    <w:p w14:paraId="3D21F0E6" w14:textId="18702617" w:rsidR="006A4703" w:rsidDel="005C0C6D" w:rsidRDefault="006A4703">
      <w:pPr>
        <w:pStyle w:val="FootnoteText"/>
      </w:pPr>
      <w:r w:rsidDel="005C0C6D">
        <w:rPr>
          <w:rStyle w:val="FootnoteReference"/>
        </w:rPr>
        <w:footnoteRef/>
      </w:r>
      <w:r w:rsidR="00B1399F">
        <w:t xml:space="preserve"> </w:t>
      </w:r>
      <w:r w:rsidRPr="006A4703" w:rsidDel="005C0C6D">
        <w:t>We will not propose civil penalty requirements on obligations that impose obligations on customers, merely signpost obligations in other instruments, or are non-operative provisions (such as those that inform the meaning or give instructions related to obligations contained in other provisions</w:t>
      </w:r>
      <w:r w:rsidR="00920FCE" w:rsidRPr="006A4703" w:rsidDel="005C0C6D">
        <w:t>)</w:t>
      </w:r>
      <w:r w:rsidR="00256220">
        <w:t>.</w:t>
      </w:r>
    </w:p>
  </w:footnote>
  <w:footnote w:id="262">
    <w:p w14:paraId="202D141A" w14:textId="2171FAE0" w:rsidR="006A4703" w:rsidDel="005C0C6D" w:rsidRDefault="006A4703">
      <w:pPr>
        <w:pStyle w:val="FootnoteText"/>
      </w:pPr>
      <w:r w:rsidDel="005C0C6D">
        <w:rPr>
          <w:rStyle w:val="FootnoteReference"/>
        </w:rPr>
        <w:footnoteRef/>
      </w:r>
      <w:r w:rsidDel="005C0C6D">
        <w:rPr>
          <w:szCs w:val="18"/>
        </w:rPr>
        <w:t xml:space="preserve">Essential Services Commission, </w:t>
      </w:r>
      <w:hyperlink r:id="rId215" w:history="1">
        <w:r w:rsidRPr="003E778B" w:rsidDel="005C0C6D">
          <w:rPr>
            <w:rStyle w:val="Hyperlink"/>
            <w:i/>
            <w:iCs/>
            <w:szCs w:val="18"/>
          </w:rPr>
          <w:t>Compliance and enforcement priorities in energy for 2024–25</w:t>
        </w:r>
      </w:hyperlink>
      <w:r w:rsidDel="005C0C6D">
        <w:rPr>
          <w:szCs w:val="18"/>
        </w:rPr>
        <w:t>, 25 June 2024.</w:t>
      </w:r>
    </w:p>
  </w:footnote>
  <w:footnote w:id="263">
    <w:p w14:paraId="231A5B00" w14:textId="2E79D9D2" w:rsidR="000E79CF" w:rsidRDefault="000E79CF" w:rsidP="000E79CF">
      <w:pPr>
        <w:pStyle w:val="FootnoteText"/>
      </w:pPr>
      <w:r>
        <w:rPr>
          <w:rStyle w:val="FootnoteReference"/>
        </w:rPr>
        <w:footnoteRef/>
      </w:r>
      <w:r w:rsidR="00550BC2">
        <w:t xml:space="preserve"> ‘</w:t>
      </w:r>
      <w:hyperlink r:id="rId216" w:history="1">
        <w:r w:rsidR="00550BC2">
          <w:rPr>
            <w:rStyle w:val="Hyperlink"/>
          </w:rPr>
          <w:t>Victorian Energy Market Reporting Hub’</w:t>
        </w:r>
      </w:hyperlink>
      <w:r w:rsidR="00550BC2">
        <w:t>, Essential Services Commission, accessed 10 April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2F667" w14:textId="6688A898" w:rsidR="00060741" w:rsidRDefault="000607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7E98D" w14:textId="15FF6E0E" w:rsidR="00060741" w:rsidRDefault="000607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3B6C" w14:textId="21CFFB02" w:rsidR="00060741" w:rsidRDefault="0006074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1FCA2" w14:textId="79CB94D8" w:rsidR="00060741" w:rsidRDefault="0006074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835C" w14:textId="0C4AD68D" w:rsidR="00AD51BD" w:rsidRDefault="00AD51B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98BA" w14:textId="4CBA612B" w:rsidR="00060741" w:rsidRDefault="0006074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6B33B" w14:textId="0AB2C49D" w:rsidR="003A30F3" w:rsidRPr="00633068" w:rsidRDefault="003A30F3" w:rsidP="00633068">
    <w:pPr>
      <w:pStyle w:val="Header"/>
      <w:tabs>
        <w:tab w:val="clear" w:pos="4680"/>
        <w:tab w:val="clear" w:pos="9360"/>
        <w:tab w:val="left" w:pos="223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F05F" w14:textId="507DE153" w:rsidR="00060741" w:rsidRDefault="000607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8896" w14:textId="039397CB" w:rsidR="003A30F3" w:rsidRPr="00633068" w:rsidRDefault="003A30F3" w:rsidP="00633068">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3" behindDoc="0" locked="1" layoutInCell="1" allowOverlap="1" wp14:anchorId="29222D5D" wp14:editId="5032FFC4">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7C39B" id="Group 13" o:spid="_x0000_s1026" style="position:absolute;margin-left:522.25pt;margin-top:0;width:573.45pt;height:488.15pt;z-index:251658243;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HPayug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2" behindDoc="1" locked="1" layoutInCell="1" allowOverlap="1" wp14:anchorId="03CD7374" wp14:editId="7BD2D917">
          <wp:simplePos x="0" y="0"/>
          <wp:positionH relativeFrom="page">
            <wp:posOffset>720090</wp:posOffset>
          </wp:positionH>
          <wp:positionV relativeFrom="page">
            <wp:posOffset>720090</wp:posOffset>
          </wp:positionV>
          <wp:extent cx="2656800" cy="828000"/>
          <wp:effectExtent l="0" t="0" r="0" b="0"/>
          <wp:wrapTopAndBottom/>
          <wp:docPr id="1206817071" name="Picture 120681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0A51" w14:textId="50245D8A" w:rsidR="003A30F3" w:rsidRDefault="003A30F3"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1" behindDoc="0" locked="1" layoutInCell="1" allowOverlap="1" wp14:anchorId="62DF5126" wp14:editId="2C38FA25">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3DB80" id="Group 29"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0" behindDoc="1" locked="1" layoutInCell="1" allowOverlap="1" wp14:anchorId="20E12107" wp14:editId="77BCDD3C">
          <wp:simplePos x="0" y="0"/>
          <wp:positionH relativeFrom="page">
            <wp:posOffset>720090</wp:posOffset>
          </wp:positionH>
          <wp:positionV relativeFrom="page">
            <wp:posOffset>720090</wp:posOffset>
          </wp:positionV>
          <wp:extent cx="2656800" cy="828000"/>
          <wp:effectExtent l="0" t="0" r="0" b="0"/>
          <wp:wrapTopAndBottom/>
          <wp:docPr id="420278727" name="Picture 42027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FA25A" w14:textId="7BF9B736" w:rsidR="00060741" w:rsidRDefault="000607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2461" w14:textId="41DE0A24" w:rsidR="00060741" w:rsidRDefault="000607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0927" w14:textId="747FEA0C" w:rsidR="00060741" w:rsidRDefault="000607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39C6" w14:textId="39C48EA9" w:rsidR="00060741" w:rsidRDefault="000607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4FD31" w14:textId="4F1E9978" w:rsidR="00060741" w:rsidRDefault="000607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5FB72" w14:textId="61A9DD9C" w:rsidR="00060741" w:rsidRDefault="000607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C56FDB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4CEE62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684147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13"/>
    <w:multiLevelType w:val="hybridMultilevel"/>
    <w:tmpl w:val="00000013"/>
    <w:lvl w:ilvl="0" w:tplc="40F080D2">
      <w:start w:val="1"/>
      <w:numFmt w:val="bullet"/>
      <w:lvlText w:val=""/>
      <w:lvlJc w:val="left"/>
      <w:pPr>
        <w:ind w:left="720" w:hanging="360"/>
      </w:pPr>
      <w:rPr>
        <w:rFonts w:ascii="Symbol" w:hAnsi="Symbol"/>
        <w:b w:val="0"/>
        <w:bCs w:val="0"/>
      </w:rPr>
    </w:lvl>
    <w:lvl w:ilvl="1" w:tplc="92C2BB6C">
      <w:start w:val="1"/>
      <w:numFmt w:val="bullet"/>
      <w:lvlText w:val="o"/>
      <w:lvlJc w:val="left"/>
      <w:pPr>
        <w:tabs>
          <w:tab w:val="num" w:pos="1440"/>
        </w:tabs>
        <w:ind w:left="1440" w:hanging="360"/>
      </w:pPr>
      <w:rPr>
        <w:rFonts w:ascii="Courier New" w:hAnsi="Courier New"/>
      </w:rPr>
    </w:lvl>
    <w:lvl w:ilvl="2" w:tplc="A26445F4">
      <w:start w:val="1"/>
      <w:numFmt w:val="bullet"/>
      <w:lvlText w:val=""/>
      <w:lvlJc w:val="left"/>
      <w:pPr>
        <w:tabs>
          <w:tab w:val="num" w:pos="2160"/>
        </w:tabs>
        <w:ind w:left="2160" w:hanging="360"/>
      </w:pPr>
      <w:rPr>
        <w:rFonts w:ascii="Wingdings" w:hAnsi="Wingdings"/>
      </w:rPr>
    </w:lvl>
    <w:lvl w:ilvl="3" w:tplc="ECCE280C">
      <w:start w:val="1"/>
      <w:numFmt w:val="bullet"/>
      <w:lvlText w:val=""/>
      <w:lvlJc w:val="left"/>
      <w:pPr>
        <w:tabs>
          <w:tab w:val="num" w:pos="2880"/>
        </w:tabs>
        <w:ind w:left="2880" w:hanging="360"/>
      </w:pPr>
      <w:rPr>
        <w:rFonts w:ascii="Symbol" w:hAnsi="Symbol"/>
      </w:rPr>
    </w:lvl>
    <w:lvl w:ilvl="4" w:tplc="B06CAE6E">
      <w:start w:val="1"/>
      <w:numFmt w:val="bullet"/>
      <w:lvlText w:val="o"/>
      <w:lvlJc w:val="left"/>
      <w:pPr>
        <w:tabs>
          <w:tab w:val="num" w:pos="3600"/>
        </w:tabs>
        <w:ind w:left="3600" w:hanging="360"/>
      </w:pPr>
      <w:rPr>
        <w:rFonts w:ascii="Courier New" w:hAnsi="Courier New"/>
      </w:rPr>
    </w:lvl>
    <w:lvl w:ilvl="5" w:tplc="21669E7A">
      <w:start w:val="1"/>
      <w:numFmt w:val="bullet"/>
      <w:lvlText w:val=""/>
      <w:lvlJc w:val="left"/>
      <w:pPr>
        <w:tabs>
          <w:tab w:val="num" w:pos="4320"/>
        </w:tabs>
        <w:ind w:left="4320" w:hanging="360"/>
      </w:pPr>
      <w:rPr>
        <w:rFonts w:ascii="Wingdings" w:hAnsi="Wingdings"/>
      </w:rPr>
    </w:lvl>
    <w:lvl w:ilvl="6" w:tplc="452AF354">
      <w:start w:val="1"/>
      <w:numFmt w:val="bullet"/>
      <w:lvlText w:val=""/>
      <w:lvlJc w:val="left"/>
      <w:pPr>
        <w:tabs>
          <w:tab w:val="num" w:pos="5040"/>
        </w:tabs>
        <w:ind w:left="5040" w:hanging="360"/>
      </w:pPr>
      <w:rPr>
        <w:rFonts w:ascii="Symbol" w:hAnsi="Symbol"/>
      </w:rPr>
    </w:lvl>
    <w:lvl w:ilvl="7" w:tplc="949A839A">
      <w:start w:val="1"/>
      <w:numFmt w:val="bullet"/>
      <w:lvlText w:val="o"/>
      <w:lvlJc w:val="left"/>
      <w:pPr>
        <w:tabs>
          <w:tab w:val="num" w:pos="5760"/>
        </w:tabs>
        <w:ind w:left="5760" w:hanging="360"/>
      </w:pPr>
      <w:rPr>
        <w:rFonts w:ascii="Courier New" w:hAnsi="Courier New"/>
      </w:rPr>
    </w:lvl>
    <w:lvl w:ilvl="8" w:tplc="1D582526">
      <w:start w:val="1"/>
      <w:numFmt w:val="bullet"/>
      <w:lvlText w:val=""/>
      <w:lvlJc w:val="left"/>
      <w:pPr>
        <w:tabs>
          <w:tab w:val="num" w:pos="6480"/>
        </w:tabs>
        <w:ind w:left="6480" w:hanging="360"/>
      </w:pPr>
      <w:rPr>
        <w:rFonts w:ascii="Wingdings" w:hAnsi="Wingdings"/>
      </w:rPr>
    </w:lvl>
  </w:abstractNum>
  <w:abstractNum w:abstractNumId="4" w15:restartNumberingAfterBreak="0">
    <w:nsid w:val="00000056"/>
    <w:multiLevelType w:val="hybridMultilevel"/>
    <w:tmpl w:val="00000056"/>
    <w:lvl w:ilvl="0" w:tplc="718449B0">
      <w:start w:val="1"/>
      <w:numFmt w:val="bullet"/>
      <w:lvlText w:val=""/>
      <w:lvlJc w:val="left"/>
      <w:pPr>
        <w:ind w:left="720" w:hanging="360"/>
      </w:pPr>
      <w:rPr>
        <w:rFonts w:ascii="Symbol" w:hAnsi="Symbol"/>
        <w:b w:val="0"/>
        <w:bCs w:val="0"/>
      </w:rPr>
    </w:lvl>
    <w:lvl w:ilvl="1" w:tplc="6CBA75C8">
      <w:start w:val="1"/>
      <w:numFmt w:val="bullet"/>
      <w:lvlText w:val="o"/>
      <w:lvlJc w:val="left"/>
      <w:pPr>
        <w:tabs>
          <w:tab w:val="num" w:pos="1440"/>
        </w:tabs>
        <w:ind w:left="1440" w:hanging="360"/>
      </w:pPr>
      <w:rPr>
        <w:rFonts w:ascii="Courier New" w:hAnsi="Courier New"/>
      </w:rPr>
    </w:lvl>
    <w:lvl w:ilvl="2" w:tplc="1C94ABD4">
      <w:start w:val="1"/>
      <w:numFmt w:val="bullet"/>
      <w:lvlText w:val=""/>
      <w:lvlJc w:val="left"/>
      <w:pPr>
        <w:tabs>
          <w:tab w:val="num" w:pos="2160"/>
        </w:tabs>
        <w:ind w:left="2160" w:hanging="360"/>
      </w:pPr>
      <w:rPr>
        <w:rFonts w:ascii="Wingdings" w:hAnsi="Wingdings"/>
      </w:rPr>
    </w:lvl>
    <w:lvl w:ilvl="3" w:tplc="64884004">
      <w:start w:val="1"/>
      <w:numFmt w:val="bullet"/>
      <w:lvlText w:val=""/>
      <w:lvlJc w:val="left"/>
      <w:pPr>
        <w:tabs>
          <w:tab w:val="num" w:pos="2880"/>
        </w:tabs>
        <w:ind w:left="2880" w:hanging="360"/>
      </w:pPr>
      <w:rPr>
        <w:rFonts w:ascii="Symbol" w:hAnsi="Symbol"/>
      </w:rPr>
    </w:lvl>
    <w:lvl w:ilvl="4" w:tplc="47AAA1EC">
      <w:start w:val="1"/>
      <w:numFmt w:val="bullet"/>
      <w:lvlText w:val="o"/>
      <w:lvlJc w:val="left"/>
      <w:pPr>
        <w:tabs>
          <w:tab w:val="num" w:pos="3600"/>
        </w:tabs>
        <w:ind w:left="3600" w:hanging="360"/>
      </w:pPr>
      <w:rPr>
        <w:rFonts w:ascii="Courier New" w:hAnsi="Courier New"/>
      </w:rPr>
    </w:lvl>
    <w:lvl w:ilvl="5" w:tplc="84BA58A0">
      <w:start w:val="1"/>
      <w:numFmt w:val="bullet"/>
      <w:lvlText w:val=""/>
      <w:lvlJc w:val="left"/>
      <w:pPr>
        <w:tabs>
          <w:tab w:val="num" w:pos="4320"/>
        </w:tabs>
        <w:ind w:left="4320" w:hanging="360"/>
      </w:pPr>
      <w:rPr>
        <w:rFonts w:ascii="Wingdings" w:hAnsi="Wingdings"/>
      </w:rPr>
    </w:lvl>
    <w:lvl w:ilvl="6" w:tplc="7890940A">
      <w:start w:val="1"/>
      <w:numFmt w:val="bullet"/>
      <w:lvlText w:val=""/>
      <w:lvlJc w:val="left"/>
      <w:pPr>
        <w:tabs>
          <w:tab w:val="num" w:pos="5040"/>
        </w:tabs>
        <w:ind w:left="5040" w:hanging="360"/>
      </w:pPr>
      <w:rPr>
        <w:rFonts w:ascii="Symbol" w:hAnsi="Symbol"/>
      </w:rPr>
    </w:lvl>
    <w:lvl w:ilvl="7" w:tplc="E9DC24FA">
      <w:start w:val="1"/>
      <w:numFmt w:val="bullet"/>
      <w:lvlText w:val="o"/>
      <w:lvlJc w:val="left"/>
      <w:pPr>
        <w:tabs>
          <w:tab w:val="num" w:pos="5760"/>
        </w:tabs>
        <w:ind w:left="5760" w:hanging="360"/>
      </w:pPr>
      <w:rPr>
        <w:rFonts w:ascii="Courier New" w:hAnsi="Courier New"/>
      </w:rPr>
    </w:lvl>
    <w:lvl w:ilvl="8" w:tplc="E0549D0E">
      <w:start w:val="1"/>
      <w:numFmt w:val="bullet"/>
      <w:lvlText w:val=""/>
      <w:lvlJc w:val="left"/>
      <w:pPr>
        <w:tabs>
          <w:tab w:val="num" w:pos="6480"/>
        </w:tabs>
        <w:ind w:left="6480" w:hanging="360"/>
      </w:pPr>
      <w:rPr>
        <w:rFonts w:ascii="Wingdings" w:hAnsi="Wingdings"/>
      </w:rPr>
    </w:lvl>
  </w:abstractNum>
  <w:abstractNum w:abstractNumId="5" w15:restartNumberingAfterBreak="0">
    <w:nsid w:val="00000057"/>
    <w:multiLevelType w:val="hybridMultilevel"/>
    <w:tmpl w:val="00000057"/>
    <w:lvl w:ilvl="0" w:tplc="BE68178A">
      <w:start w:val="1"/>
      <w:numFmt w:val="bullet"/>
      <w:lvlText w:val=""/>
      <w:lvlJc w:val="left"/>
      <w:pPr>
        <w:ind w:left="720" w:hanging="360"/>
      </w:pPr>
      <w:rPr>
        <w:rFonts w:ascii="Symbol" w:hAnsi="Symbol"/>
        <w:b w:val="0"/>
        <w:bCs w:val="0"/>
      </w:rPr>
    </w:lvl>
    <w:lvl w:ilvl="1" w:tplc="5268CC24">
      <w:start w:val="1"/>
      <w:numFmt w:val="bullet"/>
      <w:lvlText w:val="o"/>
      <w:lvlJc w:val="left"/>
      <w:pPr>
        <w:tabs>
          <w:tab w:val="num" w:pos="1440"/>
        </w:tabs>
        <w:ind w:left="1440" w:hanging="360"/>
      </w:pPr>
      <w:rPr>
        <w:rFonts w:ascii="Courier New" w:hAnsi="Courier New"/>
      </w:rPr>
    </w:lvl>
    <w:lvl w:ilvl="2" w:tplc="FE1E5952">
      <w:start w:val="1"/>
      <w:numFmt w:val="bullet"/>
      <w:lvlText w:val=""/>
      <w:lvlJc w:val="left"/>
      <w:pPr>
        <w:tabs>
          <w:tab w:val="num" w:pos="2160"/>
        </w:tabs>
        <w:ind w:left="2160" w:hanging="360"/>
      </w:pPr>
      <w:rPr>
        <w:rFonts w:ascii="Wingdings" w:hAnsi="Wingdings"/>
      </w:rPr>
    </w:lvl>
    <w:lvl w:ilvl="3" w:tplc="3AD090BA">
      <w:start w:val="1"/>
      <w:numFmt w:val="bullet"/>
      <w:lvlText w:val=""/>
      <w:lvlJc w:val="left"/>
      <w:pPr>
        <w:tabs>
          <w:tab w:val="num" w:pos="2880"/>
        </w:tabs>
        <w:ind w:left="2880" w:hanging="360"/>
      </w:pPr>
      <w:rPr>
        <w:rFonts w:ascii="Symbol" w:hAnsi="Symbol"/>
      </w:rPr>
    </w:lvl>
    <w:lvl w:ilvl="4" w:tplc="BBE83D6A">
      <w:start w:val="1"/>
      <w:numFmt w:val="bullet"/>
      <w:lvlText w:val="o"/>
      <w:lvlJc w:val="left"/>
      <w:pPr>
        <w:tabs>
          <w:tab w:val="num" w:pos="3600"/>
        </w:tabs>
        <w:ind w:left="3600" w:hanging="360"/>
      </w:pPr>
      <w:rPr>
        <w:rFonts w:ascii="Courier New" w:hAnsi="Courier New"/>
      </w:rPr>
    </w:lvl>
    <w:lvl w:ilvl="5" w:tplc="631226F2">
      <w:start w:val="1"/>
      <w:numFmt w:val="bullet"/>
      <w:lvlText w:val=""/>
      <w:lvlJc w:val="left"/>
      <w:pPr>
        <w:tabs>
          <w:tab w:val="num" w:pos="4320"/>
        </w:tabs>
        <w:ind w:left="4320" w:hanging="360"/>
      </w:pPr>
      <w:rPr>
        <w:rFonts w:ascii="Wingdings" w:hAnsi="Wingdings"/>
      </w:rPr>
    </w:lvl>
    <w:lvl w:ilvl="6" w:tplc="73CE2FD4">
      <w:start w:val="1"/>
      <w:numFmt w:val="bullet"/>
      <w:lvlText w:val=""/>
      <w:lvlJc w:val="left"/>
      <w:pPr>
        <w:tabs>
          <w:tab w:val="num" w:pos="5040"/>
        </w:tabs>
        <w:ind w:left="5040" w:hanging="360"/>
      </w:pPr>
      <w:rPr>
        <w:rFonts w:ascii="Symbol" w:hAnsi="Symbol"/>
      </w:rPr>
    </w:lvl>
    <w:lvl w:ilvl="7" w:tplc="22FA42D4">
      <w:start w:val="1"/>
      <w:numFmt w:val="bullet"/>
      <w:lvlText w:val="o"/>
      <w:lvlJc w:val="left"/>
      <w:pPr>
        <w:tabs>
          <w:tab w:val="num" w:pos="5760"/>
        </w:tabs>
        <w:ind w:left="5760" w:hanging="360"/>
      </w:pPr>
      <w:rPr>
        <w:rFonts w:ascii="Courier New" w:hAnsi="Courier New"/>
      </w:rPr>
    </w:lvl>
    <w:lvl w:ilvl="8" w:tplc="1090A8DC">
      <w:start w:val="1"/>
      <w:numFmt w:val="bullet"/>
      <w:lvlText w:val=""/>
      <w:lvlJc w:val="left"/>
      <w:pPr>
        <w:tabs>
          <w:tab w:val="num" w:pos="6480"/>
        </w:tabs>
        <w:ind w:left="6480" w:hanging="360"/>
      </w:pPr>
      <w:rPr>
        <w:rFonts w:ascii="Wingdings" w:hAnsi="Wingdings"/>
      </w:rPr>
    </w:lvl>
  </w:abstractNum>
  <w:abstractNum w:abstractNumId="6" w15:restartNumberingAfterBreak="0">
    <w:nsid w:val="00000060"/>
    <w:multiLevelType w:val="hybridMultilevel"/>
    <w:tmpl w:val="00000060"/>
    <w:lvl w:ilvl="0" w:tplc="84927F44">
      <w:start w:val="1"/>
      <w:numFmt w:val="bullet"/>
      <w:lvlText w:val=""/>
      <w:lvlJc w:val="left"/>
      <w:pPr>
        <w:ind w:left="720" w:hanging="360"/>
      </w:pPr>
      <w:rPr>
        <w:rFonts w:ascii="Symbol" w:hAnsi="Symbol"/>
        <w:b w:val="0"/>
        <w:bCs w:val="0"/>
      </w:rPr>
    </w:lvl>
    <w:lvl w:ilvl="1" w:tplc="E7D8004C">
      <w:start w:val="1"/>
      <w:numFmt w:val="bullet"/>
      <w:lvlText w:val="o"/>
      <w:lvlJc w:val="left"/>
      <w:pPr>
        <w:tabs>
          <w:tab w:val="num" w:pos="1440"/>
        </w:tabs>
        <w:ind w:left="1440" w:hanging="360"/>
      </w:pPr>
      <w:rPr>
        <w:rFonts w:ascii="Courier New" w:hAnsi="Courier New"/>
      </w:rPr>
    </w:lvl>
    <w:lvl w:ilvl="2" w:tplc="B946262E">
      <w:start w:val="1"/>
      <w:numFmt w:val="bullet"/>
      <w:lvlText w:val=""/>
      <w:lvlJc w:val="left"/>
      <w:pPr>
        <w:tabs>
          <w:tab w:val="num" w:pos="2160"/>
        </w:tabs>
        <w:ind w:left="2160" w:hanging="360"/>
      </w:pPr>
      <w:rPr>
        <w:rFonts w:ascii="Wingdings" w:hAnsi="Wingdings"/>
      </w:rPr>
    </w:lvl>
    <w:lvl w:ilvl="3" w:tplc="F88804C4">
      <w:start w:val="1"/>
      <w:numFmt w:val="bullet"/>
      <w:lvlText w:val=""/>
      <w:lvlJc w:val="left"/>
      <w:pPr>
        <w:tabs>
          <w:tab w:val="num" w:pos="2880"/>
        </w:tabs>
        <w:ind w:left="2880" w:hanging="360"/>
      </w:pPr>
      <w:rPr>
        <w:rFonts w:ascii="Symbol" w:hAnsi="Symbol"/>
      </w:rPr>
    </w:lvl>
    <w:lvl w:ilvl="4" w:tplc="42400DEC">
      <w:start w:val="1"/>
      <w:numFmt w:val="bullet"/>
      <w:lvlText w:val="o"/>
      <w:lvlJc w:val="left"/>
      <w:pPr>
        <w:tabs>
          <w:tab w:val="num" w:pos="3600"/>
        </w:tabs>
        <w:ind w:left="3600" w:hanging="360"/>
      </w:pPr>
      <w:rPr>
        <w:rFonts w:ascii="Courier New" w:hAnsi="Courier New"/>
      </w:rPr>
    </w:lvl>
    <w:lvl w:ilvl="5" w:tplc="8606FA44">
      <w:start w:val="1"/>
      <w:numFmt w:val="bullet"/>
      <w:lvlText w:val=""/>
      <w:lvlJc w:val="left"/>
      <w:pPr>
        <w:tabs>
          <w:tab w:val="num" w:pos="4320"/>
        </w:tabs>
        <w:ind w:left="4320" w:hanging="360"/>
      </w:pPr>
      <w:rPr>
        <w:rFonts w:ascii="Wingdings" w:hAnsi="Wingdings"/>
      </w:rPr>
    </w:lvl>
    <w:lvl w:ilvl="6" w:tplc="8EEEA586">
      <w:start w:val="1"/>
      <w:numFmt w:val="bullet"/>
      <w:lvlText w:val=""/>
      <w:lvlJc w:val="left"/>
      <w:pPr>
        <w:tabs>
          <w:tab w:val="num" w:pos="5040"/>
        </w:tabs>
        <w:ind w:left="5040" w:hanging="360"/>
      </w:pPr>
      <w:rPr>
        <w:rFonts w:ascii="Symbol" w:hAnsi="Symbol"/>
      </w:rPr>
    </w:lvl>
    <w:lvl w:ilvl="7" w:tplc="79E49010">
      <w:start w:val="1"/>
      <w:numFmt w:val="bullet"/>
      <w:lvlText w:val="o"/>
      <w:lvlJc w:val="left"/>
      <w:pPr>
        <w:tabs>
          <w:tab w:val="num" w:pos="5760"/>
        </w:tabs>
        <w:ind w:left="5760" w:hanging="360"/>
      </w:pPr>
      <w:rPr>
        <w:rFonts w:ascii="Courier New" w:hAnsi="Courier New"/>
      </w:rPr>
    </w:lvl>
    <w:lvl w:ilvl="8" w:tplc="26C81C04">
      <w:start w:val="1"/>
      <w:numFmt w:val="bullet"/>
      <w:lvlText w:val=""/>
      <w:lvlJc w:val="left"/>
      <w:pPr>
        <w:tabs>
          <w:tab w:val="num" w:pos="6480"/>
        </w:tabs>
        <w:ind w:left="6480" w:hanging="360"/>
      </w:pPr>
      <w:rPr>
        <w:rFonts w:ascii="Wingdings" w:hAnsi="Wingdings"/>
      </w:rPr>
    </w:lvl>
  </w:abstractNum>
  <w:abstractNum w:abstractNumId="7" w15:restartNumberingAfterBreak="0">
    <w:nsid w:val="00000072"/>
    <w:multiLevelType w:val="hybridMultilevel"/>
    <w:tmpl w:val="00000072"/>
    <w:lvl w:ilvl="0" w:tplc="50A05AB6">
      <w:start w:val="1"/>
      <w:numFmt w:val="bullet"/>
      <w:lvlText w:val=""/>
      <w:lvlJc w:val="left"/>
      <w:pPr>
        <w:ind w:left="720" w:hanging="360"/>
      </w:pPr>
      <w:rPr>
        <w:rFonts w:ascii="Symbol" w:hAnsi="Symbol"/>
        <w:b w:val="0"/>
        <w:bCs w:val="0"/>
      </w:rPr>
    </w:lvl>
    <w:lvl w:ilvl="1" w:tplc="84D69ED2">
      <w:start w:val="1"/>
      <w:numFmt w:val="bullet"/>
      <w:lvlText w:val="o"/>
      <w:lvlJc w:val="left"/>
      <w:pPr>
        <w:tabs>
          <w:tab w:val="num" w:pos="1440"/>
        </w:tabs>
        <w:ind w:left="1440" w:hanging="360"/>
      </w:pPr>
      <w:rPr>
        <w:rFonts w:ascii="Courier New" w:hAnsi="Courier New"/>
      </w:rPr>
    </w:lvl>
    <w:lvl w:ilvl="2" w:tplc="465A3BFA">
      <w:start w:val="1"/>
      <w:numFmt w:val="bullet"/>
      <w:lvlText w:val=""/>
      <w:lvlJc w:val="left"/>
      <w:pPr>
        <w:tabs>
          <w:tab w:val="num" w:pos="2160"/>
        </w:tabs>
        <w:ind w:left="2160" w:hanging="360"/>
      </w:pPr>
      <w:rPr>
        <w:rFonts w:ascii="Wingdings" w:hAnsi="Wingdings"/>
      </w:rPr>
    </w:lvl>
    <w:lvl w:ilvl="3" w:tplc="3990A292">
      <w:start w:val="1"/>
      <w:numFmt w:val="bullet"/>
      <w:lvlText w:val=""/>
      <w:lvlJc w:val="left"/>
      <w:pPr>
        <w:tabs>
          <w:tab w:val="num" w:pos="2880"/>
        </w:tabs>
        <w:ind w:left="2880" w:hanging="360"/>
      </w:pPr>
      <w:rPr>
        <w:rFonts w:ascii="Symbol" w:hAnsi="Symbol"/>
      </w:rPr>
    </w:lvl>
    <w:lvl w:ilvl="4" w:tplc="52A01C0E">
      <w:start w:val="1"/>
      <w:numFmt w:val="bullet"/>
      <w:lvlText w:val="o"/>
      <w:lvlJc w:val="left"/>
      <w:pPr>
        <w:tabs>
          <w:tab w:val="num" w:pos="3600"/>
        </w:tabs>
        <w:ind w:left="3600" w:hanging="360"/>
      </w:pPr>
      <w:rPr>
        <w:rFonts w:ascii="Courier New" w:hAnsi="Courier New"/>
      </w:rPr>
    </w:lvl>
    <w:lvl w:ilvl="5" w:tplc="A21A3CB6">
      <w:start w:val="1"/>
      <w:numFmt w:val="bullet"/>
      <w:lvlText w:val=""/>
      <w:lvlJc w:val="left"/>
      <w:pPr>
        <w:tabs>
          <w:tab w:val="num" w:pos="4320"/>
        </w:tabs>
        <w:ind w:left="4320" w:hanging="360"/>
      </w:pPr>
      <w:rPr>
        <w:rFonts w:ascii="Wingdings" w:hAnsi="Wingdings"/>
      </w:rPr>
    </w:lvl>
    <w:lvl w:ilvl="6" w:tplc="A49A266A">
      <w:start w:val="1"/>
      <w:numFmt w:val="bullet"/>
      <w:lvlText w:val=""/>
      <w:lvlJc w:val="left"/>
      <w:pPr>
        <w:tabs>
          <w:tab w:val="num" w:pos="5040"/>
        </w:tabs>
        <w:ind w:left="5040" w:hanging="360"/>
      </w:pPr>
      <w:rPr>
        <w:rFonts w:ascii="Symbol" w:hAnsi="Symbol"/>
      </w:rPr>
    </w:lvl>
    <w:lvl w:ilvl="7" w:tplc="F71EEA7E">
      <w:start w:val="1"/>
      <w:numFmt w:val="bullet"/>
      <w:lvlText w:val="o"/>
      <w:lvlJc w:val="left"/>
      <w:pPr>
        <w:tabs>
          <w:tab w:val="num" w:pos="5760"/>
        </w:tabs>
        <w:ind w:left="5760" w:hanging="360"/>
      </w:pPr>
      <w:rPr>
        <w:rFonts w:ascii="Courier New" w:hAnsi="Courier New"/>
      </w:rPr>
    </w:lvl>
    <w:lvl w:ilvl="8" w:tplc="9C9C7F80">
      <w:start w:val="1"/>
      <w:numFmt w:val="bullet"/>
      <w:lvlText w:val=""/>
      <w:lvlJc w:val="left"/>
      <w:pPr>
        <w:tabs>
          <w:tab w:val="num" w:pos="6480"/>
        </w:tabs>
        <w:ind w:left="6480" w:hanging="360"/>
      </w:pPr>
      <w:rPr>
        <w:rFonts w:ascii="Wingdings" w:hAnsi="Wingdings"/>
      </w:rPr>
    </w:lvl>
  </w:abstractNum>
  <w:abstractNum w:abstractNumId="8" w15:restartNumberingAfterBreak="0">
    <w:nsid w:val="00000088"/>
    <w:multiLevelType w:val="hybridMultilevel"/>
    <w:tmpl w:val="00000088"/>
    <w:lvl w:ilvl="0" w:tplc="07382D30">
      <w:start w:val="1"/>
      <w:numFmt w:val="bullet"/>
      <w:lvlText w:val=""/>
      <w:lvlJc w:val="left"/>
      <w:pPr>
        <w:ind w:left="720" w:hanging="360"/>
      </w:pPr>
      <w:rPr>
        <w:rFonts w:ascii="Symbol" w:eastAsia="Symbol" w:hAnsi="Symbol" w:cs="Symbol"/>
        <w:sz w:val="22"/>
        <w:szCs w:val="22"/>
      </w:rPr>
    </w:lvl>
    <w:lvl w:ilvl="1" w:tplc="F33AB546">
      <w:start w:val="1"/>
      <w:numFmt w:val="bullet"/>
      <w:lvlText w:val="o"/>
      <w:lvlJc w:val="left"/>
      <w:pPr>
        <w:tabs>
          <w:tab w:val="num" w:pos="1440"/>
        </w:tabs>
        <w:ind w:left="1440" w:hanging="360"/>
      </w:pPr>
      <w:rPr>
        <w:rFonts w:ascii="Courier New" w:hAnsi="Courier New"/>
      </w:rPr>
    </w:lvl>
    <w:lvl w:ilvl="2" w:tplc="F640A2DE">
      <w:start w:val="1"/>
      <w:numFmt w:val="bullet"/>
      <w:lvlText w:val=""/>
      <w:lvlJc w:val="left"/>
      <w:pPr>
        <w:tabs>
          <w:tab w:val="num" w:pos="2160"/>
        </w:tabs>
        <w:ind w:left="2160" w:hanging="360"/>
      </w:pPr>
      <w:rPr>
        <w:rFonts w:ascii="Wingdings" w:hAnsi="Wingdings"/>
      </w:rPr>
    </w:lvl>
    <w:lvl w:ilvl="3" w:tplc="C7AA647E">
      <w:start w:val="1"/>
      <w:numFmt w:val="bullet"/>
      <w:lvlText w:val=""/>
      <w:lvlJc w:val="left"/>
      <w:pPr>
        <w:tabs>
          <w:tab w:val="num" w:pos="2880"/>
        </w:tabs>
        <w:ind w:left="2880" w:hanging="360"/>
      </w:pPr>
      <w:rPr>
        <w:rFonts w:ascii="Symbol" w:hAnsi="Symbol"/>
      </w:rPr>
    </w:lvl>
    <w:lvl w:ilvl="4" w:tplc="BE1024D0">
      <w:start w:val="1"/>
      <w:numFmt w:val="bullet"/>
      <w:lvlText w:val="o"/>
      <w:lvlJc w:val="left"/>
      <w:pPr>
        <w:tabs>
          <w:tab w:val="num" w:pos="3600"/>
        </w:tabs>
        <w:ind w:left="3600" w:hanging="360"/>
      </w:pPr>
      <w:rPr>
        <w:rFonts w:ascii="Courier New" w:hAnsi="Courier New"/>
      </w:rPr>
    </w:lvl>
    <w:lvl w:ilvl="5" w:tplc="97FE5452">
      <w:start w:val="1"/>
      <w:numFmt w:val="bullet"/>
      <w:lvlText w:val=""/>
      <w:lvlJc w:val="left"/>
      <w:pPr>
        <w:tabs>
          <w:tab w:val="num" w:pos="4320"/>
        </w:tabs>
        <w:ind w:left="4320" w:hanging="360"/>
      </w:pPr>
      <w:rPr>
        <w:rFonts w:ascii="Wingdings" w:hAnsi="Wingdings"/>
      </w:rPr>
    </w:lvl>
    <w:lvl w:ilvl="6" w:tplc="25E87F1C">
      <w:start w:val="1"/>
      <w:numFmt w:val="bullet"/>
      <w:lvlText w:val=""/>
      <w:lvlJc w:val="left"/>
      <w:pPr>
        <w:tabs>
          <w:tab w:val="num" w:pos="5040"/>
        </w:tabs>
        <w:ind w:left="5040" w:hanging="360"/>
      </w:pPr>
      <w:rPr>
        <w:rFonts w:ascii="Symbol" w:hAnsi="Symbol"/>
      </w:rPr>
    </w:lvl>
    <w:lvl w:ilvl="7" w:tplc="D3086EC8">
      <w:start w:val="1"/>
      <w:numFmt w:val="bullet"/>
      <w:lvlText w:val="o"/>
      <w:lvlJc w:val="left"/>
      <w:pPr>
        <w:tabs>
          <w:tab w:val="num" w:pos="5760"/>
        </w:tabs>
        <w:ind w:left="5760" w:hanging="360"/>
      </w:pPr>
      <w:rPr>
        <w:rFonts w:ascii="Courier New" w:hAnsi="Courier New"/>
      </w:rPr>
    </w:lvl>
    <w:lvl w:ilvl="8" w:tplc="5B867CD0">
      <w:start w:val="1"/>
      <w:numFmt w:val="bullet"/>
      <w:lvlText w:val=""/>
      <w:lvlJc w:val="left"/>
      <w:pPr>
        <w:tabs>
          <w:tab w:val="num" w:pos="6480"/>
        </w:tabs>
        <w:ind w:left="6480" w:hanging="360"/>
      </w:pPr>
      <w:rPr>
        <w:rFonts w:ascii="Wingdings" w:hAnsi="Wingdings"/>
      </w:rPr>
    </w:lvl>
  </w:abstractNum>
  <w:abstractNum w:abstractNumId="9" w15:restartNumberingAfterBreak="0">
    <w:nsid w:val="00000089"/>
    <w:multiLevelType w:val="hybridMultilevel"/>
    <w:tmpl w:val="00000089"/>
    <w:lvl w:ilvl="0" w:tplc="49A003C2">
      <w:start w:val="1"/>
      <w:numFmt w:val="bullet"/>
      <w:lvlText w:val=""/>
      <w:lvlJc w:val="left"/>
      <w:pPr>
        <w:ind w:left="720" w:hanging="360"/>
      </w:pPr>
      <w:rPr>
        <w:rFonts w:ascii="Symbol" w:eastAsia="Symbol" w:hAnsi="Symbol" w:cs="Symbol"/>
        <w:b w:val="0"/>
        <w:bCs w:val="0"/>
        <w:i w:val="0"/>
        <w:iCs w:val="0"/>
        <w:smallCaps w:val="0"/>
        <w:color w:val="000000"/>
        <w:sz w:val="22"/>
        <w:szCs w:val="22"/>
      </w:rPr>
    </w:lvl>
    <w:lvl w:ilvl="1" w:tplc="87D0B996">
      <w:start w:val="1"/>
      <w:numFmt w:val="bullet"/>
      <w:lvlText w:val="o"/>
      <w:lvlJc w:val="left"/>
      <w:pPr>
        <w:tabs>
          <w:tab w:val="num" w:pos="1440"/>
        </w:tabs>
        <w:ind w:left="1440" w:hanging="360"/>
      </w:pPr>
      <w:rPr>
        <w:rFonts w:ascii="Courier New" w:hAnsi="Courier New"/>
      </w:rPr>
    </w:lvl>
    <w:lvl w:ilvl="2" w:tplc="62C207F4">
      <w:start w:val="1"/>
      <w:numFmt w:val="bullet"/>
      <w:lvlText w:val=""/>
      <w:lvlJc w:val="left"/>
      <w:pPr>
        <w:tabs>
          <w:tab w:val="num" w:pos="2160"/>
        </w:tabs>
        <w:ind w:left="2160" w:hanging="360"/>
      </w:pPr>
      <w:rPr>
        <w:rFonts w:ascii="Wingdings" w:hAnsi="Wingdings"/>
      </w:rPr>
    </w:lvl>
    <w:lvl w:ilvl="3" w:tplc="7FDA5400">
      <w:start w:val="1"/>
      <w:numFmt w:val="bullet"/>
      <w:lvlText w:val=""/>
      <w:lvlJc w:val="left"/>
      <w:pPr>
        <w:tabs>
          <w:tab w:val="num" w:pos="2880"/>
        </w:tabs>
        <w:ind w:left="2880" w:hanging="360"/>
      </w:pPr>
      <w:rPr>
        <w:rFonts w:ascii="Symbol" w:hAnsi="Symbol"/>
      </w:rPr>
    </w:lvl>
    <w:lvl w:ilvl="4" w:tplc="F34AE826">
      <w:start w:val="1"/>
      <w:numFmt w:val="bullet"/>
      <w:lvlText w:val="o"/>
      <w:lvlJc w:val="left"/>
      <w:pPr>
        <w:tabs>
          <w:tab w:val="num" w:pos="3600"/>
        </w:tabs>
        <w:ind w:left="3600" w:hanging="360"/>
      </w:pPr>
      <w:rPr>
        <w:rFonts w:ascii="Courier New" w:hAnsi="Courier New"/>
      </w:rPr>
    </w:lvl>
    <w:lvl w:ilvl="5" w:tplc="778A6A5E">
      <w:start w:val="1"/>
      <w:numFmt w:val="bullet"/>
      <w:lvlText w:val=""/>
      <w:lvlJc w:val="left"/>
      <w:pPr>
        <w:tabs>
          <w:tab w:val="num" w:pos="4320"/>
        </w:tabs>
        <w:ind w:left="4320" w:hanging="360"/>
      </w:pPr>
      <w:rPr>
        <w:rFonts w:ascii="Wingdings" w:hAnsi="Wingdings"/>
      </w:rPr>
    </w:lvl>
    <w:lvl w:ilvl="6" w:tplc="2FD20FB6">
      <w:start w:val="1"/>
      <w:numFmt w:val="bullet"/>
      <w:lvlText w:val=""/>
      <w:lvlJc w:val="left"/>
      <w:pPr>
        <w:tabs>
          <w:tab w:val="num" w:pos="5040"/>
        </w:tabs>
        <w:ind w:left="5040" w:hanging="360"/>
      </w:pPr>
      <w:rPr>
        <w:rFonts w:ascii="Symbol" w:hAnsi="Symbol"/>
      </w:rPr>
    </w:lvl>
    <w:lvl w:ilvl="7" w:tplc="3D80DA38">
      <w:start w:val="1"/>
      <w:numFmt w:val="bullet"/>
      <w:lvlText w:val="o"/>
      <w:lvlJc w:val="left"/>
      <w:pPr>
        <w:tabs>
          <w:tab w:val="num" w:pos="5760"/>
        </w:tabs>
        <w:ind w:left="5760" w:hanging="360"/>
      </w:pPr>
      <w:rPr>
        <w:rFonts w:ascii="Courier New" w:hAnsi="Courier New"/>
      </w:rPr>
    </w:lvl>
    <w:lvl w:ilvl="8" w:tplc="2F80A1AC">
      <w:start w:val="1"/>
      <w:numFmt w:val="bullet"/>
      <w:lvlText w:val=""/>
      <w:lvlJc w:val="left"/>
      <w:pPr>
        <w:tabs>
          <w:tab w:val="num" w:pos="6480"/>
        </w:tabs>
        <w:ind w:left="6480" w:hanging="360"/>
      </w:pPr>
      <w:rPr>
        <w:rFonts w:ascii="Wingdings" w:hAnsi="Wingdings"/>
      </w:rPr>
    </w:lvl>
  </w:abstractNum>
  <w:abstractNum w:abstractNumId="10" w15:restartNumberingAfterBreak="0">
    <w:nsid w:val="000000AA"/>
    <w:multiLevelType w:val="hybridMultilevel"/>
    <w:tmpl w:val="000000AA"/>
    <w:lvl w:ilvl="0" w:tplc="B7608B9E">
      <w:start w:val="1"/>
      <w:numFmt w:val="bullet"/>
      <w:lvlText w:val=""/>
      <w:lvlJc w:val="left"/>
      <w:pPr>
        <w:ind w:left="720" w:hanging="360"/>
      </w:pPr>
      <w:rPr>
        <w:rFonts w:ascii="Symbol" w:hAnsi="Symbol"/>
        <w:b w:val="0"/>
        <w:bCs w:val="0"/>
      </w:rPr>
    </w:lvl>
    <w:lvl w:ilvl="1" w:tplc="CE9E2F84">
      <w:start w:val="1"/>
      <w:numFmt w:val="bullet"/>
      <w:lvlText w:val="o"/>
      <w:lvlJc w:val="left"/>
      <w:pPr>
        <w:tabs>
          <w:tab w:val="num" w:pos="1440"/>
        </w:tabs>
        <w:ind w:left="1440" w:hanging="360"/>
      </w:pPr>
      <w:rPr>
        <w:rFonts w:ascii="Courier New" w:hAnsi="Courier New"/>
      </w:rPr>
    </w:lvl>
    <w:lvl w:ilvl="2" w:tplc="4D307D4C">
      <w:start w:val="1"/>
      <w:numFmt w:val="bullet"/>
      <w:lvlText w:val=""/>
      <w:lvlJc w:val="left"/>
      <w:pPr>
        <w:tabs>
          <w:tab w:val="num" w:pos="2160"/>
        </w:tabs>
        <w:ind w:left="2160" w:hanging="360"/>
      </w:pPr>
      <w:rPr>
        <w:rFonts w:ascii="Wingdings" w:hAnsi="Wingdings"/>
      </w:rPr>
    </w:lvl>
    <w:lvl w:ilvl="3" w:tplc="311EC95A">
      <w:start w:val="1"/>
      <w:numFmt w:val="bullet"/>
      <w:lvlText w:val=""/>
      <w:lvlJc w:val="left"/>
      <w:pPr>
        <w:tabs>
          <w:tab w:val="num" w:pos="2880"/>
        </w:tabs>
        <w:ind w:left="2880" w:hanging="360"/>
      </w:pPr>
      <w:rPr>
        <w:rFonts w:ascii="Symbol" w:hAnsi="Symbol"/>
      </w:rPr>
    </w:lvl>
    <w:lvl w:ilvl="4" w:tplc="0240CE22">
      <w:start w:val="1"/>
      <w:numFmt w:val="bullet"/>
      <w:lvlText w:val="o"/>
      <w:lvlJc w:val="left"/>
      <w:pPr>
        <w:tabs>
          <w:tab w:val="num" w:pos="3600"/>
        </w:tabs>
        <w:ind w:left="3600" w:hanging="360"/>
      </w:pPr>
      <w:rPr>
        <w:rFonts w:ascii="Courier New" w:hAnsi="Courier New"/>
      </w:rPr>
    </w:lvl>
    <w:lvl w:ilvl="5" w:tplc="90A212E6">
      <w:start w:val="1"/>
      <w:numFmt w:val="bullet"/>
      <w:lvlText w:val=""/>
      <w:lvlJc w:val="left"/>
      <w:pPr>
        <w:tabs>
          <w:tab w:val="num" w:pos="4320"/>
        </w:tabs>
        <w:ind w:left="4320" w:hanging="360"/>
      </w:pPr>
      <w:rPr>
        <w:rFonts w:ascii="Wingdings" w:hAnsi="Wingdings"/>
      </w:rPr>
    </w:lvl>
    <w:lvl w:ilvl="6" w:tplc="3F7CD2A2">
      <w:start w:val="1"/>
      <w:numFmt w:val="bullet"/>
      <w:lvlText w:val=""/>
      <w:lvlJc w:val="left"/>
      <w:pPr>
        <w:tabs>
          <w:tab w:val="num" w:pos="5040"/>
        </w:tabs>
        <w:ind w:left="5040" w:hanging="360"/>
      </w:pPr>
      <w:rPr>
        <w:rFonts w:ascii="Symbol" w:hAnsi="Symbol"/>
      </w:rPr>
    </w:lvl>
    <w:lvl w:ilvl="7" w:tplc="2E1E92D0">
      <w:start w:val="1"/>
      <w:numFmt w:val="bullet"/>
      <w:lvlText w:val="o"/>
      <w:lvlJc w:val="left"/>
      <w:pPr>
        <w:tabs>
          <w:tab w:val="num" w:pos="5760"/>
        </w:tabs>
        <w:ind w:left="5760" w:hanging="360"/>
      </w:pPr>
      <w:rPr>
        <w:rFonts w:ascii="Courier New" w:hAnsi="Courier New"/>
      </w:rPr>
    </w:lvl>
    <w:lvl w:ilvl="8" w:tplc="A14A1F16">
      <w:start w:val="1"/>
      <w:numFmt w:val="bullet"/>
      <w:lvlText w:val=""/>
      <w:lvlJc w:val="left"/>
      <w:pPr>
        <w:tabs>
          <w:tab w:val="num" w:pos="6480"/>
        </w:tabs>
        <w:ind w:left="6480" w:hanging="360"/>
      </w:pPr>
      <w:rPr>
        <w:rFonts w:ascii="Wingdings" w:hAnsi="Wingdings"/>
      </w:rPr>
    </w:lvl>
  </w:abstractNum>
  <w:abstractNum w:abstractNumId="11" w15:restartNumberingAfterBreak="0">
    <w:nsid w:val="000000C4"/>
    <w:multiLevelType w:val="hybridMultilevel"/>
    <w:tmpl w:val="000000C4"/>
    <w:lvl w:ilvl="0" w:tplc="AB04348E">
      <w:start w:val="1"/>
      <w:numFmt w:val="bullet"/>
      <w:lvlText w:val=""/>
      <w:lvlJc w:val="left"/>
      <w:pPr>
        <w:ind w:left="720" w:hanging="360"/>
      </w:pPr>
      <w:rPr>
        <w:rFonts w:ascii="Symbol" w:hAnsi="Symbol"/>
        <w:b w:val="0"/>
        <w:bCs w:val="0"/>
      </w:rPr>
    </w:lvl>
    <w:lvl w:ilvl="1" w:tplc="90EC1456">
      <w:start w:val="1"/>
      <w:numFmt w:val="bullet"/>
      <w:lvlText w:val="o"/>
      <w:lvlJc w:val="left"/>
      <w:pPr>
        <w:tabs>
          <w:tab w:val="num" w:pos="1440"/>
        </w:tabs>
        <w:ind w:left="1440" w:hanging="360"/>
      </w:pPr>
      <w:rPr>
        <w:rFonts w:ascii="Courier New" w:hAnsi="Courier New"/>
      </w:rPr>
    </w:lvl>
    <w:lvl w:ilvl="2" w:tplc="991C4D04">
      <w:start w:val="1"/>
      <w:numFmt w:val="bullet"/>
      <w:lvlText w:val=""/>
      <w:lvlJc w:val="left"/>
      <w:pPr>
        <w:tabs>
          <w:tab w:val="num" w:pos="2160"/>
        </w:tabs>
        <w:ind w:left="2160" w:hanging="360"/>
      </w:pPr>
      <w:rPr>
        <w:rFonts w:ascii="Wingdings" w:hAnsi="Wingdings"/>
      </w:rPr>
    </w:lvl>
    <w:lvl w:ilvl="3" w:tplc="E1DA02C2">
      <w:start w:val="1"/>
      <w:numFmt w:val="bullet"/>
      <w:lvlText w:val=""/>
      <w:lvlJc w:val="left"/>
      <w:pPr>
        <w:tabs>
          <w:tab w:val="num" w:pos="2880"/>
        </w:tabs>
        <w:ind w:left="2880" w:hanging="360"/>
      </w:pPr>
      <w:rPr>
        <w:rFonts w:ascii="Symbol" w:hAnsi="Symbol"/>
      </w:rPr>
    </w:lvl>
    <w:lvl w:ilvl="4" w:tplc="38AA5A26">
      <w:start w:val="1"/>
      <w:numFmt w:val="bullet"/>
      <w:lvlText w:val="o"/>
      <w:lvlJc w:val="left"/>
      <w:pPr>
        <w:tabs>
          <w:tab w:val="num" w:pos="3600"/>
        </w:tabs>
        <w:ind w:left="3600" w:hanging="360"/>
      </w:pPr>
      <w:rPr>
        <w:rFonts w:ascii="Courier New" w:hAnsi="Courier New"/>
      </w:rPr>
    </w:lvl>
    <w:lvl w:ilvl="5" w:tplc="BC20B59E">
      <w:start w:val="1"/>
      <w:numFmt w:val="bullet"/>
      <w:lvlText w:val=""/>
      <w:lvlJc w:val="left"/>
      <w:pPr>
        <w:tabs>
          <w:tab w:val="num" w:pos="4320"/>
        </w:tabs>
        <w:ind w:left="4320" w:hanging="360"/>
      </w:pPr>
      <w:rPr>
        <w:rFonts w:ascii="Wingdings" w:hAnsi="Wingdings"/>
      </w:rPr>
    </w:lvl>
    <w:lvl w:ilvl="6" w:tplc="02C46D86">
      <w:start w:val="1"/>
      <w:numFmt w:val="bullet"/>
      <w:lvlText w:val=""/>
      <w:lvlJc w:val="left"/>
      <w:pPr>
        <w:tabs>
          <w:tab w:val="num" w:pos="5040"/>
        </w:tabs>
        <w:ind w:left="5040" w:hanging="360"/>
      </w:pPr>
      <w:rPr>
        <w:rFonts w:ascii="Symbol" w:hAnsi="Symbol"/>
      </w:rPr>
    </w:lvl>
    <w:lvl w:ilvl="7" w:tplc="195EAE8A">
      <w:start w:val="1"/>
      <w:numFmt w:val="bullet"/>
      <w:lvlText w:val="o"/>
      <w:lvlJc w:val="left"/>
      <w:pPr>
        <w:tabs>
          <w:tab w:val="num" w:pos="5760"/>
        </w:tabs>
        <w:ind w:left="5760" w:hanging="360"/>
      </w:pPr>
      <w:rPr>
        <w:rFonts w:ascii="Courier New" w:hAnsi="Courier New"/>
      </w:rPr>
    </w:lvl>
    <w:lvl w:ilvl="8" w:tplc="4F54A7A4">
      <w:start w:val="1"/>
      <w:numFmt w:val="bullet"/>
      <w:lvlText w:val=""/>
      <w:lvlJc w:val="left"/>
      <w:pPr>
        <w:tabs>
          <w:tab w:val="num" w:pos="6480"/>
        </w:tabs>
        <w:ind w:left="6480" w:hanging="360"/>
      </w:pPr>
      <w:rPr>
        <w:rFonts w:ascii="Wingdings" w:hAnsi="Wingdings"/>
      </w:rPr>
    </w:lvl>
  </w:abstractNum>
  <w:abstractNum w:abstractNumId="12" w15:restartNumberingAfterBreak="0">
    <w:nsid w:val="05780F7F"/>
    <w:multiLevelType w:val="multilevel"/>
    <w:tmpl w:val="CD7A7C1A"/>
    <w:lvl w:ilvl="0">
      <w:start w:val="8"/>
      <w:numFmt w:val="decimal"/>
      <w:lvlText w:val="%1."/>
      <w:lvlJc w:val="left"/>
      <w:pPr>
        <w:ind w:left="567" w:hanging="283"/>
      </w:pPr>
      <w:rPr>
        <w:rFonts w:hint="default"/>
      </w:rPr>
    </w:lvl>
    <w:lvl w:ilvl="1">
      <w:start w:val="1"/>
      <w:numFmt w:val="lowerLetter"/>
      <w:lvlText w:val="%2)"/>
      <w:lvlJc w:val="left"/>
      <w:pPr>
        <w:ind w:left="646" w:hanging="283"/>
      </w:pPr>
      <w:rPr>
        <w:rFonts w:hint="default"/>
      </w:rPr>
    </w:lvl>
    <w:lvl w:ilvl="2">
      <w:start w:val="1"/>
      <w:numFmt w:val="lowerRoman"/>
      <w:lvlText w:val="%3)"/>
      <w:lvlJc w:val="left"/>
      <w:pPr>
        <w:ind w:left="725" w:hanging="283"/>
      </w:pPr>
      <w:rPr>
        <w:rFonts w:hint="default"/>
      </w:rPr>
    </w:lvl>
    <w:lvl w:ilvl="3">
      <w:start w:val="1"/>
      <w:numFmt w:val="decimal"/>
      <w:lvlText w:val="(%4)"/>
      <w:lvlJc w:val="left"/>
      <w:pPr>
        <w:ind w:left="804" w:hanging="283"/>
      </w:pPr>
      <w:rPr>
        <w:rFonts w:hint="default"/>
      </w:rPr>
    </w:lvl>
    <w:lvl w:ilvl="4">
      <w:start w:val="1"/>
      <w:numFmt w:val="lowerLetter"/>
      <w:lvlText w:val="(%5)"/>
      <w:lvlJc w:val="left"/>
      <w:pPr>
        <w:ind w:left="883" w:hanging="283"/>
      </w:pPr>
      <w:rPr>
        <w:rFonts w:hint="default"/>
      </w:rPr>
    </w:lvl>
    <w:lvl w:ilvl="5">
      <w:start w:val="1"/>
      <w:numFmt w:val="lowerRoman"/>
      <w:lvlText w:val="(%6)"/>
      <w:lvlJc w:val="left"/>
      <w:pPr>
        <w:ind w:left="962" w:hanging="283"/>
      </w:pPr>
      <w:rPr>
        <w:rFonts w:hint="default"/>
      </w:rPr>
    </w:lvl>
    <w:lvl w:ilvl="6">
      <w:start w:val="1"/>
      <w:numFmt w:val="decimal"/>
      <w:lvlText w:val="%7."/>
      <w:lvlJc w:val="left"/>
      <w:pPr>
        <w:ind w:left="1041" w:hanging="283"/>
      </w:pPr>
      <w:rPr>
        <w:rFonts w:hint="default"/>
      </w:rPr>
    </w:lvl>
    <w:lvl w:ilvl="7">
      <w:start w:val="1"/>
      <w:numFmt w:val="lowerLetter"/>
      <w:lvlText w:val="%8."/>
      <w:lvlJc w:val="left"/>
      <w:pPr>
        <w:ind w:left="1120" w:hanging="283"/>
      </w:pPr>
      <w:rPr>
        <w:rFonts w:hint="default"/>
      </w:rPr>
    </w:lvl>
    <w:lvl w:ilvl="8">
      <w:start w:val="1"/>
      <w:numFmt w:val="lowerRoman"/>
      <w:lvlText w:val="%9."/>
      <w:lvlJc w:val="left"/>
      <w:pPr>
        <w:ind w:left="1199" w:hanging="283"/>
      </w:pPr>
      <w:rPr>
        <w:rFonts w:hint="default"/>
      </w:rPr>
    </w:lvl>
  </w:abstractNum>
  <w:abstractNum w:abstractNumId="13" w15:restartNumberingAfterBreak="0">
    <w:nsid w:val="05E55100"/>
    <w:multiLevelType w:val="hybridMultilevel"/>
    <w:tmpl w:val="65F87884"/>
    <w:lvl w:ilvl="0" w:tplc="F5DEFBD0">
      <w:start w:val="1"/>
      <w:numFmt w:val="bullet"/>
      <w:lvlText w:val=""/>
      <w:lvlJc w:val="left"/>
      <w:pPr>
        <w:ind w:left="720" w:hanging="360"/>
      </w:pPr>
      <w:rPr>
        <w:rFonts w:ascii="Symbol" w:hAnsi="Symbol"/>
      </w:rPr>
    </w:lvl>
    <w:lvl w:ilvl="1" w:tplc="F0963BE4">
      <w:start w:val="1"/>
      <w:numFmt w:val="bullet"/>
      <w:lvlText w:val=""/>
      <w:lvlJc w:val="left"/>
      <w:pPr>
        <w:ind w:left="720" w:hanging="360"/>
      </w:pPr>
      <w:rPr>
        <w:rFonts w:ascii="Symbol" w:hAnsi="Symbol"/>
      </w:rPr>
    </w:lvl>
    <w:lvl w:ilvl="2" w:tplc="F94224D6">
      <w:start w:val="1"/>
      <w:numFmt w:val="bullet"/>
      <w:lvlText w:val=""/>
      <w:lvlJc w:val="left"/>
      <w:pPr>
        <w:ind w:left="720" w:hanging="360"/>
      </w:pPr>
      <w:rPr>
        <w:rFonts w:ascii="Symbol" w:hAnsi="Symbol"/>
      </w:rPr>
    </w:lvl>
    <w:lvl w:ilvl="3" w:tplc="8092C1E6">
      <w:start w:val="1"/>
      <w:numFmt w:val="bullet"/>
      <w:lvlText w:val=""/>
      <w:lvlJc w:val="left"/>
      <w:pPr>
        <w:ind w:left="720" w:hanging="360"/>
      </w:pPr>
      <w:rPr>
        <w:rFonts w:ascii="Symbol" w:hAnsi="Symbol"/>
      </w:rPr>
    </w:lvl>
    <w:lvl w:ilvl="4" w:tplc="2A52D242">
      <w:start w:val="1"/>
      <w:numFmt w:val="bullet"/>
      <w:lvlText w:val=""/>
      <w:lvlJc w:val="left"/>
      <w:pPr>
        <w:ind w:left="720" w:hanging="360"/>
      </w:pPr>
      <w:rPr>
        <w:rFonts w:ascii="Symbol" w:hAnsi="Symbol"/>
      </w:rPr>
    </w:lvl>
    <w:lvl w:ilvl="5" w:tplc="E51AC938">
      <w:start w:val="1"/>
      <w:numFmt w:val="bullet"/>
      <w:lvlText w:val=""/>
      <w:lvlJc w:val="left"/>
      <w:pPr>
        <w:ind w:left="720" w:hanging="360"/>
      </w:pPr>
      <w:rPr>
        <w:rFonts w:ascii="Symbol" w:hAnsi="Symbol"/>
      </w:rPr>
    </w:lvl>
    <w:lvl w:ilvl="6" w:tplc="EBD260C8">
      <w:start w:val="1"/>
      <w:numFmt w:val="bullet"/>
      <w:lvlText w:val=""/>
      <w:lvlJc w:val="left"/>
      <w:pPr>
        <w:ind w:left="720" w:hanging="360"/>
      </w:pPr>
      <w:rPr>
        <w:rFonts w:ascii="Symbol" w:hAnsi="Symbol"/>
      </w:rPr>
    </w:lvl>
    <w:lvl w:ilvl="7" w:tplc="5450FC2E">
      <w:start w:val="1"/>
      <w:numFmt w:val="bullet"/>
      <w:lvlText w:val=""/>
      <w:lvlJc w:val="left"/>
      <w:pPr>
        <w:ind w:left="720" w:hanging="360"/>
      </w:pPr>
      <w:rPr>
        <w:rFonts w:ascii="Symbol" w:hAnsi="Symbol"/>
      </w:rPr>
    </w:lvl>
    <w:lvl w:ilvl="8" w:tplc="1BBAF156">
      <w:start w:val="1"/>
      <w:numFmt w:val="bullet"/>
      <w:lvlText w:val=""/>
      <w:lvlJc w:val="left"/>
      <w:pPr>
        <w:ind w:left="720" w:hanging="360"/>
      </w:pPr>
      <w:rPr>
        <w:rFonts w:ascii="Symbol" w:hAnsi="Symbol"/>
      </w:rPr>
    </w:lvl>
  </w:abstractNum>
  <w:abstractNum w:abstractNumId="14" w15:restartNumberingAfterBreak="0">
    <w:nsid w:val="06F87C6A"/>
    <w:multiLevelType w:val="multilevel"/>
    <w:tmpl w:val="FF925372"/>
    <w:lvl w:ilvl="0">
      <w:start w:val="12"/>
      <w:numFmt w:val="decimal"/>
      <w:lvlText w:val="%1."/>
      <w:lvlJc w:val="left"/>
      <w:pPr>
        <w:ind w:left="567" w:hanging="283"/>
      </w:pPr>
      <w:rPr>
        <w:rFonts w:hint="default"/>
      </w:rPr>
    </w:lvl>
    <w:lvl w:ilvl="1">
      <w:start w:val="1"/>
      <w:numFmt w:val="lowerLetter"/>
      <w:lvlText w:val="%2)"/>
      <w:lvlJc w:val="left"/>
      <w:pPr>
        <w:ind w:left="646" w:hanging="283"/>
      </w:pPr>
      <w:rPr>
        <w:rFonts w:hint="default"/>
      </w:rPr>
    </w:lvl>
    <w:lvl w:ilvl="2">
      <w:start w:val="1"/>
      <w:numFmt w:val="lowerRoman"/>
      <w:lvlText w:val="%3)"/>
      <w:lvlJc w:val="left"/>
      <w:pPr>
        <w:ind w:left="725" w:hanging="283"/>
      </w:pPr>
      <w:rPr>
        <w:rFonts w:hint="default"/>
      </w:rPr>
    </w:lvl>
    <w:lvl w:ilvl="3">
      <w:start w:val="1"/>
      <w:numFmt w:val="decimal"/>
      <w:lvlText w:val="(%4)"/>
      <w:lvlJc w:val="left"/>
      <w:pPr>
        <w:ind w:left="804" w:hanging="283"/>
      </w:pPr>
      <w:rPr>
        <w:rFonts w:hint="default"/>
      </w:rPr>
    </w:lvl>
    <w:lvl w:ilvl="4">
      <w:start w:val="1"/>
      <w:numFmt w:val="lowerLetter"/>
      <w:lvlText w:val="(%5)"/>
      <w:lvlJc w:val="left"/>
      <w:pPr>
        <w:ind w:left="883" w:hanging="283"/>
      </w:pPr>
      <w:rPr>
        <w:rFonts w:hint="default"/>
      </w:rPr>
    </w:lvl>
    <w:lvl w:ilvl="5">
      <w:start w:val="1"/>
      <w:numFmt w:val="lowerRoman"/>
      <w:lvlText w:val="(%6)"/>
      <w:lvlJc w:val="left"/>
      <w:pPr>
        <w:ind w:left="962" w:hanging="283"/>
      </w:pPr>
      <w:rPr>
        <w:rFonts w:hint="default"/>
      </w:rPr>
    </w:lvl>
    <w:lvl w:ilvl="6">
      <w:start w:val="1"/>
      <w:numFmt w:val="decimal"/>
      <w:lvlText w:val="%7."/>
      <w:lvlJc w:val="left"/>
      <w:pPr>
        <w:ind w:left="1041" w:hanging="283"/>
      </w:pPr>
      <w:rPr>
        <w:rFonts w:hint="default"/>
      </w:rPr>
    </w:lvl>
    <w:lvl w:ilvl="7">
      <w:start w:val="1"/>
      <w:numFmt w:val="lowerLetter"/>
      <w:lvlText w:val="%8."/>
      <w:lvlJc w:val="left"/>
      <w:pPr>
        <w:ind w:left="1120" w:hanging="283"/>
      </w:pPr>
      <w:rPr>
        <w:rFonts w:hint="default"/>
      </w:rPr>
    </w:lvl>
    <w:lvl w:ilvl="8">
      <w:start w:val="1"/>
      <w:numFmt w:val="lowerRoman"/>
      <w:lvlText w:val="%9."/>
      <w:lvlJc w:val="left"/>
      <w:pPr>
        <w:ind w:left="1199" w:hanging="283"/>
      </w:pPr>
      <w:rPr>
        <w:rFonts w:hint="default"/>
      </w:rPr>
    </w:lvl>
  </w:abstractNum>
  <w:abstractNum w:abstractNumId="15" w15:restartNumberingAfterBreak="0">
    <w:nsid w:val="0C7A4996"/>
    <w:multiLevelType w:val="hybridMultilevel"/>
    <w:tmpl w:val="7C1A8A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0CE90296"/>
    <w:multiLevelType w:val="multilevel"/>
    <w:tmpl w:val="3D66CBA2"/>
    <w:lvl w:ilvl="0">
      <w:start w:val="1"/>
      <w:numFmt w:val="decimal"/>
      <w:pStyle w:val="ListLetters"/>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D84284F"/>
    <w:multiLevelType w:val="hybridMultilevel"/>
    <w:tmpl w:val="45067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B65411"/>
    <w:multiLevelType w:val="hybridMultilevel"/>
    <w:tmpl w:val="BBA2D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712469C"/>
    <w:multiLevelType w:val="multilevel"/>
    <w:tmpl w:val="153E3058"/>
    <w:lvl w:ilvl="0">
      <w:start w:val="11"/>
      <w:numFmt w:val="decimal"/>
      <w:lvlText w:val="%1."/>
      <w:lvlJc w:val="left"/>
      <w:pPr>
        <w:ind w:left="567" w:hanging="283"/>
      </w:pPr>
      <w:rPr>
        <w:rFonts w:hint="default"/>
      </w:rPr>
    </w:lvl>
    <w:lvl w:ilvl="1">
      <w:start w:val="1"/>
      <w:numFmt w:val="lowerLetter"/>
      <w:lvlText w:val="%2)"/>
      <w:lvlJc w:val="left"/>
      <w:pPr>
        <w:ind w:left="646" w:hanging="283"/>
      </w:pPr>
      <w:rPr>
        <w:rFonts w:hint="default"/>
      </w:rPr>
    </w:lvl>
    <w:lvl w:ilvl="2">
      <w:start w:val="1"/>
      <w:numFmt w:val="lowerRoman"/>
      <w:lvlText w:val="%3)"/>
      <w:lvlJc w:val="left"/>
      <w:pPr>
        <w:ind w:left="725" w:hanging="283"/>
      </w:pPr>
      <w:rPr>
        <w:rFonts w:hint="default"/>
      </w:rPr>
    </w:lvl>
    <w:lvl w:ilvl="3">
      <w:start w:val="1"/>
      <w:numFmt w:val="decimal"/>
      <w:lvlText w:val="(%4)"/>
      <w:lvlJc w:val="left"/>
      <w:pPr>
        <w:ind w:left="804" w:hanging="283"/>
      </w:pPr>
      <w:rPr>
        <w:rFonts w:hint="default"/>
      </w:rPr>
    </w:lvl>
    <w:lvl w:ilvl="4">
      <w:start w:val="1"/>
      <w:numFmt w:val="lowerLetter"/>
      <w:lvlText w:val="(%5)"/>
      <w:lvlJc w:val="left"/>
      <w:pPr>
        <w:ind w:left="883" w:hanging="283"/>
      </w:pPr>
      <w:rPr>
        <w:rFonts w:hint="default"/>
      </w:rPr>
    </w:lvl>
    <w:lvl w:ilvl="5">
      <w:start w:val="1"/>
      <w:numFmt w:val="lowerRoman"/>
      <w:lvlText w:val="(%6)"/>
      <w:lvlJc w:val="left"/>
      <w:pPr>
        <w:ind w:left="962" w:hanging="283"/>
      </w:pPr>
      <w:rPr>
        <w:rFonts w:hint="default"/>
      </w:rPr>
    </w:lvl>
    <w:lvl w:ilvl="6">
      <w:start w:val="1"/>
      <w:numFmt w:val="decimal"/>
      <w:lvlText w:val="%7."/>
      <w:lvlJc w:val="left"/>
      <w:pPr>
        <w:ind w:left="1041" w:hanging="283"/>
      </w:pPr>
      <w:rPr>
        <w:rFonts w:hint="default"/>
      </w:rPr>
    </w:lvl>
    <w:lvl w:ilvl="7">
      <w:start w:val="1"/>
      <w:numFmt w:val="lowerLetter"/>
      <w:lvlText w:val="%8."/>
      <w:lvlJc w:val="left"/>
      <w:pPr>
        <w:ind w:left="1120" w:hanging="283"/>
      </w:pPr>
      <w:rPr>
        <w:rFonts w:hint="default"/>
      </w:rPr>
    </w:lvl>
    <w:lvl w:ilvl="8">
      <w:start w:val="1"/>
      <w:numFmt w:val="lowerRoman"/>
      <w:lvlText w:val="%9."/>
      <w:lvlJc w:val="left"/>
      <w:pPr>
        <w:ind w:left="1199" w:hanging="283"/>
      </w:pPr>
      <w:rPr>
        <w:rFonts w:hint="default"/>
      </w:rPr>
    </w:lvl>
  </w:abstractNum>
  <w:abstractNum w:abstractNumId="20" w15:restartNumberingAfterBreak="0">
    <w:nsid w:val="1B3C049B"/>
    <w:multiLevelType w:val="multilevel"/>
    <w:tmpl w:val="6D9A2BC2"/>
    <w:numStyleLink w:val="NumberedHeadings"/>
  </w:abstractNum>
  <w:abstractNum w:abstractNumId="21" w15:restartNumberingAfterBreak="0">
    <w:nsid w:val="1FCF7766"/>
    <w:multiLevelType w:val="multilevel"/>
    <w:tmpl w:val="6D9A2BC2"/>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Figure-Table-BoxHeading"/>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2B66894"/>
    <w:multiLevelType w:val="hybridMultilevel"/>
    <w:tmpl w:val="67C0B0E0"/>
    <w:lvl w:ilvl="0" w:tplc="FBB8764C">
      <w:start w:val="1"/>
      <w:numFmt w:val="bullet"/>
      <w:lvlText w:val=""/>
      <w:lvlJc w:val="left"/>
      <w:pPr>
        <w:ind w:left="720" w:hanging="360"/>
      </w:pPr>
      <w:rPr>
        <w:rFonts w:ascii="Symbol" w:hAnsi="Symbol"/>
      </w:rPr>
    </w:lvl>
    <w:lvl w:ilvl="1" w:tplc="AD842436">
      <w:start w:val="1"/>
      <w:numFmt w:val="bullet"/>
      <w:lvlText w:val=""/>
      <w:lvlJc w:val="left"/>
      <w:pPr>
        <w:ind w:left="720" w:hanging="360"/>
      </w:pPr>
      <w:rPr>
        <w:rFonts w:ascii="Symbol" w:hAnsi="Symbol"/>
      </w:rPr>
    </w:lvl>
    <w:lvl w:ilvl="2" w:tplc="AA6674CA">
      <w:start w:val="1"/>
      <w:numFmt w:val="bullet"/>
      <w:lvlText w:val=""/>
      <w:lvlJc w:val="left"/>
      <w:pPr>
        <w:ind w:left="720" w:hanging="360"/>
      </w:pPr>
      <w:rPr>
        <w:rFonts w:ascii="Symbol" w:hAnsi="Symbol"/>
      </w:rPr>
    </w:lvl>
    <w:lvl w:ilvl="3" w:tplc="00AC322C">
      <w:start w:val="1"/>
      <w:numFmt w:val="bullet"/>
      <w:lvlText w:val=""/>
      <w:lvlJc w:val="left"/>
      <w:pPr>
        <w:ind w:left="720" w:hanging="360"/>
      </w:pPr>
      <w:rPr>
        <w:rFonts w:ascii="Symbol" w:hAnsi="Symbol"/>
      </w:rPr>
    </w:lvl>
    <w:lvl w:ilvl="4" w:tplc="206ACA28">
      <w:start w:val="1"/>
      <w:numFmt w:val="bullet"/>
      <w:lvlText w:val=""/>
      <w:lvlJc w:val="left"/>
      <w:pPr>
        <w:ind w:left="720" w:hanging="360"/>
      </w:pPr>
      <w:rPr>
        <w:rFonts w:ascii="Symbol" w:hAnsi="Symbol"/>
      </w:rPr>
    </w:lvl>
    <w:lvl w:ilvl="5" w:tplc="DE76033E">
      <w:start w:val="1"/>
      <w:numFmt w:val="bullet"/>
      <w:lvlText w:val=""/>
      <w:lvlJc w:val="left"/>
      <w:pPr>
        <w:ind w:left="720" w:hanging="360"/>
      </w:pPr>
      <w:rPr>
        <w:rFonts w:ascii="Symbol" w:hAnsi="Symbol"/>
      </w:rPr>
    </w:lvl>
    <w:lvl w:ilvl="6" w:tplc="ABC41ADC">
      <w:start w:val="1"/>
      <w:numFmt w:val="bullet"/>
      <w:lvlText w:val=""/>
      <w:lvlJc w:val="left"/>
      <w:pPr>
        <w:ind w:left="720" w:hanging="360"/>
      </w:pPr>
      <w:rPr>
        <w:rFonts w:ascii="Symbol" w:hAnsi="Symbol"/>
      </w:rPr>
    </w:lvl>
    <w:lvl w:ilvl="7" w:tplc="D4F2C702">
      <w:start w:val="1"/>
      <w:numFmt w:val="bullet"/>
      <w:lvlText w:val=""/>
      <w:lvlJc w:val="left"/>
      <w:pPr>
        <w:ind w:left="720" w:hanging="360"/>
      </w:pPr>
      <w:rPr>
        <w:rFonts w:ascii="Symbol" w:hAnsi="Symbol"/>
      </w:rPr>
    </w:lvl>
    <w:lvl w:ilvl="8" w:tplc="5084307A">
      <w:start w:val="1"/>
      <w:numFmt w:val="bullet"/>
      <w:lvlText w:val=""/>
      <w:lvlJc w:val="left"/>
      <w:pPr>
        <w:ind w:left="720" w:hanging="360"/>
      </w:pPr>
      <w:rPr>
        <w:rFonts w:ascii="Symbol" w:hAnsi="Symbol"/>
      </w:rPr>
    </w:lvl>
  </w:abstractNum>
  <w:abstractNum w:abstractNumId="23" w15:restartNumberingAfterBreak="0">
    <w:nsid w:val="28027E93"/>
    <w:multiLevelType w:val="hybridMultilevel"/>
    <w:tmpl w:val="36C20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7A7CD7"/>
    <w:multiLevelType w:val="hybridMultilevel"/>
    <w:tmpl w:val="168EB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DBD6910"/>
    <w:multiLevelType w:val="multilevel"/>
    <w:tmpl w:val="A8C2C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AC1708"/>
    <w:multiLevelType w:val="hybridMultilevel"/>
    <w:tmpl w:val="D298B1D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00B46DF"/>
    <w:multiLevelType w:val="hybridMultilevel"/>
    <w:tmpl w:val="3DA89FB2"/>
    <w:lvl w:ilvl="0" w:tplc="0ECE33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F96A7B"/>
    <w:multiLevelType w:val="hybridMultilevel"/>
    <w:tmpl w:val="5E80E918"/>
    <w:lvl w:ilvl="0" w:tplc="F920DC6C">
      <w:start w:val="1"/>
      <w:numFmt w:val="bullet"/>
      <w:lvlText w:val=""/>
      <w:lvlJc w:val="left"/>
      <w:pPr>
        <w:ind w:left="720" w:hanging="360"/>
      </w:pPr>
      <w:rPr>
        <w:rFonts w:ascii="Symbol" w:hAnsi="Symbol"/>
      </w:rPr>
    </w:lvl>
    <w:lvl w:ilvl="1" w:tplc="BE10F912">
      <w:start w:val="1"/>
      <w:numFmt w:val="bullet"/>
      <w:lvlText w:val=""/>
      <w:lvlJc w:val="left"/>
      <w:pPr>
        <w:ind w:left="720" w:hanging="360"/>
      </w:pPr>
      <w:rPr>
        <w:rFonts w:ascii="Symbol" w:hAnsi="Symbol"/>
      </w:rPr>
    </w:lvl>
    <w:lvl w:ilvl="2" w:tplc="E2046A86">
      <w:start w:val="1"/>
      <w:numFmt w:val="bullet"/>
      <w:lvlText w:val=""/>
      <w:lvlJc w:val="left"/>
      <w:pPr>
        <w:ind w:left="720" w:hanging="360"/>
      </w:pPr>
      <w:rPr>
        <w:rFonts w:ascii="Symbol" w:hAnsi="Symbol"/>
      </w:rPr>
    </w:lvl>
    <w:lvl w:ilvl="3" w:tplc="32320C60">
      <w:start w:val="1"/>
      <w:numFmt w:val="bullet"/>
      <w:lvlText w:val=""/>
      <w:lvlJc w:val="left"/>
      <w:pPr>
        <w:ind w:left="720" w:hanging="360"/>
      </w:pPr>
      <w:rPr>
        <w:rFonts w:ascii="Symbol" w:hAnsi="Symbol"/>
      </w:rPr>
    </w:lvl>
    <w:lvl w:ilvl="4" w:tplc="3C5A966A">
      <w:start w:val="1"/>
      <w:numFmt w:val="bullet"/>
      <w:lvlText w:val=""/>
      <w:lvlJc w:val="left"/>
      <w:pPr>
        <w:ind w:left="720" w:hanging="360"/>
      </w:pPr>
      <w:rPr>
        <w:rFonts w:ascii="Symbol" w:hAnsi="Symbol"/>
      </w:rPr>
    </w:lvl>
    <w:lvl w:ilvl="5" w:tplc="C792E4BE">
      <w:start w:val="1"/>
      <w:numFmt w:val="bullet"/>
      <w:lvlText w:val=""/>
      <w:lvlJc w:val="left"/>
      <w:pPr>
        <w:ind w:left="720" w:hanging="360"/>
      </w:pPr>
      <w:rPr>
        <w:rFonts w:ascii="Symbol" w:hAnsi="Symbol"/>
      </w:rPr>
    </w:lvl>
    <w:lvl w:ilvl="6" w:tplc="11FC51A4">
      <w:start w:val="1"/>
      <w:numFmt w:val="bullet"/>
      <w:lvlText w:val=""/>
      <w:lvlJc w:val="left"/>
      <w:pPr>
        <w:ind w:left="720" w:hanging="360"/>
      </w:pPr>
      <w:rPr>
        <w:rFonts w:ascii="Symbol" w:hAnsi="Symbol"/>
      </w:rPr>
    </w:lvl>
    <w:lvl w:ilvl="7" w:tplc="778CCBF4">
      <w:start w:val="1"/>
      <w:numFmt w:val="bullet"/>
      <w:lvlText w:val=""/>
      <w:lvlJc w:val="left"/>
      <w:pPr>
        <w:ind w:left="720" w:hanging="360"/>
      </w:pPr>
      <w:rPr>
        <w:rFonts w:ascii="Symbol" w:hAnsi="Symbol"/>
      </w:rPr>
    </w:lvl>
    <w:lvl w:ilvl="8" w:tplc="F050F5C2">
      <w:start w:val="1"/>
      <w:numFmt w:val="bullet"/>
      <w:lvlText w:val=""/>
      <w:lvlJc w:val="left"/>
      <w:pPr>
        <w:ind w:left="720" w:hanging="360"/>
      </w:pPr>
      <w:rPr>
        <w:rFonts w:ascii="Symbol" w:hAnsi="Symbol"/>
      </w:rPr>
    </w:lvl>
  </w:abstractNum>
  <w:abstractNum w:abstractNumId="29" w15:restartNumberingAfterBreak="0">
    <w:nsid w:val="3C06022A"/>
    <w:multiLevelType w:val="hybridMultilevel"/>
    <w:tmpl w:val="85685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none"/>
      <w:lvlText w:val=""/>
      <w:lvlJc w:val="left"/>
      <w:pPr>
        <w:ind w:left="284" w:firstLine="0"/>
      </w:pPr>
      <w:rPr>
        <w:rFonts w:hint="default"/>
      </w:rPr>
    </w:lvl>
    <w:lvl w:ilvl="3">
      <w:start w:val="1"/>
      <w:numFmt w:val="bullet"/>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70D76BA"/>
    <w:multiLevelType w:val="hybridMultilevel"/>
    <w:tmpl w:val="0B74C0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2597095"/>
    <w:multiLevelType w:val="multilevel"/>
    <w:tmpl w:val="C41E3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632590"/>
    <w:multiLevelType w:val="hybridMultilevel"/>
    <w:tmpl w:val="927E62C8"/>
    <w:lvl w:ilvl="0" w:tplc="EFEE4648">
      <w:start w:val="1"/>
      <w:numFmt w:val="decimal"/>
      <w:lvlText w:val="%1."/>
      <w:lvlJc w:val="left"/>
      <w:pPr>
        <w:ind w:left="720" w:hanging="360"/>
      </w:pPr>
    </w:lvl>
    <w:lvl w:ilvl="1" w:tplc="983483FA">
      <w:start w:val="1"/>
      <w:numFmt w:val="decimal"/>
      <w:lvlText w:val="%2."/>
      <w:lvlJc w:val="left"/>
      <w:pPr>
        <w:ind w:left="720" w:hanging="360"/>
      </w:pPr>
    </w:lvl>
    <w:lvl w:ilvl="2" w:tplc="95045516">
      <w:start w:val="1"/>
      <w:numFmt w:val="decimal"/>
      <w:lvlText w:val="%3."/>
      <w:lvlJc w:val="left"/>
      <w:pPr>
        <w:ind w:left="720" w:hanging="360"/>
      </w:pPr>
    </w:lvl>
    <w:lvl w:ilvl="3" w:tplc="C48266E0">
      <w:start w:val="1"/>
      <w:numFmt w:val="decimal"/>
      <w:lvlText w:val="%4."/>
      <w:lvlJc w:val="left"/>
      <w:pPr>
        <w:ind w:left="720" w:hanging="360"/>
      </w:pPr>
    </w:lvl>
    <w:lvl w:ilvl="4" w:tplc="10029CFE">
      <w:start w:val="1"/>
      <w:numFmt w:val="decimal"/>
      <w:lvlText w:val="%5."/>
      <w:lvlJc w:val="left"/>
      <w:pPr>
        <w:ind w:left="720" w:hanging="360"/>
      </w:pPr>
    </w:lvl>
    <w:lvl w:ilvl="5" w:tplc="41F83C64">
      <w:start w:val="1"/>
      <w:numFmt w:val="decimal"/>
      <w:lvlText w:val="%6."/>
      <w:lvlJc w:val="left"/>
      <w:pPr>
        <w:ind w:left="720" w:hanging="360"/>
      </w:pPr>
    </w:lvl>
    <w:lvl w:ilvl="6" w:tplc="380A29CC">
      <w:start w:val="1"/>
      <w:numFmt w:val="decimal"/>
      <w:lvlText w:val="%7."/>
      <w:lvlJc w:val="left"/>
      <w:pPr>
        <w:ind w:left="720" w:hanging="360"/>
      </w:pPr>
    </w:lvl>
    <w:lvl w:ilvl="7" w:tplc="BFC8CEBC">
      <w:start w:val="1"/>
      <w:numFmt w:val="decimal"/>
      <w:lvlText w:val="%8."/>
      <w:lvlJc w:val="left"/>
      <w:pPr>
        <w:ind w:left="720" w:hanging="360"/>
      </w:pPr>
    </w:lvl>
    <w:lvl w:ilvl="8" w:tplc="88F6F0FE">
      <w:start w:val="1"/>
      <w:numFmt w:val="decimal"/>
      <w:lvlText w:val="%9."/>
      <w:lvlJc w:val="left"/>
      <w:pPr>
        <w:ind w:left="720" w:hanging="360"/>
      </w:pPr>
    </w:lvl>
  </w:abstractNum>
  <w:abstractNum w:abstractNumId="35" w15:restartNumberingAfterBreak="0">
    <w:nsid w:val="595F6C99"/>
    <w:multiLevelType w:val="hybridMultilevel"/>
    <w:tmpl w:val="48A8AA1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FAB5F40"/>
    <w:multiLevelType w:val="hybridMultilevel"/>
    <w:tmpl w:val="CBF06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0E61C8D"/>
    <w:multiLevelType w:val="hybridMultilevel"/>
    <w:tmpl w:val="E292AB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38" w15:restartNumberingAfterBreak="0">
    <w:nsid w:val="63993C73"/>
    <w:multiLevelType w:val="hybridMultilevel"/>
    <w:tmpl w:val="2F5C2C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59F5882"/>
    <w:multiLevelType w:val="hybridMultilevel"/>
    <w:tmpl w:val="48A8AA12"/>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6E8308E"/>
    <w:multiLevelType w:val="hybridMultilevel"/>
    <w:tmpl w:val="FFE22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B4D2DFE"/>
    <w:multiLevelType w:val="multilevel"/>
    <w:tmpl w:val="A112D418"/>
    <w:lvl w:ilvl="0">
      <w:start w:val="6"/>
      <w:numFmt w:val="decimal"/>
      <w:lvlText w:val="%1."/>
      <w:lvlJc w:val="left"/>
      <w:pPr>
        <w:ind w:left="567" w:hanging="283"/>
      </w:pPr>
      <w:rPr>
        <w:rFonts w:hint="default"/>
      </w:rPr>
    </w:lvl>
    <w:lvl w:ilvl="1">
      <w:start w:val="1"/>
      <w:numFmt w:val="lowerLetter"/>
      <w:lvlText w:val="%2)"/>
      <w:lvlJc w:val="left"/>
      <w:pPr>
        <w:ind w:left="646" w:hanging="283"/>
      </w:pPr>
      <w:rPr>
        <w:rFonts w:hint="default"/>
      </w:rPr>
    </w:lvl>
    <w:lvl w:ilvl="2">
      <w:start w:val="1"/>
      <w:numFmt w:val="lowerRoman"/>
      <w:lvlText w:val="%3)"/>
      <w:lvlJc w:val="left"/>
      <w:pPr>
        <w:ind w:left="725" w:hanging="283"/>
      </w:pPr>
      <w:rPr>
        <w:rFonts w:hint="default"/>
      </w:rPr>
    </w:lvl>
    <w:lvl w:ilvl="3">
      <w:start w:val="1"/>
      <w:numFmt w:val="decimal"/>
      <w:lvlText w:val="(%4)"/>
      <w:lvlJc w:val="left"/>
      <w:pPr>
        <w:ind w:left="804" w:hanging="283"/>
      </w:pPr>
      <w:rPr>
        <w:rFonts w:hint="default"/>
      </w:rPr>
    </w:lvl>
    <w:lvl w:ilvl="4">
      <w:start w:val="1"/>
      <w:numFmt w:val="lowerLetter"/>
      <w:lvlText w:val="(%5)"/>
      <w:lvlJc w:val="left"/>
      <w:pPr>
        <w:ind w:left="883" w:hanging="283"/>
      </w:pPr>
      <w:rPr>
        <w:rFonts w:hint="default"/>
      </w:rPr>
    </w:lvl>
    <w:lvl w:ilvl="5">
      <w:start w:val="1"/>
      <w:numFmt w:val="lowerRoman"/>
      <w:lvlText w:val="(%6)"/>
      <w:lvlJc w:val="left"/>
      <w:pPr>
        <w:ind w:left="962" w:hanging="283"/>
      </w:pPr>
      <w:rPr>
        <w:rFonts w:hint="default"/>
      </w:rPr>
    </w:lvl>
    <w:lvl w:ilvl="6">
      <w:start w:val="1"/>
      <w:numFmt w:val="decimal"/>
      <w:lvlText w:val="%7."/>
      <w:lvlJc w:val="left"/>
      <w:pPr>
        <w:ind w:left="1041" w:hanging="283"/>
      </w:pPr>
      <w:rPr>
        <w:rFonts w:hint="default"/>
      </w:rPr>
    </w:lvl>
    <w:lvl w:ilvl="7">
      <w:start w:val="1"/>
      <w:numFmt w:val="lowerLetter"/>
      <w:lvlText w:val="%8."/>
      <w:lvlJc w:val="left"/>
      <w:pPr>
        <w:ind w:left="1120" w:hanging="283"/>
      </w:pPr>
      <w:rPr>
        <w:rFonts w:hint="default"/>
      </w:rPr>
    </w:lvl>
    <w:lvl w:ilvl="8">
      <w:start w:val="1"/>
      <w:numFmt w:val="lowerRoman"/>
      <w:lvlText w:val="%9."/>
      <w:lvlJc w:val="left"/>
      <w:pPr>
        <w:ind w:left="1199" w:hanging="283"/>
      </w:pPr>
      <w:rPr>
        <w:rFonts w:hint="default"/>
      </w:rPr>
    </w:lvl>
  </w:abstractNum>
  <w:abstractNum w:abstractNumId="43" w15:restartNumberingAfterBreak="0">
    <w:nsid w:val="6F710BB6"/>
    <w:multiLevelType w:val="hybridMultilevel"/>
    <w:tmpl w:val="E330350C"/>
    <w:lvl w:ilvl="0" w:tplc="904C61AC">
      <w:start w:val="1"/>
      <w:numFmt w:val="bullet"/>
      <w:lvlText w:val=""/>
      <w:lvlJc w:val="left"/>
      <w:pPr>
        <w:ind w:left="720" w:hanging="360"/>
      </w:pPr>
      <w:rPr>
        <w:rFonts w:ascii="Symbol" w:hAnsi="Symbol"/>
      </w:rPr>
    </w:lvl>
    <w:lvl w:ilvl="1" w:tplc="99804056">
      <w:start w:val="1"/>
      <w:numFmt w:val="bullet"/>
      <w:lvlText w:val=""/>
      <w:lvlJc w:val="left"/>
      <w:pPr>
        <w:ind w:left="720" w:hanging="360"/>
      </w:pPr>
      <w:rPr>
        <w:rFonts w:ascii="Symbol" w:hAnsi="Symbol"/>
      </w:rPr>
    </w:lvl>
    <w:lvl w:ilvl="2" w:tplc="B77A5624">
      <w:start w:val="1"/>
      <w:numFmt w:val="bullet"/>
      <w:lvlText w:val=""/>
      <w:lvlJc w:val="left"/>
      <w:pPr>
        <w:ind w:left="720" w:hanging="360"/>
      </w:pPr>
      <w:rPr>
        <w:rFonts w:ascii="Symbol" w:hAnsi="Symbol"/>
      </w:rPr>
    </w:lvl>
    <w:lvl w:ilvl="3" w:tplc="26A01BA0">
      <w:start w:val="1"/>
      <w:numFmt w:val="bullet"/>
      <w:lvlText w:val=""/>
      <w:lvlJc w:val="left"/>
      <w:pPr>
        <w:ind w:left="720" w:hanging="360"/>
      </w:pPr>
      <w:rPr>
        <w:rFonts w:ascii="Symbol" w:hAnsi="Symbol"/>
      </w:rPr>
    </w:lvl>
    <w:lvl w:ilvl="4" w:tplc="4508A024">
      <w:start w:val="1"/>
      <w:numFmt w:val="bullet"/>
      <w:lvlText w:val=""/>
      <w:lvlJc w:val="left"/>
      <w:pPr>
        <w:ind w:left="720" w:hanging="360"/>
      </w:pPr>
      <w:rPr>
        <w:rFonts w:ascii="Symbol" w:hAnsi="Symbol"/>
      </w:rPr>
    </w:lvl>
    <w:lvl w:ilvl="5" w:tplc="2D3E06CC">
      <w:start w:val="1"/>
      <w:numFmt w:val="bullet"/>
      <w:lvlText w:val=""/>
      <w:lvlJc w:val="left"/>
      <w:pPr>
        <w:ind w:left="720" w:hanging="360"/>
      </w:pPr>
      <w:rPr>
        <w:rFonts w:ascii="Symbol" w:hAnsi="Symbol"/>
      </w:rPr>
    </w:lvl>
    <w:lvl w:ilvl="6" w:tplc="0E620E0C">
      <w:start w:val="1"/>
      <w:numFmt w:val="bullet"/>
      <w:lvlText w:val=""/>
      <w:lvlJc w:val="left"/>
      <w:pPr>
        <w:ind w:left="720" w:hanging="360"/>
      </w:pPr>
      <w:rPr>
        <w:rFonts w:ascii="Symbol" w:hAnsi="Symbol"/>
      </w:rPr>
    </w:lvl>
    <w:lvl w:ilvl="7" w:tplc="62EC74DA">
      <w:start w:val="1"/>
      <w:numFmt w:val="bullet"/>
      <w:lvlText w:val=""/>
      <w:lvlJc w:val="left"/>
      <w:pPr>
        <w:ind w:left="720" w:hanging="360"/>
      </w:pPr>
      <w:rPr>
        <w:rFonts w:ascii="Symbol" w:hAnsi="Symbol"/>
      </w:rPr>
    </w:lvl>
    <w:lvl w:ilvl="8" w:tplc="69541362">
      <w:start w:val="1"/>
      <w:numFmt w:val="bullet"/>
      <w:lvlText w:val=""/>
      <w:lvlJc w:val="left"/>
      <w:pPr>
        <w:ind w:left="720" w:hanging="360"/>
      </w:pPr>
      <w:rPr>
        <w:rFonts w:ascii="Symbol" w:hAnsi="Symbol"/>
      </w:rPr>
    </w:lvl>
  </w:abstractNum>
  <w:abstractNum w:abstractNumId="44" w15:restartNumberingAfterBreak="0">
    <w:nsid w:val="70732D36"/>
    <w:multiLevelType w:val="multilevel"/>
    <w:tmpl w:val="FC2475C8"/>
    <w:styleLink w:val="Pull-outlists"/>
    <w:lvl w:ilvl="0">
      <w:start w:val="1"/>
      <w:numFmt w:val="bullet"/>
      <w:pStyle w:val="Pull-outBullet1"/>
      <w:lvlText w:val=""/>
      <w:lvlJc w:val="left"/>
      <w:pPr>
        <w:ind w:left="284" w:hanging="284"/>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0DE353D"/>
    <w:multiLevelType w:val="hybridMultilevel"/>
    <w:tmpl w:val="409AE854"/>
    <w:lvl w:ilvl="0" w:tplc="831C6DCC">
      <w:start w:val="1"/>
      <w:numFmt w:val="bullet"/>
      <w:lvlText w:val=""/>
      <w:lvlJc w:val="left"/>
      <w:pPr>
        <w:ind w:left="1440" w:hanging="360"/>
      </w:pPr>
      <w:rPr>
        <w:rFonts w:ascii="Symbol" w:hAnsi="Symbol"/>
      </w:rPr>
    </w:lvl>
    <w:lvl w:ilvl="1" w:tplc="B784DA24">
      <w:start w:val="1"/>
      <w:numFmt w:val="bullet"/>
      <w:lvlText w:val=""/>
      <w:lvlJc w:val="left"/>
      <w:pPr>
        <w:ind w:left="1440" w:hanging="360"/>
      </w:pPr>
      <w:rPr>
        <w:rFonts w:ascii="Symbol" w:hAnsi="Symbol"/>
      </w:rPr>
    </w:lvl>
    <w:lvl w:ilvl="2" w:tplc="2BD02A1C">
      <w:start w:val="1"/>
      <w:numFmt w:val="bullet"/>
      <w:lvlText w:val=""/>
      <w:lvlJc w:val="left"/>
      <w:pPr>
        <w:ind w:left="1440" w:hanging="360"/>
      </w:pPr>
      <w:rPr>
        <w:rFonts w:ascii="Symbol" w:hAnsi="Symbol"/>
      </w:rPr>
    </w:lvl>
    <w:lvl w:ilvl="3" w:tplc="C330968A">
      <w:start w:val="1"/>
      <w:numFmt w:val="bullet"/>
      <w:lvlText w:val=""/>
      <w:lvlJc w:val="left"/>
      <w:pPr>
        <w:ind w:left="1440" w:hanging="360"/>
      </w:pPr>
      <w:rPr>
        <w:rFonts w:ascii="Symbol" w:hAnsi="Symbol"/>
      </w:rPr>
    </w:lvl>
    <w:lvl w:ilvl="4" w:tplc="D9D69498">
      <w:start w:val="1"/>
      <w:numFmt w:val="bullet"/>
      <w:lvlText w:val=""/>
      <w:lvlJc w:val="left"/>
      <w:pPr>
        <w:ind w:left="1440" w:hanging="360"/>
      </w:pPr>
      <w:rPr>
        <w:rFonts w:ascii="Symbol" w:hAnsi="Symbol"/>
      </w:rPr>
    </w:lvl>
    <w:lvl w:ilvl="5" w:tplc="36D2927A">
      <w:start w:val="1"/>
      <w:numFmt w:val="bullet"/>
      <w:lvlText w:val=""/>
      <w:lvlJc w:val="left"/>
      <w:pPr>
        <w:ind w:left="1440" w:hanging="360"/>
      </w:pPr>
      <w:rPr>
        <w:rFonts w:ascii="Symbol" w:hAnsi="Symbol"/>
      </w:rPr>
    </w:lvl>
    <w:lvl w:ilvl="6" w:tplc="009CA0C2">
      <w:start w:val="1"/>
      <w:numFmt w:val="bullet"/>
      <w:lvlText w:val=""/>
      <w:lvlJc w:val="left"/>
      <w:pPr>
        <w:ind w:left="1440" w:hanging="360"/>
      </w:pPr>
      <w:rPr>
        <w:rFonts w:ascii="Symbol" w:hAnsi="Symbol"/>
      </w:rPr>
    </w:lvl>
    <w:lvl w:ilvl="7" w:tplc="AFA261D6">
      <w:start w:val="1"/>
      <w:numFmt w:val="bullet"/>
      <w:lvlText w:val=""/>
      <w:lvlJc w:val="left"/>
      <w:pPr>
        <w:ind w:left="1440" w:hanging="360"/>
      </w:pPr>
      <w:rPr>
        <w:rFonts w:ascii="Symbol" w:hAnsi="Symbol"/>
      </w:rPr>
    </w:lvl>
    <w:lvl w:ilvl="8" w:tplc="C9DA5B8E">
      <w:start w:val="1"/>
      <w:numFmt w:val="bullet"/>
      <w:lvlText w:val=""/>
      <w:lvlJc w:val="left"/>
      <w:pPr>
        <w:ind w:left="1440" w:hanging="360"/>
      </w:pPr>
      <w:rPr>
        <w:rFonts w:ascii="Symbol" w:hAnsi="Symbol"/>
      </w:rPr>
    </w:lvl>
  </w:abstractNum>
  <w:abstractNum w:abstractNumId="46" w15:restartNumberingAfterBreak="0">
    <w:nsid w:val="7E901EDD"/>
    <w:multiLevelType w:val="hybridMultilevel"/>
    <w:tmpl w:val="5BD2DDC4"/>
    <w:lvl w:ilvl="0" w:tplc="52C81CAA">
      <w:start w:val="1"/>
      <w:numFmt w:val="bullet"/>
      <w:pStyle w:val="ListBullet2"/>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F8141D"/>
    <w:multiLevelType w:val="hybridMultilevel"/>
    <w:tmpl w:val="7E4EED30"/>
    <w:lvl w:ilvl="0" w:tplc="7CA8DE54">
      <w:numFmt w:val="bullet"/>
      <w:lvlText w:val="‒"/>
      <w:lvlJc w:val="left"/>
      <w:pPr>
        <w:ind w:left="360" w:hanging="360"/>
      </w:pPr>
      <w:rPr>
        <w:rFonts w:ascii="Arial" w:eastAsiaTheme="minorHAnsi"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90135712">
    <w:abstractNumId w:val="30"/>
  </w:num>
  <w:num w:numId="2" w16cid:durableId="1011495033">
    <w:abstractNumId w:val="21"/>
  </w:num>
  <w:num w:numId="3" w16cid:durableId="1034042019">
    <w:abstractNumId w:val="32"/>
  </w:num>
  <w:num w:numId="4" w16cid:durableId="555287133">
    <w:abstractNumId w:val="41"/>
  </w:num>
  <w:num w:numId="5" w16cid:durableId="1749687851">
    <w:abstractNumId w:val="16"/>
  </w:num>
  <w:num w:numId="6" w16cid:durableId="665984960">
    <w:abstractNumId w:val="44"/>
  </w:num>
  <w:num w:numId="7" w16cid:durableId="2058190706">
    <w:abstractNumId w:val="3"/>
  </w:num>
  <w:num w:numId="8" w16cid:durableId="2687774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1756665">
    <w:abstractNumId w:val="23"/>
  </w:num>
  <w:num w:numId="10" w16cid:durableId="127744559">
    <w:abstractNumId w:val="38"/>
  </w:num>
  <w:num w:numId="11" w16cid:durableId="761951669">
    <w:abstractNumId w:val="8"/>
  </w:num>
  <w:num w:numId="12" w16cid:durableId="1265651660">
    <w:abstractNumId w:val="9"/>
  </w:num>
  <w:num w:numId="13" w16cid:durableId="1206678933">
    <w:abstractNumId w:val="39"/>
  </w:num>
  <w:num w:numId="14" w16cid:durableId="302933832">
    <w:abstractNumId w:val="17"/>
  </w:num>
  <w:num w:numId="15" w16cid:durableId="1813980752">
    <w:abstractNumId w:val="35"/>
  </w:num>
  <w:num w:numId="16" w16cid:durableId="953287597">
    <w:abstractNumId w:val="26"/>
  </w:num>
  <w:num w:numId="17" w16cid:durableId="1223563402">
    <w:abstractNumId w:val="15"/>
  </w:num>
  <w:num w:numId="18" w16cid:durableId="649793875">
    <w:abstractNumId w:val="36"/>
  </w:num>
  <w:num w:numId="19" w16cid:durableId="892274176">
    <w:abstractNumId w:val="40"/>
  </w:num>
  <w:num w:numId="20" w16cid:durableId="837499542">
    <w:abstractNumId w:val="4"/>
  </w:num>
  <w:num w:numId="21" w16cid:durableId="326830581">
    <w:abstractNumId w:val="31"/>
  </w:num>
  <w:num w:numId="22" w16cid:durableId="1230728279">
    <w:abstractNumId w:val="18"/>
  </w:num>
  <w:num w:numId="23" w16cid:durableId="1341660908">
    <w:abstractNumId w:val="42"/>
  </w:num>
  <w:num w:numId="24" w16cid:durableId="713312041">
    <w:abstractNumId w:val="5"/>
  </w:num>
  <w:num w:numId="25" w16cid:durableId="770664384">
    <w:abstractNumId w:val="6"/>
  </w:num>
  <w:num w:numId="26" w16cid:durableId="1268464472">
    <w:abstractNumId w:val="7"/>
  </w:num>
  <w:num w:numId="27" w16cid:durableId="234559994">
    <w:abstractNumId w:val="27"/>
  </w:num>
  <w:num w:numId="28" w16cid:durableId="378168600">
    <w:abstractNumId w:val="10"/>
  </w:num>
  <w:num w:numId="29" w16cid:durableId="1362121713">
    <w:abstractNumId w:val="11"/>
  </w:num>
  <w:num w:numId="30" w16cid:durableId="1293829647">
    <w:abstractNumId w:val="2"/>
  </w:num>
  <w:num w:numId="31" w16cid:durableId="2058431533">
    <w:abstractNumId w:val="46"/>
  </w:num>
  <w:num w:numId="32" w16cid:durableId="489949835">
    <w:abstractNumId w:val="24"/>
  </w:num>
  <w:num w:numId="33" w16cid:durableId="26107102">
    <w:abstractNumId w:val="43"/>
  </w:num>
  <w:num w:numId="34" w16cid:durableId="2122603339">
    <w:abstractNumId w:val="34"/>
  </w:num>
  <w:num w:numId="35" w16cid:durableId="1829058636">
    <w:abstractNumId w:val="45"/>
  </w:num>
  <w:num w:numId="36" w16cid:durableId="250741202">
    <w:abstractNumId w:val="13"/>
  </w:num>
  <w:num w:numId="37" w16cid:durableId="344064745">
    <w:abstractNumId w:val="22"/>
  </w:num>
  <w:num w:numId="38" w16cid:durableId="1671324744">
    <w:abstractNumId w:val="28"/>
  </w:num>
  <w:num w:numId="39" w16cid:durableId="856701407">
    <w:abstractNumId w:val="37"/>
  </w:num>
  <w:num w:numId="40" w16cid:durableId="862860606">
    <w:abstractNumId w:val="0"/>
  </w:num>
  <w:num w:numId="41" w16cid:durableId="2114783874">
    <w:abstractNumId w:val="1"/>
  </w:num>
  <w:num w:numId="42" w16cid:durableId="743332629">
    <w:abstractNumId w:val="12"/>
  </w:num>
  <w:num w:numId="43" w16cid:durableId="33043115">
    <w:abstractNumId w:val="19"/>
  </w:num>
  <w:num w:numId="44" w16cid:durableId="1265991147">
    <w:abstractNumId w:val="14"/>
  </w:num>
  <w:num w:numId="45" w16cid:durableId="290673280">
    <w:abstractNumId w:val="25"/>
  </w:num>
  <w:num w:numId="46" w16cid:durableId="1522015773">
    <w:abstractNumId w:val="33"/>
  </w:num>
  <w:num w:numId="47" w16cid:durableId="453328970">
    <w:abstractNumId w:val="0"/>
  </w:num>
  <w:num w:numId="48" w16cid:durableId="6972406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30187018">
    <w:abstractNumId w:val="29"/>
  </w:num>
  <w:num w:numId="50" w16cid:durableId="1124735934">
    <w:abstractNumId w:val="4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C6D"/>
    <w:rsid w:val="00000028"/>
    <w:rsid w:val="0000008F"/>
    <w:rsid w:val="000000BA"/>
    <w:rsid w:val="000000F0"/>
    <w:rsid w:val="00000103"/>
    <w:rsid w:val="0000012E"/>
    <w:rsid w:val="0000019C"/>
    <w:rsid w:val="000001A6"/>
    <w:rsid w:val="000001AD"/>
    <w:rsid w:val="000002A0"/>
    <w:rsid w:val="000002B7"/>
    <w:rsid w:val="000002E4"/>
    <w:rsid w:val="000002F0"/>
    <w:rsid w:val="00000363"/>
    <w:rsid w:val="000003F8"/>
    <w:rsid w:val="00000402"/>
    <w:rsid w:val="000004D8"/>
    <w:rsid w:val="000004E1"/>
    <w:rsid w:val="000006B2"/>
    <w:rsid w:val="000006BF"/>
    <w:rsid w:val="0000074B"/>
    <w:rsid w:val="0000085A"/>
    <w:rsid w:val="00000901"/>
    <w:rsid w:val="0000093C"/>
    <w:rsid w:val="000009EA"/>
    <w:rsid w:val="00000A0A"/>
    <w:rsid w:val="00000A16"/>
    <w:rsid w:val="00000B0F"/>
    <w:rsid w:val="00000B11"/>
    <w:rsid w:val="00000B1F"/>
    <w:rsid w:val="00000BB0"/>
    <w:rsid w:val="00000BB2"/>
    <w:rsid w:val="00000BFD"/>
    <w:rsid w:val="00000C6B"/>
    <w:rsid w:val="00000C72"/>
    <w:rsid w:val="00000C7C"/>
    <w:rsid w:val="00000D59"/>
    <w:rsid w:val="00000DD1"/>
    <w:rsid w:val="00000DE4"/>
    <w:rsid w:val="00000E15"/>
    <w:rsid w:val="00000E17"/>
    <w:rsid w:val="00000E3D"/>
    <w:rsid w:val="00000E7B"/>
    <w:rsid w:val="00000F36"/>
    <w:rsid w:val="00000FAB"/>
    <w:rsid w:val="00000FD5"/>
    <w:rsid w:val="00001016"/>
    <w:rsid w:val="0000104D"/>
    <w:rsid w:val="00001094"/>
    <w:rsid w:val="000010BC"/>
    <w:rsid w:val="00001245"/>
    <w:rsid w:val="00001252"/>
    <w:rsid w:val="00001291"/>
    <w:rsid w:val="000012A4"/>
    <w:rsid w:val="0000134C"/>
    <w:rsid w:val="000013C7"/>
    <w:rsid w:val="00001433"/>
    <w:rsid w:val="000014EA"/>
    <w:rsid w:val="00001519"/>
    <w:rsid w:val="0000154A"/>
    <w:rsid w:val="00001586"/>
    <w:rsid w:val="00001611"/>
    <w:rsid w:val="000016E5"/>
    <w:rsid w:val="0000174B"/>
    <w:rsid w:val="00001759"/>
    <w:rsid w:val="00001809"/>
    <w:rsid w:val="00001811"/>
    <w:rsid w:val="00001830"/>
    <w:rsid w:val="00001851"/>
    <w:rsid w:val="0000185E"/>
    <w:rsid w:val="000018DA"/>
    <w:rsid w:val="00001937"/>
    <w:rsid w:val="00001972"/>
    <w:rsid w:val="000019D6"/>
    <w:rsid w:val="00001A65"/>
    <w:rsid w:val="00001C7D"/>
    <w:rsid w:val="00001CEB"/>
    <w:rsid w:val="00001DB8"/>
    <w:rsid w:val="00001F0B"/>
    <w:rsid w:val="00001F15"/>
    <w:rsid w:val="00001FF6"/>
    <w:rsid w:val="0000201D"/>
    <w:rsid w:val="0000202D"/>
    <w:rsid w:val="0000206E"/>
    <w:rsid w:val="000020A5"/>
    <w:rsid w:val="000020DC"/>
    <w:rsid w:val="00002176"/>
    <w:rsid w:val="000021CC"/>
    <w:rsid w:val="00002200"/>
    <w:rsid w:val="0000222C"/>
    <w:rsid w:val="00002285"/>
    <w:rsid w:val="0000228F"/>
    <w:rsid w:val="000022F5"/>
    <w:rsid w:val="00002300"/>
    <w:rsid w:val="000023B2"/>
    <w:rsid w:val="000023E3"/>
    <w:rsid w:val="00002411"/>
    <w:rsid w:val="00002423"/>
    <w:rsid w:val="0000248A"/>
    <w:rsid w:val="0000256C"/>
    <w:rsid w:val="00002596"/>
    <w:rsid w:val="000025CB"/>
    <w:rsid w:val="00002679"/>
    <w:rsid w:val="00002693"/>
    <w:rsid w:val="00002712"/>
    <w:rsid w:val="00002778"/>
    <w:rsid w:val="000027BE"/>
    <w:rsid w:val="000029B2"/>
    <w:rsid w:val="000029C5"/>
    <w:rsid w:val="00002A6D"/>
    <w:rsid w:val="00002A71"/>
    <w:rsid w:val="00002A82"/>
    <w:rsid w:val="00002A91"/>
    <w:rsid w:val="00002B2D"/>
    <w:rsid w:val="00002B7E"/>
    <w:rsid w:val="00002CF6"/>
    <w:rsid w:val="00002D06"/>
    <w:rsid w:val="00002E37"/>
    <w:rsid w:val="00002E4C"/>
    <w:rsid w:val="00002E51"/>
    <w:rsid w:val="00002E94"/>
    <w:rsid w:val="00003002"/>
    <w:rsid w:val="0000301F"/>
    <w:rsid w:val="00003029"/>
    <w:rsid w:val="00003086"/>
    <w:rsid w:val="000031D9"/>
    <w:rsid w:val="00003242"/>
    <w:rsid w:val="00003246"/>
    <w:rsid w:val="00003265"/>
    <w:rsid w:val="00003284"/>
    <w:rsid w:val="000032B0"/>
    <w:rsid w:val="000032E6"/>
    <w:rsid w:val="00003360"/>
    <w:rsid w:val="00003374"/>
    <w:rsid w:val="0000338A"/>
    <w:rsid w:val="000033BE"/>
    <w:rsid w:val="00003429"/>
    <w:rsid w:val="00003558"/>
    <w:rsid w:val="000035C5"/>
    <w:rsid w:val="000035D7"/>
    <w:rsid w:val="000035EF"/>
    <w:rsid w:val="00003605"/>
    <w:rsid w:val="0000366E"/>
    <w:rsid w:val="0000380A"/>
    <w:rsid w:val="00003850"/>
    <w:rsid w:val="000038D9"/>
    <w:rsid w:val="000039E4"/>
    <w:rsid w:val="000039F5"/>
    <w:rsid w:val="00003A38"/>
    <w:rsid w:val="00003A39"/>
    <w:rsid w:val="00003ABF"/>
    <w:rsid w:val="00003BE5"/>
    <w:rsid w:val="00003C63"/>
    <w:rsid w:val="00003C7D"/>
    <w:rsid w:val="00003D2B"/>
    <w:rsid w:val="00003D67"/>
    <w:rsid w:val="00003FF5"/>
    <w:rsid w:val="00004008"/>
    <w:rsid w:val="00004046"/>
    <w:rsid w:val="000040A0"/>
    <w:rsid w:val="000041C5"/>
    <w:rsid w:val="000041C8"/>
    <w:rsid w:val="00004277"/>
    <w:rsid w:val="0000437A"/>
    <w:rsid w:val="000043A6"/>
    <w:rsid w:val="000043BB"/>
    <w:rsid w:val="000043CA"/>
    <w:rsid w:val="000043F3"/>
    <w:rsid w:val="00004424"/>
    <w:rsid w:val="0000444F"/>
    <w:rsid w:val="0000451A"/>
    <w:rsid w:val="0000451B"/>
    <w:rsid w:val="00004591"/>
    <w:rsid w:val="000045D2"/>
    <w:rsid w:val="0000466D"/>
    <w:rsid w:val="00004689"/>
    <w:rsid w:val="0000469E"/>
    <w:rsid w:val="000046BD"/>
    <w:rsid w:val="000046C6"/>
    <w:rsid w:val="000046FD"/>
    <w:rsid w:val="0000475E"/>
    <w:rsid w:val="00004796"/>
    <w:rsid w:val="0000484A"/>
    <w:rsid w:val="000049BA"/>
    <w:rsid w:val="000049BF"/>
    <w:rsid w:val="00004B2D"/>
    <w:rsid w:val="00004B88"/>
    <w:rsid w:val="00004D24"/>
    <w:rsid w:val="00004DA5"/>
    <w:rsid w:val="00004E6B"/>
    <w:rsid w:val="00004EC1"/>
    <w:rsid w:val="00004FD1"/>
    <w:rsid w:val="00005035"/>
    <w:rsid w:val="00005044"/>
    <w:rsid w:val="0000504E"/>
    <w:rsid w:val="00005088"/>
    <w:rsid w:val="0000508C"/>
    <w:rsid w:val="00005094"/>
    <w:rsid w:val="000050BD"/>
    <w:rsid w:val="000050F8"/>
    <w:rsid w:val="00005149"/>
    <w:rsid w:val="00005168"/>
    <w:rsid w:val="00005279"/>
    <w:rsid w:val="0000537F"/>
    <w:rsid w:val="000053E2"/>
    <w:rsid w:val="00005434"/>
    <w:rsid w:val="00005459"/>
    <w:rsid w:val="0000547C"/>
    <w:rsid w:val="000054AF"/>
    <w:rsid w:val="000054C9"/>
    <w:rsid w:val="00005582"/>
    <w:rsid w:val="000055B0"/>
    <w:rsid w:val="00005601"/>
    <w:rsid w:val="00005627"/>
    <w:rsid w:val="00005632"/>
    <w:rsid w:val="00005667"/>
    <w:rsid w:val="00005674"/>
    <w:rsid w:val="00005687"/>
    <w:rsid w:val="000057E4"/>
    <w:rsid w:val="000058E0"/>
    <w:rsid w:val="00005917"/>
    <w:rsid w:val="0000599E"/>
    <w:rsid w:val="000059EE"/>
    <w:rsid w:val="00005AD7"/>
    <w:rsid w:val="00005AEB"/>
    <w:rsid w:val="00005B35"/>
    <w:rsid w:val="00005B7F"/>
    <w:rsid w:val="00005BF9"/>
    <w:rsid w:val="00005D09"/>
    <w:rsid w:val="00005D25"/>
    <w:rsid w:val="00005D38"/>
    <w:rsid w:val="00005D9F"/>
    <w:rsid w:val="00005DA0"/>
    <w:rsid w:val="00005E3F"/>
    <w:rsid w:val="00005E9E"/>
    <w:rsid w:val="00005EF2"/>
    <w:rsid w:val="00005F64"/>
    <w:rsid w:val="0000609C"/>
    <w:rsid w:val="000061C2"/>
    <w:rsid w:val="000061C8"/>
    <w:rsid w:val="000061FC"/>
    <w:rsid w:val="0000620A"/>
    <w:rsid w:val="00006314"/>
    <w:rsid w:val="0000641B"/>
    <w:rsid w:val="000064CB"/>
    <w:rsid w:val="00006533"/>
    <w:rsid w:val="000066A7"/>
    <w:rsid w:val="000066D3"/>
    <w:rsid w:val="000066E1"/>
    <w:rsid w:val="000066F6"/>
    <w:rsid w:val="00006757"/>
    <w:rsid w:val="0000676F"/>
    <w:rsid w:val="0000677A"/>
    <w:rsid w:val="00006838"/>
    <w:rsid w:val="000068F0"/>
    <w:rsid w:val="00006939"/>
    <w:rsid w:val="000069B9"/>
    <w:rsid w:val="00006AD6"/>
    <w:rsid w:val="00006B06"/>
    <w:rsid w:val="00006B3C"/>
    <w:rsid w:val="00006B8B"/>
    <w:rsid w:val="00006CC3"/>
    <w:rsid w:val="00006D92"/>
    <w:rsid w:val="00006D93"/>
    <w:rsid w:val="00006D99"/>
    <w:rsid w:val="00006E0B"/>
    <w:rsid w:val="00006F3F"/>
    <w:rsid w:val="00006F76"/>
    <w:rsid w:val="00006FE6"/>
    <w:rsid w:val="00007059"/>
    <w:rsid w:val="00007083"/>
    <w:rsid w:val="00007091"/>
    <w:rsid w:val="00007108"/>
    <w:rsid w:val="00007189"/>
    <w:rsid w:val="000071C3"/>
    <w:rsid w:val="00007201"/>
    <w:rsid w:val="0000724B"/>
    <w:rsid w:val="0000727A"/>
    <w:rsid w:val="000072A5"/>
    <w:rsid w:val="000072C6"/>
    <w:rsid w:val="000072CB"/>
    <w:rsid w:val="00007333"/>
    <w:rsid w:val="000073B8"/>
    <w:rsid w:val="0000754C"/>
    <w:rsid w:val="0000759E"/>
    <w:rsid w:val="00007666"/>
    <w:rsid w:val="000076A9"/>
    <w:rsid w:val="000076E8"/>
    <w:rsid w:val="000076EE"/>
    <w:rsid w:val="00007709"/>
    <w:rsid w:val="000077D6"/>
    <w:rsid w:val="00007803"/>
    <w:rsid w:val="0000781F"/>
    <w:rsid w:val="00007820"/>
    <w:rsid w:val="00007854"/>
    <w:rsid w:val="0000785A"/>
    <w:rsid w:val="0000787B"/>
    <w:rsid w:val="0000788A"/>
    <w:rsid w:val="00007915"/>
    <w:rsid w:val="00007AA8"/>
    <w:rsid w:val="00007AD9"/>
    <w:rsid w:val="00007B89"/>
    <w:rsid w:val="00007C5A"/>
    <w:rsid w:val="00007C9C"/>
    <w:rsid w:val="00007EB7"/>
    <w:rsid w:val="00007F56"/>
    <w:rsid w:val="00010020"/>
    <w:rsid w:val="000100FD"/>
    <w:rsid w:val="00010160"/>
    <w:rsid w:val="000101BA"/>
    <w:rsid w:val="000102CB"/>
    <w:rsid w:val="000103AF"/>
    <w:rsid w:val="00010563"/>
    <w:rsid w:val="0001059A"/>
    <w:rsid w:val="00010718"/>
    <w:rsid w:val="00010788"/>
    <w:rsid w:val="00010789"/>
    <w:rsid w:val="00010794"/>
    <w:rsid w:val="000107AA"/>
    <w:rsid w:val="000107E4"/>
    <w:rsid w:val="00010800"/>
    <w:rsid w:val="00010839"/>
    <w:rsid w:val="0001083A"/>
    <w:rsid w:val="000108F2"/>
    <w:rsid w:val="00010912"/>
    <w:rsid w:val="00010A3A"/>
    <w:rsid w:val="00010A6E"/>
    <w:rsid w:val="00010B35"/>
    <w:rsid w:val="00010B41"/>
    <w:rsid w:val="00010B6C"/>
    <w:rsid w:val="00010BA8"/>
    <w:rsid w:val="00010C15"/>
    <w:rsid w:val="00010CFE"/>
    <w:rsid w:val="00010D9F"/>
    <w:rsid w:val="00010DAE"/>
    <w:rsid w:val="00010E42"/>
    <w:rsid w:val="00010E49"/>
    <w:rsid w:val="00010E6E"/>
    <w:rsid w:val="00010EC7"/>
    <w:rsid w:val="00010FA7"/>
    <w:rsid w:val="00010FBC"/>
    <w:rsid w:val="00010FCD"/>
    <w:rsid w:val="00011001"/>
    <w:rsid w:val="0001103A"/>
    <w:rsid w:val="000110DB"/>
    <w:rsid w:val="00011161"/>
    <w:rsid w:val="0001116E"/>
    <w:rsid w:val="00011227"/>
    <w:rsid w:val="0001127A"/>
    <w:rsid w:val="00011365"/>
    <w:rsid w:val="0001148E"/>
    <w:rsid w:val="0001149D"/>
    <w:rsid w:val="000114B7"/>
    <w:rsid w:val="00011573"/>
    <w:rsid w:val="0001157E"/>
    <w:rsid w:val="00011581"/>
    <w:rsid w:val="0001158F"/>
    <w:rsid w:val="000115D8"/>
    <w:rsid w:val="0001162C"/>
    <w:rsid w:val="00011641"/>
    <w:rsid w:val="0001167D"/>
    <w:rsid w:val="000117C8"/>
    <w:rsid w:val="000118A3"/>
    <w:rsid w:val="000118A8"/>
    <w:rsid w:val="00011973"/>
    <w:rsid w:val="00011A37"/>
    <w:rsid w:val="00011B7B"/>
    <w:rsid w:val="00011BD8"/>
    <w:rsid w:val="00011BE6"/>
    <w:rsid w:val="00011C24"/>
    <w:rsid w:val="00011C59"/>
    <w:rsid w:val="00011CCE"/>
    <w:rsid w:val="00011D1C"/>
    <w:rsid w:val="00011D41"/>
    <w:rsid w:val="00011D93"/>
    <w:rsid w:val="00011DEF"/>
    <w:rsid w:val="00011E1F"/>
    <w:rsid w:val="00011EA6"/>
    <w:rsid w:val="00011FA0"/>
    <w:rsid w:val="00012044"/>
    <w:rsid w:val="000120AB"/>
    <w:rsid w:val="000120EA"/>
    <w:rsid w:val="0001213D"/>
    <w:rsid w:val="00012206"/>
    <w:rsid w:val="00012248"/>
    <w:rsid w:val="000122D3"/>
    <w:rsid w:val="000123B3"/>
    <w:rsid w:val="00012434"/>
    <w:rsid w:val="00012454"/>
    <w:rsid w:val="00012483"/>
    <w:rsid w:val="0001248D"/>
    <w:rsid w:val="000124EA"/>
    <w:rsid w:val="0001256D"/>
    <w:rsid w:val="00012633"/>
    <w:rsid w:val="00012771"/>
    <w:rsid w:val="00012784"/>
    <w:rsid w:val="000127BB"/>
    <w:rsid w:val="000127F1"/>
    <w:rsid w:val="00012843"/>
    <w:rsid w:val="00012987"/>
    <w:rsid w:val="0001299C"/>
    <w:rsid w:val="000129B9"/>
    <w:rsid w:val="00012A4E"/>
    <w:rsid w:val="00012A79"/>
    <w:rsid w:val="00012AB7"/>
    <w:rsid w:val="00012B37"/>
    <w:rsid w:val="00012CDC"/>
    <w:rsid w:val="00012D48"/>
    <w:rsid w:val="00012D77"/>
    <w:rsid w:val="00012DE6"/>
    <w:rsid w:val="00012E3B"/>
    <w:rsid w:val="00012E4F"/>
    <w:rsid w:val="00012E7C"/>
    <w:rsid w:val="00012EB9"/>
    <w:rsid w:val="00012EE7"/>
    <w:rsid w:val="00012FE5"/>
    <w:rsid w:val="00013119"/>
    <w:rsid w:val="0001313A"/>
    <w:rsid w:val="000131BA"/>
    <w:rsid w:val="000131DD"/>
    <w:rsid w:val="0001324D"/>
    <w:rsid w:val="00013268"/>
    <w:rsid w:val="0001335D"/>
    <w:rsid w:val="00013506"/>
    <w:rsid w:val="00013598"/>
    <w:rsid w:val="0001363D"/>
    <w:rsid w:val="00013666"/>
    <w:rsid w:val="0001369B"/>
    <w:rsid w:val="000136D9"/>
    <w:rsid w:val="0001373F"/>
    <w:rsid w:val="00013757"/>
    <w:rsid w:val="0001377C"/>
    <w:rsid w:val="000137A1"/>
    <w:rsid w:val="000137A2"/>
    <w:rsid w:val="000137CB"/>
    <w:rsid w:val="00013841"/>
    <w:rsid w:val="00013891"/>
    <w:rsid w:val="000138D1"/>
    <w:rsid w:val="0001399C"/>
    <w:rsid w:val="00013A36"/>
    <w:rsid w:val="00013A8A"/>
    <w:rsid w:val="00013ACE"/>
    <w:rsid w:val="00013B95"/>
    <w:rsid w:val="00013BF7"/>
    <w:rsid w:val="00013CDB"/>
    <w:rsid w:val="00013CEC"/>
    <w:rsid w:val="00013DB1"/>
    <w:rsid w:val="00013DB8"/>
    <w:rsid w:val="00013E05"/>
    <w:rsid w:val="00013E33"/>
    <w:rsid w:val="00013F41"/>
    <w:rsid w:val="00013F8C"/>
    <w:rsid w:val="0001401E"/>
    <w:rsid w:val="00014028"/>
    <w:rsid w:val="00014050"/>
    <w:rsid w:val="000140D3"/>
    <w:rsid w:val="0001413B"/>
    <w:rsid w:val="00014162"/>
    <w:rsid w:val="00014205"/>
    <w:rsid w:val="000142AC"/>
    <w:rsid w:val="000142DB"/>
    <w:rsid w:val="0001431E"/>
    <w:rsid w:val="00014341"/>
    <w:rsid w:val="00014390"/>
    <w:rsid w:val="000143CE"/>
    <w:rsid w:val="00014484"/>
    <w:rsid w:val="00014489"/>
    <w:rsid w:val="000145D6"/>
    <w:rsid w:val="000147B1"/>
    <w:rsid w:val="000147BB"/>
    <w:rsid w:val="000147F2"/>
    <w:rsid w:val="00014838"/>
    <w:rsid w:val="00014849"/>
    <w:rsid w:val="00014884"/>
    <w:rsid w:val="00014901"/>
    <w:rsid w:val="0001494B"/>
    <w:rsid w:val="000149C8"/>
    <w:rsid w:val="000149ED"/>
    <w:rsid w:val="00014A1E"/>
    <w:rsid w:val="00014A4C"/>
    <w:rsid w:val="00014A64"/>
    <w:rsid w:val="00014B73"/>
    <w:rsid w:val="00014B96"/>
    <w:rsid w:val="00014BFA"/>
    <w:rsid w:val="00014D13"/>
    <w:rsid w:val="00014D2E"/>
    <w:rsid w:val="00014DC0"/>
    <w:rsid w:val="00014E20"/>
    <w:rsid w:val="00014EB2"/>
    <w:rsid w:val="00014F44"/>
    <w:rsid w:val="00014F59"/>
    <w:rsid w:val="00014F96"/>
    <w:rsid w:val="00014FB2"/>
    <w:rsid w:val="0001506C"/>
    <w:rsid w:val="00015072"/>
    <w:rsid w:val="0001508B"/>
    <w:rsid w:val="000150DC"/>
    <w:rsid w:val="00015101"/>
    <w:rsid w:val="0001513F"/>
    <w:rsid w:val="00015146"/>
    <w:rsid w:val="0001515A"/>
    <w:rsid w:val="00015174"/>
    <w:rsid w:val="000151B8"/>
    <w:rsid w:val="000151DB"/>
    <w:rsid w:val="000151FB"/>
    <w:rsid w:val="00015367"/>
    <w:rsid w:val="00015395"/>
    <w:rsid w:val="0001540F"/>
    <w:rsid w:val="0001543B"/>
    <w:rsid w:val="000154E5"/>
    <w:rsid w:val="0001552A"/>
    <w:rsid w:val="0001553F"/>
    <w:rsid w:val="00015574"/>
    <w:rsid w:val="00015588"/>
    <w:rsid w:val="0001560A"/>
    <w:rsid w:val="00015710"/>
    <w:rsid w:val="00015746"/>
    <w:rsid w:val="000157BA"/>
    <w:rsid w:val="000157D3"/>
    <w:rsid w:val="0001580A"/>
    <w:rsid w:val="00015830"/>
    <w:rsid w:val="000158DB"/>
    <w:rsid w:val="0001591C"/>
    <w:rsid w:val="00015921"/>
    <w:rsid w:val="00015929"/>
    <w:rsid w:val="00015981"/>
    <w:rsid w:val="000159B6"/>
    <w:rsid w:val="00015ACC"/>
    <w:rsid w:val="00015B30"/>
    <w:rsid w:val="00015BC2"/>
    <w:rsid w:val="00015C3D"/>
    <w:rsid w:val="00015DFB"/>
    <w:rsid w:val="00015E0D"/>
    <w:rsid w:val="00015F11"/>
    <w:rsid w:val="00015FF6"/>
    <w:rsid w:val="0001608E"/>
    <w:rsid w:val="000160AC"/>
    <w:rsid w:val="000161C5"/>
    <w:rsid w:val="00016256"/>
    <w:rsid w:val="0001632E"/>
    <w:rsid w:val="00016331"/>
    <w:rsid w:val="00016354"/>
    <w:rsid w:val="00016412"/>
    <w:rsid w:val="00016518"/>
    <w:rsid w:val="0001654C"/>
    <w:rsid w:val="00016569"/>
    <w:rsid w:val="000165A8"/>
    <w:rsid w:val="000165BA"/>
    <w:rsid w:val="000165C9"/>
    <w:rsid w:val="00016637"/>
    <w:rsid w:val="00016677"/>
    <w:rsid w:val="0001671B"/>
    <w:rsid w:val="000167E1"/>
    <w:rsid w:val="00016830"/>
    <w:rsid w:val="00016891"/>
    <w:rsid w:val="00016908"/>
    <w:rsid w:val="00016993"/>
    <w:rsid w:val="00016A32"/>
    <w:rsid w:val="00016B2A"/>
    <w:rsid w:val="00016BD0"/>
    <w:rsid w:val="00016C6C"/>
    <w:rsid w:val="00016D7E"/>
    <w:rsid w:val="00016E3C"/>
    <w:rsid w:val="00016F58"/>
    <w:rsid w:val="00016FCA"/>
    <w:rsid w:val="00017001"/>
    <w:rsid w:val="00017008"/>
    <w:rsid w:val="00017059"/>
    <w:rsid w:val="000170DE"/>
    <w:rsid w:val="000171F7"/>
    <w:rsid w:val="000171FE"/>
    <w:rsid w:val="00017204"/>
    <w:rsid w:val="0001727A"/>
    <w:rsid w:val="000172E4"/>
    <w:rsid w:val="00017487"/>
    <w:rsid w:val="000174EF"/>
    <w:rsid w:val="00017620"/>
    <w:rsid w:val="0001765D"/>
    <w:rsid w:val="00017772"/>
    <w:rsid w:val="000177B3"/>
    <w:rsid w:val="000177E6"/>
    <w:rsid w:val="0001781C"/>
    <w:rsid w:val="000178D7"/>
    <w:rsid w:val="0001791C"/>
    <w:rsid w:val="000179F6"/>
    <w:rsid w:val="000179F8"/>
    <w:rsid w:val="00017A2C"/>
    <w:rsid w:val="00017A6C"/>
    <w:rsid w:val="00017BA2"/>
    <w:rsid w:val="00017CA8"/>
    <w:rsid w:val="00017CAB"/>
    <w:rsid w:val="00017CCD"/>
    <w:rsid w:val="00017CFA"/>
    <w:rsid w:val="00017D3B"/>
    <w:rsid w:val="00017D40"/>
    <w:rsid w:val="00017D41"/>
    <w:rsid w:val="00017D52"/>
    <w:rsid w:val="00017DA3"/>
    <w:rsid w:val="00017DB4"/>
    <w:rsid w:val="00017DC0"/>
    <w:rsid w:val="00017E45"/>
    <w:rsid w:val="00017F27"/>
    <w:rsid w:val="00017F3D"/>
    <w:rsid w:val="00017F76"/>
    <w:rsid w:val="00017F77"/>
    <w:rsid w:val="00017F9C"/>
    <w:rsid w:val="00017FB7"/>
    <w:rsid w:val="00017FE4"/>
    <w:rsid w:val="00020001"/>
    <w:rsid w:val="00020054"/>
    <w:rsid w:val="00020069"/>
    <w:rsid w:val="000200D5"/>
    <w:rsid w:val="000201C3"/>
    <w:rsid w:val="00020328"/>
    <w:rsid w:val="000203BC"/>
    <w:rsid w:val="000203DC"/>
    <w:rsid w:val="00020413"/>
    <w:rsid w:val="0002042F"/>
    <w:rsid w:val="000204A2"/>
    <w:rsid w:val="00020586"/>
    <w:rsid w:val="00020610"/>
    <w:rsid w:val="00020626"/>
    <w:rsid w:val="00020635"/>
    <w:rsid w:val="00020682"/>
    <w:rsid w:val="00020699"/>
    <w:rsid w:val="000206AE"/>
    <w:rsid w:val="000207F9"/>
    <w:rsid w:val="00020815"/>
    <w:rsid w:val="00020824"/>
    <w:rsid w:val="00020841"/>
    <w:rsid w:val="00020887"/>
    <w:rsid w:val="0002089B"/>
    <w:rsid w:val="000208B9"/>
    <w:rsid w:val="0002091B"/>
    <w:rsid w:val="00020944"/>
    <w:rsid w:val="000209A7"/>
    <w:rsid w:val="00020B9F"/>
    <w:rsid w:val="00020BE2"/>
    <w:rsid w:val="00020BE6"/>
    <w:rsid w:val="00020BFB"/>
    <w:rsid w:val="00020C1C"/>
    <w:rsid w:val="00020C82"/>
    <w:rsid w:val="00020C98"/>
    <w:rsid w:val="00020C9D"/>
    <w:rsid w:val="00020CEC"/>
    <w:rsid w:val="00020D9C"/>
    <w:rsid w:val="00020E4A"/>
    <w:rsid w:val="00020E84"/>
    <w:rsid w:val="00021047"/>
    <w:rsid w:val="00021056"/>
    <w:rsid w:val="00021070"/>
    <w:rsid w:val="00021074"/>
    <w:rsid w:val="0002107C"/>
    <w:rsid w:val="00021092"/>
    <w:rsid w:val="00021136"/>
    <w:rsid w:val="000211A0"/>
    <w:rsid w:val="000212EE"/>
    <w:rsid w:val="000212FC"/>
    <w:rsid w:val="00021368"/>
    <w:rsid w:val="0002136D"/>
    <w:rsid w:val="0002136F"/>
    <w:rsid w:val="000213C0"/>
    <w:rsid w:val="000213C5"/>
    <w:rsid w:val="00021485"/>
    <w:rsid w:val="0002148F"/>
    <w:rsid w:val="000214B2"/>
    <w:rsid w:val="0002152D"/>
    <w:rsid w:val="00021544"/>
    <w:rsid w:val="0002158C"/>
    <w:rsid w:val="00021594"/>
    <w:rsid w:val="0002163A"/>
    <w:rsid w:val="0002176C"/>
    <w:rsid w:val="000217AD"/>
    <w:rsid w:val="00021831"/>
    <w:rsid w:val="00021863"/>
    <w:rsid w:val="0002191E"/>
    <w:rsid w:val="00021938"/>
    <w:rsid w:val="0002198D"/>
    <w:rsid w:val="00021B7F"/>
    <w:rsid w:val="00021BF8"/>
    <w:rsid w:val="00021C19"/>
    <w:rsid w:val="00021D5E"/>
    <w:rsid w:val="00021D99"/>
    <w:rsid w:val="00021D9F"/>
    <w:rsid w:val="00021E29"/>
    <w:rsid w:val="00021E41"/>
    <w:rsid w:val="00021EE3"/>
    <w:rsid w:val="00021F3B"/>
    <w:rsid w:val="00021F87"/>
    <w:rsid w:val="0002211C"/>
    <w:rsid w:val="0002219E"/>
    <w:rsid w:val="000221F8"/>
    <w:rsid w:val="0002221C"/>
    <w:rsid w:val="0002223E"/>
    <w:rsid w:val="00022254"/>
    <w:rsid w:val="0002237B"/>
    <w:rsid w:val="000223AF"/>
    <w:rsid w:val="000223D4"/>
    <w:rsid w:val="0002240D"/>
    <w:rsid w:val="00022487"/>
    <w:rsid w:val="00022502"/>
    <w:rsid w:val="00022526"/>
    <w:rsid w:val="000225BB"/>
    <w:rsid w:val="0002261D"/>
    <w:rsid w:val="00022654"/>
    <w:rsid w:val="000226A5"/>
    <w:rsid w:val="000226B2"/>
    <w:rsid w:val="00022795"/>
    <w:rsid w:val="000227CC"/>
    <w:rsid w:val="00022811"/>
    <w:rsid w:val="00022812"/>
    <w:rsid w:val="00022818"/>
    <w:rsid w:val="0002287E"/>
    <w:rsid w:val="00022882"/>
    <w:rsid w:val="000228B3"/>
    <w:rsid w:val="0002294E"/>
    <w:rsid w:val="00022981"/>
    <w:rsid w:val="0002298C"/>
    <w:rsid w:val="000229B2"/>
    <w:rsid w:val="00022AA0"/>
    <w:rsid w:val="00022B52"/>
    <w:rsid w:val="00022BE1"/>
    <w:rsid w:val="00022C57"/>
    <w:rsid w:val="00022D63"/>
    <w:rsid w:val="00022E5F"/>
    <w:rsid w:val="00022F20"/>
    <w:rsid w:val="00022F35"/>
    <w:rsid w:val="00022F70"/>
    <w:rsid w:val="00022F99"/>
    <w:rsid w:val="0002300F"/>
    <w:rsid w:val="00023047"/>
    <w:rsid w:val="00023085"/>
    <w:rsid w:val="000230B6"/>
    <w:rsid w:val="00023126"/>
    <w:rsid w:val="0002313F"/>
    <w:rsid w:val="0002314A"/>
    <w:rsid w:val="0002318C"/>
    <w:rsid w:val="000231A5"/>
    <w:rsid w:val="000232A8"/>
    <w:rsid w:val="0002331D"/>
    <w:rsid w:val="00023381"/>
    <w:rsid w:val="00023512"/>
    <w:rsid w:val="00023527"/>
    <w:rsid w:val="00023553"/>
    <w:rsid w:val="000235FA"/>
    <w:rsid w:val="00023617"/>
    <w:rsid w:val="00023657"/>
    <w:rsid w:val="00023703"/>
    <w:rsid w:val="00023742"/>
    <w:rsid w:val="00023766"/>
    <w:rsid w:val="0002376F"/>
    <w:rsid w:val="0002377B"/>
    <w:rsid w:val="000237EC"/>
    <w:rsid w:val="00023826"/>
    <w:rsid w:val="00023832"/>
    <w:rsid w:val="0002383C"/>
    <w:rsid w:val="00023864"/>
    <w:rsid w:val="0002388F"/>
    <w:rsid w:val="000239D4"/>
    <w:rsid w:val="000239D8"/>
    <w:rsid w:val="00023A66"/>
    <w:rsid w:val="00023AB4"/>
    <w:rsid w:val="00023AF1"/>
    <w:rsid w:val="00023AF2"/>
    <w:rsid w:val="00023B38"/>
    <w:rsid w:val="00023BC8"/>
    <w:rsid w:val="00023BE6"/>
    <w:rsid w:val="00023BEC"/>
    <w:rsid w:val="00023CDD"/>
    <w:rsid w:val="00023DBC"/>
    <w:rsid w:val="00023DDF"/>
    <w:rsid w:val="00023E4B"/>
    <w:rsid w:val="00023E61"/>
    <w:rsid w:val="00023EEE"/>
    <w:rsid w:val="00024091"/>
    <w:rsid w:val="000241B1"/>
    <w:rsid w:val="000241BE"/>
    <w:rsid w:val="00024206"/>
    <w:rsid w:val="00024230"/>
    <w:rsid w:val="00024360"/>
    <w:rsid w:val="00024476"/>
    <w:rsid w:val="0002452D"/>
    <w:rsid w:val="00024537"/>
    <w:rsid w:val="0002455B"/>
    <w:rsid w:val="00024586"/>
    <w:rsid w:val="0002458F"/>
    <w:rsid w:val="00024601"/>
    <w:rsid w:val="000246E6"/>
    <w:rsid w:val="00024721"/>
    <w:rsid w:val="00024780"/>
    <w:rsid w:val="000247A0"/>
    <w:rsid w:val="000247E7"/>
    <w:rsid w:val="000247E8"/>
    <w:rsid w:val="000247FE"/>
    <w:rsid w:val="00024815"/>
    <w:rsid w:val="00024835"/>
    <w:rsid w:val="0002485C"/>
    <w:rsid w:val="00024961"/>
    <w:rsid w:val="00024A27"/>
    <w:rsid w:val="00024A49"/>
    <w:rsid w:val="00024A4B"/>
    <w:rsid w:val="00024A67"/>
    <w:rsid w:val="00024AB0"/>
    <w:rsid w:val="00024B09"/>
    <w:rsid w:val="00024C91"/>
    <w:rsid w:val="00024CBC"/>
    <w:rsid w:val="00024CD4"/>
    <w:rsid w:val="00024D14"/>
    <w:rsid w:val="00024DA9"/>
    <w:rsid w:val="00024EDB"/>
    <w:rsid w:val="00024F3C"/>
    <w:rsid w:val="00024F4D"/>
    <w:rsid w:val="00024F60"/>
    <w:rsid w:val="00024FB1"/>
    <w:rsid w:val="00025033"/>
    <w:rsid w:val="0002508A"/>
    <w:rsid w:val="00025126"/>
    <w:rsid w:val="00025168"/>
    <w:rsid w:val="000251F9"/>
    <w:rsid w:val="00025268"/>
    <w:rsid w:val="000252E2"/>
    <w:rsid w:val="0002530B"/>
    <w:rsid w:val="00025332"/>
    <w:rsid w:val="000253CF"/>
    <w:rsid w:val="00025404"/>
    <w:rsid w:val="00025411"/>
    <w:rsid w:val="00025460"/>
    <w:rsid w:val="000254D8"/>
    <w:rsid w:val="000254F1"/>
    <w:rsid w:val="00025526"/>
    <w:rsid w:val="00025528"/>
    <w:rsid w:val="0002552B"/>
    <w:rsid w:val="0002555D"/>
    <w:rsid w:val="000255AA"/>
    <w:rsid w:val="000255C0"/>
    <w:rsid w:val="00025617"/>
    <w:rsid w:val="00025682"/>
    <w:rsid w:val="00025743"/>
    <w:rsid w:val="0002579E"/>
    <w:rsid w:val="00025850"/>
    <w:rsid w:val="000258AD"/>
    <w:rsid w:val="000258D5"/>
    <w:rsid w:val="0002590F"/>
    <w:rsid w:val="0002596A"/>
    <w:rsid w:val="0002596E"/>
    <w:rsid w:val="000259B9"/>
    <w:rsid w:val="00025B56"/>
    <w:rsid w:val="00025B70"/>
    <w:rsid w:val="00025CD1"/>
    <w:rsid w:val="00025D15"/>
    <w:rsid w:val="00025DB0"/>
    <w:rsid w:val="00025E1E"/>
    <w:rsid w:val="00025E5C"/>
    <w:rsid w:val="00025E8C"/>
    <w:rsid w:val="00025FA0"/>
    <w:rsid w:val="00026020"/>
    <w:rsid w:val="00026187"/>
    <w:rsid w:val="000261CE"/>
    <w:rsid w:val="0002629E"/>
    <w:rsid w:val="000262A6"/>
    <w:rsid w:val="00026426"/>
    <w:rsid w:val="00026474"/>
    <w:rsid w:val="00026496"/>
    <w:rsid w:val="000264C7"/>
    <w:rsid w:val="0002654B"/>
    <w:rsid w:val="000265D8"/>
    <w:rsid w:val="000265FB"/>
    <w:rsid w:val="0002660A"/>
    <w:rsid w:val="00026688"/>
    <w:rsid w:val="00026802"/>
    <w:rsid w:val="00026894"/>
    <w:rsid w:val="000268A3"/>
    <w:rsid w:val="000268B3"/>
    <w:rsid w:val="0002692B"/>
    <w:rsid w:val="00026973"/>
    <w:rsid w:val="000269F9"/>
    <w:rsid w:val="00026A05"/>
    <w:rsid w:val="00026C7B"/>
    <w:rsid w:val="00026C85"/>
    <w:rsid w:val="00026C8C"/>
    <w:rsid w:val="00026D0D"/>
    <w:rsid w:val="00026D68"/>
    <w:rsid w:val="00026E6B"/>
    <w:rsid w:val="00026EC0"/>
    <w:rsid w:val="00026FE2"/>
    <w:rsid w:val="00027038"/>
    <w:rsid w:val="000270AD"/>
    <w:rsid w:val="00027114"/>
    <w:rsid w:val="0002712C"/>
    <w:rsid w:val="000273DE"/>
    <w:rsid w:val="0002756D"/>
    <w:rsid w:val="00027602"/>
    <w:rsid w:val="00027617"/>
    <w:rsid w:val="000276C2"/>
    <w:rsid w:val="00027782"/>
    <w:rsid w:val="000277FE"/>
    <w:rsid w:val="00027811"/>
    <w:rsid w:val="000278F0"/>
    <w:rsid w:val="00027A65"/>
    <w:rsid w:val="00027A95"/>
    <w:rsid w:val="00027B11"/>
    <w:rsid w:val="00027BD5"/>
    <w:rsid w:val="00027C75"/>
    <w:rsid w:val="00027CAC"/>
    <w:rsid w:val="00027D77"/>
    <w:rsid w:val="00027E6E"/>
    <w:rsid w:val="00027EED"/>
    <w:rsid w:val="00027F0F"/>
    <w:rsid w:val="00027F18"/>
    <w:rsid w:val="00027F2B"/>
    <w:rsid w:val="00027FF9"/>
    <w:rsid w:val="00030068"/>
    <w:rsid w:val="000300BF"/>
    <w:rsid w:val="0003010E"/>
    <w:rsid w:val="0003010F"/>
    <w:rsid w:val="00030141"/>
    <w:rsid w:val="0003018B"/>
    <w:rsid w:val="000301E6"/>
    <w:rsid w:val="0003022A"/>
    <w:rsid w:val="0003025F"/>
    <w:rsid w:val="0003027D"/>
    <w:rsid w:val="000302B9"/>
    <w:rsid w:val="0003037C"/>
    <w:rsid w:val="00030387"/>
    <w:rsid w:val="00030435"/>
    <w:rsid w:val="00030447"/>
    <w:rsid w:val="0003060C"/>
    <w:rsid w:val="00030622"/>
    <w:rsid w:val="00030687"/>
    <w:rsid w:val="000306D0"/>
    <w:rsid w:val="000307AC"/>
    <w:rsid w:val="00030809"/>
    <w:rsid w:val="0003084A"/>
    <w:rsid w:val="0003090C"/>
    <w:rsid w:val="00030A41"/>
    <w:rsid w:val="00030AAD"/>
    <w:rsid w:val="00030C02"/>
    <w:rsid w:val="00030C1E"/>
    <w:rsid w:val="00030CC3"/>
    <w:rsid w:val="00030D27"/>
    <w:rsid w:val="00030D50"/>
    <w:rsid w:val="00030D7E"/>
    <w:rsid w:val="00030D8C"/>
    <w:rsid w:val="00030DD9"/>
    <w:rsid w:val="00030E04"/>
    <w:rsid w:val="00030E7A"/>
    <w:rsid w:val="00030E82"/>
    <w:rsid w:val="00030E9E"/>
    <w:rsid w:val="00030EC0"/>
    <w:rsid w:val="00030F1E"/>
    <w:rsid w:val="00030F7C"/>
    <w:rsid w:val="00031001"/>
    <w:rsid w:val="0003105E"/>
    <w:rsid w:val="00031069"/>
    <w:rsid w:val="00031166"/>
    <w:rsid w:val="000311B8"/>
    <w:rsid w:val="000311FD"/>
    <w:rsid w:val="00031226"/>
    <w:rsid w:val="0003131E"/>
    <w:rsid w:val="0003132A"/>
    <w:rsid w:val="0003139D"/>
    <w:rsid w:val="000313FF"/>
    <w:rsid w:val="000314C9"/>
    <w:rsid w:val="0003152C"/>
    <w:rsid w:val="00031794"/>
    <w:rsid w:val="00031815"/>
    <w:rsid w:val="0003184E"/>
    <w:rsid w:val="000318CF"/>
    <w:rsid w:val="000318DE"/>
    <w:rsid w:val="000318FA"/>
    <w:rsid w:val="00031986"/>
    <w:rsid w:val="00031993"/>
    <w:rsid w:val="000319BC"/>
    <w:rsid w:val="000319C6"/>
    <w:rsid w:val="00031A82"/>
    <w:rsid w:val="00031AC8"/>
    <w:rsid w:val="00031AD8"/>
    <w:rsid w:val="00031AEC"/>
    <w:rsid w:val="00031B30"/>
    <w:rsid w:val="00031BA2"/>
    <w:rsid w:val="00031C41"/>
    <w:rsid w:val="00031CFE"/>
    <w:rsid w:val="00031DA9"/>
    <w:rsid w:val="00031EC2"/>
    <w:rsid w:val="00031ECE"/>
    <w:rsid w:val="00031F1B"/>
    <w:rsid w:val="00031F45"/>
    <w:rsid w:val="00031F6E"/>
    <w:rsid w:val="00031F76"/>
    <w:rsid w:val="000320B8"/>
    <w:rsid w:val="000320DD"/>
    <w:rsid w:val="00032105"/>
    <w:rsid w:val="0003215E"/>
    <w:rsid w:val="0003220B"/>
    <w:rsid w:val="00032277"/>
    <w:rsid w:val="00032321"/>
    <w:rsid w:val="00032361"/>
    <w:rsid w:val="0003236D"/>
    <w:rsid w:val="0003239D"/>
    <w:rsid w:val="000323BB"/>
    <w:rsid w:val="00032450"/>
    <w:rsid w:val="00032480"/>
    <w:rsid w:val="00032554"/>
    <w:rsid w:val="0003257C"/>
    <w:rsid w:val="00032610"/>
    <w:rsid w:val="0003272F"/>
    <w:rsid w:val="0003273B"/>
    <w:rsid w:val="00032740"/>
    <w:rsid w:val="000327C8"/>
    <w:rsid w:val="0003289D"/>
    <w:rsid w:val="00032935"/>
    <w:rsid w:val="0003296C"/>
    <w:rsid w:val="00032AA3"/>
    <w:rsid w:val="00032AAF"/>
    <w:rsid w:val="00032B6E"/>
    <w:rsid w:val="00032CCD"/>
    <w:rsid w:val="00032D16"/>
    <w:rsid w:val="00032D2A"/>
    <w:rsid w:val="00032EA9"/>
    <w:rsid w:val="00032EC9"/>
    <w:rsid w:val="00032ED7"/>
    <w:rsid w:val="00032ED9"/>
    <w:rsid w:val="00032EF7"/>
    <w:rsid w:val="00032F2F"/>
    <w:rsid w:val="000331B1"/>
    <w:rsid w:val="000331C8"/>
    <w:rsid w:val="000331CB"/>
    <w:rsid w:val="000332FC"/>
    <w:rsid w:val="00033355"/>
    <w:rsid w:val="00033391"/>
    <w:rsid w:val="000333A4"/>
    <w:rsid w:val="000333C9"/>
    <w:rsid w:val="00033426"/>
    <w:rsid w:val="00033486"/>
    <w:rsid w:val="000334A4"/>
    <w:rsid w:val="0003355F"/>
    <w:rsid w:val="00033571"/>
    <w:rsid w:val="00033578"/>
    <w:rsid w:val="000335A3"/>
    <w:rsid w:val="000335E3"/>
    <w:rsid w:val="00033618"/>
    <w:rsid w:val="00033665"/>
    <w:rsid w:val="00033699"/>
    <w:rsid w:val="0003371D"/>
    <w:rsid w:val="0003372D"/>
    <w:rsid w:val="000337A0"/>
    <w:rsid w:val="000337CF"/>
    <w:rsid w:val="00033806"/>
    <w:rsid w:val="0003382A"/>
    <w:rsid w:val="00033836"/>
    <w:rsid w:val="00033912"/>
    <w:rsid w:val="00033915"/>
    <w:rsid w:val="000339F2"/>
    <w:rsid w:val="00033B0F"/>
    <w:rsid w:val="00033C0D"/>
    <w:rsid w:val="00033C8C"/>
    <w:rsid w:val="00033CA6"/>
    <w:rsid w:val="00033CFE"/>
    <w:rsid w:val="00033D80"/>
    <w:rsid w:val="00033DCD"/>
    <w:rsid w:val="00033E4E"/>
    <w:rsid w:val="00033EA7"/>
    <w:rsid w:val="00033EF4"/>
    <w:rsid w:val="00033F4A"/>
    <w:rsid w:val="00033F52"/>
    <w:rsid w:val="00033FA1"/>
    <w:rsid w:val="00034084"/>
    <w:rsid w:val="000340CA"/>
    <w:rsid w:val="00034122"/>
    <w:rsid w:val="0003419E"/>
    <w:rsid w:val="000342D6"/>
    <w:rsid w:val="000342DC"/>
    <w:rsid w:val="00034303"/>
    <w:rsid w:val="00034326"/>
    <w:rsid w:val="000343D0"/>
    <w:rsid w:val="000343ED"/>
    <w:rsid w:val="0003441E"/>
    <w:rsid w:val="00034465"/>
    <w:rsid w:val="000345A9"/>
    <w:rsid w:val="000345CF"/>
    <w:rsid w:val="0003466E"/>
    <w:rsid w:val="0003469D"/>
    <w:rsid w:val="000346A9"/>
    <w:rsid w:val="00034712"/>
    <w:rsid w:val="0003480D"/>
    <w:rsid w:val="00034981"/>
    <w:rsid w:val="000349D2"/>
    <w:rsid w:val="000349E6"/>
    <w:rsid w:val="00034A9E"/>
    <w:rsid w:val="00034ADB"/>
    <w:rsid w:val="00034B8A"/>
    <w:rsid w:val="00034BDD"/>
    <w:rsid w:val="00034BF6"/>
    <w:rsid w:val="00034C17"/>
    <w:rsid w:val="00034C53"/>
    <w:rsid w:val="00034C7E"/>
    <w:rsid w:val="00034CEE"/>
    <w:rsid w:val="00034D00"/>
    <w:rsid w:val="00034D42"/>
    <w:rsid w:val="00034D62"/>
    <w:rsid w:val="00034E4B"/>
    <w:rsid w:val="00034F1E"/>
    <w:rsid w:val="00034FB6"/>
    <w:rsid w:val="00035073"/>
    <w:rsid w:val="00035139"/>
    <w:rsid w:val="0003516A"/>
    <w:rsid w:val="000351C6"/>
    <w:rsid w:val="000351DB"/>
    <w:rsid w:val="000352B1"/>
    <w:rsid w:val="00035363"/>
    <w:rsid w:val="0003536B"/>
    <w:rsid w:val="00035436"/>
    <w:rsid w:val="0003545F"/>
    <w:rsid w:val="0003547D"/>
    <w:rsid w:val="000354B9"/>
    <w:rsid w:val="000354FB"/>
    <w:rsid w:val="000355FB"/>
    <w:rsid w:val="0003561C"/>
    <w:rsid w:val="0003564C"/>
    <w:rsid w:val="000356D5"/>
    <w:rsid w:val="000356E9"/>
    <w:rsid w:val="00035712"/>
    <w:rsid w:val="00035713"/>
    <w:rsid w:val="00035730"/>
    <w:rsid w:val="00035732"/>
    <w:rsid w:val="00035750"/>
    <w:rsid w:val="0003577B"/>
    <w:rsid w:val="00035783"/>
    <w:rsid w:val="00035789"/>
    <w:rsid w:val="000357BC"/>
    <w:rsid w:val="00035810"/>
    <w:rsid w:val="00035823"/>
    <w:rsid w:val="00035917"/>
    <w:rsid w:val="00035A05"/>
    <w:rsid w:val="00035A3B"/>
    <w:rsid w:val="00035A56"/>
    <w:rsid w:val="00035BAE"/>
    <w:rsid w:val="00035BC7"/>
    <w:rsid w:val="00035C09"/>
    <w:rsid w:val="00035C1E"/>
    <w:rsid w:val="00035D6E"/>
    <w:rsid w:val="00035E5E"/>
    <w:rsid w:val="00035E78"/>
    <w:rsid w:val="00035E86"/>
    <w:rsid w:val="00035F90"/>
    <w:rsid w:val="000360FC"/>
    <w:rsid w:val="00036252"/>
    <w:rsid w:val="000362C9"/>
    <w:rsid w:val="00036306"/>
    <w:rsid w:val="00036323"/>
    <w:rsid w:val="00036341"/>
    <w:rsid w:val="00036346"/>
    <w:rsid w:val="00036416"/>
    <w:rsid w:val="000364C9"/>
    <w:rsid w:val="00036548"/>
    <w:rsid w:val="00036553"/>
    <w:rsid w:val="0003658C"/>
    <w:rsid w:val="000365B3"/>
    <w:rsid w:val="000365F6"/>
    <w:rsid w:val="0003665A"/>
    <w:rsid w:val="00036707"/>
    <w:rsid w:val="00036780"/>
    <w:rsid w:val="00036884"/>
    <w:rsid w:val="000368AA"/>
    <w:rsid w:val="00036925"/>
    <w:rsid w:val="00036980"/>
    <w:rsid w:val="00036981"/>
    <w:rsid w:val="000369B3"/>
    <w:rsid w:val="000369E8"/>
    <w:rsid w:val="00036A26"/>
    <w:rsid w:val="00036A35"/>
    <w:rsid w:val="00036A67"/>
    <w:rsid w:val="00036AA4"/>
    <w:rsid w:val="00036AF7"/>
    <w:rsid w:val="00036B02"/>
    <w:rsid w:val="00036B34"/>
    <w:rsid w:val="00036BE6"/>
    <w:rsid w:val="00036C41"/>
    <w:rsid w:val="00036C4A"/>
    <w:rsid w:val="00036CDA"/>
    <w:rsid w:val="00036D16"/>
    <w:rsid w:val="00036ECA"/>
    <w:rsid w:val="00036F3A"/>
    <w:rsid w:val="00036F56"/>
    <w:rsid w:val="00036F7C"/>
    <w:rsid w:val="00036FB3"/>
    <w:rsid w:val="00036FB4"/>
    <w:rsid w:val="00036FE2"/>
    <w:rsid w:val="00036FFE"/>
    <w:rsid w:val="0003701E"/>
    <w:rsid w:val="00037038"/>
    <w:rsid w:val="000370F4"/>
    <w:rsid w:val="0003731D"/>
    <w:rsid w:val="0003735B"/>
    <w:rsid w:val="000373F2"/>
    <w:rsid w:val="000373F6"/>
    <w:rsid w:val="0003745D"/>
    <w:rsid w:val="00037485"/>
    <w:rsid w:val="000374A6"/>
    <w:rsid w:val="000374CB"/>
    <w:rsid w:val="0003753A"/>
    <w:rsid w:val="0003753B"/>
    <w:rsid w:val="000375D9"/>
    <w:rsid w:val="00037635"/>
    <w:rsid w:val="000376C6"/>
    <w:rsid w:val="00037732"/>
    <w:rsid w:val="00037784"/>
    <w:rsid w:val="00037837"/>
    <w:rsid w:val="00037886"/>
    <w:rsid w:val="000378BF"/>
    <w:rsid w:val="000378F9"/>
    <w:rsid w:val="0003795F"/>
    <w:rsid w:val="00037981"/>
    <w:rsid w:val="00037A54"/>
    <w:rsid w:val="00037B17"/>
    <w:rsid w:val="00037B33"/>
    <w:rsid w:val="00037B59"/>
    <w:rsid w:val="00037C14"/>
    <w:rsid w:val="00037C8D"/>
    <w:rsid w:val="00037CD4"/>
    <w:rsid w:val="00037CDF"/>
    <w:rsid w:val="00037D2D"/>
    <w:rsid w:val="00037D3D"/>
    <w:rsid w:val="00037D90"/>
    <w:rsid w:val="00037DA1"/>
    <w:rsid w:val="00037DBC"/>
    <w:rsid w:val="00037E0E"/>
    <w:rsid w:val="00037E87"/>
    <w:rsid w:val="00037EAF"/>
    <w:rsid w:val="00037ECB"/>
    <w:rsid w:val="00037EDC"/>
    <w:rsid w:val="00037EE1"/>
    <w:rsid w:val="00037EF5"/>
    <w:rsid w:val="00037F60"/>
    <w:rsid w:val="00037FA8"/>
    <w:rsid w:val="00040021"/>
    <w:rsid w:val="00040031"/>
    <w:rsid w:val="00040033"/>
    <w:rsid w:val="00040079"/>
    <w:rsid w:val="00040100"/>
    <w:rsid w:val="00040140"/>
    <w:rsid w:val="0004014E"/>
    <w:rsid w:val="0004015B"/>
    <w:rsid w:val="0004016B"/>
    <w:rsid w:val="00040176"/>
    <w:rsid w:val="000401CB"/>
    <w:rsid w:val="00040240"/>
    <w:rsid w:val="00040288"/>
    <w:rsid w:val="00040446"/>
    <w:rsid w:val="00040449"/>
    <w:rsid w:val="00040464"/>
    <w:rsid w:val="0004049F"/>
    <w:rsid w:val="000404EE"/>
    <w:rsid w:val="00040575"/>
    <w:rsid w:val="00040590"/>
    <w:rsid w:val="000405C9"/>
    <w:rsid w:val="00040666"/>
    <w:rsid w:val="000406E9"/>
    <w:rsid w:val="0004079E"/>
    <w:rsid w:val="000407DC"/>
    <w:rsid w:val="000407E6"/>
    <w:rsid w:val="0004086B"/>
    <w:rsid w:val="000408D4"/>
    <w:rsid w:val="00040AC4"/>
    <w:rsid w:val="00040AE3"/>
    <w:rsid w:val="00040B9F"/>
    <w:rsid w:val="00040BB4"/>
    <w:rsid w:val="00040BE6"/>
    <w:rsid w:val="00040CB8"/>
    <w:rsid w:val="00040CE4"/>
    <w:rsid w:val="00040DA8"/>
    <w:rsid w:val="00040E50"/>
    <w:rsid w:val="00040EC7"/>
    <w:rsid w:val="00040F54"/>
    <w:rsid w:val="00040F6F"/>
    <w:rsid w:val="00041099"/>
    <w:rsid w:val="000410B3"/>
    <w:rsid w:val="00041116"/>
    <w:rsid w:val="0004114A"/>
    <w:rsid w:val="00041250"/>
    <w:rsid w:val="00041278"/>
    <w:rsid w:val="0004137B"/>
    <w:rsid w:val="00041388"/>
    <w:rsid w:val="000413A5"/>
    <w:rsid w:val="000413BB"/>
    <w:rsid w:val="00041411"/>
    <w:rsid w:val="00041460"/>
    <w:rsid w:val="000414C3"/>
    <w:rsid w:val="00041574"/>
    <w:rsid w:val="00041679"/>
    <w:rsid w:val="00041739"/>
    <w:rsid w:val="00041779"/>
    <w:rsid w:val="000417B3"/>
    <w:rsid w:val="000417BD"/>
    <w:rsid w:val="00041875"/>
    <w:rsid w:val="00041895"/>
    <w:rsid w:val="0004198F"/>
    <w:rsid w:val="000419F4"/>
    <w:rsid w:val="00041A59"/>
    <w:rsid w:val="00041A85"/>
    <w:rsid w:val="00041AA1"/>
    <w:rsid w:val="00041AB4"/>
    <w:rsid w:val="00041B5C"/>
    <w:rsid w:val="00041DB6"/>
    <w:rsid w:val="00041F15"/>
    <w:rsid w:val="00041F5B"/>
    <w:rsid w:val="00041F75"/>
    <w:rsid w:val="00041FA2"/>
    <w:rsid w:val="00041FAB"/>
    <w:rsid w:val="00042018"/>
    <w:rsid w:val="00042041"/>
    <w:rsid w:val="000420E6"/>
    <w:rsid w:val="00042121"/>
    <w:rsid w:val="0004215F"/>
    <w:rsid w:val="00042176"/>
    <w:rsid w:val="000421D2"/>
    <w:rsid w:val="0004225A"/>
    <w:rsid w:val="000422CF"/>
    <w:rsid w:val="00042373"/>
    <w:rsid w:val="00042379"/>
    <w:rsid w:val="00042461"/>
    <w:rsid w:val="00042466"/>
    <w:rsid w:val="0004249C"/>
    <w:rsid w:val="000424C9"/>
    <w:rsid w:val="00042548"/>
    <w:rsid w:val="00042554"/>
    <w:rsid w:val="00042638"/>
    <w:rsid w:val="0004263E"/>
    <w:rsid w:val="000426F4"/>
    <w:rsid w:val="000426F8"/>
    <w:rsid w:val="000427CF"/>
    <w:rsid w:val="00042805"/>
    <w:rsid w:val="00042859"/>
    <w:rsid w:val="000428B5"/>
    <w:rsid w:val="000428B6"/>
    <w:rsid w:val="00042962"/>
    <w:rsid w:val="00042A6A"/>
    <w:rsid w:val="00042B1E"/>
    <w:rsid w:val="00042B2E"/>
    <w:rsid w:val="00042BD1"/>
    <w:rsid w:val="00042BD3"/>
    <w:rsid w:val="00042C4A"/>
    <w:rsid w:val="00042C8D"/>
    <w:rsid w:val="00042D1D"/>
    <w:rsid w:val="00042D1F"/>
    <w:rsid w:val="00042D30"/>
    <w:rsid w:val="00042D67"/>
    <w:rsid w:val="00042D9B"/>
    <w:rsid w:val="00042E1E"/>
    <w:rsid w:val="00042E68"/>
    <w:rsid w:val="00042EF0"/>
    <w:rsid w:val="00042F1C"/>
    <w:rsid w:val="00042F3E"/>
    <w:rsid w:val="00042F8F"/>
    <w:rsid w:val="00042F98"/>
    <w:rsid w:val="00042FAB"/>
    <w:rsid w:val="0004302B"/>
    <w:rsid w:val="00043044"/>
    <w:rsid w:val="00043065"/>
    <w:rsid w:val="000430DC"/>
    <w:rsid w:val="00043137"/>
    <w:rsid w:val="00043157"/>
    <w:rsid w:val="0004318B"/>
    <w:rsid w:val="000431C9"/>
    <w:rsid w:val="00043258"/>
    <w:rsid w:val="00043272"/>
    <w:rsid w:val="000432B3"/>
    <w:rsid w:val="000432F1"/>
    <w:rsid w:val="0004345E"/>
    <w:rsid w:val="0004346C"/>
    <w:rsid w:val="00043574"/>
    <w:rsid w:val="000435B0"/>
    <w:rsid w:val="000435F3"/>
    <w:rsid w:val="0004379D"/>
    <w:rsid w:val="00043875"/>
    <w:rsid w:val="00043892"/>
    <w:rsid w:val="00043897"/>
    <w:rsid w:val="000438DD"/>
    <w:rsid w:val="0004392C"/>
    <w:rsid w:val="0004396F"/>
    <w:rsid w:val="00043A36"/>
    <w:rsid w:val="00043A62"/>
    <w:rsid w:val="00043A81"/>
    <w:rsid w:val="00043ADF"/>
    <w:rsid w:val="00043B0F"/>
    <w:rsid w:val="00043B3D"/>
    <w:rsid w:val="00043B79"/>
    <w:rsid w:val="00043B7A"/>
    <w:rsid w:val="00043BB8"/>
    <w:rsid w:val="00043C09"/>
    <w:rsid w:val="00043CA0"/>
    <w:rsid w:val="00043D53"/>
    <w:rsid w:val="00043EEB"/>
    <w:rsid w:val="000440F8"/>
    <w:rsid w:val="00044102"/>
    <w:rsid w:val="00044103"/>
    <w:rsid w:val="00044108"/>
    <w:rsid w:val="00044138"/>
    <w:rsid w:val="0004417A"/>
    <w:rsid w:val="0004417C"/>
    <w:rsid w:val="000441B3"/>
    <w:rsid w:val="000441BF"/>
    <w:rsid w:val="0004424C"/>
    <w:rsid w:val="00044307"/>
    <w:rsid w:val="0004432E"/>
    <w:rsid w:val="0004434C"/>
    <w:rsid w:val="0004436D"/>
    <w:rsid w:val="00044441"/>
    <w:rsid w:val="00044451"/>
    <w:rsid w:val="000444A2"/>
    <w:rsid w:val="000444FE"/>
    <w:rsid w:val="00044574"/>
    <w:rsid w:val="0004464F"/>
    <w:rsid w:val="00044689"/>
    <w:rsid w:val="000446D5"/>
    <w:rsid w:val="0004471C"/>
    <w:rsid w:val="00044771"/>
    <w:rsid w:val="00044805"/>
    <w:rsid w:val="0004481D"/>
    <w:rsid w:val="0004482F"/>
    <w:rsid w:val="00044832"/>
    <w:rsid w:val="00044862"/>
    <w:rsid w:val="00044A0C"/>
    <w:rsid w:val="00044A47"/>
    <w:rsid w:val="00044AB3"/>
    <w:rsid w:val="00044AC2"/>
    <w:rsid w:val="00044B1A"/>
    <w:rsid w:val="00044B29"/>
    <w:rsid w:val="00044B45"/>
    <w:rsid w:val="00044BA6"/>
    <w:rsid w:val="00044C23"/>
    <w:rsid w:val="00044CA1"/>
    <w:rsid w:val="00044CE8"/>
    <w:rsid w:val="00044D3A"/>
    <w:rsid w:val="00044DCC"/>
    <w:rsid w:val="00044DEA"/>
    <w:rsid w:val="00044DF4"/>
    <w:rsid w:val="00044F75"/>
    <w:rsid w:val="00044F8B"/>
    <w:rsid w:val="00044FAE"/>
    <w:rsid w:val="00044FE1"/>
    <w:rsid w:val="0004508F"/>
    <w:rsid w:val="00045135"/>
    <w:rsid w:val="000451AB"/>
    <w:rsid w:val="000452D1"/>
    <w:rsid w:val="000452FA"/>
    <w:rsid w:val="000452FD"/>
    <w:rsid w:val="00045352"/>
    <w:rsid w:val="000453E3"/>
    <w:rsid w:val="0004547C"/>
    <w:rsid w:val="00045541"/>
    <w:rsid w:val="000455B8"/>
    <w:rsid w:val="000455F0"/>
    <w:rsid w:val="00045616"/>
    <w:rsid w:val="000456C3"/>
    <w:rsid w:val="000456D6"/>
    <w:rsid w:val="000456E9"/>
    <w:rsid w:val="000458FF"/>
    <w:rsid w:val="00045918"/>
    <w:rsid w:val="0004593F"/>
    <w:rsid w:val="00045944"/>
    <w:rsid w:val="000459AB"/>
    <w:rsid w:val="000459DB"/>
    <w:rsid w:val="00045A1B"/>
    <w:rsid w:val="00045AA8"/>
    <w:rsid w:val="00045AFD"/>
    <w:rsid w:val="00045B64"/>
    <w:rsid w:val="00045B75"/>
    <w:rsid w:val="00045B9A"/>
    <w:rsid w:val="00045CAC"/>
    <w:rsid w:val="00045CBC"/>
    <w:rsid w:val="00045E43"/>
    <w:rsid w:val="00045F20"/>
    <w:rsid w:val="00045F3A"/>
    <w:rsid w:val="00046057"/>
    <w:rsid w:val="00046117"/>
    <w:rsid w:val="00046124"/>
    <w:rsid w:val="00046143"/>
    <w:rsid w:val="00046165"/>
    <w:rsid w:val="00046187"/>
    <w:rsid w:val="0004621C"/>
    <w:rsid w:val="0004627B"/>
    <w:rsid w:val="0004629B"/>
    <w:rsid w:val="000462AF"/>
    <w:rsid w:val="000463A5"/>
    <w:rsid w:val="000463D0"/>
    <w:rsid w:val="00046457"/>
    <w:rsid w:val="0004647E"/>
    <w:rsid w:val="00046504"/>
    <w:rsid w:val="00046527"/>
    <w:rsid w:val="000465CB"/>
    <w:rsid w:val="0004661F"/>
    <w:rsid w:val="00046640"/>
    <w:rsid w:val="00046740"/>
    <w:rsid w:val="000467EB"/>
    <w:rsid w:val="000467FD"/>
    <w:rsid w:val="0004681D"/>
    <w:rsid w:val="0004692E"/>
    <w:rsid w:val="0004699B"/>
    <w:rsid w:val="000469A2"/>
    <w:rsid w:val="000469CF"/>
    <w:rsid w:val="00046A0D"/>
    <w:rsid w:val="00046B57"/>
    <w:rsid w:val="00046C0A"/>
    <w:rsid w:val="00046C19"/>
    <w:rsid w:val="00046C7A"/>
    <w:rsid w:val="00046CF2"/>
    <w:rsid w:val="00046D31"/>
    <w:rsid w:val="00046E19"/>
    <w:rsid w:val="00046F05"/>
    <w:rsid w:val="00047034"/>
    <w:rsid w:val="00047062"/>
    <w:rsid w:val="0004712A"/>
    <w:rsid w:val="000471B2"/>
    <w:rsid w:val="000472D1"/>
    <w:rsid w:val="000472E6"/>
    <w:rsid w:val="00047430"/>
    <w:rsid w:val="0004744E"/>
    <w:rsid w:val="00047474"/>
    <w:rsid w:val="000474E4"/>
    <w:rsid w:val="0004756C"/>
    <w:rsid w:val="000475F9"/>
    <w:rsid w:val="0004769D"/>
    <w:rsid w:val="0004775A"/>
    <w:rsid w:val="000477B8"/>
    <w:rsid w:val="000477E8"/>
    <w:rsid w:val="00047819"/>
    <w:rsid w:val="000478C4"/>
    <w:rsid w:val="000478F3"/>
    <w:rsid w:val="000479FC"/>
    <w:rsid w:val="00047A37"/>
    <w:rsid w:val="00047A47"/>
    <w:rsid w:val="00047A56"/>
    <w:rsid w:val="00047A82"/>
    <w:rsid w:val="00047A8B"/>
    <w:rsid w:val="00047A96"/>
    <w:rsid w:val="00047B3A"/>
    <w:rsid w:val="00047B9F"/>
    <w:rsid w:val="00047D1A"/>
    <w:rsid w:val="00047D30"/>
    <w:rsid w:val="00047D41"/>
    <w:rsid w:val="00047D5A"/>
    <w:rsid w:val="00047D99"/>
    <w:rsid w:val="00047DCE"/>
    <w:rsid w:val="00047E4B"/>
    <w:rsid w:val="00047E98"/>
    <w:rsid w:val="0005000B"/>
    <w:rsid w:val="00050134"/>
    <w:rsid w:val="000501FB"/>
    <w:rsid w:val="00050208"/>
    <w:rsid w:val="0005024D"/>
    <w:rsid w:val="0005034A"/>
    <w:rsid w:val="00050446"/>
    <w:rsid w:val="0005057B"/>
    <w:rsid w:val="000505E2"/>
    <w:rsid w:val="00050686"/>
    <w:rsid w:val="000506FA"/>
    <w:rsid w:val="0005072F"/>
    <w:rsid w:val="00050754"/>
    <w:rsid w:val="0005077F"/>
    <w:rsid w:val="00050836"/>
    <w:rsid w:val="000508F1"/>
    <w:rsid w:val="0005090D"/>
    <w:rsid w:val="00050A0B"/>
    <w:rsid w:val="00050A15"/>
    <w:rsid w:val="00050B0C"/>
    <w:rsid w:val="00050CA1"/>
    <w:rsid w:val="00050CE1"/>
    <w:rsid w:val="00050D4A"/>
    <w:rsid w:val="00050DFA"/>
    <w:rsid w:val="00050EC7"/>
    <w:rsid w:val="00050FAF"/>
    <w:rsid w:val="00050FEE"/>
    <w:rsid w:val="00050FF6"/>
    <w:rsid w:val="00051023"/>
    <w:rsid w:val="000510F1"/>
    <w:rsid w:val="00051191"/>
    <w:rsid w:val="00051273"/>
    <w:rsid w:val="000512BF"/>
    <w:rsid w:val="000512CE"/>
    <w:rsid w:val="00051305"/>
    <w:rsid w:val="0005134C"/>
    <w:rsid w:val="00051385"/>
    <w:rsid w:val="000513D8"/>
    <w:rsid w:val="000513EC"/>
    <w:rsid w:val="000514F8"/>
    <w:rsid w:val="0005160E"/>
    <w:rsid w:val="00051631"/>
    <w:rsid w:val="00051645"/>
    <w:rsid w:val="00051655"/>
    <w:rsid w:val="00051746"/>
    <w:rsid w:val="0005176F"/>
    <w:rsid w:val="00051801"/>
    <w:rsid w:val="00051822"/>
    <w:rsid w:val="00051864"/>
    <w:rsid w:val="000518D9"/>
    <w:rsid w:val="000518DF"/>
    <w:rsid w:val="000518F3"/>
    <w:rsid w:val="00051954"/>
    <w:rsid w:val="00051958"/>
    <w:rsid w:val="00051983"/>
    <w:rsid w:val="0005199C"/>
    <w:rsid w:val="000519F6"/>
    <w:rsid w:val="00051A8C"/>
    <w:rsid w:val="00051AB7"/>
    <w:rsid w:val="00051B29"/>
    <w:rsid w:val="00051B35"/>
    <w:rsid w:val="00051B38"/>
    <w:rsid w:val="00051B44"/>
    <w:rsid w:val="00051B84"/>
    <w:rsid w:val="00051B9F"/>
    <w:rsid w:val="00051BA8"/>
    <w:rsid w:val="00051BCF"/>
    <w:rsid w:val="00051BEC"/>
    <w:rsid w:val="00051C63"/>
    <w:rsid w:val="00051D4A"/>
    <w:rsid w:val="00051DED"/>
    <w:rsid w:val="00051EB4"/>
    <w:rsid w:val="00051FB0"/>
    <w:rsid w:val="000520F9"/>
    <w:rsid w:val="00052289"/>
    <w:rsid w:val="000522A9"/>
    <w:rsid w:val="00052355"/>
    <w:rsid w:val="000524CD"/>
    <w:rsid w:val="00052518"/>
    <w:rsid w:val="00052582"/>
    <w:rsid w:val="0005258A"/>
    <w:rsid w:val="000525A8"/>
    <w:rsid w:val="0005261F"/>
    <w:rsid w:val="000527A0"/>
    <w:rsid w:val="000527FF"/>
    <w:rsid w:val="0005286C"/>
    <w:rsid w:val="00052894"/>
    <w:rsid w:val="000528A5"/>
    <w:rsid w:val="00052A07"/>
    <w:rsid w:val="00052A64"/>
    <w:rsid w:val="00052A7E"/>
    <w:rsid w:val="00052C25"/>
    <w:rsid w:val="00052D42"/>
    <w:rsid w:val="00052D5A"/>
    <w:rsid w:val="00052E18"/>
    <w:rsid w:val="00052E51"/>
    <w:rsid w:val="00052F9F"/>
    <w:rsid w:val="00052FB7"/>
    <w:rsid w:val="00052FDB"/>
    <w:rsid w:val="00052FF3"/>
    <w:rsid w:val="000530F5"/>
    <w:rsid w:val="000532CB"/>
    <w:rsid w:val="0005338B"/>
    <w:rsid w:val="00053394"/>
    <w:rsid w:val="000533CB"/>
    <w:rsid w:val="0005345C"/>
    <w:rsid w:val="00053509"/>
    <w:rsid w:val="00053518"/>
    <w:rsid w:val="0005352C"/>
    <w:rsid w:val="000535C2"/>
    <w:rsid w:val="00053607"/>
    <w:rsid w:val="0005364D"/>
    <w:rsid w:val="000536C3"/>
    <w:rsid w:val="000536D0"/>
    <w:rsid w:val="0005373A"/>
    <w:rsid w:val="0005378C"/>
    <w:rsid w:val="00053832"/>
    <w:rsid w:val="00053839"/>
    <w:rsid w:val="000538BB"/>
    <w:rsid w:val="0005390C"/>
    <w:rsid w:val="00053992"/>
    <w:rsid w:val="00053A3D"/>
    <w:rsid w:val="00053A7C"/>
    <w:rsid w:val="00053B33"/>
    <w:rsid w:val="00053B7F"/>
    <w:rsid w:val="00053BB1"/>
    <w:rsid w:val="00053C53"/>
    <w:rsid w:val="00053C8A"/>
    <w:rsid w:val="00053D4F"/>
    <w:rsid w:val="00053D91"/>
    <w:rsid w:val="00053DA6"/>
    <w:rsid w:val="00053E63"/>
    <w:rsid w:val="00053E91"/>
    <w:rsid w:val="00053ED0"/>
    <w:rsid w:val="00053EEB"/>
    <w:rsid w:val="00053F87"/>
    <w:rsid w:val="00053FB3"/>
    <w:rsid w:val="00053FEF"/>
    <w:rsid w:val="00053FF5"/>
    <w:rsid w:val="000540F5"/>
    <w:rsid w:val="000541CA"/>
    <w:rsid w:val="00054205"/>
    <w:rsid w:val="00054266"/>
    <w:rsid w:val="000542BB"/>
    <w:rsid w:val="000543DE"/>
    <w:rsid w:val="00054440"/>
    <w:rsid w:val="000544C2"/>
    <w:rsid w:val="00054505"/>
    <w:rsid w:val="00054539"/>
    <w:rsid w:val="0005456D"/>
    <w:rsid w:val="000545B9"/>
    <w:rsid w:val="000545F2"/>
    <w:rsid w:val="00054633"/>
    <w:rsid w:val="00054677"/>
    <w:rsid w:val="00054683"/>
    <w:rsid w:val="000546A5"/>
    <w:rsid w:val="000546EA"/>
    <w:rsid w:val="000546F9"/>
    <w:rsid w:val="000547D1"/>
    <w:rsid w:val="00054839"/>
    <w:rsid w:val="0005486F"/>
    <w:rsid w:val="000548AB"/>
    <w:rsid w:val="000548C9"/>
    <w:rsid w:val="0005498E"/>
    <w:rsid w:val="00054A2D"/>
    <w:rsid w:val="00054A43"/>
    <w:rsid w:val="00054A68"/>
    <w:rsid w:val="00054B02"/>
    <w:rsid w:val="00054B4F"/>
    <w:rsid w:val="00054D2A"/>
    <w:rsid w:val="00054E0C"/>
    <w:rsid w:val="00054EFB"/>
    <w:rsid w:val="00054F80"/>
    <w:rsid w:val="00054FB7"/>
    <w:rsid w:val="00054FBC"/>
    <w:rsid w:val="00054FBF"/>
    <w:rsid w:val="0005501D"/>
    <w:rsid w:val="00055054"/>
    <w:rsid w:val="00055086"/>
    <w:rsid w:val="0005515B"/>
    <w:rsid w:val="0005517D"/>
    <w:rsid w:val="00055181"/>
    <w:rsid w:val="000551A7"/>
    <w:rsid w:val="0005523C"/>
    <w:rsid w:val="00055320"/>
    <w:rsid w:val="00055353"/>
    <w:rsid w:val="000553D1"/>
    <w:rsid w:val="00055418"/>
    <w:rsid w:val="0005544F"/>
    <w:rsid w:val="00055482"/>
    <w:rsid w:val="0005554B"/>
    <w:rsid w:val="00055558"/>
    <w:rsid w:val="0005555B"/>
    <w:rsid w:val="00055577"/>
    <w:rsid w:val="00055584"/>
    <w:rsid w:val="000555D9"/>
    <w:rsid w:val="00055616"/>
    <w:rsid w:val="0005564F"/>
    <w:rsid w:val="00055697"/>
    <w:rsid w:val="000556A6"/>
    <w:rsid w:val="0005571C"/>
    <w:rsid w:val="0005574E"/>
    <w:rsid w:val="000557B8"/>
    <w:rsid w:val="00055865"/>
    <w:rsid w:val="00055904"/>
    <w:rsid w:val="00055942"/>
    <w:rsid w:val="0005595B"/>
    <w:rsid w:val="000559E9"/>
    <w:rsid w:val="00055AC7"/>
    <w:rsid w:val="00055B18"/>
    <w:rsid w:val="00055B9F"/>
    <w:rsid w:val="00055C0D"/>
    <w:rsid w:val="00055C56"/>
    <w:rsid w:val="00055D79"/>
    <w:rsid w:val="00055DAA"/>
    <w:rsid w:val="00055DC2"/>
    <w:rsid w:val="00055E13"/>
    <w:rsid w:val="00055E2D"/>
    <w:rsid w:val="00055E4F"/>
    <w:rsid w:val="00055E7F"/>
    <w:rsid w:val="00055EB1"/>
    <w:rsid w:val="00055ED4"/>
    <w:rsid w:val="00055F24"/>
    <w:rsid w:val="00056073"/>
    <w:rsid w:val="0005611D"/>
    <w:rsid w:val="0005612E"/>
    <w:rsid w:val="00056206"/>
    <w:rsid w:val="00056237"/>
    <w:rsid w:val="00056308"/>
    <w:rsid w:val="000563E3"/>
    <w:rsid w:val="000564E5"/>
    <w:rsid w:val="00056586"/>
    <w:rsid w:val="000565BF"/>
    <w:rsid w:val="000565FD"/>
    <w:rsid w:val="0005661B"/>
    <w:rsid w:val="0005663B"/>
    <w:rsid w:val="000566E0"/>
    <w:rsid w:val="000566EE"/>
    <w:rsid w:val="0005672E"/>
    <w:rsid w:val="0005681F"/>
    <w:rsid w:val="00056839"/>
    <w:rsid w:val="00056889"/>
    <w:rsid w:val="000568DC"/>
    <w:rsid w:val="0005691B"/>
    <w:rsid w:val="0005691F"/>
    <w:rsid w:val="00056951"/>
    <w:rsid w:val="0005695C"/>
    <w:rsid w:val="00056978"/>
    <w:rsid w:val="0005697A"/>
    <w:rsid w:val="00056A37"/>
    <w:rsid w:val="00056A92"/>
    <w:rsid w:val="00056A93"/>
    <w:rsid w:val="00056B59"/>
    <w:rsid w:val="00056B7D"/>
    <w:rsid w:val="00056B8B"/>
    <w:rsid w:val="00056C68"/>
    <w:rsid w:val="00056CE7"/>
    <w:rsid w:val="00056DAD"/>
    <w:rsid w:val="00056F1A"/>
    <w:rsid w:val="00056F1E"/>
    <w:rsid w:val="00056F4A"/>
    <w:rsid w:val="00056FAD"/>
    <w:rsid w:val="000570BD"/>
    <w:rsid w:val="000570BE"/>
    <w:rsid w:val="000570D2"/>
    <w:rsid w:val="0005712F"/>
    <w:rsid w:val="00057170"/>
    <w:rsid w:val="00057186"/>
    <w:rsid w:val="00057203"/>
    <w:rsid w:val="00057219"/>
    <w:rsid w:val="00057279"/>
    <w:rsid w:val="00057341"/>
    <w:rsid w:val="00057386"/>
    <w:rsid w:val="000573C5"/>
    <w:rsid w:val="000573CE"/>
    <w:rsid w:val="0005740E"/>
    <w:rsid w:val="00057416"/>
    <w:rsid w:val="0005746D"/>
    <w:rsid w:val="0005748C"/>
    <w:rsid w:val="00057494"/>
    <w:rsid w:val="000575A0"/>
    <w:rsid w:val="000576D5"/>
    <w:rsid w:val="00057778"/>
    <w:rsid w:val="000577C2"/>
    <w:rsid w:val="000577D5"/>
    <w:rsid w:val="00057832"/>
    <w:rsid w:val="00057859"/>
    <w:rsid w:val="000578A8"/>
    <w:rsid w:val="0005790E"/>
    <w:rsid w:val="0005797F"/>
    <w:rsid w:val="00057993"/>
    <w:rsid w:val="00057A0D"/>
    <w:rsid w:val="00057A98"/>
    <w:rsid w:val="00057AD0"/>
    <w:rsid w:val="00057B71"/>
    <w:rsid w:val="00057C0F"/>
    <w:rsid w:val="00057D1F"/>
    <w:rsid w:val="00057D44"/>
    <w:rsid w:val="00057E45"/>
    <w:rsid w:val="00057E51"/>
    <w:rsid w:val="00057F76"/>
    <w:rsid w:val="00057F9C"/>
    <w:rsid w:val="00060003"/>
    <w:rsid w:val="00060007"/>
    <w:rsid w:val="00060008"/>
    <w:rsid w:val="00060021"/>
    <w:rsid w:val="00060064"/>
    <w:rsid w:val="0006006D"/>
    <w:rsid w:val="000600B2"/>
    <w:rsid w:val="0006012D"/>
    <w:rsid w:val="0006016B"/>
    <w:rsid w:val="000601B4"/>
    <w:rsid w:val="000603B3"/>
    <w:rsid w:val="000603BD"/>
    <w:rsid w:val="000603EB"/>
    <w:rsid w:val="00060435"/>
    <w:rsid w:val="0006049C"/>
    <w:rsid w:val="000604F8"/>
    <w:rsid w:val="0006051D"/>
    <w:rsid w:val="00060520"/>
    <w:rsid w:val="00060535"/>
    <w:rsid w:val="00060544"/>
    <w:rsid w:val="0006055A"/>
    <w:rsid w:val="000605CA"/>
    <w:rsid w:val="000605CF"/>
    <w:rsid w:val="0006061F"/>
    <w:rsid w:val="00060642"/>
    <w:rsid w:val="000606CD"/>
    <w:rsid w:val="000606DD"/>
    <w:rsid w:val="000606FA"/>
    <w:rsid w:val="0006070F"/>
    <w:rsid w:val="00060716"/>
    <w:rsid w:val="00060741"/>
    <w:rsid w:val="000607B1"/>
    <w:rsid w:val="000607F6"/>
    <w:rsid w:val="00060807"/>
    <w:rsid w:val="000608B0"/>
    <w:rsid w:val="000608DA"/>
    <w:rsid w:val="00060902"/>
    <w:rsid w:val="00060954"/>
    <w:rsid w:val="0006095C"/>
    <w:rsid w:val="00060B76"/>
    <w:rsid w:val="00060B87"/>
    <w:rsid w:val="00060B8E"/>
    <w:rsid w:val="00060B97"/>
    <w:rsid w:val="00060B99"/>
    <w:rsid w:val="00060BAC"/>
    <w:rsid w:val="00060BF8"/>
    <w:rsid w:val="00060C33"/>
    <w:rsid w:val="00060C79"/>
    <w:rsid w:val="00060D98"/>
    <w:rsid w:val="00060E82"/>
    <w:rsid w:val="00060F21"/>
    <w:rsid w:val="00060F2E"/>
    <w:rsid w:val="00060F61"/>
    <w:rsid w:val="00060F79"/>
    <w:rsid w:val="00060F7D"/>
    <w:rsid w:val="00060FAB"/>
    <w:rsid w:val="00060FD6"/>
    <w:rsid w:val="00061019"/>
    <w:rsid w:val="00061030"/>
    <w:rsid w:val="00061156"/>
    <w:rsid w:val="00061158"/>
    <w:rsid w:val="000611C0"/>
    <w:rsid w:val="0006123C"/>
    <w:rsid w:val="00061279"/>
    <w:rsid w:val="00061286"/>
    <w:rsid w:val="00061309"/>
    <w:rsid w:val="0006133F"/>
    <w:rsid w:val="00061408"/>
    <w:rsid w:val="0006145C"/>
    <w:rsid w:val="0006145F"/>
    <w:rsid w:val="00061469"/>
    <w:rsid w:val="0006147D"/>
    <w:rsid w:val="0006148C"/>
    <w:rsid w:val="0006149D"/>
    <w:rsid w:val="000614FB"/>
    <w:rsid w:val="00061513"/>
    <w:rsid w:val="00061532"/>
    <w:rsid w:val="0006153B"/>
    <w:rsid w:val="0006153E"/>
    <w:rsid w:val="000615AB"/>
    <w:rsid w:val="00061604"/>
    <w:rsid w:val="0006170F"/>
    <w:rsid w:val="0006179D"/>
    <w:rsid w:val="000617C6"/>
    <w:rsid w:val="000617D6"/>
    <w:rsid w:val="000617FF"/>
    <w:rsid w:val="00061933"/>
    <w:rsid w:val="00061939"/>
    <w:rsid w:val="00061953"/>
    <w:rsid w:val="00061979"/>
    <w:rsid w:val="000619BF"/>
    <w:rsid w:val="000619E8"/>
    <w:rsid w:val="00061A6C"/>
    <w:rsid w:val="00061A93"/>
    <w:rsid w:val="00061AC9"/>
    <w:rsid w:val="00061B45"/>
    <w:rsid w:val="00061B67"/>
    <w:rsid w:val="00061BA0"/>
    <w:rsid w:val="00061CC0"/>
    <w:rsid w:val="00061DFB"/>
    <w:rsid w:val="00061E39"/>
    <w:rsid w:val="00061E9C"/>
    <w:rsid w:val="00061EE0"/>
    <w:rsid w:val="00061F2F"/>
    <w:rsid w:val="00061F51"/>
    <w:rsid w:val="00061F78"/>
    <w:rsid w:val="00061FAC"/>
    <w:rsid w:val="00061FBE"/>
    <w:rsid w:val="0006200C"/>
    <w:rsid w:val="0006208F"/>
    <w:rsid w:val="000620AA"/>
    <w:rsid w:val="000620CD"/>
    <w:rsid w:val="00062168"/>
    <w:rsid w:val="00062187"/>
    <w:rsid w:val="000621CD"/>
    <w:rsid w:val="00062232"/>
    <w:rsid w:val="000622F7"/>
    <w:rsid w:val="000623B1"/>
    <w:rsid w:val="000623F3"/>
    <w:rsid w:val="00062403"/>
    <w:rsid w:val="00062440"/>
    <w:rsid w:val="00062474"/>
    <w:rsid w:val="00062504"/>
    <w:rsid w:val="00062559"/>
    <w:rsid w:val="00062599"/>
    <w:rsid w:val="000625BB"/>
    <w:rsid w:val="000625E5"/>
    <w:rsid w:val="00062730"/>
    <w:rsid w:val="000627CC"/>
    <w:rsid w:val="000627E3"/>
    <w:rsid w:val="000628DA"/>
    <w:rsid w:val="000628E1"/>
    <w:rsid w:val="000628F5"/>
    <w:rsid w:val="00062903"/>
    <w:rsid w:val="00062941"/>
    <w:rsid w:val="00062987"/>
    <w:rsid w:val="000629DD"/>
    <w:rsid w:val="00062AA3"/>
    <w:rsid w:val="00062AAF"/>
    <w:rsid w:val="00062AC8"/>
    <w:rsid w:val="00062AE4"/>
    <w:rsid w:val="00062B03"/>
    <w:rsid w:val="00062B3D"/>
    <w:rsid w:val="00062B85"/>
    <w:rsid w:val="00062B98"/>
    <w:rsid w:val="00062BAB"/>
    <w:rsid w:val="00062C13"/>
    <w:rsid w:val="00062CC3"/>
    <w:rsid w:val="00062D06"/>
    <w:rsid w:val="00062D12"/>
    <w:rsid w:val="00062D15"/>
    <w:rsid w:val="00062E1D"/>
    <w:rsid w:val="00062E2C"/>
    <w:rsid w:val="00062EEF"/>
    <w:rsid w:val="00062F3B"/>
    <w:rsid w:val="00062F3E"/>
    <w:rsid w:val="00062FA2"/>
    <w:rsid w:val="00062FAE"/>
    <w:rsid w:val="00062FC9"/>
    <w:rsid w:val="0006303F"/>
    <w:rsid w:val="00063053"/>
    <w:rsid w:val="000630C5"/>
    <w:rsid w:val="0006331C"/>
    <w:rsid w:val="00063371"/>
    <w:rsid w:val="000633A7"/>
    <w:rsid w:val="0006341E"/>
    <w:rsid w:val="00063438"/>
    <w:rsid w:val="00063507"/>
    <w:rsid w:val="00063526"/>
    <w:rsid w:val="0006354B"/>
    <w:rsid w:val="00063628"/>
    <w:rsid w:val="000636A9"/>
    <w:rsid w:val="000636C8"/>
    <w:rsid w:val="000636DF"/>
    <w:rsid w:val="00063804"/>
    <w:rsid w:val="00063811"/>
    <w:rsid w:val="00063816"/>
    <w:rsid w:val="00063858"/>
    <w:rsid w:val="00063859"/>
    <w:rsid w:val="0006386D"/>
    <w:rsid w:val="00063884"/>
    <w:rsid w:val="00063899"/>
    <w:rsid w:val="000638B2"/>
    <w:rsid w:val="000638E7"/>
    <w:rsid w:val="000638F0"/>
    <w:rsid w:val="000639D7"/>
    <w:rsid w:val="00063B6D"/>
    <w:rsid w:val="00063C8B"/>
    <w:rsid w:val="00063D0C"/>
    <w:rsid w:val="00063D5C"/>
    <w:rsid w:val="00063DC8"/>
    <w:rsid w:val="00063F27"/>
    <w:rsid w:val="00063FFA"/>
    <w:rsid w:val="000640A1"/>
    <w:rsid w:val="0006413B"/>
    <w:rsid w:val="0006418A"/>
    <w:rsid w:val="00064224"/>
    <w:rsid w:val="00064236"/>
    <w:rsid w:val="00064277"/>
    <w:rsid w:val="000643B3"/>
    <w:rsid w:val="000643DD"/>
    <w:rsid w:val="000644A6"/>
    <w:rsid w:val="000644E4"/>
    <w:rsid w:val="000645B8"/>
    <w:rsid w:val="00064662"/>
    <w:rsid w:val="00064690"/>
    <w:rsid w:val="00064713"/>
    <w:rsid w:val="00064717"/>
    <w:rsid w:val="00064754"/>
    <w:rsid w:val="00064763"/>
    <w:rsid w:val="00064787"/>
    <w:rsid w:val="00064798"/>
    <w:rsid w:val="000648C6"/>
    <w:rsid w:val="000648CA"/>
    <w:rsid w:val="000648DF"/>
    <w:rsid w:val="00064949"/>
    <w:rsid w:val="00064990"/>
    <w:rsid w:val="00064A97"/>
    <w:rsid w:val="00064AE8"/>
    <w:rsid w:val="00064B27"/>
    <w:rsid w:val="00064C5E"/>
    <w:rsid w:val="00064D22"/>
    <w:rsid w:val="00064D6B"/>
    <w:rsid w:val="00064DC8"/>
    <w:rsid w:val="00064E40"/>
    <w:rsid w:val="00064E5F"/>
    <w:rsid w:val="00064E8A"/>
    <w:rsid w:val="00064F2F"/>
    <w:rsid w:val="00064FFA"/>
    <w:rsid w:val="0006500E"/>
    <w:rsid w:val="000650DA"/>
    <w:rsid w:val="000650E0"/>
    <w:rsid w:val="000650E5"/>
    <w:rsid w:val="000650E9"/>
    <w:rsid w:val="0006514F"/>
    <w:rsid w:val="00065166"/>
    <w:rsid w:val="000651A1"/>
    <w:rsid w:val="0006521C"/>
    <w:rsid w:val="00065240"/>
    <w:rsid w:val="0006531E"/>
    <w:rsid w:val="0006534D"/>
    <w:rsid w:val="000653C1"/>
    <w:rsid w:val="000653D3"/>
    <w:rsid w:val="000653E5"/>
    <w:rsid w:val="0006540C"/>
    <w:rsid w:val="00065452"/>
    <w:rsid w:val="0006549B"/>
    <w:rsid w:val="00065549"/>
    <w:rsid w:val="00065570"/>
    <w:rsid w:val="000655BA"/>
    <w:rsid w:val="0006570F"/>
    <w:rsid w:val="00065790"/>
    <w:rsid w:val="000657C4"/>
    <w:rsid w:val="0006583D"/>
    <w:rsid w:val="00065864"/>
    <w:rsid w:val="00065868"/>
    <w:rsid w:val="00065900"/>
    <w:rsid w:val="000659C7"/>
    <w:rsid w:val="00065B4A"/>
    <w:rsid w:val="00065B5B"/>
    <w:rsid w:val="00065BA3"/>
    <w:rsid w:val="00065BA4"/>
    <w:rsid w:val="00065BA7"/>
    <w:rsid w:val="00065C41"/>
    <w:rsid w:val="00065C91"/>
    <w:rsid w:val="00065D47"/>
    <w:rsid w:val="00065DD1"/>
    <w:rsid w:val="00065E6D"/>
    <w:rsid w:val="00065E6F"/>
    <w:rsid w:val="00065E84"/>
    <w:rsid w:val="00065EB0"/>
    <w:rsid w:val="00065EBE"/>
    <w:rsid w:val="00065FAC"/>
    <w:rsid w:val="00066005"/>
    <w:rsid w:val="00066031"/>
    <w:rsid w:val="0006616A"/>
    <w:rsid w:val="0006618A"/>
    <w:rsid w:val="00066195"/>
    <w:rsid w:val="00066207"/>
    <w:rsid w:val="00066255"/>
    <w:rsid w:val="0006629C"/>
    <w:rsid w:val="000662C4"/>
    <w:rsid w:val="00066315"/>
    <w:rsid w:val="0006631A"/>
    <w:rsid w:val="00066334"/>
    <w:rsid w:val="00066350"/>
    <w:rsid w:val="00066417"/>
    <w:rsid w:val="00066428"/>
    <w:rsid w:val="00066449"/>
    <w:rsid w:val="0006650E"/>
    <w:rsid w:val="00066559"/>
    <w:rsid w:val="0006664E"/>
    <w:rsid w:val="0006666D"/>
    <w:rsid w:val="0006668D"/>
    <w:rsid w:val="000666B2"/>
    <w:rsid w:val="000666FE"/>
    <w:rsid w:val="00066713"/>
    <w:rsid w:val="00066808"/>
    <w:rsid w:val="0006688D"/>
    <w:rsid w:val="000668D3"/>
    <w:rsid w:val="0006693C"/>
    <w:rsid w:val="000669ED"/>
    <w:rsid w:val="00066AB0"/>
    <w:rsid w:val="00066C29"/>
    <w:rsid w:val="00066C84"/>
    <w:rsid w:val="00066D8D"/>
    <w:rsid w:val="00066D9E"/>
    <w:rsid w:val="00066DAB"/>
    <w:rsid w:val="00066E1F"/>
    <w:rsid w:val="00066F0A"/>
    <w:rsid w:val="00066FA4"/>
    <w:rsid w:val="00066FAD"/>
    <w:rsid w:val="00066FCE"/>
    <w:rsid w:val="00066FE0"/>
    <w:rsid w:val="000670BC"/>
    <w:rsid w:val="000670E2"/>
    <w:rsid w:val="000670F5"/>
    <w:rsid w:val="00067169"/>
    <w:rsid w:val="000671BC"/>
    <w:rsid w:val="0006724C"/>
    <w:rsid w:val="00067262"/>
    <w:rsid w:val="000672B8"/>
    <w:rsid w:val="000672C5"/>
    <w:rsid w:val="000672F2"/>
    <w:rsid w:val="000672F5"/>
    <w:rsid w:val="00067332"/>
    <w:rsid w:val="0006733F"/>
    <w:rsid w:val="000673A0"/>
    <w:rsid w:val="000673B1"/>
    <w:rsid w:val="00067548"/>
    <w:rsid w:val="000675A1"/>
    <w:rsid w:val="000675AF"/>
    <w:rsid w:val="000675B5"/>
    <w:rsid w:val="00067605"/>
    <w:rsid w:val="0006766D"/>
    <w:rsid w:val="00067694"/>
    <w:rsid w:val="0006772C"/>
    <w:rsid w:val="000677FB"/>
    <w:rsid w:val="000678CF"/>
    <w:rsid w:val="00067973"/>
    <w:rsid w:val="00067982"/>
    <w:rsid w:val="000679F2"/>
    <w:rsid w:val="00067A40"/>
    <w:rsid w:val="00067A47"/>
    <w:rsid w:val="00067A97"/>
    <w:rsid w:val="00067AF4"/>
    <w:rsid w:val="00067B09"/>
    <w:rsid w:val="00067B0B"/>
    <w:rsid w:val="00067B32"/>
    <w:rsid w:val="00067C06"/>
    <w:rsid w:val="00067C12"/>
    <w:rsid w:val="00067C56"/>
    <w:rsid w:val="00067CDF"/>
    <w:rsid w:val="00067D71"/>
    <w:rsid w:val="00067D7A"/>
    <w:rsid w:val="00067D90"/>
    <w:rsid w:val="00067DD9"/>
    <w:rsid w:val="00067E89"/>
    <w:rsid w:val="00067EF0"/>
    <w:rsid w:val="0007000C"/>
    <w:rsid w:val="00070035"/>
    <w:rsid w:val="00070060"/>
    <w:rsid w:val="000700EB"/>
    <w:rsid w:val="00070115"/>
    <w:rsid w:val="00070127"/>
    <w:rsid w:val="000701B8"/>
    <w:rsid w:val="000701BD"/>
    <w:rsid w:val="000701DF"/>
    <w:rsid w:val="00070274"/>
    <w:rsid w:val="00070353"/>
    <w:rsid w:val="0007039C"/>
    <w:rsid w:val="0007048F"/>
    <w:rsid w:val="000704CB"/>
    <w:rsid w:val="000704DA"/>
    <w:rsid w:val="000704E8"/>
    <w:rsid w:val="000705C2"/>
    <w:rsid w:val="00070646"/>
    <w:rsid w:val="0007067C"/>
    <w:rsid w:val="000706C8"/>
    <w:rsid w:val="00070714"/>
    <w:rsid w:val="000707DE"/>
    <w:rsid w:val="000707EB"/>
    <w:rsid w:val="000707F5"/>
    <w:rsid w:val="00070847"/>
    <w:rsid w:val="00070886"/>
    <w:rsid w:val="00070890"/>
    <w:rsid w:val="000708A7"/>
    <w:rsid w:val="000708EB"/>
    <w:rsid w:val="00070939"/>
    <w:rsid w:val="000709A8"/>
    <w:rsid w:val="00070A96"/>
    <w:rsid w:val="00070A99"/>
    <w:rsid w:val="00070ADB"/>
    <w:rsid w:val="00070AE3"/>
    <w:rsid w:val="00070AEE"/>
    <w:rsid w:val="00070B36"/>
    <w:rsid w:val="00070B5B"/>
    <w:rsid w:val="00070B93"/>
    <w:rsid w:val="00070BB6"/>
    <w:rsid w:val="00070C05"/>
    <w:rsid w:val="00070C10"/>
    <w:rsid w:val="00070C13"/>
    <w:rsid w:val="00070C34"/>
    <w:rsid w:val="00070C7D"/>
    <w:rsid w:val="00070C81"/>
    <w:rsid w:val="00070D1C"/>
    <w:rsid w:val="00070DBE"/>
    <w:rsid w:val="00070EC6"/>
    <w:rsid w:val="00070F3C"/>
    <w:rsid w:val="00070F55"/>
    <w:rsid w:val="00070FCE"/>
    <w:rsid w:val="0007102D"/>
    <w:rsid w:val="0007106B"/>
    <w:rsid w:val="000710C7"/>
    <w:rsid w:val="000710E0"/>
    <w:rsid w:val="000710F2"/>
    <w:rsid w:val="00071129"/>
    <w:rsid w:val="0007118F"/>
    <w:rsid w:val="000711BD"/>
    <w:rsid w:val="00071274"/>
    <w:rsid w:val="0007143A"/>
    <w:rsid w:val="0007151D"/>
    <w:rsid w:val="00071551"/>
    <w:rsid w:val="00071573"/>
    <w:rsid w:val="0007158B"/>
    <w:rsid w:val="000715E8"/>
    <w:rsid w:val="00071644"/>
    <w:rsid w:val="00071712"/>
    <w:rsid w:val="0007172B"/>
    <w:rsid w:val="0007173C"/>
    <w:rsid w:val="0007174F"/>
    <w:rsid w:val="0007178D"/>
    <w:rsid w:val="000717BE"/>
    <w:rsid w:val="000717E8"/>
    <w:rsid w:val="000717F0"/>
    <w:rsid w:val="000717FC"/>
    <w:rsid w:val="00071862"/>
    <w:rsid w:val="00071877"/>
    <w:rsid w:val="0007199E"/>
    <w:rsid w:val="000719A6"/>
    <w:rsid w:val="00071A9A"/>
    <w:rsid w:val="00071C90"/>
    <w:rsid w:val="00071D42"/>
    <w:rsid w:val="00071D5F"/>
    <w:rsid w:val="00071D8F"/>
    <w:rsid w:val="00071D94"/>
    <w:rsid w:val="00071DA8"/>
    <w:rsid w:val="00071DAD"/>
    <w:rsid w:val="00071DDF"/>
    <w:rsid w:val="00071E0A"/>
    <w:rsid w:val="00071E3B"/>
    <w:rsid w:val="00071E68"/>
    <w:rsid w:val="00071E99"/>
    <w:rsid w:val="00071EB9"/>
    <w:rsid w:val="00071EEE"/>
    <w:rsid w:val="00072004"/>
    <w:rsid w:val="00072021"/>
    <w:rsid w:val="0007202C"/>
    <w:rsid w:val="0007203D"/>
    <w:rsid w:val="000720A5"/>
    <w:rsid w:val="0007214E"/>
    <w:rsid w:val="000722A5"/>
    <w:rsid w:val="000722E2"/>
    <w:rsid w:val="000722F9"/>
    <w:rsid w:val="0007230D"/>
    <w:rsid w:val="00072333"/>
    <w:rsid w:val="000723A0"/>
    <w:rsid w:val="000723A8"/>
    <w:rsid w:val="00072534"/>
    <w:rsid w:val="000725A0"/>
    <w:rsid w:val="000725A5"/>
    <w:rsid w:val="00072646"/>
    <w:rsid w:val="000726AF"/>
    <w:rsid w:val="000726D6"/>
    <w:rsid w:val="000726DD"/>
    <w:rsid w:val="00072732"/>
    <w:rsid w:val="00072734"/>
    <w:rsid w:val="0007276E"/>
    <w:rsid w:val="00072819"/>
    <w:rsid w:val="00072921"/>
    <w:rsid w:val="0007292A"/>
    <w:rsid w:val="000729C2"/>
    <w:rsid w:val="000729C8"/>
    <w:rsid w:val="00072A53"/>
    <w:rsid w:val="00072A9A"/>
    <w:rsid w:val="00072ABE"/>
    <w:rsid w:val="00072B06"/>
    <w:rsid w:val="00072B29"/>
    <w:rsid w:val="00072B3E"/>
    <w:rsid w:val="00072B88"/>
    <w:rsid w:val="00072BAC"/>
    <w:rsid w:val="00072BB3"/>
    <w:rsid w:val="00072BC7"/>
    <w:rsid w:val="00072C3B"/>
    <w:rsid w:val="00072CD9"/>
    <w:rsid w:val="00072D09"/>
    <w:rsid w:val="00072D2F"/>
    <w:rsid w:val="00072D66"/>
    <w:rsid w:val="00072D95"/>
    <w:rsid w:val="00072E6A"/>
    <w:rsid w:val="00072E74"/>
    <w:rsid w:val="00072EB7"/>
    <w:rsid w:val="00072EE5"/>
    <w:rsid w:val="00072EE9"/>
    <w:rsid w:val="00072F21"/>
    <w:rsid w:val="00072F53"/>
    <w:rsid w:val="0007304E"/>
    <w:rsid w:val="00073057"/>
    <w:rsid w:val="00073060"/>
    <w:rsid w:val="00073084"/>
    <w:rsid w:val="000730B7"/>
    <w:rsid w:val="000730D2"/>
    <w:rsid w:val="000730E8"/>
    <w:rsid w:val="0007314B"/>
    <w:rsid w:val="0007324C"/>
    <w:rsid w:val="00073301"/>
    <w:rsid w:val="00073342"/>
    <w:rsid w:val="00073416"/>
    <w:rsid w:val="0007341C"/>
    <w:rsid w:val="00073455"/>
    <w:rsid w:val="000734B6"/>
    <w:rsid w:val="0007354D"/>
    <w:rsid w:val="00073580"/>
    <w:rsid w:val="000735F8"/>
    <w:rsid w:val="000736FF"/>
    <w:rsid w:val="00073747"/>
    <w:rsid w:val="0007375F"/>
    <w:rsid w:val="0007379F"/>
    <w:rsid w:val="000737AF"/>
    <w:rsid w:val="000737B4"/>
    <w:rsid w:val="0007382B"/>
    <w:rsid w:val="0007385B"/>
    <w:rsid w:val="00073863"/>
    <w:rsid w:val="000738B7"/>
    <w:rsid w:val="000738E1"/>
    <w:rsid w:val="000738E5"/>
    <w:rsid w:val="00073914"/>
    <w:rsid w:val="00073987"/>
    <w:rsid w:val="000739B4"/>
    <w:rsid w:val="000739D3"/>
    <w:rsid w:val="00073A10"/>
    <w:rsid w:val="00073A75"/>
    <w:rsid w:val="00073ADB"/>
    <w:rsid w:val="00073B37"/>
    <w:rsid w:val="00073BA8"/>
    <w:rsid w:val="00073C4E"/>
    <w:rsid w:val="00073D31"/>
    <w:rsid w:val="00073DAB"/>
    <w:rsid w:val="00073DEA"/>
    <w:rsid w:val="00073E2A"/>
    <w:rsid w:val="00073E91"/>
    <w:rsid w:val="00073EC7"/>
    <w:rsid w:val="0007401B"/>
    <w:rsid w:val="00074040"/>
    <w:rsid w:val="00074079"/>
    <w:rsid w:val="00074083"/>
    <w:rsid w:val="000740E7"/>
    <w:rsid w:val="00074169"/>
    <w:rsid w:val="000741B2"/>
    <w:rsid w:val="000741BE"/>
    <w:rsid w:val="00074235"/>
    <w:rsid w:val="0007424A"/>
    <w:rsid w:val="000742D3"/>
    <w:rsid w:val="00074326"/>
    <w:rsid w:val="0007434D"/>
    <w:rsid w:val="0007438A"/>
    <w:rsid w:val="000743D1"/>
    <w:rsid w:val="0007440B"/>
    <w:rsid w:val="00074428"/>
    <w:rsid w:val="0007449D"/>
    <w:rsid w:val="000744BD"/>
    <w:rsid w:val="000744C5"/>
    <w:rsid w:val="000744CE"/>
    <w:rsid w:val="00074589"/>
    <w:rsid w:val="00074656"/>
    <w:rsid w:val="0007468B"/>
    <w:rsid w:val="00074694"/>
    <w:rsid w:val="000746C3"/>
    <w:rsid w:val="0007473F"/>
    <w:rsid w:val="00074767"/>
    <w:rsid w:val="00074849"/>
    <w:rsid w:val="00074858"/>
    <w:rsid w:val="0007485B"/>
    <w:rsid w:val="00074876"/>
    <w:rsid w:val="00074879"/>
    <w:rsid w:val="000748A5"/>
    <w:rsid w:val="00074963"/>
    <w:rsid w:val="0007497C"/>
    <w:rsid w:val="0007499A"/>
    <w:rsid w:val="00074A20"/>
    <w:rsid w:val="00074A6F"/>
    <w:rsid w:val="00074AFC"/>
    <w:rsid w:val="00074B16"/>
    <w:rsid w:val="00074B26"/>
    <w:rsid w:val="00074B4D"/>
    <w:rsid w:val="00074C51"/>
    <w:rsid w:val="00074C56"/>
    <w:rsid w:val="00074C93"/>
    <w:rsid w:val="00074CBC"/>
    <w:rsid w:val="00074D73"/>
    <w:rsid w:val="00074E0A"/>
    <w:rsid w:val="00074E2C"/>
    <w:rsid w:val="00074E98"/>
    <w:rsid w:val="00074F80"/>
    <w:rsid w:val="0007501D"/>
    <w:rsid w:val="000750AD"/>
    <w:rsid w:val="000750DA"/>
    <w:rsid w:val="00075174"/>
    <w:rsid w:val="0007518A"/>
    <w:rsid w:val="0007524B"/>
    <w:rsid w:val="000752AA"/>
    <w:rsid w:val="000752C4"/>
    <w:rsid w:val="000752E5"/>
    <w:rsid w:val="000753AF"/>
    <w:rsid w:val="000753B7"/>
    <w:rsid w:val="000753C6"/>
    <w:rsid w:val="0007548A"/>
    <w:rsid w:val="00075503"/>
    <w:rsid w:val="00075550"/>
    <w:rsid w:val="0007556B"/>
    <w:rsid w:val="000755A3"/>
    <w:rsid w:val="000755EB"/>
    <w:rsid w:val="00075652"/>
    <w:rsid w:val="00075655"/>
    <w:rsid w:val="00075683"/>
    <w:rsid w:val="00075720"/>
    <w:rsid w:val="00075759"/>
    <w:rsid w:val="0007575B"/>
    <w:rsid w:val="00075789"/>
    <w:rsid w:val="000757C1"/>
    <w:rsid w:val="0007587B"/>
    <w:rsid w:val="0007593D"/>
    <w:rsid w:val="00075947"/>
    <w:rsid w:val="00075998"/>
    <w:rsid w:val="00075A54"/>
    <w:rsid w:val="00075A88"/>
    <w:rsid w:val="00075ABF"/>
    <w:rsid w:val="00075AFD"/>
    <w:rsid w:val="00075B06"/>
    <w:rsid w:val="00075B87"/>
    <w:rsid w:val="00075BB1"/>
    <w:rsid w:val="00075D27"/>
    <w:rsid w:val="00075D2B"/>
    <w:rsid w:val="00075D5B"/>
    <w:rsid w:val="00075EC1"/>
    <w:rsid w:val="00075EC8"/>
    <w:rsid w:val="00075ED4"/>
    <w:rsid w:val="00075F11"/>
    <w:rsid w:val="00075F37"/>
    <w:rsid w:val="00075F9E"/>
    <w:rsid w:val="0007604F"/>
    <w:rsid w:val="0007618A"/>
    <w:rsid w:val="000761B4"/>
    <w:rsid w:val="000761DB"/>
    <w:rsid w:val="00076227"/>
    <w:rsid w:val="0007623D"/>
    <w:rsid w:val="00076284"/>
    <w:rsid w:val="000762DC"/>
    <w:rsid w:val="00076316"/>
    <w:rsid w:val="0007635F"/>
    <w:rsid w:val="00076398"/>
    <w:rsid w:val="000763D6"/>
    <w:rsid w:val="000763E3"/>
    <w:rsid w:val="00076461"/>
    <w:rsid w:val="0007651A"/>
    <w:rsid w:val="00076612"/>
    <w:rsid w:val="00076652"/>
    <w:rsid w:val="00076656"/>
    <w:rsid w:val="00076793"/>
    <w:rsid w:val="000767AA"/>
    <w:rsid w:val="00076801"/>
    <w:rsid w:val="00076A92"/>
    <w:rsid w:val="00076B50"/>
    <w:rsid w:val="00076C01"/>
    <w:rsid w:val="00076C2C"/>
    <w:rsid w:val="00076C5A"/>
    <w:rsid w:val="00076D49"/>
    <w:rsid w:val="00076D70"/>
    <w:rsid w:val="00076DCC"/>
    <w:rsid w:val="00076EAD"/>
    <w:rsid w:val="00076F5C"/>
    <w:rsid w:val="00076F8A"/>
    <w:rsid w:val="00076FC4"/>
    <w:rsid w:val="00076FDC"/>
    <w:rsid w:val="0007706E"/>
    <w:rsid w:val="0007716D"/>
    <w:rsid w:val="00077209"/>
    <w:rsid w:val="0007728B"/>
    <w:rsid w:val="000772C4"/>
    <w:rsid w:val="000773A7"/>
    <w:rsid w:val="0007740A"/>
    <w:rsid w:val="00077454"/>
    <w:rsid w:val="000774B8"/>
    <w:rsid w:val="000774BE"/>
    <w:rsid w:val="000774C9"/>
    <w:rsid w:val="000774DC"/>
    <w:rsid w:val="000774E4"/>
    <w:rsid w:val="000775D8"/>
    <w:rsid w:val="000775FF"/>
    <w:rsid w:val="00077616"/>
    <w:rsid w:val="0007771B"/>
    <w:rsid w:val="00077770"/>
    <w:rsid w:val="000778FE"/>
    <w:rsid w:val="00077970"/>
    <w:rsid w:val="0007798C"/>
    <w:rsid w:val="00077992"/>
    <w:rsid w:val="00077A77"/>
    <w:rsid w:val="00077AA9"/>
    <w:rsid w:val="00077AE6"/>
    <w:rsid w:val="00077B94"/>
    <w:rsid w:val="00077BC1"/>
    <w:rsid w:val="00077BCD"/>
    <w:rsid w:val="00077C09"/>
    <w:rsid w:val="00077CC4"/>
    <w:rsid w:val="00077CF7"/>
    <w:rsid w:val="00077D63"/>
    <w:rsid w:val="00077D7B"/>
    <w:rsid w:val="00077D83"/>
    <w:rsid w:val="00077DCA"/>
    <w:rsid w:val="00077DF7"/>
    <w:rsid w:val="00077DF8"/>
    <w:rsid w:val="00077F27"/>
    <w:rsid w:val="00077FA0"/>
    <w:rsid w:val="00077FA9"/>
    <w:rsid w:val="00080038"/>
    <w:rsid w:val="0008021E"/>
    <w:rsid w:val="0008021F"/>
    <w:rsid w:val="00080264"/>
    <w:rsid w:val="000802D0"/>
    <w:rsid w:val="000804D8"/>
    <w:rsid w:val="0008052C"/>
    <w:rsid w:val="0008053C"/>
    <w:rsid w:val="000805AB"/>
    <w:rsid w:val="000806EB"/>
    <w:rsid w:val="0008070E"/>
    <w:rsid w:val="0008071D"/>
    <w:rsid w:val="0008071E"/>
    <w:rsid w:val="0008072C"/>
    <w:rsid w:val="00080742"/>
    <w:rsid w:val="0008075F"/>
    <w:rsid w:val="00080854"/>
    <w:rsid w:val="0008088C"/>
    <w:rsid w:val="000808F4"/>
    <w:rsid w:val="00080901"/>
    <w:rsid w:val="0008091D"/>
    <w:rsid w:val="00080925"/>
    <w:rsid w:val="00080997"/>
    <w:rsid w:val="000809B8"/>
    <w:rsid w:val="000809D6"/>
    <w:rsid w:val="00080AAF"/>
    <w:rsid w:val="00080B44"/>
    <w:rsid w:val="00080B7A"/>
    <w:rsid w:val="00080B86"/>
    <w:rsid w:val="00080BA5"/>
    <w:rsid w:val="00080BC8"/>
    <w:rsid w:val="00080C31"/>
    <w:rsid w:val="00080C4F"/>
    <w:rsid w:val="00080C9F"/>
    <w:rsid w:val="00080CB2"/>
    <w:rsid w:val="00080CCA"/>
    <w:rsid w:val="00080CD3"/>
    <w:rsid w:val="00080D75"/>
    <w:rsid w:val="00080DA6"/>
    <w:rsid w:val="00080DCF"/>
    <w:rsid w:val="00080E44"/>
    <w:rsid w:val="00080EB3"/>
    <w:rsid w:val="00080ECF"/>
    <w:rsid w:val="00080F05"/>
    <w:rsid w:val="00080FE6"/>
    <w:rsid w:val="0008107E"/>
    <w:rsid w:val="00081147"/>
    <w:rsid w:val="00081150"/>
    <w:rsid w:val="00081154"/>
    <w:rsid w:val="0008117A"/>
    <w:rsid w:val="000811AA"/>
    <w:rsid w:val="000812DC"/>
    <w:rsid w:val="00081387"/>
    <w:rsid w:val="00081397"/>
    <w:rsid w:val="000813D6"/>
    <w:rsid w:val="000813EA"/>
    <w:rsid w:val="000814FD"/>
    <w:rsid w:val="0008151C"/>
    <w:rsid w:val="000815B6"/>
    <w:rsid w:val="0008160B"/>
    <w:rsid w:val="00081692"/>
    <w:rsid w:val="00081732"/>
    <w:rsid w:val="00081859"/>
    <w:rsid w:val="000818D4"/>
    <w:rsid w:val="00081915"/>
    <w:rsid w:val="00081935"/>
    <w:rsid w:val="00081958"/>
    <w:rsid w:val="000819A0"/>
    <w:rsid w:val="000819EF"/>
    <w:rsid w:val="00081AE2"/>
    <w:rsid w:val="00081B8E"/>
    <w:rsid w:val="00081C91"/>
    <w:rsid w:val="00081D19"/>
    <w:rsid w:val="00081DA1"/>
    <w:rsid w:val="00081E1B"/>
    <w:rsid w:val="00081E43"/>
    <w:rsid w:val="00081E46"/>
    <w:rsid w:val="00081E63"/>
    <w:rsid w:val="00081F6C"/>
    <w:rsid w:val="00081FEF"/>
    <w:rsid w:val="00082010"/>
    <w:rsid w:val="00082026"/>
    <w:rsid w:val="000820ED"/>
    <w:rsid w:val="000820F9"/>
    <w:rsid w:val="00082196"/>
    <w:rsid w:val="000821A1"/>
    <w:rsid w:val="00082252"/>
    <w:rsid w:val="000822D5"/>
    <w:rsid w:val="0008238E"/>
    <w:rsid w:val="0008239B"/>
    <w:rsid w:val="00082467"/>
    <w:rsid w:val="000824AA"/>
    <w:rsid w:val="00082559"/>
    <w:rsid w:val="00082670"/>
    <w:rsid w:val="0008269D"/>
    <w:rsid w:val="000826A1"/>
    <w:rsid w:val="00082704"/>
    <w:rsid w:val="00082727"/>
    <w:rsid w:val="000828B4"/>
    <w:rsid w:val="000828B5"/>
    <w:rsid w:val="00082932"/>
    <w:rsid w:val="000829B5"/>
    <w:rsid w:val="000829FD"/>
    <w:rsid w:val="00082AFA"/>
    <w:rsid w:val="00082B03"/>
    <w:rsid w:val="00082B2C"/>
    <w:rsid w:val="00082B3C"/>
    <w:rsid w:val="00082B48"/>
    <w:rsid w:val="00082B90"/>
    <w:rsid w:val="00082BEE"/>
    <w:rsid w:val="00082C00"/>
    <w:rsid w:val="00082C08"/>
    <w:rsid w:val="00082C1B"/>
    <w:rsid w:val="00082C38"/>
    <w:rsid w:val="00082C86"/>
    <w:rsid w:val="00082E39"/>
    <w:rsid w:val="00082EB2"/>
    <w:rsid w:val="00082F30"/>
    <w:rsid w:val="00082F68"/>
    <w:rsid w:val="00082FD9"/>
    <w:rsid w:val="0008302B"/>
    <w:rsid w:val="000830AF"/>
    <w:rsid w:val="000830B4"/>
    <w:rsid w:val="000830F8"/>
    <w:rsid w:val="000830FA"/>
    <w:rsid w:val="00083293"/>
    <w:rsid w:val="000832C3"/>
    <w:rsid w:val="000832F3"/>
    <w:rsid w:val="0008330A"/>
    <w:rsid w:val="00083385"/>
    <w:rsid w:val="000833CD"/>
    <w:rsid w:val="00083405"/>
    <w:rsid w:val="0008341F"/>
    <w:rsid w:val="0008347C"/>
    <w:rsid w:val="0008348E"/>
    <w:rsid w:val="00083608"/>
    <w:rsid w:val="00083625"/>
    <w:rsid w:val="00083681"/>
    <w:rsid w:val="000836D2"/>
    <w:rsid w:val="00083716"/>
    <w:rsid w:val="00083720"/>
    <w:rsid w:val="00083798"/>
    <w:rsid w:val="00083799"/>
    <w:rsid w:val="0008385B"/>
    <w:rsid w:val="000838AD"/>
    <w:rsid w:val="00083917"/>
    <w:rsid w:val="0008392C"/>
    <w:rsid w:val="0008393A"/>
    <w:rsid w:val="000839AB"/>
    <w:rsid w:val="00083A42"/>
    <w:rsid w:val="00083A4A"/>
    <w:rsid w:val="00083A7D"/>
    <w:rsid w:val="00083A92"/>
    <w:rsid w:val="00083AB9"/>
    <w:rsid w:val="00083B9F"/>
    <w:rsid w:val="00083BEB"/>
    <w:rsid w:val="00083C1C"/>
    <w:rsid w:val="00083C37"/>
    <w:rsid w:val="00083C7D"/>
    <w:rsid w:val="00083CAB"/>
    <w:rsid w:val="00083E21"/>
    <w:rsid w:val="00083E4B"/>
    <w:rsid w:val="00083E7C"/>
    <w:rsid w:val="00083EB7"/>
    <w:rsid w:val="00083EBE"/>
    <w:rsid w:val="00083F1D"/>
    <w:rsid w:val="00083F61"/>
    <w:rsid w:val="00084011"/>
    <w:rsid w:val="0008428B"/>
    <w:rsid w:val="00084353"/>
    <w:rsid w:val="000843B3"/>
    <w:rsid w:val="000844AA"/>
    <w:rsid w:val="000844CB"/>
    <w:rsid w:val="00084503"/>
    <w:rsid w:val="00084534"/>
    <w:rsid w:val="00084553"/>
    <w:rsid w:val="0008461B"/>
    <w:rsid w:val="0008464C"/>
    <w:rsid w:val="00084672"/>
    <w:rsid w:val="0008476F"/>
    <w:rsid w:val="00084793"/>
    <w:rsid w:val="000847B7"/>
    <w:rsid w:val="000847B8"/>
    <w:rsid w:val="000847D4"/>
    <w:rsid w:val="000847E5"/>
    <w:rsid w:val="000849BD"/>
    <w:rsid w:val="00084A70"/>
    <w:rsid w:val="00084AB4"/>
    <w:rsid w:val="00084AD3"/>
    <w:rsid w:val="00084C07"/>
    <w:rsid w:val="00084C3A"/>
    <w:rsid w:val="00084C58"/>
    <w:rsid w:val="00084D55"/>
    <w:rsid w:val="00084F8A"/>
    <w:rsid w:val="00084FE0"/>
    <w:rsid w:val="0008501F"/>
    <w:rsid w:val="00085053"/>
    <w:rsid w:val="00085147"/>
    <w:rsid w:val="000851C6"/>
    <w:rsid w:val="000851D1"/>
    <w:rsid w:val="000851F7"/>
    <w:rsid w:val="0008522A"/>
    <w:rsid w:val="00085247"/>
    <w:rsid w:val="000852BB"/>
    <w:rsid w:val="000852DF"/>
    <w:rsid w:val="00085351"/>
    <w:rsid w:val="00085378"/>
    <w:rsid w:val="00085395"/>
    <w:rsid w:val="000853A6"/>
    <w:rsid w:val="000853B5"/>
    <w:rsid w:val="000853D5"/>
    <w:rsid w:val="000853E9"/>
    <w:rsid w:val="00085402"/>
    <w:rsid w:val="0008548D"/>
    <w:rsid w:val="00085568"/>
    <w:rsid w:val="00085569"/>
    <w:rsid w:val="00085576"/>
    <w:rsid w:val="00085599"/>
    <w:rsid w:val="0008559F"/>
    <w:rsid w:val="000856D1"/>
    <w:rsid w:val="000856E6"/>
    <w:rsid w:val="00085744"/>
    <w:rsid w:val="0008574B"/>
    <w:rsid w:val="000857F8"/>
    <w:rsid w:val="000857FD"/>
    <w:rsid w:val="000858A5"/>
    <w:rsid w:val="00085949"/>
    <w:rsid w:val="00085951"/>
    <w:rsid w:val="00085977"/>
    <w:rsid w:val="00085999"/>
    <w:rsid w:val="00085AC6"/>
    <w:rsid w:val="00085AC8"/>
    <w:rsid w:val="00085AF6"/>
    <w:rsid w:val="00085B4C"/>
    <w:rsid w:val="00085BA1"/>
    <w:rsid w:val="00085BEB"/>
    <w:rsid w:val="00085BF6"/>
    <w:rsid w:val="00085CFA"/>
    <w:rsid w:val="00085D1A"/>
    <w:rsid w:val="00085D9F"/>
    <w:rsid w:val="00085DA1"/>
    <w:rsid w:val="00085DC5"/>
    <w:rsid w:val="00085E0D"/>
    <w:rsid w:val="00085E1E"/>
    <w:rsid w:val="00085E66"/>
    <w:rsid w:val="00085E67"/>
    <w:rsid w:val="00085EDA"/>
    <w:rsid w:val="00085F3A"/>
    <w:rsid w:val="0008603B"/>
    <w:rsid w:val="00086089"/>
    <w:rsid w:val="000860D1"/>
    <w:rsid w:val="000860E3"/>
    <w:rsid w:val="000860F5"/>
    <w:rsid w:val="00086124"/>
    <w:rsid w:val="00086167"/>
    <w:rsid w:val="0008625F"/>
    <w:rsid w:val="000862C2"/>
    <w:rsid w:val="000862FD"/>
    <w:rsid w:val="000863C9"/>
    <w:rsid w:val="00086461"/>
    <w:rsid w:val="00086464"/>
    <w:rsid w:val="000864ED"/>
    <w:rsid w:val="000864F5"/>
    <w:rsid w:val="00086504"/>
    <w:rsid w:val="0008659D"/>
    <w:rsid w:val="00086676"/>
    <w:rsid w:val="0008674F"/>
    <w:rsid w:val="0008676A"/>
    <w:rsid w:val="000867C5"/>
    <w:rsid w:val="0008681F"/>
    <w:rsid w:val="00086903"/>
    <w:rsid w:val="0008693F"/>
    <w:rsid w:val="000869FE"/>
    <w:rsid w:val="00086A29"/>
    <w:rsid w:val="00086A2C"/>
    <w:rsid w:val="00086A35"/>
    <w:rsid w:val="00086A91"/>
    <w:rsid w:val="00086AA0"/>
    <w:rsid w:val="00086AD9"/>
    <w:rsid w:val="00086B39"/>
    <w:rsid w:val="00086CC0"/>
    <w:rsid w:val="00086D2B"/>
    <w:rsid w:val="00086D55"/>
    <w:rsid w:val="00086DF4"/>
    <w:rsid w:val="00086DF9"/>
    <w:rsid w:val="00086E12"/>
    <w:rsid w:val="00086E29"/>
    <w:rsid w:val="00086E93"/>
    <w:rsid w:val="00086EB6"/>
    <w:rsid w:val="00086EBC"/>
    <w:rsid w:val="00087020"/>
    <w:rsid w:val="000870C8"/>
    <w:rsid w:val="00087159"/>
    <w:rsid w:val="0008723E"/>
    <w:rsid w:val="000872B1"/>
    <w:rsid w:val="000872B8"/>
    <w:rsid w:val="000873D2"/>
    <w:rsid w:val="0008746F"/>
    <w:rsid w:val="000874AA"/>
    <w:rsid w:val="000874C1"/>
    <w:rsid w:val="00087555"/>
    <w:rsid w:val="000875B8"/>
    <w:rsid w:val="00087616"/>
    <w:rsid w:val="0008763A"/>
    <w:rsid w:val="00087656"/>
    <w:rsid w:val="000877A5"/>
    <w:rsid w:val="00087830"/>
    <w:rsid w:val="00087854"/>
    <w:rsid w:val="000878D7"/>
    <w:rsid w:val="00087930"/>
    <w:rsid w:val="000879D1"/>
    <w:rsid w:val="000879E2"/>
    <w:rsid w:val="00087A02"/>
    <w:rsid w:val="00087A4B"/>
    <w:rsid w:val="00087AE0"/>
    <w:rsid w:val="00087AE4"/>
    <w:rsid w:val="00087AFC"/>
    <w:rsid w:val="00087B61"/>
    <w:rsid w:val="00087C64"/>
    <w:rsid w:val="00087D33"/>
    <w:rsid w:val="00087DC5"/>
    <w:rsid w:val="00087DD0"/>
    <w:rsid w:val="00087E12"/>
    <w:rsid w:val="00087E1B"/>
    <w:rsid w:val="00087EAB"/>
    <w:rsid w:val="00087F1A"/>
    <w:rsid w:val="00087F74"/>
    <w:rsid w:val="0009003F"/>
    <w:rsid w:val="00090075"/>
    <w:rsid w:val="00090084"/>
    <w:rsid w:val="000900B7"/>
    <w:rsid w:val="0009012B"/>
    <w:rsid w:val="00090150"/>
    <w:rsid w:val="00090183"/>
    <w:rsid w:val="00090268"/>
    <w:rsid w:val="00090323"/>
    <w:rsid w:val="00090332"/>
    <w:rsid w:val="00090347"/>
    <w:rsid w:val="00090353"/>
    <w:rsid w:val="000903BA"/>
    <w:rsid w:val="000903D9"/>
    <w:rsid w:val="00090411"/>
    <w:rsid w:val="00090549"/>
    <w:rsid w:val="0009056A"/>
    <w:rsid w:val="00090583"/>
    <w:rsid w:val="000905ED"/>
    <w:rsid w:val="0009061F"/>
    <w:rsid w:val="00090677"/>
    <w:rsid w:val="0009075E"/>
    <w:rsid w:val="00090856"/>
    <w:rsid w:val="00090880"/>
    <w:rsid w:val="000908EF"/>
    <w:rsid w:val="0009091B"/>
    <w:rsid w:val="00090977"/>
    <w:rsid w:val="000909C7"/>
    <w:rsid w:val="00090A06"/>
    <w:rsid w:val="00090A4A"/>
    <w:rsid w:val="00090A91"/>
    <w:rsid w:val="00090B02"/>
    <w:rsid w:val="00090B08"/>
    <w:rsid w:val="00090BA2"/>
    <w:rsid w:val="00090BB3"/>
    <w:rsid w:val="00090C0D"/>
    <w:rsid w:val="00090C6F"/>
    <w:rsid w:val="00090CA2"/>
    <w:rsid w:val="00090CA4"/>
    <w:rsid w:val="00090CCE"/>
    <w:rsid w:val="00090D58"/>
    <w:rsid w:val="00090D8D"/>
    <w:rsid w:val="00090DA2"/>
    <w:rsid w:val="00090DC6"/>
    <w:rsid w:val="00090E11"/>
    <w:rsid w:val="00090E19"/>
    <w:rsid w:val="00090F0D"/>
    <w:rsid w:val="00090F58"/>
    <w:rsid w:val="00090F67"/>
    <w:rsid w:val="00090FEB"/>
    <w:rsid w:val="0009101C"/>
    <w:rsid w:val="00091078"/>
    <w:rsid w:val="00091088"/>
    <w:rsid w:val="000910F7"/>
    <w:rsid w:val="0009111A"/>
    <w:rsid w:val="00091166"/>
    <w:rsid w:val="000911C2"/>
    <w:rsid w:val="00091299"/>
    <w:rsid w:val="000912E2"/>
    <w:rsid w:val="00091431"/>
    <w:rsid w:val="00091458"/>
    <w:rsid w:val="000914A3"/>
    <w:rsid w:val="000914F5"/>
    <w:rsid w:val="00091513"/>
    <w:rsid w:val="0009158A"/>
    <w:rsid w:val="00091607"/>
    <w:rsid w:val="00091663"/>
    <w:rsid w:val="000916A6"/>
    <w:rsid w:val="00091782"/>
    <w:rsid w:val="000917A0"/>
    <w:rsid w:val="000917B1"/>
    <w:rsid w:val="0009187A"/>
    <w:rsid w:val="000918E3"/>
    <w:rsid w:val="0009193F"/>
    <w:rsid w:val="000919BD"/>
    <w:rsid w:val="000919FE"/>
    <w:rsid w:val="00091A5A"/>
    <w:rsid w:val="00091A78"/>
    <w:rsid w:val="00091AC2"/>
    <w:rsid w:val="00091AE8"/>
    <w:rsid w:val="00091B47"/>
    <w:rsid w:val="00091BBC"/>
    <w:rsid w:val="00091C7C"/>
    <w:rsid w:val="00091C7D"/>
    <w:rsid w:val="00091CAB"/>
    <w:rsid w:val="00091D72"/>
    <w:rsid w:val="00091DC9"/>
    <w:rsid w:val="00091EAE"/>
    <w:rsid w:val="00091F2E"/>
    <w:rsid w:val="00091F4E"/>
    <w:rsid w:val="00091FC8"/>
    <w:rsid w:val="00091FE8"/>
    <w:rsid w:val="00092008"/>
    <w:rsid w:val="0009200F"/>
    <w:rsid w:val="0009202D"/>
    <w:rsid w:val="0009209C"/>
    <w:rsid w:val="000920F1"/>
    <w:rsid w:val="00092115"/>
    <w:rsid w:val="00092142"/>
    <w:rsid w:val="0009218D"/>
    <w:rsid w:val="000921A0"/>
    <w:rsid w:val="000921CA"/>
    <w:rsid w:val="00092233"/>
    <w:rsid w:val="000922A6"/>
    <w:rsid w:val="000922B5"/>
    <w:rsid w:val="000922DB"/>
    <w:rsid w:val="000922EE"/>
    <w:rsid w:val="000922F2"/>
    <w:rsid w:val="00092334"/>
    <w:rsid w:val="00092373"/>
    <w:rsid w:val="0009238E"/>
    <w:rsid w:val="000923E6"/>
    <w:rsid w:val="000923ED"/>
    <w:rsid w:val="00092437"/>
    <w:rsid w:val="000924E5"/>
    <w:rsid w:val="00092515"/>
    <w:rsid w:val="000925D2"/>
    <w:rsid w:val="0009265E"/>
    <w:rsid w:val="000926E3"/>
    <w:rsid w:val="000927AF"/>
    <w:rsid w:val="000927B4"/>
    <w:rsid w:val="00092867"/>
    <w:rsid w:val="0009289D"/>
    <w:rsid w:val="00092921"/>
    <w:rsid w:val="0009292E"/>
    <w:rsid w:val="0009293C"/>
    <w:rsid w:val="000929DC"/>
    <w:rsid w:val="00092A76"/>
    <w:rsid w:val="00092AF1"/>
    <w:rsid w:val="00092B35"/>
    <w:rsid w:val="00092B6B"/>
    <w:rsid w:val="00092C02"/>
    <w:rsid w:val="00092C26"/>
    <w:rsid w:val="00092C48"/>
    <w:rsid w:val="00092CAE"/>
    <w:rsid w:val="00092D3B"/>
    <w:rsid w:val="00092D70"/>
    <w:rsid w:val="00092D72"/>
    <w:rsid w:val="00092E4B"/>
    <w:rsid w:val="00092E70"/>
    <w:rsid w:val="00092EDF"/>
    <w:rsid w:val="00092EE8"/>
    <w:rsid w:val="00092EEB"/>
    <w:rsid w:val="00092F8C"/>
    <w:rsid w:val="00093077"/>
    <w:rsid w:val="00093162"/>
    <w:rsid w:val="000931EB"/>
    <w:rsid w:val="00093211"/>
    <w:rsid w:val="0009322D"/>
    <w:rsid w:val="0009323C"/>
    <w:rsid w:val="00093243"/>
    <w:rsid w:val="00093328"/>
    <w:rsid w:val="0009343A"/>
    <w:rsid w:val="0009344D"/>
    <w:rsid w:val="0009348D"/>
    <w:rsid w:val="00093551"/>
    <w:rsid w:val="00093560"/>
    <w:rsid w:val="00093564"/>
    <w:rsid w:val="0009361C"/>
    <w:rsid w:val="0009362A"/>
    <w:rsid w:val="00093691"/>
    <w:rsid w:val="00093732"/>
    <w:rsid w:val="000937AA"/>
    <w:rsid w:val="000937AC"/>
    <w:rsid w:val="000938B5"/>
    <w:rsid w:val="00093921"/>
    <w:rsid w:val="00093A74"/>
    <w:rsid w:val="00093A92"/>
    <w:rsid w:val="00093AEB"/>
    <w:rsid w:val="00093B81"/>
    <w:rsid w:val="00093BA7"/>
    <w:rsid w:val="00093BEE"/>
    <w:rsid w:val="00093C33"/>
    <w:rsid w:val="00093C4E"/>
    <w:rsid w:val="00093C9C"/>
    <w:rsid w:val="00093CE8"/>
    <w:rsid w:val="00093D8A"/>
    <w:rsid w:val="00093DE8"/>
    <w:rsid w:val="00093E57"/>
    <w:rsid w:val="00093E5B"/>
    <w:rsid w:val="00093E8C"/>
    <w:rsid w:val="00093E8D"/>
    <w:rsid w:val="00093E9C"/>
    <w:rsid w:val="00093F58"/>
    <w:rsid w:val="00093F6B"/>
    <w:rsid w:val="00093F99"/>
    <w:rsid w:val="00093FA6"/>
    <w:rsid w:val="00093FC2"/>
    <w:rsid w:val="00093FDC"/>
    <w:rsid w:val="0009401B"/>
    <w:rsid w:val="00094055"/>
    <w:rsid w:val="000940D6"/>
    <w:rsid w:val="0009417F"/>
    <w:rsid w:val="0009419D"/>
    <w:rsid w:val="0009419E"/>
    <w:rsid w:val="000941B4"/>
    <w:rsid w:val="000941BE"/>
    <w:rsid w:val="000941CC"/>
    <w:rsid w:val="0009428C"/>
    <w:rsid w:val="000942B6"/>
    <w:rsid w:val="000942CE"/>
    <w:rsid w:val="000943DE"/>
    <w:rsid w:val="00094466"/>
    <w:rsid w:val="0009457D"/>
    <w:rsid w:val="00094580"/>
    <w:rsid w:val="000945DB"/>
    <w:rsid w:val="000945F9"/>
    <w:rsid w:val="0009460A"/>
    <w:rsid w:val="00094630"/>
    <w:rsid w:val="00094724"/>
    <w:rsid w:val="00094829"/>
    <w:rsid w:val="00094859"/>
    <w:rsid w:val="0009485F"/>
    <w:rsid w:val="000949C5"/>
    <w:rsid w:val="00094A23"/>
    <w:rsid w:val="00094A83"/>
    <w:rsid w:val="00094A97"/>
    <w:rsid w:val="00094AEF"/>
    <w:rsid w:val="00094AF3"/>
    <w:rsid w:val="00094B1D"/>
    <w:rsid w:val="00094CA9"/>
    <w:rsid w:val="00094CD1"/>
    <w:rsid w:val="00094CF7"/>
    <w:rsid w:val="00094D31"/>
    <w:rsid w:val="00094EA1"/>
    <w:rsid w:val="00094EB4"/>
    <w:rsid w:val="00094F3E"/>
    <w:rsid w:val="00094F8C"/>
    <w:rsid w:val="00094FBD"/>
    <w:rsid w:val="00095055"/>
    <w:rsid w:val="000950A4"/>
    <w:rsid w:val="0009524A"/>
    <w:rsid w:val="000952F6"/>
    <w:rsid w:val="000953E5"/>
    <w:rsid w:val="00095439"/>
    <w:rsid w:val="00095449"/>
    <w:rsid w:val="000954C8"/>
    <w:rsid w:val="000954D7"/>
    <w:rsid w:val="000954EB"/>
    <w:rsid w:val="000954EE"/>
    <w:rsid w:val="00095509"/>
    <w:rsid w:val="00095527"/>
    <w:rsid w:val="000955A6"/>
    <w:rsid w:val="00095690"/>
    <w:rsid w:val="000958D4"/>
    <w:rsid w:val="00095908"/>
    <w:rsid w:val="00095940"/>
    <w:rsid w:val="00095993"/>
    <w:rsid w:val="00095A1E"/>
    <w:rsid w:val="00095A6A"/>
    <w:rsid w:val="00095B3B"/>
    <w:rsid w:val="00095B76"/>
    <w:rsid w:val="00095BA4"/>
    <w:rsid w:val="00095BC8"/>
    <w:rsid w:val="00095BFF"/>
    <w:rsid w:val="00095C04"/>
    <w:rsid w:val="00095CB8"/>
    <w:rsid w:val="00095DA8"/>
    <w:rsid w:val="00095E70"/>
    <w:rsid w:val="00095EF2"/>
    <w:rsid w:val="00095F1C"/>
    <w:rsid w:val="00095F67"/>
    <w:rsid w:val="0009604E"/>
    <w:rsid w:val="00096050"/>
    <w:rsid w:val="00096076"/>
    <w:rsid w:val="000960F7"/>
    <w:rsid w:val="00096113"/>
    <w:rsid w:val="00096132"/>
    <w:rsid w:val="0009616C"/>
    <w:rsid w:val="00096219"/>
    <w:rsid w:val="000962A6"/>
    <w:rsid w:val="000962D3"/>
    <w:rsid w:val="000962EA"/>
    <w:rsid w:val="00096344"/>
    <w:rsid w:val="0009642C"/>
    <w:rsid w:val="0009642F"/>
    <w:rsid w:val="0009643A"/>
    <w:rsid w:val="000964CC"/>
    <w:rsid w:val="0009653D"/>
    <w:rsid w:val="00096599"/>
    <w:rsid w:val="000965A8"/>
    <w:rsid w:val="000965B9"/>
    <w:rsid w:val="000965FC"/>
    <w:rsid w:val="0009662F"/>
    <w:rsid w:val="0009674A"/>
    <w:rsid w:val="000967EA"/>
    <w:rsid w:val="000968A2"/>
    <w:rsid w:val="000968AD"/>
    <w:rsid w:val="0009690E"/>
    <w:rsid w:val="00096960"/>
    <w:rsid w:val="00096A34"/>
    <w:rsid w:val="00096AE0"/>
    <w:rsid w:val="00096B2F"/>
    <w:rsid w:val="00096B72"/>
    <w:rsid w:val="00096C10"/>
    <w:rsid w:val="00096C50"/>
    <w:rsid w:val="00096D3E"/>
    <w:rsid w:val="00096D4C"/>
    <w:rsid w:val="00096D76"/>
    <w:rsid w:val="00096D8E"/>
    <w:rsid w:val="00096E1C"/>
    <w:rsid w:val="00096E5E"/>
    <w:rsid w:val="00096E60"/>
    <w:rsid w:val="00096E80"/>
    <w:rsid w:val="00096F74"/>
    <w:rsid w:val="00096F9C"/>
    <w:rsid w:val="00096FCB"/>
    <w:rsid w:val="00096FE0"/>
    <w:rsid w:val="00097100"/>
    <w:rsid w:val="000971EA"/>
    <w:rsid w:val="00097206"/>
    <w:rsid w:val="00097207"/>
    <w:rsid w:val="0009726B"/>
    <w:rsid w:val="000972C3"/>
    <w:rsid w:val="00097303"/>
    <w:rsid w:val="0009733C"/>
    <w:rsid w:val="0009734E"/>
    <w:rsid w:val="00097379"/>
    <w:rsid w:val="000973DA"/>
    <w:rsid w:val="0009742C"/>
    <w:rsid w:val="00097477"/>
    <w:rsid w:val="00097499"/>
    <w:rsid w:val="000974C5"/>
    <w:rsid w:val="00097535"/>
    <w:rsid w:val="00097655"/>
    <w:rsid w:val="000976C4"/>
    <w:rsid w:val="000976F2"/>
    <w:rsid w:val="000976F3"/>
    <w:rsid w:val="00097715"/>
    <w:rsid w:val="0009778C"/>
    <w:rsid w:val="00097837"/>
    <w:rsid w:val="0009788E"/>
    <w:rsid w:val="000978DD"/>
    <w:rsid w:val="000979A6"/>
    <w:rsid w:val="00097A09"/>
    <w:rsid w:val="00097A2D"/>
    <w:rsid w:val="00097A5A"/>
    <w:rsid w:val="00097A5E"/>
    <w:rsid w:val="00097AB1"/>
    <w:rsid w:val="00097B82"/>
    <w:rsid w:val="00097C0A"/>
    <w:rsid w:val="00097C1F"/>
    <w:rsid w:val="00097C40"/>
    <w:rsid w:val="00097C9B"/>
    <w:rsid w:val="00097D0B"/>
    <w:rsid w:val="00097D3E"/>
    <w:rsid w:val="00097D41"/>
    <w:rsid w:val="00097D81"/>
    <w:rsid w:val="00097D87"/>
    <w:rsid w:val="00097D93"/>
    <w:rsid w:val="00097DCF"/>
    <w:rsid w:val="00097E23"/>
    <w:rsid w:val="00097EE1"/>
    <w:rsid w:val="00097EF6"/>
    <w:rsid w:val="00097F4E"/>
    <w:rsid w:val="000A0043"/>
    <w:rsid w:val="000A00C3"/>
    <w:rsid w:val="000A010B"/>
    <w:rsid w:val="000A0141"/>
    <w:rsid w:val="000A01AD"/>
    <w:rsid w:val="000A01ED"/>
    <w:rsid w:val="000A02A9"/>
    <w:rsid w:val="000A02FC"/>
    <w:rsid w:val="000A0313"/>
    <w:rsid w:val="000A033F"/>
    <w:rsid w:val="000A03D0"/>
    <w:rsid w:val="000A04C8"/>
    <w:rsid w:val="000A0514"/>
    <w:rsid w:val="000A056F"/>
    <w:rsid w:val="000A05F9"/>
    <w:rsid w:val="000A067E"/>
    <w:rsid w:val="000A07D9"/>
    <w:rsid w:val="000A088C"/>
    <w:rsid w:val="000A08FC"/>
    <w:rsid w:val="000A0966"/>
    <w:rsid w:val="000A098C"/>
    <w:rsid w:val="000A09DF"/>
    <w:rsid w:val="000A09EF"/>
    <w:rsid w:val="000A0A07"/>
    <w:rsid w:val="000A0A82"/>
    <w:rsid w:val="000A0A9C"/>
    <w:rsid w:val="000A0B7A"/>
    <w:rsid w:val="000A0BBD"/>
    <w:rsid w:val="000A0BED"/>
    <w:rsid w:val="000A0CCC"/>
    <w:rsid w:val="000A0CF5"/>
    <w:rsid w:val="000A0CFE"/>
    <w:rsid w:val="000A0D0C"/>
    <w:rsid w:val="000A0D73"/>
    <w:rsid w:val="000A0DC2"/>
    <w:rsid w:val="000A0DD1"/>
    <w:rsid w:val="000A0E25"/>
    <w:rsid w:val="000A0E6F"/>
    <w:rsid w:val="000A0E93"/>
    <w:rsid w:val="000A0F0A"/>
    <w:rsid w:val="000A10BA"/>
    <w:rsid w:val="000A1142"/>
    <w:rsid w:val="000A1162"/>
    <w:rsid w:val="000A1292"/>
    <w:rsid w:val="000A129A"/>
    <w:rsid w:val="000A1391"/>
    <w:rsid w:val="000A13C7"/>
    <w:rsid w:val="000A13E6"/>
    <w:rsid w:val="000A1451"/>
    <w:rsid w:val="000A147C"/>
    <w:rsid w:val="000A148C"/>
    <w:rsid w:val="000A1559"/>
    <w:rsid w:val="000A1631"/>
    <w:rsid w:val="000A1747"/>
    <w:rsid w:val="000A17BF"/>
    <w:rsid w:val="000A18EF"/>
    <w:rsid w:val="000A196C"/>
    <w:rsid w:val="000A1986"/>
    <w:rsid w:val="000A1A60"/>
    <w:rsid w:val="000A1A7F"/>
    <w:rsid w:val="000A1ABD"/>
    <w:rsid w:val="000A1C80"/>
    <w:rsid w:val="000A1CE2"/>
    <w:rsid w:val="000A1D70"/>
    <w:rsid w:val="000A1E01"/>
    <w:rsid w:val="000A209F"/>
    <w:rsid w:val="000A20CC"/>
    <w:rsid w:val="000A215F"/>
    <w:rsid w:val="000A21BF"/>
    <w:rsid w:val="000A21EC"/>
    <w:rsid w:val="000A21F9"/>
    <w:rsid w:val="000A2201"/>
    <w:rsid w:val="000A2208"/>
    <w:rsid w:val="000A2269"/>
    <w:rsid w:val="000A228C"/>
    <w:rsid w:val="000A22FD"/>
    <w:rsid w:val="000A234D"/>
    <w:rsid w:val="000A23FD"/>
    <w:rsid w:val="000A24A5"/>
    <w:rsid w:val="000A24BA"/>
    <w:rsid w:val="000A255A"/>
    <w:rsid w:val="000A25B3"/>
    <w:rsid w:val="000A25E3"/>
    <w:rsid w:val="000A260B"/>
    <w:rsid w:val="000A2670"/>
    <w:rsid w:val="000A267D"/>
    <w:rsid w:val="000A27F5"/>
    <w:rsid w:val="000A2835"/>
    <w:rsid w:val="000A28DE"/>
    <w:rsid w:val="000A291B"/>
    <w:rsid w:val="000A294F"/>
    <w:rsid w:val="000A2963"/>
    <w:rsid w:val="000A2A1E"/>
    <w:rsid w:val="000A2A78"/>
    <w:rsid w:val="000A2AA2"/>
    <w:rsid w:val="000A2B1A"/>
    <w:rsid w:val="000A2BB3"/>
    <w:rsid w:val="000A2BCE"/>
    <w:rsid w:val="000A2BD1"/>
    <w:rsid w:val="000A2D05"/>
    <w:rsid w:val="000A2D97"/>
    <w:rsid w:val="000A2E04"/>
    <w:rsid w:val="000A2E41"/>
    <w:rsid w:val="000A2E7F"/>
    <w:rsid w:val="000A2EE1"/>
    <w:rsid w:val="000A2F4C"/>
    <w:rsid w:val="000A2F97"/>
    <w:rsid w:val="000A32E9"/>
    <w:rsid w:val="000A32FA"/>
    <w:rsid w:val="000A330D"/>
    <w:rsid w:val="000A3314"/>
    <w:rsid w:val="000A3342"/>
    <w:rsid w:val="000A33C2"/>
    <w:rsid w:val="000A344E"/>
    <w:rsid w:val="000A3512"/>
    <w:rsid w:val="000A3518"/>
    <w:rsid w:val="000A3540"/>
    <w:rsid w:val="000A35CC"/>
    <w:rsid w:val="000A35F7"/>
    <w:rsid w:val="000A366A"/>
    <w:rsid w:val="000A3686"/>
    <w:rsid w:val="000A3758"/>
    <w:rsid w:val="000A3769"/>
    <w:rsid w:val="000A3777"/>
    <w:rsid w:val="000A3781"/>
    <w:rsid w:val="000A37B3"/>
    <w:rsid w:val="000A37C1"/>
    <w:rsid w:val="000A382F"/>
    <w:rsid w:val="000A38A8"/>
    <w:rsid w:val="000A38D4"/>
    <w:rsid w:val="000A392F"/>
    <w:rsid w:val="000A39CA"/>
    <w:rsid w:val="000A39F6"/>
    <w:rsid w:val="000A3AE0"/>
    <w:rsid w:val="000A3AFA"/>
    <w:rsid w:val="000A3B26"/>
    <w:rsid w:val="000A3B7D"/>
    <w:rsid w:val="000A3C45"/>
    <w:rsid w:val="000A3CD7"/>
    <w:rsid w:val="000A3D10"/>
    <w:rsid w:val="000A3D1E"/>
    <w:rsid w:val="000A3D4B"/>
    <w:rsid w:val="000A3D4E"/>
    <w:rsid w:val="000A3D99"/>
    <w:rsid w:val="000A3DDB"/>
    <w:rsid w:val="000A3DEF"/>
    <w:rsid w:val="000A3E0C"/>
    <w:rsid w:val="000A3E2E"/>
    <w:rsid w:val="000A3E59"/>
    <w:rsid w:val="000A3F0F"/>
    <w:rsid w:val="000A3F79"/>
    <w:rsid w:val="000A406C"/>
    <w:rsid w:val="000A40AE"/>
    <w:rsid w:val="000A40B4"/>
    <w:rsid w:val="000A4102"/>
    <w:rsid w:val="000A4120"/>
    <w:rsid w:val="000A4123"/>
    <w:rsid w:val="000A416D"/>
    <w:rsid w:val="000A4186"/>
    <w:rsid w:val="000A42E7"/>
    <w:rsid w:val="000A430A"/>
    <w:rsid w:val="000A4321"/>
    <w:rsid w:val="000A43DD"/>
    <w:rsid w:val="000A446D"/>
    <w:rsid w:val="000A447A"/>
    <w:rsid w:val="000A4487"/>
    <w:rsid w:val="000A44C5"/>
    <w:rsid w:val="000A4501"/>
    <w:rsid w:val="000A4546"/>
    <w:rsid w:val="000A454E"/>
    <w:rsid w:val="000A4597"/>
    <w:rsid w:val="000A45D3"/>
    <w:rsid w:val="000A46C4"/>
    <w:rsid w:val="000A46CF"/>
    <w:rsid w:val="000A470F"/>
    <w:rsid w:val="000A474F"/>
    <w:rsid w:val="000A4889"/>
    <w:rsid w:val="000A4892"/>
    <w:rsid w:val="000A48B3"/>
    <w:rsid w:val="000A48D8"/>
    <w:rsid w:val="000A49A5"/>
    <w:rsid w:val="000A49B8"/>
    <w:rsid w:val="000A49E7"/>
    <w:rsid w:val="000A4A45"/>
    <w:rsid w:val="000A4A7C"/>
    <w:rsid w:val="000A4C17"/>
    <w:rsid w:val="000A4C82"/>
    <w:rsid w:val="000A4C85"/>
    <w:rsid w:val="000A4DC7"/>
    <w:rsid w:val="000A4DE2"/>
    <w:rsid w:val="000A4EC0"/>
    <w:rsid w:val="000A5008"/>
    <w:rsid w:val="000A50BD"/>
    <w:rsid w:val="000A50FD"/>
    <w:rsid w:val="000A5121"/>
    <w:rsid w:val="000A5145"/>
    <w:rsid w:val="000A519D"/>
    <w:rsid w:val="000A5216"/>
    <w:rsid w:val="000A5222"/>
    <w:rsid w:val="000A5231"/>
    <w:rsid w:val="000A5264"/>
    <w:rsid w:val="000A5393"/>
    <w:rsid w:val="000A53F6"/>
    <w:rsid w:val="000A549D"/>
    <w:rsid w:val="000A54CF"/>
    <w:rsid w:val="000A556B"/>
    <w:rsid w:val="000A55F7"/>
    <w:rsid w:val="000A5602"/>
    <w:rsid w:val="000A5608"/>
    <w:rsid w:val="000A57BF"/>
    <w:rsid w:val="000A57EC"/>
    <w:rsid w:val="000A57F4"/>
    <w:rsid w:val="000A5814"/>
    <w:rsid w:val="000A5861"/>
    <w:rsid w:val="000A58E8"/>
    <w:rsid w:val="000A5944"/>
    <w:rsid w:val="000A5967"/>
    <w:rsid w:val="000A5A39"/>
    <w:rsid w:val="000A5A40"/>
    <w:rsid w:val="000A5ABB"/>
    <w:rsid w:val="000A5B66"/>
    <w:rsid w:val="000A5BD0"/>
    <w:rsid w:val="000A5C79"/>
    <w:rsid w:val="000A5CEC"/>
    <w:rsid w:val="000A5CFB"/>
    <w:rsid w:val="000A5DE0"/>
    <w:rsid w:val="000A5E47"/>
    <w:rsid w:val="000A5E8D"/>
    <w:rsid w:val="000A5EF4"/>
    <w:rsid w:val="000A6041"/>
    <w:rsid w:val="000A6070"/>
    <w:rsid w:val="000A60F4"/>
    <w:rsid w:val="000A6102"/>
    <w:rsid w:val="000A6122"/>
    <w:rsid w:val="000A6151"/>
    <w:rsid w:val="000A6159"/>
    <w:rsid w:val="000A61F2"/>
    <w:rsid w:val="000A6217"/>
    <w:rsid w:val="000A6284"/>
    <w:rsid w:val="000A628A"/>
    <w:rsid w:val="000A62C5"/>
    <w:rsid w:val="000A6372"/>
    <w:rsid w:val="000A6428"/>
    <w:rsid w:val="000A65F0"/>
    <w:rsid w:val="000A65F8"/>
    <w:rsid w:val="000A65FF"/>
    <w:rsid w:val="000A669D"/>
    <w:rsid w:val="000A66ED"/>
    <w:rsid w:val="000A670A"/>
    <w:rsid w:val="000A67A9"/>
    <w:rsid w:val="000A67E5"/>
    <w:rsid w:val="000A6814"/>
    <w:rsid w:val="000A6851"/>
    <w:rsid w:val="000A685F"/>
    <w:rsid w:val="000A68BE"/>
    <w:rsid w:val="000A690A"/>
    <w:rsid w:val="000A696F"/>
    <w:rsid w:val="000A69AC"/>
    <w:rsid w:val="000A6A44"/>
    <w:rsid w:val="000A6A73"/>
    <w:rsid w:val="000A6ADF"/>
    <w:rsid w:val="000A6BA8"/>
    <w:rsid w:val="000A6BBA"/>
    <w:rsid w:val="000A6BDA"/>
    <w:rsid w:val="000A6BDF"/>
    <w:rsid w:val="000A6C4F"/>
    <w:rsid w:val="000A6C5E"/>
    <w:rsid w:val="000A6E97"/>
    <w:rsid w:val="000A6F32"/>
    <w:rsid w:val="000A6F4F"/>
    <w:rsid w:val="000A6F77"/>
    <w:rsid w:val="000A6F8A"/>
    <w:rsid w:val="000A6F97"/>
    <w:rsid w:val="000A6FBD"/>
    <w:rsid w:val="000A7170"/>
    <w:rsid w:val="000A7181"/>
    <w:rsid w:val="000A72A5"/>
    <w:rsid w:val="000A72DE"/>
    <w:rsid w:val="000A7303"/>
    <w:rsid w:val="000A732D"/>
    <w:rsid w:val="000A738F"/>
    <w:rsid w:val="000A73DB"/>
    <w:rsid w:val="000A73ED"/>
    <w:rsid w:val="000A74B5"/>
    <w:rsid w:val="000A74EA"/>
    <w:rsid w:val="000A759D"/>
    <w:rsid w:val="000A75C5"/>
    <w:rsid w:val="000A78AC"/>
    <w:rsid w:val="000A7927"/>
    <w:rsid w:val="000A79A5"/>
    <w:rsid w:val="000A79F1"/>
    <w:rsid w:val="000A7A6A"/>
    <w:rsid w:val="000A7B23"/>
    <w:rsid w:val="000A7B49"/>
    <w:rsid w:val="000A7B61"/>
    <w:rsid w:val="000A7B8C"/>
    <w:rsid w:val="000A7BCC"/>
    <w:rsid w:val="000A7C12"/>
    <w:rsid w:val="000A7D45"/>
    <w:rsid w:val="000A7D85"/>
    <w:rsid w:val="000A7EC0"/>
    <w:rsid w:val="000A7F64"/>
    <w:rsid w:val="000A7F74"/>
    <w:rsid w:val="000A7F9E"/>
    <w:rsid w:val="000A7FD9"/>
    <w:rsid w:val="000B0038"/>
    <w:rsid w:val="000B008B"/>
    <w:rsid w:val="000B008C"/>
    <w:rsid w:val="000B01A6"/>
    <w:rsid w:val="000B023E"/>
    <w:rsid w:val="000B0273"/>
    <w:rsid w:val="000B02A7"/>
    <w:rsid w:val="000B02FD"/>
    <w:rsid w:val="000B03ED"/>
    <w:rsid w:val="000B03FE"/>
    <w:rsid w:val="000B0473"/>
    <w:rsid w:val="000B047F"/>
    <w:rsid w:val="000B04B9"/>
    <w:rsid w:val="000B04BF"/>
    <w:rsid w:val="000B0515"/>
    <w:rsid w:val="000B0602"/>
    <w:rsid w:val="000B0612"/>
    <w:rsid w:val="000B07B6"/>
    <w:rsid w:val="000B07C1"/>
    <w:rsid w:val="000B08C9"/>
    <w:rsid w:val="000B08DE"/>
    <w:rsid w:val="000B08FF"/>
    <w:rsid w:val="000B0911"/>
    <w:rsid w:val="000B091C"/>
    <w:rsid w:val="000B0944"/>
    <w:rsid w:val="000B097A"/>
    <w:rsid w:val="000B0A7E"/>
    <w:rsid w:val="000B0A9A"/>
    <w:rsid w:val="000B0AE1"/>
    <w:rsid w:val="000B0B49"/>
    <w:rsid w:val="000B0BA5"/>
    <w:rsid w:val="000B0BCD"/>
    <w:rsid w:val="000B0BE9"/>
    <w:rsid w:val="000B0C2A"/>
    <w:rsid w:val="000B0C90"/>
    <w:rsid w:val="000B0CBB"/>
    <w:rsid w:val="000B0D5A"/>
    <w:rsid w:val="000B0EA3"/>
    <w:rsid w:val="000B0EBF"/>
    <w:rsid w:val="000B0EC1"/>
    <w:rsid w:val="000B0F45"/>
    <w:rsid w:val="000B0FDE"/>
    <w:rsid w:val="000B10C7"/>
    <w:rsid w:val="000B1153"/>
    <w:rsid w:val="000B11BF"/>
    <w:rsid w:val="000B121D"/>
    <w:rsid w:val="000B1295"/>
    <w:rsid w:val="000B133B"/>
    <w:rsid w:val="000B134E"/>
    <w:rsid w:val="000B1356"/>
    <w:rsid w:val="000B142E"/>
    <w:rsid w:val="000B14B6"/>
    <w:rsid w:val="000B1522"/>
    <w:rsid w:val="000B1548"/>
    <w:rsid w:val="000B15C2"/>
    <w:rsid w:val="000B168D"/>
    <w:rsid w:val="000B16BE"/>
    <w:rsid w:val="000B1749"/>
    <w:rsid w:val="000B1759"/>
    <w:rsid w:val="000B1779"/>
    <w:rsid w:val="000B17EA"/>
    <w:rsid w:val="000B1850"/>
    <w:rsid w:val="000B185D"/>
    <w:rsid w:val="000B188F"/>
    <w:rsid w:val="000B1906"/>
    <w:rsid w:val="000B1980"/>
    <w:rsid w:val="000B1999"/>
    <w:rsid w:val="000B1ACD"/>
    <w:rsid w:val="000B1B1C"/>
    <w:rsid w:val="000B1BD0"/>
    <w:rsid w:val="000B1C6D"/>
    <w:rsid w:val="000B1CA5"/>
    <w:rsid w:val="000B1D99"/>
    <w:rsid w:val="000B1DA9"/>
    <w:rsid w:val="000B1DB2"/>
    <w:rsid w:val="000B1E0C"/>
    <w:rsid w:val="000B1EA0"/>
    <w:rsid w:val="000B1F70"/>
    <w:rsid w:val="000B1FD3"/>
    <w:rsid w:val="000B1FF3"/>
    <w:rsid w:val="000B2006"/>
    <w:rsid w:val="000B2017"/>
    <w:rsid w:val="000B20B9"/>
    <w:rsid w:val="000B20DD"/>
    <w:rsid w:val="000B20E0"/>
    <w:rsid w:val="000B2136"/>
    <w:rsid w:val="000B213F"/>
    <w:rsid w:val="000B2170"/>
    <w:rsid w:val="000B21DC"/>
    <w:rsid w:val="000B220A"/>
    <w:rsid w:val="000B220D"/>
    <w:rsid w:val="000B23B9"/>
    <w:rsid w:val="000B245B"/>
    <w:rsid w:val="000B245E"/>
    <w:rsid w:val="000B2592"/>
    <w:rsid w:val="000B25AC"/>
    <w:rsid w:val="000B2601"/>
    <w:rsid w:val="000B2624"/>
    <w:rsid w:val="000B26AD"/>
    <w:rsid w:val="000B27CA"/>
    <w:rsid w:val="000B280C"/>
    <w:rsid w:val="000B2849"/>
    <w:rsid w:val="000B2859"/>
    <w:rsid w:val="000B288E"/>
    <w:rsid w:val="000B2893"/>
    <w:rsid w:val="000B2AD9"/>
    <w:rsid w:val="000B2AF1"/>
    <w:rsid w:val="000B2B1A"/>
    <w:rsid w:val="000B2B40"/>
    <w:rsid w:val="000B2B64"/>
    <w:rsid w:val="000B2B7B"/>
    <w:rsid w:val="000B2C4C"/>
    <w:rsid w:val="000B2C73"/>
    <w:rsid w:val="000B2CBA"/>
    <w:rsid w:val="000B2D6A"/>
    <w:rsid w:val="000B2ECB"/>
    <w:rsid w:val="000B2FB4"/>
    <w:rsid w:val="000B2FD3"/>
    <w:rsid w:val="000B2FE2"/>
    <w:rsid w:val="000B3002"/>
    <w:rsid w:val="000B3079"/>
    <w:rsid w:val="000B3088"/>
    <w:rsid w:val="000B30A3"/>
    <w:rsid w:val="000B31DB"/>
    <w:rsid w:val="000B32B0"/>
    <w:rsid w:val="000B32D5"/>
    <w:rsid w:val="000B3479"/>
    <w:rsid w:val="000B3519"/>
    <w:rsid w:val="000B352D"/>
    <w:rsid w:val="000B3530"/>
    <w:rsid w:val="000B3608"/>
    <w:rsid w:val="000B3678"/>
    <w:rsid w:val="000B3701"/>
    <w:rsid w:val="000B3797"/>
    <w:rsid w:val="000B37CA"/>
    <w:rsid w:val="000B3866"/>
    <w:rsid w:val="000B3873"/>
    <w:rsid w:val="000B3951"/>
    <w:rsid w:val="000B3960"/>
    <w:rsid w:val="000B3993"/>
    <w:rsid w:val="000B3A39"/>
    <w:rsid w:val="000B3B1D"/>
    <w:rsid w:val="000B3B59"/>
    <w:rsid w:val="000B3B8F"/>
    <w:rsid w:val="000B3BEE"/>
    <w:rsid w:val="000B3CBE"/>
    <w:rsid w:val="000B3CFD"/>
    <w:rsid w:val="000B3D3F"/>
    <w:rsid w:val="000B3D40"/>
    <w:rsid w:val="000B3DBB"/>
    <w:rsid w:val="000B3E15"/>
    <w:rsid w:val="000B3E1B"/>
    <w:rsid w:val="000B3F2A"/>
    <w:rsid w:val="000B3F84"/>
    <w:rsid w:val="000B3FC0"/>
    <w:rsid w:val="000B3FE9"/>
    <w:rsid w:val="000B4079"/>
    <w:rsid w:val="000B40BE"/>
    <w:rsid w:val="000B4157"/>
    <w:rsid w:val="000B41E3"/>
    <w:rsid w:val="000B4210"/>
    <w:rsid w:val="000B428C"/>
    <w:rsid w:val="000B431C"/>
    <w:rsid w:val="000B436D"/>
    <w:rsid w:val="000B438A"/>
    <w:rsid w:val="000B43AE"/>
    <w:rsid w:val="000B43EB"/>
    <w:rsid w:val="000B4403"/>
    <w:rsid w:val="000B4410"/>
    <w:rsid w:val="000B4422"/>
    <w:rsid w:val="000B4446"/>
    <w:rsid w:val="000B4451"/>
    <w:rsid w:val="000B44C6"/>
    <w:rsid w:val="000B44F9"/>
    <w:rsid w:val="000B4511"/>
    <w:rsid w:val="000B4517"/>
    <w:rsid w:val="000B453C"/>
    <w:rsid w:val="000B45BE"/>
    <w:rsid w:val="000B45DD"/>
    <w:rsid w:val="000B4603"/>
    <w:rsid w:val="000B4625"/>
    <w:rsid w:val="000B464E"/>
    <w:rsid w:val="000B46BE"/>
    <w:rsid w:val="000B4761"/>
    <w:rsid w:val="000B478B"/>
    <w:rsid w:val="000B47C9"/>
    <w:rsid w:val="000B48E5"/>
    <w:rsid w:val="000B4951"/>
    <w:rsid w:val="000B495A"/>
    <w:rsid w:val="000B4975"/>
    <w:rsid w:val="000B49AD"/>
    <w:rsid w:val="000B4A64"/>
    <w:rsid w:val="000B4A88"/>
    <w:rsid w:val="000B4B8F"/>
    <w:rsid w:val="000B4B9D"/>
    <w:rsid w:val="000B4C11"/>
    <w:rsid w:val="000B4C2E"/>
    <w:rsid w:val="000B4C33"/>
    <w:rsid w:val="000B4C56"/>
    <w:rsid w:val="000B4C77"/>
    <w:rsid w:val="000B4D0C"/>
    <w:rsid w:val="000B4D5D"/>
    <w:rsid w:val="000B4D7E"/>
    <w:rsid w:val="000B4DEA"/>
    <w:rsid w:val="000B4DFE"/>
    <w:rsid w:val="000B4E0F"/>
    <w:rsid w:val="000B4F87"/>
    <w:rsid w:val="000B4FAB"/>
    <w:rsid w:val="000B5002"/>
    <w:rsid w:val="000B503C"/>
    <w:rsid w:val="000B50AB"/>
    <w:rsid w:val="000B50BA"/>
    <w:rsid w:val="000B50BE"/>
    <w:rsid w:val="000B5107"/>
    <w:rsid w:val="000B5138"/>
    <w:rsid w:val="000B5140"/>
    <w:rsid w:val="000B51B2"/>
    <w:rsid w:val="000B51E6"/>
    <w:rsid w:val="000B531D"/>
    <w:rsid w:val="000B53BA"/>
    <w:rsid w:val="000B53D6"/>
    <w:rsid w:val="000B54EB"/>
    <w:rsid w:val="000B552D"/>
    <w:rsid w:val="000B5541"/>
    <w:rsid w:val="000B557A"/>
    <w:rsid w:val="000B55B1"/>
    <w:rsid w:val="000B5650"/>
    <w:rsid w:val="000B56EF"/>
    <w:rsid w:val="000B574C"/>
    <w:rsid w:val="000B5753"/>
    <w:rsid w:val="000B579C"/>
    <w:rsid w:val="000B57FA"/>
    <w:rsid w:val="000B5842"/>
    <w:rsid w:val="000B5866"/>
    <w:rsid w:val="000B5893"/>
    <w:rsid w:val="000B593B"/>
    <w:rsid w:val="000B5966"/>
    <w:rsid w:val="000B5A44"/>
    <w:rsid w:val="000B5A8A"/>
    <w:rsid w:val="000B5B71"/>
    <w:rsid w:val="000B5B79"/>
    <w:rsid w:val="000B5CE1"/>
    <w:rsid w:val="000B5DDA"/>
    <w:rsid w:val="000B5DFB"/>
    <w:rsid w:val="000B5F0C"/>
    <w:rsid w:val="000B5F0E"/>
    <w:rsid w:val="000B5F2A"/>
    <w:rsid w:val="000B5F2B"/>
    <w:rsid w:val="000B5FA8"/>
    <w:rsid w:val="000B60CF"/>
    <w:rsid w:val="000B6239"/>
    <w:rsid w:val="000B62DC"/>
    <w:rsid w:val="000B647D"/>
    <w:rsid w:val="000B64DD"/>
    <w:rsid w:val="000B6685"/>
    <w:rsid w:val="000B66BC"/>
    <w:rsid w:val="000B67E4"/>
    <w:rsid w:val="000B68A6"/>
    <w:rsid w:val="000B68E9"/>
    <w:rsid w:val="000B6973"/>
    <w:rsid w:val="000B6979"/>
    <w:rsid w:val="000B69EA"/>
    <w:rsid w:val="000B6A1A"/>
    <w:rsid w:val="000B6A86"/>
    <w:rsid w:val="000B6AAD"/>
    <w:rsid w:val="000B6AC5"/>
    <w:rsid w:val="000B6B0A"/>
    <w:rsid w:val="000B6B31"/>
    <w:rsid w:val="000B6BC8"/>
    <w:rsid w:val="000B6BCF"/>
    <w:rsid w:val="000B6BE3"/>
    <w:rsid w:val="000B6BFA"/>
    <w:rsid w:val="000B6C7D"/>
    <w:rsid w:val="000B6CF1"/>
    <w:rsid w:val="000B6D36"/>
    <w:rsid w:val="000B6DC2"/>
    <w:rsid w:val="000B6E04"/>
    <w:rsid w:val="000B6EFD"/>
    <w:rsid w:val="000B6F49"/>
    <w:rsid w:val="000B6F61"/>
    <w:rsid w:val="000B6F7F"/>
    <w:rsid w:val="000B702C"/>
    <w:rsid w:val="000B705D"/>
    <w:rsid w:val="000B7068"/>
    <w:rsid w:val="000B70D3"/>
    <w:rsid w:val="000B7149"/>
    <w:rsid w:val="000B716E"/>
    <w:rsid w:val="000B71F8"/>
    <w:rsid w:val="000B7208"/>
    <w:rsid w:val="000B7210"/>
    <w:rsid w:val="000B7231"/>
    <w:rsid w:val="000B726E"/>
    <w:rsid w:val="000B7288"/>
    <w:rsid w:val="000B72FF"/>
    <w:rsid w:val="000B7302"/>
    <w:rsid w:val="000B7338"/>
    <w:rsid w:val="000B7398"/>
    <w:rsid w:val="000B739A"/>
    <w:rsid w:val="000B73CC"/>
    <w:rsid w:val="000B73FC"/>
    <w:rsid w:val="000B7554"/>
    <w:rsid w:val="000B755B"/>
    <w:rsid w:val="000B7563"/>
    <w:rsid w:val="000B75BE"/>
    <w:rsid w:val="000B7605"/>
    <w:rsid w:val="000B7612"/>
    <w:rsid w:val="000B7866"/>
    <w:rsid w:val="000B78B4"/>
    <w:rsid w:val="000B78CC"/>
    <w:rsid w:val="000B7973"/>
    <w:rsid w:val="000B7990"/>
    <w:rsid w:val="000B7A02"/>
    <w:rsid w:val="000B7B61"/>
    <w:rsid w:val="000B7B80"/>
    <w:rsid w:val="000B7BC9"/>
    <w:rsid w:val="000B7D11"/>
    <w:rsid w:val="000B7D2B"/>
    <w:rsid w:val="000B7DB0"/>
    <w:rsid w:val="000B7DB6"/>
    <w:rsid w:val="000B7EF7"/>
    <w:rsid w:val="000B7FF5"/>
    <w:rsid w:val="000C0120"/>
    <w:rsid w:val="000C0126"/>
    <w:rsid w:val="000C014B"/>
    <w:rsid w:val="000C014F"/>
    <w:rsid w:val="000C0182"/>
    <w:rsid w:val="000C0224"/>
    <w:rsid w:val="000C026C"/>
    <w:rsid w:val="000C02A9"/>
    <w:rsid w:val="000C02E3"/>
    <w:rsid w:val="000C0348"/>
    <w:rsid w:val="000C041A"/>
    <w:rsid w:val="000C04AD"/>
    <w:rsid w:val="000C04D8"/>
    <w:rsid w:val="000C0515"/>
    <w:rsid w:val="000C059E"/>
    <w:rsid w:val="000C05F7"/>
    <w:rsid w:val="000C0637"/>
    <w:rsid w:val="000C0673"/>
    <w:rsid w:val="000C06CC"/>
    <w:rsid w:val="000C07CE"/>
    <w:rsid w:val="000C07D4"/>
    <w:rsid w:val="000C088B"/>
    <w:rsid w:val="000C08C2"/>
    <w:rsid w:val="000C0913"/>
    <w:rsid w:val="000C0994"/>
    <w:rsid w:val="000C09A9"/>
    <w:rsid w:val="000C09C4"/>
    <w:rsid w:val="000C09F6"/>
    <w:rsid w:val="000C0AD2"/>
    <w:rsid w:val="000C0AEF"/>
    <w:rsid w:val="000C0BA6"/>
    <w:rsid w:val="000C0BB4"/>
    <w:rsid w:val="000C0BC7"/>
    <w:rsid w:val="000C0BD5"/>
    <w:rsid w:val="000C0CFC"/>
    <w:rsid w:val="000C0D17"/>
    <w:rsid w:val="000C0D19"/>
    <w:rsid w:val="000C0D2E"/>
    <w:rsid w:val="000C0D4F"/>
    <w:rsid w:val="000C0D61"/>
    <w:rsid w:val="000C0D86"/>
    <w:rsid w:val="000C0DC6"/>
    <w:rsid w:val="000C0DE1"/>
    <w:rsid w:val="000C0DF5"/>
    <w:rsid w:val="000C0E3E"/>
    <w:rsid w:val="000C0EDB"/>
    <w:rsid w:val="000C0F14"/>
    <w:rsid w:val="000C0F47"/>
    <w:rsid w:val="000C0FBB"/>
    <w:rsid w:val="000C0FED"/>
    <w:rsid w:val="000C1017"/>
    <w:rsid w:val="000C1021"/>
    <w:rsid w:val="000C10EC"/>
    <w:rsid w:val="000C1114"/>
    <w:rsid w:val="000C11AE"/>
    <w:rsid w:val="000C11C7"/>
    <w:rsid w:val="000C120F"/>
    <w:rsid w:val="000C1239"/>
    <w:rsid w:val="000C128F"/>
    <w:rsid w:val="000C12BC"/>
    <w:rsid w:val="000C130B"/>
    <w:rsid w:val="000C1334"/>
    <w:rsid w:val="000C1342"/>
    <w:rsid w:val="000C1415"/>
    <w:rsid w:val="000C14E0"/>
    <w:rsid w:val="000C14EA"/>
    <w:rsid w:val="000C1670"/>
    <w:rsid w:val="000C167A"/>
    <w:rsid w:val="000C1734"/>
    <w:rsid w:val="000C1792"/>
    <w:rsid w:val="000C1848"/>
    <w:rsid w:val="000C1891"/>
    <w:rsid w:val="000C18ED"/>
    <w:rsid w:val="000C19D2"/>
    <w:rsid w:val="000C1A2C"/>
    <w:rsid w:val="000C1AB5"/>
    <w:rsid w:val="000C1AD5"/>
    <w:rsid w:val="000C1B36"/>
    <w:rsid w:val="000C1B6A"/>
    <w:rsid w:val="000C1B8D"/>
    <w:rsid w:val="000C1B8E"/>
    <w:rsid w:val="000C1BF9"/>
    <w:rsid w:val="000C1C3B"/>
    <w:rsid w:val="000C1C78"/>
    <w:rsid w:val="000C1C79"/>
    <w:rsid w:val="000C1C90"/>
    <w:rsid w:val="000C1CA5"/>
    <w:rsid w:val="000C1CD2"/>
    <w:rsid w:val="000C1D4B"/>
    <w:rsid w:val="000C1E46"/>
    <w:rsid w:val="000C1E4A"/>
    <w:rsid w:val="000C1E81"/>
    <w:rsid w:val="000C1F1E"/>
    <w:rsid w:val="000C1F9B"/>
    <w:rsid w:val="000C1FC9"/>
    <w:rsid w:val="000C1FCF"/>
    <w:rsid w:val="000C1FF0"/>
    <w:rsid w:val="000C2086"/>
    <w:rsid w:val="000C2088"/>
    <w:rsid w:val="000C2139"/>
    <w:rsid w:val="000C2141"/>
    <w:rsid w:val="000C2152"/>
    <w:rsid w:val="000C218F"/>
    <w:rsid w:val="000C22BC"/>
    <w:rsid w:val="000C2355"/>
    <w:rsid w:val="000C246F"/>
    <w:rsid w:val="000C24E6"/>
    <w:rsid w:val="000C2512"/>
    <w:rsid w:val="000C255A"/>
    <w:rsid w:val="000C2647"/>
    <w:rsid w:val="000C266A"/>
    <w:rsid w:val="000C2674"/>
    <w:rsid w:val="000C26BF"/>
    <w:rsid w:val="000C2751"/>
    <w:rsid w:val="000C27A1"/>
    <w:rsid w:val="000C27E4"/>
    <w:rsid w:val="000C28A4"/>
    <w:rsid w:val="000C291B"/>
    <w:rsid w:val="000C298E"/>
    <w:rsid w:val="000C2A27"/>
    <w:rsid w:val="000C2A2C"/>
    <w:rsid w:val="000C2A37"/>
    <w:rsid w:val="000C2A39"/>
    <w:rsid w:val="000C2AD8"/>
    <w:rsid w:val="000C2B13"/>
    <w:rsid w:val="000C2B91"/>
    <w:rsid w:val="000C2C09"/>
    <w:rsid w:val="000C2C80"/>
    <w:rsid w:val="000C2CFA"/>
    <w:rsid w:val="000C2D61"/>
    <w:rsid w:val="000C2DB7"/>
    <w:rsid w:val="000C2DC6"/>
    <w:rsid w:val="000C2E11"/>
    <w:rsid w:val="000C2ECB"/>
    <w:rsid w:val="000C2F46"/>
    <w:rsid w:val="000C2F73"/>
    <w:rsid w:val="000C2FC8"/>
    <w:rsid w:val="000C2FCA"/>
    <w:rsid w:val="000C305F"/>
    <w:rsid w:val="000C306E"/>
    <w:rsid w:val="000C30EC"/>
    <w:rsid w:val="000C3113"/>
    <w:rsid w:val="000C31C2"/>
    <w:rsid w:val="000C320F"/>
    <w:rsid w:val="000C3239"/>
    <w:rsid w:val="000C3288"/>
    <w:rsid w:val="000C3289"/>
    <w:rsid w:val="000C32AE"/>
    <w:rsid w:val="000C339C"/>
    <w:rsid w:val="000C339F"/>
    <w:rsid w:val="000C33C3"/>
    <w:rsid w:val="000C33CB"/>
    <w:rsid w:val="000C33EC"/>
    <w:rsid w:val="000C3476"/>
    <w:rsid w:val="000C34B6"/>
    <w:rsid w:val="000C34E0"/>
    <w:rsid w:val="000C3508"/>
    <w:rsid w:val="000C3536"/>
    <w:rsid w:val="000C3544"/>
    <w:rsid w:val="000C359F"/>
    <w:rsid w:val="000C35E9"/>
    <w:rsid w:val="000C3665"/>
    <w:rsid w:val="000C3669"/>
    <w:rsid w:val="000C3688"/>
    <w:rsid w:val="000C3712"/>
    <w:rsid w:val="000C3823"/>
    <w:rsid w:val="000C38D8"/>
    <w:rsid w:val="000C38D9"/>
    <w:rsid w:val="000C390C"/>
    <w:rsid w:val="000C3967"/>
    <w:rsid w:val="000C3985"/>
    <w:rsid w:val="000C3997"/>
    <w:rsid w:val="000C39F3"/>
    <w:rsid w:val="000C3A2D"/>
    <w:rsid w:val="000C3B06"/>
    <w:rsid w:val="000C3B77"/>
    <w:rsid w:val="000C3BF9"/>
    <w:rsid w:val="000C3C6E"/>
    <w:rsid w:val="000C3D10"/>
    <w:rsid w:val="000C3D12"/>
    <w:rsid w:val="000C3E19"/>
    <w:rsid w:val="000C3E3A"/>
    <w:rsid w:val="000C3E5D"/>
    <w:rsid w:val="000C3E63"/>
    <w:rsid w:val="000C3E93"/>
    <w:rsid w:val="000C3ECA"/>
    <w:rsid w:val="000C3F15"/>
    <w:rsid w:val="000C3F16"/>
    <w:rsid w:val="000C3F3D"/>
    <w:rsid w:val="000C4076"/>
    <w:rsid w:val="000C4137"/>
    <w:rsid w:val="000C419B"/>
    <w:rsid w:val="000C41DA"/>
    <w:rsid w:val="000C41E2"/>
    <w:rsid w:val="000C4278"/>
    <w:rsid w:val="000C42D5"/>
    <w:rsid w:val="000C4340"/>
    <w:rsid w:val="000C43E5"/>
    <w:rsid w:val="000C445E"/>
    <w:rsid w:val="000C448D"/>
    <w:rsid w:val="000C44AF"/>
    <w:rsid w:val="000C44DE"/>
    <w:rsid w:val="000C4513"/>
    <w:rsid w:val="000C453E"/>
    <w:rsid w:val="000C45CC"/>
    <w:rsid w:val="000C466B"/>
    <w:rsid w:val="000C46D0"/>
    <w:rsid w:val="000C472B"/>
    <w:rsid w:val="000C4732"/>
    <w:rsid w:val="000C4740"/>
    <w:rsid w:val="000C4754"/>
    <w:rsid w:val="000C4770"/>
    <w:rsid w:val="000C47B4"/>
    <w:rsid w:val="000C4893"/>
    <w:rsid w:val="000C4896"/>
    <w:rsid w:val="000C48AB"/>
    <w:rsid w:val="000C48E4"/>
    <w:rsid w:val="000C49DA"/>
    <w:rsid w:val="000C4A05"/>
    <w:rsid w:val="000C4A3B"/>
    <w:rsid w:val="000C4B36"/>
    <w:rsid w:val="000C4B38"/>
    <w:rsid w:val="000C4B67"/>
    <w:rsid w:val="000C4BAE"/>
    <w:rsid w:val="000C4BE4"/>
    <w:rsid w:val="000C4C63"/>
    <w:rsid w:val="000C4C67"/>
    <w:rsid w:val="000C4D14"/>
    <w:rsid w:val="000C4DCC"/>
    <w:rsid w:val="000C4EF1"/>
    <w:rsid w:val="000C4F7C"/>
    <w:rsid w:val="000C4FAF"/>
    <w:rsid w:val="000C50E2"/>
    <w:rsid w:val="000C5149"/>
    <w:rsid w:val="000C5151"/>
    <w:rsid w:val="000C51D1"/>
    <w:rsid w:val="000C5287"/>
    <w:rsid w:val="000C52E4"/>
    <w:rsid w:val="000C534B"/>
    <w:rsid w:val="000C535F"/>
    <w:rsid w:val="000C53CD"/>
    <w:rsid w:val="000C5412"/>
    <w:rsid w:val="000C54D5"/>
    <w:rsid w:val="000C551A"/>
    <w:rsid w:val="000C5545"/>
    <w:rsid w:val="000C5587"/>
    <w:rsid w:val="000C561C"/>
    <w:rsid w:val="000C5659"/>
    <w:rsid w:val="000C5675"/>
    <w:rsid w:val="000C570B"/>
    <w:rsid w:val="000C5767"/>
    <w:rsid w:val="000C578D"/>
    <w:rsid w:val="000C5887"/>
    <w:rsid w:val="000C590C"/>
    <w:rsid w:val="000C5978"/>
    <w:rsid w:val="000C5A25"/>
    <w:rsid w:val="000C5AC4"/>
    <w:rsid w:val="000C5B74"/>
    <w:rsid w:val="000C5C23"/>
    <w:rsid w:val="000C5D0E"/>
    <w:rsid w:val="000C5E05"/>
    <w:rsid w:val="000C5E9A"/>
    <w:rsid w:val="000C5ECB"/>
    <w:rsid w:val="000C5EDE"/>
    <w:rsid w:val="000C608C"/>
    <w:rsid w:val="000C60A0"/>
    <w:rsid w:val="000C60EF"/>
    <w:rsid w:val="000C6143"/>
    <w:rsid w:val="000C61F5"/>
    <w:rsid w:val="000C62CE"/>
    <w:rsid w:val="000C62DA"/>
    <w:rsid w:val="000C62DD"/>
    <w:rsid w:val="000C635E"/>
    <w:rsid w:val="000C6379"/>
    <w:rsid w:val="000C6412"/>
    <w:rsid w:val="000C64E3"/>
    <w:rsid w:val="000C667C"/>
    <w:rsid w:val="000C66BB"/>
    <w:rsid w:val="000C66C3"/>
    <w:rsid w:val="000C66D3"/>
    <w:rsid w:val="000C66E0"/>
    <w:rsid w:val="000C670C"/>
    <w:rsid w:val="000C673C"/>
    <w:rsid w:val="000C677B"/>
    <w:rsid w:val="000C6789"/>
    <w:rsid w:val="000C67C0"/>
    <w:rsid w:val="000C67CB"/>
    <w:rsid w:val="000C67E5"/>
    <w:rsid w:val="000C6985"/>
    <w:rsid w:val="000C69A9"/>
    <w:rsid w:val="000C69AB"/>
    <w:rsid w:val="000C69B3"/>
    <w:rsid w:val="000C6B0F"/>
    <w:rsid w:val="000C6B2F"/>
    <w:rsid w:val="000C6C50"/>
    <w:rsid w:val="000C6CAE"/>
    <w:rsid w:val="000C6DA1"/>
    <w:rsid w:val="000C6DB0"/>
    <w:rsid w:val="000C6E55"/>
    <w:rsid w:val="000C6F12"/>
    <w:rsid w:val="000C6F31"/>
    <w:rsid w:val="000C6F48"/>
    <w:rsid w:val="000C6FF2"/>
    <w:rsid w:val="000C706D"/>
    <w:rsid w:val="000C70AC"/>
    <w:rsid w:val="000C7133"/>
    <w:rsid w:val="000C71F1"/>
    <w:rsid w:val="000C721D"/>
    <w:rsid w:val="000C72F7"/>
    <w:rsid w:val="000C7302"/>
    <w:rsid w:val="000C73B4"/>
    <w:rsid w:val="000C73FC"/>
    <w:rsid w:val="000C746A"/>
    <w:rsid w:val="000C7496"/>
    <w:rsid w:val="000C74DC"/>
    <w:rsid w:val="000C7537"/>
    <w:rsid w:val="000C7538"/>
    <w:rsid w:val="000C7581"/>
    <w:rsid w:val="000C7584"/>
    <w:rsid w:val="000C75B2"/>
    <w:rsid w:val="000C7613"/>
    <w:rsid w:val="000C761C"/>
    <w:rsid w:val="000C76B7"/>
    <w:rsid w:val="000C7704"/>
    <w:rsid w:val="000C77CA"/>
    <w:rsid w:val="000C78AE"/>
    <w:rsid w:val="000C78C6"/>
    <w:rsid w:val="000C78F4"/>
    <w:rsid w:val="000C795D"/>
    <w:rsid w:val="000C796E"/>
    <w:rsid w:val="000C7A24"/>
    <w:rsid w:val="000C7A26"/>
    <w:rsid w:val="000C7A3B"/>
    <w:rsid w:val="000C7BC1"/>
    <w:rsid w:val="000C7C2E"/>
    <w:rsid w:val="000C7C63"/>
    <w:rsid w:val="000C7CA0"/>
    <w:rsid w:val="000C7CAA"/>
    <w:rsid w:val="000C7D0A"/>
    <w:rsid w:val="000C7DB3"/>
    <w:rsid w:val="000C7E03"/>
    <w:rsid w:val="000C7E04"/>
    <w:rsid w:val="000C7E63"/>
    <w:rsid w:val="000C7E8E"/>
    <w:rsid w:val="000C7E9C"/>
    <w:rsid w:val="000C7F1B"/>
    <w:rsid w:val="000C7F41"/>
    <w:rsid w:val="000C7F45"/>
    <w:rsid w:val="000C7FA7"/>
    <w:rsid w:val="000C7FDA"/>
    <w:rsid w:val="000C7FE0"/>
    <w:rsid w:val="000D0016"/>
    <w:rsid w:val="000D00E7"/>
    <w:rsid w:val="000D0113"/>
    <w:rsid w:val="000D015B"/>
    <w:rsid w:val="000D0228"/>
    <w:rsid w:val="000D02B3"/>
    <w:rsid w:val="000D039B"/>
    <w:rsid w:val="000D03CB"/>
    <w:rsid w:val="000D040D"/>
    <w:rsid w:val="000D0472"/>
    <w:rsid w:val="000D04C4"/>
    <w:rsid w:val="000D0539"/>
    <w:rsid w:val="000D0792"/>
    <w:rsid w:val="000D07B1"/>
    <w:rsid w:val="000D07E6"/>
    <w:rsid w:val="000D07F4"/>
    <w:rsid w:val="000D088E"/>
    <w:rsid w:val="000D08A5"/>
    <w:rsid w:val="000D096B"/>
    <w:rsid w:val="000D0A30"/>
    <w:rsid w:val="000D0A98"/>
    <w:rsid w:val="000D0AB4"/>
    <w:rsid w:val="000D0AB6"/>
    <w:rsid w:val="000D0B19"/>
    <w:rsid w:val="000D0B1C"/>
    <w:rsid w:val="000D0B46"/>
    <w:rsid w:val="000D0B55"/>
    <w:rsid w:val="000D0B9B"/>
    <w:rsid w:val="000D0C5C"/>
    <w:rsid w:val="000D0C79"/>
    <w:rsid w:val="000D0CB7"/>
    <w:rsid w:val="000D0D42"/>
    <w:rsid w:val="000D0D68"/>
    <w:rsid w:val="000D0DB2"/>
    <w:rsid w:val="000D0DD8"/>
    <w:rsid w:val="000D0DE3"/>
    <w:rsid w:val="000D0E84"/>
    <w:rsid w:val="000D0FD0"/>
    <w:rsid w:val="000D0FEF"/>
    <w:rsid w:val="000D1060"/>
    <w:rsid w:val="000D10AF"/>
    <w:rsid w:val="000D10DA"/>
    <w:rsid w:val="000D11D6"/>
    <w:rsid w:val="000D11E3"/>
    <w:rsid w:val="000D11FC"/>
    <w:rsid w:val="000D135F"/>
    <w:rsid w:val="000D1424"/>
    <w:rsid w:val="000D1468"/>
    <w:rsid w:val="000D146F"/>
    <w:rsid w:val="000D154A"/>
    <w:rsid w:val="000D15F9"/>
    <w:rsid w:val="000D164B"/>
    <w:rsid w:val="000D16BE"/>
    <w:rsid w:val="000D178F"/>
    <w:rsid w:val="000D1795"/>
    <w:rsid w:val="000D179F"/>
    <w:rsid w:val="000D17B0"/>
    <w:rsid w:val="000D1839"/>
    <w:rsid w:val="000D18BF"/>
    <w:rsid w:val="000D18E3"/>
    <w:rsid w:val="000D1A1A"/>
    <w:rsid w:val="000D1A3A"/>
    <w:rsid w:val="000D1A4E"/>
    <w:rsid w:val="000D1B13"/>
    <w:rsid w:val="000D1BB1"/>
    <w:rsid w:val="000D1C48"/>
    <w:rsid w:val="000D1CC4"/>
    <w:rsid w:val="000D1D6E"/>
    <w:rsid w:val="000D1D75"/>
    <w:rsid w:val="000D1DBC"/>
    <w:rsid w:val="000D1E62"/>
    <w:rsid w:val="000D1FEA"/>
    <w:rsid w:val="000D20A3"/>
    <w:rsid w:val="000D20ED"/>
    <w:rsid w:val="000D2116"/>
    <w:rsid w:val="000D2120"/>
    <w:rsid w:val="000D2142"/>
    <w:rsid w:val="000D2148"/>
    <w:rsid w:val="000D21CA"/>
    <w:rsid w:val="000D21D9"/>
    <w:rsid w:val="000D21EC"/>
    <w:rsid w:val="000D225F"/>
    <w:rsid w:val="000D229C"/>
    <w:rsid w:val="000D22C5"/>
    <w:rsid w:val="000D22DC"/>
    <w:rsid w:val="000D2327"/>
    <w:rsid w:val="000D2383"/>
    <w:rsid w:val="000D2508"/>
    <w:rsid w:val="000D250A"/>
    <w:rsid w:val="000D2516"/>
    <w:rsid w:val="000D2552"/>
    <w:rsid w:val="000D256D"/>
    <w:rsid w:val="000D2589"/>
    <w:rsid w:val="000D260C"/>
    <w:rsid w:val="000D2638"/>
    <w:rsid w:val="000D26FC"/>
    <w:rsid w:val="000D2704"/>
    <w:rsid w:val="000D2717"/>
    <w:rsid w:val="000D279A"/>
    <w:rsid w:val="000D27BD"/>
    <w:rsid w:val="000D27FC"/>
    <w:rsid w:val="000D2816"/>
    <w:rsid w:val="000D285C"/>
    <w:rsid w:val="000D2880"/>
    <w:rsid w:val="000D28C3"/>
    <w:rsid w:val="000D293A"/>
    <w:rsid w:val="000D29C2"/>
    <w:rsid w:val="000D2A04"/>
    <w:rsid w:val="000D2A4B"/>
    <w:rsid w:val="000D2ADB"/>
    <w:rsid w:val="000D2B8D"/>
    <w:rsid w:val="000D2BEC"/>
    <w:rsid w:val="000D2BFE"/>
    <w:rsid w:val="000D2C1B"/>
    <w:rsid w:val="000D2DBF"/>
    <w:rsid w:val="000D2DE3"/>
    <w:rsid w:val="000D2E0B"/>
    <w:rsid w:val="000D2E12"/>
    <w:rsid w:val="000D2E37"/>
    <w:rsid w:val="000D2EDD"/>
    <w:rsid w:val="000D2F70"/>
    <w:rsid w:val="000D30B7"/>
    <w:rsid w:val="000D30CD"/>
    <w:rsid w:val="000D3111"/>
    <w:rsid w:val="000D319D"/>
    <w:rsid w:val="000D31AB"/>
    <w:rsid w:val="000D31C0"/>
    <w:rsid w:val="000D31C6"/>
    <w:rsid w:val="000D31F3"/>
    <w:rsid w:val="000D3203"/>
    <w:rsid w:val="000D32A6"/>
    <w:rsid w:val="000D32A7"/>
    <w:rsid w:val="000D32E5"/>
    <w:rsid w:val="000D33A3"/>
    <w:rsid w:val="000D33E0"/>
    <w:rsid w:val="000D3512"/>
    <w:rsid w:val="000D3530"/>
    <w:rsid w:val="000D3537"/>
    <w:rsid w:val="000D358D"/>
    <w:rsid w:val="000D35CA"/>
    <w:rsid w:val="000D371B"/>
    <w:rsid w:val="000D3722"/>
    <w:rsid w:val="000D379A"/>
    <w:rsid w:val="000D379D"/>
    <w:rsid w:val="000D37C8"/>
    <w:rsid w:val="000D37CE"/>
    <w:rsid w:val="000D3832"/>
    <w:rsid w:val="000D3875"/>
    <w:rsid w:val="000D3878"/>
    <w:rsid w:val="000D3932"/>
    <w:rsid w:val="000D3947"/>
    <w:rsid w:val="000D3A91"/>
    <w:rsid w:val="000D3B0C"/>
    <w:rsid w:val="000D3B2F"/>
    <w:rsid w:val="000D3B61"/>
    <w:rsid w:val="000D3C9C"/>
    <w:rsid w:val="000D3CA9"/>
    <w:rsid w:val="000D3CE7"/>
    <w:rsid w:val="000D3DDC"/>
    <w:rsid w:val="000D3E42"/>
    <w:rsid w:val="000D3E6A"/>
    <w:rsid w:val="000D3E9B"/>
    <w:rsid w:val="000D3EE2"/>
    <w:rsid w:val="000D3FC2"/>
    <w:rsid w:val="000D4116"/>
    <w:rsid w:val="000D428C"/>
    <w:rsid w:val="000D42AF"/>
    <w:rsid w:val="000D42DA"/>
    <w:rsid w:val="000D4437"/>
    <w:rsid w:val="000D44A2"/>
    <w:rsid w:val="000D44D0"/>
    <w:rsid w:val="000D44E4"/>
    <w:rsid w:val="000D4532"/>
    <w:rsid w:val="000D4547"/>
    <w:rsid w:val="000D45C9"/>
    <w:rsid w:val="000D46FD"/>
    <w:rsid w:val="000D47B3"/>
    <w:rsid w:val="000D4879"/>
    <w:rsid w:val="000D48DF"/>
    <w:rsid w:val="000D492E"/>
    <w:rsid w:val="000D49C2"/>
    <w:rsid w:val="000D4A6F"/>
    <w:rsid w:val="000D4AF8"/>
    <w:rsid w:val="000D4B16"/>
    <w:rsid w:val="000D4B64"/>
    <w:rsid w:val="000D4B78"/>
    <w:rsid w:val="000D4D4B"/>
    <w:rsid w:val="000D4D7F"/>
    <w:rsid w:val="000D4DBB"/>
    <w:rsid w:val="000D4EB3"/>
    <w:rsid w:val="000D4EBE"/>
    <w:rsid w:val="000D4EC3"/>
    <w:rsid w:val="000D4F4D"/>
    <w:rsid w:val="000D4F9F"/>
    <w:rsid w:val="000D4FE0"/>
    <w:rsid w:val="000D50F7"/>
    <w:rsid w:val="000D516C"/>
    <w:rsid w:val="000D5175"/>
    <w:rsid w:val="000D522D"/>
    <w:rsid w:val="000D5275"/>
    <w:rsid w:val="000D53C4"/>
    <w:rsid w:val="000D5504"/>
    <w:rsid w:val="000D5568"/>
    <w:rsid w:val="000D5633"/>
    <w:rsid w:val="000D5689"/>
    <w:rsid w:val="000D56F9"/>
    <w:rsid w:val="000D57BE"/>
    <w:rsid w:val="000D57DC"/>
    <w:rsid w:val="000D57E9"/>
    <w:rsid w:val="000D5821"/>
    <w:rsid w:val="000D5836"/>
    <w:rsid w:val="000D58DC"/>
    <w:rsid w:val="000D5902"/>
    <w:rsid w:val="000D591A"/>
    <w:rsid w:val="000D5956"/>
    <w:rsid w:val="000D59BE"/>
    <w:rsid w:val="000D5A2E"/>
    <w:rsid w:val="000D5A4C"/>
    <w:rsid w:val="000D5A55"/>
    <w:rsid w:val="000D5A58"/>
    <w:rsid w:val="000D5A79"/>
    <w:rsid w:val="000D5A7C"/>
    <w:rsid w:val="000D5B0D"/>
    <w:rsid w:val="000D5B1D"/>
    <w:rsid w:val="000D5B36"/>
    <w:rsid w:val="000D5B44"/>
    <w:rsid w:val="000D5BB5"/>
    <w:rsid w:val="000D5BDC"/>
    <w:rsid w:val="000D5C1C"/>
    <w:rsid w:val="000D5CAE"/>
    <w:rsid w:val="000D5D1C"/>
    <w:rsid w:val="000D5D28"/>
    <w:rsid w:val="000D5D46"/>
    <w:rsid w:val="000D5D8A"/>
    <w:rsid w:val="000D5DBF"/>
    <w:rsid w:val="000D5E33"/>
    <w:rsid w:val="000D5ECE"/>
    <w:rsid w:val="000D5ED7"/>
    <w:rsid w:val="000D5EF2"/>
    <w:rsid w:val="000D5F1B"/>
    <w:rsid w:val="000D6007"/>
    <w:rsid w:val="000D600D"/>
    <w:rsid w:val="000D6057"/>
    <w:rsid w:val="000D605A"/>
    <w:rsid w:val="000D60D2"/>
    <w:rsid w:val="000D60FA"/>
    <w:rsid w:val="000D6121"/>
    <w:rsid w:val="000D612D"/>
    <w:rsid w:val="000D61E8"/>
    <w:rsid w:val="000D621A"/>
    <w:rsid w:val="000D6227"/>
    <w:rsid w:val="000D624B"/>
    <w:rsid w:val="000D6253"/>
    <w:rsid w:val="000D6289"/>
    <w:rsid w:val="000D62A9"/>
    <w:rsid w:val="000D62C5"/>
    <w:rsid w:val="000D62D1"/>
    <w:rsid w:val="000D62DC"/>
    <w:rsid w:val="000D6374"/>
    <w:rsid w:val="000D6395"/>
    <w:rsid w:val="000D63E9"/>
    <w:rsid w:val="000D63F6"/>
    <w:rsid w:val="000D647B"/>
    <w:rsid w:val="000D64B7"/>
    <w:rsid w:val="000D64EE"/>
    <w:rsid w:val="000D6727"/>
    <w:rsid w:val="000D67D1"/>
    <w:rsid w:val="000D67E7"/>
    <w:rsid w:val="000D6841"/>
    <w:rsid w:val="000D685B"/>
    <w:rsid w:val="000D686D"/>
    <w:rsid w:val="000D68D8"/>
    <w:rsid w:val="000D68E0"/>
    <w:rsid w:val="000D69FC"/>
    <w:rsid w:val="000D69FE"/>
    <w:rsid w:val="000D6AC1"/>
    <w:rsid w:val="000D6ACF"/>
    <w:rsid w:val="000D6AFD"/>
    <w:rsid w:val="000D6B65"/>
    <w:rsid w:val="000D6B81"/>
    <w:rsid w:val="000D6C8C"/>
    <w:rsid w:val="000D6CC1"/>
    <w:rsid w:val="000D6D03"/>
    <w:rsid w:val="000D6D7A"/>
    <w:rsid w:val="000D6DE5"/>
    <w:rsid w:val="000D6E0C"/>
    <w:rsid w:val="000D6E7A"/>
    <w:rsid w:val="000D6F44"/>
    <w:rsid w:val="000D6FB0"/>
    <w:rsid w:val="000D705F"/>
    <w:rsid w:val="000D70A9"/>
    <w:rsid w:val="000D70AE"/>
    <w:rsid w:val="000D70D5"/>
    <w:rsid w:val="000D7100"/>
    <w:rsid w:val="000D7110"/>
    <w:rsid w:val="000D71BC"/>
    <w:rsid w:val="000D71F1"/>
    <w:rsid w:val="000D7223"/>
    <w:rsid w:val="000D7238"/>
    <w:rsid w:val="000D7243"/>
    <w:rsid w:val="000D725F"/>
    <w:rsid w:val="000D72C0"/>
    <w:rsid w:val="000D731C"/>
    <w:rsid w:val="000D73A0"/>
    <w:rsid w:val="000D7475"/>
    <w:rsid w:val="000D74A5"/>
    <w:rsid w:val="000D74B0"/>
    <w:rsid w:val="000D74F0"/>
    <w:rsid w:val="000D74F2"/>
    <w:rsid w:val="000D753E"/>
    <w:rsid w:val="000D754E"/>
    <w:rsid w:val="000D756B"/>
    <w:rsid w:val="000D7613"/>
    <w:rsid w:val="000D762D"/>
    <w:rsid w:val="000D765A"/>
    <w:rsid w:val="000D76AD"/>
    <w:rsid w:val="000D7763"/>
    <w:rsid w:val="000D77E2"/>
    <w:rsid w:val="000D7826"/>
    <w:rsid w:val="000D786E"/>
    <w:rsid w:val="000D78CD"/>
    <w:rsid w:val="000D79CA"/>
    <w:rsid w:val="000D79ED"/>
    <w:rsid w:val="000D7A91"/>
    <w:rsid w:val="000D7BBA"/>
    <w:rsid w:val="000D7BE4"/>
    <w:rsid w:val="000D7CD5"/>
    <w:rsid w:val="000D7D26"/>
    <w:rsid w:val="000D7E39"/>
    <w:rsid w:val="000D7E3D"/>
    <w:rsid w:val="000D7E85"/>
    <w:rsid w:val="000D7F5D"/>
    <w:rsid w:val="000E001A"/>
    <w:rsid w:val="000E0022"/>
    <w:rsid w:val="000E00CF"/>
    <w:rsid w:val="000E00F5"/>
    <w:rsid w:val="000E013B"/>
    <w:rsid w:val="000E01C9"/>
    <w:rsid w:val="000E0226"/>
    <w:rsid w:val="000E0250"/>
    <w:rsid w:val="000E02DB"/>
    <w:rsid w:val="000E038C"/>
    <w:rsid w:val="000E03AA"/>
    <w:rsid w:val="000E03DD"/>
    <w:rsid w:val="000E0488"/>
    <w:rsid w:val="000E055A"/>
    <w:rsid w:val="000E05EB"/>
    <w:rsid w:val="000E060E"/>
    <w:rsid w:val="000E0655"/>
    <w:rsid w:val="000E06B8"/>
    <w:rsid w:val="000E07CF"/>
    <w:rsid w:val="000E07E7"/>
    <w:rsid w:val="000E07F8"/>
    <w:rsid w:val="000E0873"/>
    <w:rsid w:val="000E08A2"/>
    <w:rsid w:val="000E0901"/>
    <w:rsid w:val="000E0915"/>
    <w:rsid w:val="000E09C3"/>
    <w:rsid w:val="000E0A16"/>
    <w:rsid w:val="000E0A5A"/>
    <w:rsid w:val="000E0AD5"/>
    <w:rsid w:val="000E0B7A"/>
    <w:rsid w:val="000E0C2C"/>
    <w:rsid w:val="000E0CC9"/>
    <w:rsid w:val="000E0CD4"/>
    <w:rsid w:val="000E0CE3"/>
    <w:rsid w:val="000E0CF4"/>
    <w:rsid w:val="000E0E21"/>
    <w:rsid w:val="000E0E38"/>
    <w:rsid w:val="000E0E40"/>
    <w:rsid w:val="000E0E75"/>
    <w:rsid w:val="000E0EE4"/>
    <w:rsid w:val="000E0F83"/>
    <w:rsid w:val="000E0FEC"/>
    <w:rsid w:val="000E1008"/>
    <w:rsid w:val="000E101C"/>
    <w:rsid w:val="000E1039"/>
    <w:rsid w:val="000E103D"/>
    <w:rsid w:val="000E104B"/>
    <w:rsid w:val="000E109B"/>
    <w:rsid w:val="000E109C"/>
    <w:rsid w:val="000E10E5"/>
    <w:rsid w:val="000E1173"/>
    <w:rsid w:val="000E11EF"/>
    <w:rsid w:val="000E1252"/>
    <w:rsid w:val="000E1280"/>
    <w:rsid w:val="000E12A2"/>
    <w:rsid w:val="000E12E8"/>
    <w:rsid w:val="000E135E"/>
    <w:rsid w:val="000E1399"/>
    <w:rsid w:val="000E13EA"/>
    <w:rsid w:val="000E147F"/>
    <w:rsid w:val="000E14C2"/>
    <w:rsid w:val="000E15A0"/>
    <w:rsid w:val="000E15A3"/>
    <w:rsid w:val="000E15C3"/>
    <w:rsid w:val="000E1631"/>
    <w:rsid w:val="000E1725"/>
    <w:rsid w:val="000E1746"/>
    <w:rsid w:val="000E1767"/>
    <w:rsid w:val="000E1777"/>
    <w:rsid w:val="000E1793"/>
    <w:rsid w:val="000E18E6"/>
    <w:rsid w:val="000E19C2"/>
    <w:rsid w:val="000E19D8"/>
    <w:rsid w:val="000E1B01"/>
    <w:rsid w:val="000E1B06"/>
    <w:rsid w:val="000E1C62"/>
    <w:rsid w:val="000E1CD4"/>
    <w:rsid w:val="000E1D24"/>
    <w:rsid w:val="000E1DA8"/>
    <w:rsid w:val="000E1E25"/>
    <w:rsid w:val="000E1E45"/>
    <w:rsid w:val="000E1E63"/>
    <w:rsid w:val="000E1E64"/>
    <w:rsid w:val="000E1E76"/>
    <w:rsid w:val="000E1F3D"/>
    <w:rsid w:val="000E1F3E"/>
    <w:rsid w:val="000E1F77"/>
    <w:rsid w:val="000E1FEC"/>
    <w:rsid w:val="000E202A"/>
    <w:rsid w:val="000E2077"/>
    <w:rsid w:val="000E20A2"/>
    <w:rsid w:val="000E226B"/>
    <w:rsid w:val="000E2289"/>
    <w:rsid w:val="000E229D"/>
    <w:rsid w:val="000E22CA"/>
    <w:rsid w:val="000E22CF"/>
    <w:rsid w:val="000E22D4"/>
    <w:rsid w:val="000E2301"/>
    <w:rsid w:val="000E235D"/>
    <w:rsid w:val="000E2452"/>
    <w:rsid w:val="000E2494"/>
    <w:rsid w:val="000E2499"/>
    <w:rsid w:val="000E24BC"/>
    <w:rsid w:val="000E2535"/>
    <w:rsid w:val="000E2537"/>
    <w:rsid w:val="000E25C4"/>
    <w:rsid w:val="000E261D"/>
    <w:rsid w:val="000E267C"/>
    <w:rsid w:val="000E2685"/>
    <w:rsid w:val="000E2686"/>
    <w:rsid w:val="000E269E"/>
    <w:rsid w:val="000E26A8"/>
    <w:rsid w:val="000E26BE"/>
    <w:rsid w:val="000E270E"/>
    <w:rsid w:val="000E280D"/>
    <w:rsid w:val="000E28A6"/>
    <w:rsid w:val="000E28DA"/>
    <w:rsid w:val="000E28F3"/>
    <w:rsid w:val="000E2946"/>
    <w:rsid w:val="000E2A1E"/>
    <w:rsid w:val="000E2A3E"/>
    <w:rsid w:val="000E2AE1"/>
    <w:rsid w:val="000E2AF6"/>
    <w:rsid w:val="000E2BD6"/>
    <w:rsid w:val="000E2D2B"/>
    <w:rsid w:val="000E2D3A"/>
    <w:rsid w:val="000E2D3B"/>
    <w:rsid w:val="000E2D61"/>
    <w:rsid w:val="000E2DF9"/>
    <w:rsid w:val="000E2EBE"/>
    <w:rsid w:val="000E2EE8"/>
    <w:rsid w:val="000E2EE9"/>
    <w:rsid w:val="000E2F33"/>
    <w:rsid w:val="000E2F8E"/>
    <w:rsid w:val="000E303D"/>
    <w:rsid w:val="000E309E"/>
    <w:rsid w:val="000E317F"/>
    <w:rsid w:val="000E31E3"/>
    <w:rsid w:val="000E3207"/>
    <w:rsid w:val="000E3234"/>
    <w:rsid w:val="000E32ED"/>
    <w:rsid w:val="000E3330"/>
    <w:rsid w:val="000E3357"/>
    <w:rsid w:val="000E33AB"/>
    <w:rsid w:val="000E344A"/>
    <w:rsid w:val="000E346A"/>
    <w:rsid w:val="000E34F0"/>
    <w:rsid w:val="000E3527"/>
    <w:rsid w:val="000E3571"/>
    <w:rsid w:val="000E35C3"/>
    <w:rsid w:val="000E35C4"/>
    <w:rsid w:val="000E35CF"/>
    <w:rsid w:val="000E35ED"/>
    <w:rsid w:val="000E3688"/>
    <w:rsid w:val="000E3695"/>
    <w:rsid w:val="000E36A9"/>
    <w:rsid w:val="000E3744"/>
    <w:rsid w:val="000E375E"/>
    <w:rsid w:val="000E37D7"/>
    <w:rsid w:val="000E3865"/>
    <w:rsid w:val="000E388D"/>
    <w:rsid w:val="000E38FF"/>
    <w:rsid w:val="000E3A51"/>
    <w:rsid w:val="000E3A84"/>
    <w:rsid w:val="000E3AB7"/>
    <w:rsid w:val="000E3BD2"/>
    <w:rsid w:val="000E3BE9"/>
    <w:rsid w:val="000E3BFB"/>
    <w:rsid w:val="000E3CA7"/>
    <w:rsid w:val="000E3CA9"/>
    <w:rsid w:val="000E3D23"/>
    <w:rsid w:val="000E3D32"/>
    <w:rsid w:val="000E3D34"/>
    <w:rsid w:val="000E3D35"/>
    <w:rsid w:val="000E3FDE"/>
    <w:rsid w:val="000E402C"/>
    <w:rsid w:val="000E40C0"/>
    <w:rsid w:val="000E40DF"/>
    <w:rsid w:val="000E4107"/>
    <w:rsid w:val="000E4153"/>
    <w:rsid w:val="000E4162"/>
    <w:rsid w:val="000E4198"/>
    <w:rsid w:val="000E41C3"/>
    <w:rsid w:val="000E41D8"/>
    <w:rsid w:val="000E4272"/>
    <w:rsid w:val="000E427F"/>
    <w:rsid w:val="000E42FA"/>
    <w:rsid w:val="000E4391"/>
    <w:rsid w:val="000E4413"/>
    <w:rsid w:val="000E4416"/>
    <w:rsid w:val="000E4424"/>
    <w:rsid w:val="000E4488"/>
    <w:rsid w:val="000E44A8"/>
    <w:rsid w:val="000E44CD"/>
    <w:rsid w:val="000E4545"/>
    <w:rsid w:val="000E45D2"/>
    <w:rsid w:val="000E45F8"/>
    <w:rsid w:val="000E465A"/>
    <w:rsid w:val="000E46E1"/>
    <w:rsid w:val="000E477F"/>
    <w:rsid w:val="000E479B"/>
    <w:rsid w:val="000E47F8"/>
    <w:rsid w:val="000E484E"/>
    <w:rsid w:val="000E4926"/>
    <w:rsid w:val="000E49A9"/>
    <w:rsid w:val="000E49CE"/>
    <w:rsid w:val="000E49FD"/>
    <w:rsid w:val="000E4B4C"/>
    <w:rsid w:val="000E4BBB"/>
    <w:rsid w:val="000E4C5B"/>
    <w:rsid w:val="000E4CB1"/>
    <w:rsid w:val="000E4CFF"/>
    <w:rsid w:val="000E4D37"/>
    <w:rsid w:val="000E4DD5"/>
    <w:rsid w:val="000E4E17"/>
    <w:rsid w:val="000E4E3E"/>
    <w:rsid w:val="000E4E5C"/>
    <w:rsid w:val="000E4F04"/>
    <w:rsid w:val="000E4F1F"/>
    <w:rsid w:val="000E4F20"/>
    <w:rsid w:val="000E5000"/>
    <w:rsid w:val="000E5007"/>
    <w:rsid w:val="000E505F"/>
    <w:rsid w:val="000E50AC"/>
    <w:rsid w:val="000E50E8"/>
    <w:rsid w:val="000E5180"/>
    <w:rsid w:val="000E5275"/>
    <w:rsid w:val="000E527A"/>
    <w:rsid w:val="000E529E"/>
    <w:rsid w:val="000E53B6"/>
    <w:rsid w:val="000E53DB"/>
    <w:rsid w:val="000E5468"/>
    <w:rsid w:val="000E54B7"/>
    <w:rsid w:val="000E5537"/>
    <w:rsid w:val="000E5611"/>
    <w:rsid w:val="000E5621"/>
    <w:rsid w:val="000E5639"/>
    <w:rsid w:val="000E568E"/>
    <w:rsid w:val="000E56F0"/>
    <w:rsid w:val="000E56F3"/>
    <w:rsid w:val="000E5701"/>
    <w:rsid w:val="000E5848"/>
    <w:rsid w:val="000E5857"/>
    <w:rsid w:val="000E59C7"/>
    <w:rsid w:val="000E59F7"/>
    <w:rsid w:val="000E5A12"/>
    <w:rsid w:val="000E5AC9"/>
    <w:rsid w:val="000E5B83"/>
    <w:rsid w:val="000E5BF2"/>
    <w:rsid w:val="000E5C40"/>
    <w:rsid w:val="000E5CA6"/>
    <w:rsid w:val="000E5CB4"/>
    <w:rsid w:val="000E5CFD"/>
    <w:rsid w:val="000E5D7B"/>
    <w:rsid w:val="000E5DA7"/>
    <w:rsid w:val="000E5E0C"/>
    <w:rsid w:val="000E5E75"/>
    <w:rsid w:val="000E5E85"/>
    <w:rsid w:val="000E5EBF"/>
    <w:rsid w:val="000E5F1E"/>
    <w:rsid w:val="000E5F53"/>
    <w:rsid w:val="000E5F60"/>
    <w:rsid w:val="000E5FB4"/>
    <w:rsid w:val="000E60C2"/>
    <w:rsid w:val="000E60C8"/>
    <w:rsid w:val="000E60FB"/>
    <w:rsid w:val="000E6123"/>
    <w:rsid w:val="000E619B"/>
    <w:rsid w:val="000E61B1"/>
    <w:rsid w:val="000E63C7"/>
    <w:rsid w:val="000E63E9"/>
    <w:rsid w:val="000E6434"/>
    <w:rsid w:val="000E6444"/>
    <w:rsid w:val="000E6462"/>
    <w:rsid w:val="000E64EB"/>
    <w:rsid w:val="000E6597"/>
    <w:rsid w:val="000E65D4"/>
    <w:rsid w:val="000E65F1"/>
    <w:rsid w:val="000E662A"/>
    <w:rsid w:val="000E6707"/>
    <w:rsid w:val="000E67BE"/>
    <w:rsid w:val="000E67DB"/>
    <w:rsid w:val="000E68DE"/>
    <w:rsid w:val="000E692F"/>
    <w:rsid w:val="000E69B0"/>
    <w:rsid w:val="000E6A8F"/>
    <w:rsid w:val="000E6ADE"/>
    <w:rsid w:val="000E6B47"/>
    <w:rsid w:val="000E6CB4"/>
    <w:rsid w:val="000E6CC9"/>
    <w:rsid w:val="000E6CDE"/>
    <w:rsid w:val="000E6CE3"/>
    <w:rsid w:val="000E6E7A"/>
    <w:rsid w:val="000E6EBC"/>
    <w:rsid w:val="000E6EDC"/>
    <w:rsid w:val="000E6F01"/>
    <w:rsid w:val="000E6F07"/>
    <w:rsid w:val="000E6F34"/>
    <w:rsid w:val="000E6F6A"/>
    <w:rsid w:val="000E6FA3"/>
    <w:rsid w:val="000E6FE0"/>
    <w:rsid w:val="000E7000"/>
    <w:rsid w:val="000E7016"/>
    <w:rsid w:val="000E7022"/>
    <w:rsid w:val="000E7063"/>
    <w:rsid w:val="000E706B"/>
    <w:rsid w:val="000E707C"/>
    <w:rsid w:val="000E708D"/>
    <w:rsid w:val="000E70D7"/>
    <w:rsid w:val="000E7106"/>
    <w:rsid w:val="000E71C1"/>
    <w:rsid w:val="000E726D"/>
    <w:rsid w:val="000E7274"/>
    <w:rsid w:val="000E72AF"/>
    <w:rsid w:val="000E72FA"/>
    <w:rsid w:val="000E734F"/>
    <w:rsid w:val="000E73EE"/>
    <w:rsid w:val="000E7408"/>
    <w:rsid w:val="000E7415"/>
    <w:rsid w:val="000E7482"/>
    <w:rsid w:val="000E74F8"/>
    <w:rsid w:val="000E752D"/>
    <w:rsid w:val="000E7539"/>
    <w:rsid w:val="000E7563"/>
    <w:rsid w:val="000E75D8"/>
    <w:rsid w:val="000E762C"/>
    <w:rsid w:val="000E7642"/>
    <w:rsid w:val="000E7666"/>
    <w:rsid w:val="000E7688"/>
    <w:rsid w:val="000E7689"/>
    <w:rsid w:val="000E76BA"/>
    <w:rsid w:val="000E774B"/>
    <w:rsid w:val="000E7802"/>
    <w:rsid w:val="000E78B0"/>
    <w:rsid w:val="000E78DD"/>
    <w:rsid w:val="000E79A6"/>
    <w:rsid w:val="000E79C0"/>
    <w:rsid w:val="000E79CF"/>
    <w:rsid w:val="000E7A40"/>
    <w:rsid w:val="000E7ADF"/>
    <w:rsid w:val="000E7B03"/>
    <w:rsid w:val="000E7B1F"/>
    <w:rsid w:val="000E7B2D"/>
    <w:rsid w:val="000E7B32"/>
    <w:rsid w:val="000E7BC7"/>
    <w:rsid w:val="000E7C47"/>
    <w:rsid w:val="000E7CA6"/>
    <w:rsid w:val="000E7CB5"/>
    <w:rsid w:val="000E7CDA"/>
    <w:rsid w:val="000E7D0F"/>
    <w:rsid w:val="000E7E73"/>
    <w:rsid w:val="000E7E8F"/>
    <w:rsid w:val="000E7EE2"/>
    <w:rsid w:val="000E7F1F"/>
    <w:rsid w:val="000F0028"/>
    <w:rsid w:val="000F0080"/>
    <w:rsid w:val="000F00B3"/>
    <w:rsid w:val="000F00B5"/>
    <w:rsid w:val="000F0263"/>
    <w:rsid w:val="000F02E3"/>
    <w:rsid w:val="000F032B"/>
    <w:rsid w:val="000F032F"/>
    <w:rsid w:val="000F0475"/>
    <w:rsid w:val="000F04EF"/>
    <w:rsid w:val="000F05E3"/>
    <w:rsid w:val="000F0607"/>
    <w:rsid w:val="000F0639"/>
    <w:rsid w:val="000F0748"/>
    <w:rsid w:val="000F075B"/>
    <w:rsid w:val="000F0815"/>
    <w:rsid w:val="000F090F"/>
    <w:rsid w:val="000F0A0C"/>
    <w:rsid w:val="000F0A55"/>
    <w:rsid w:val="000F0A67"/>
    <w:rsid w:val="000F0BD1"/>
    <w:rsid w:val="000F0C0B"/>
    <w:rsid w:val="000F0C11"/>
    <w:rsid w:val="000F0CA5"/>
    <w:rsid w:val="000F0CEA"/>
    <w:rsid w:val="000F0E18"/>
    <w:rsid w:val="000F0E3C"/>
    <w:rsid w:val="000F0E78"/>
    <w:rsid w:val="000F0F33"/>
    <w:rsid w:val="000F0F47"/>
    <w:rsid w:val="000F0F7B"/>
    <w:rsid w:val="000F0FAB"/>
    <w:rsid w:val="000F0FB3"/>
    <w:rsid w:val="000F0FFB"/>
    <w:rsid w:val="000F1008"/>
    <w:rsid w:val="000F1027"/>
    <w:rsid w:val="000F1061"/>
    <w:rsid w:val="000F10BA"/>
    <w:rsid w:val="000F10E3"/>
    <w:rsid w:val="000F114C"/>
    <w:rsid w:val="000F119D"/>
    <w:rsid w:val="000F12F5"/>
    <w:rsid w:val="000F1346"/>
    <w:rsid w:val="000F1364"/>
    <w:rsid w:val="000F1383"/>
    <w:rsid w:val="000F13F9"/>
    <w:rsid w:val="000F1441"/>
    <w:rsid w:val="000F144F"/>
    <w:rsid w:val="000F1476"/>
    <w:rsid w:val="000F14AE"/>
    <w:rsid w:val="000F14DC"/>
    <w:rsid w:val="000F155F"/>
    <w:rsid w:val="000F156E"/>
    <w:rsid w:val="000F156F"/>
    <w:rsid w:val="000F1598"/>
    <w:rsid w:val="000F15D9"/>
    <w:rsid w:val="000F16FF"/>
    <w:rsid w:val="000F1731"/>
    <w:rsid w:val="000F1764"/>
    <w:rsid w:val="000F17B6"/>
    <w:rsid w:val="000F17FB"/>
    <w:rsid w:val="000F18EA"/>
    <w:rsid w:val="000F1968"/>
    <w:rsid w:val="000F1A08"/>
    <w:rsid w:val="000F1A2F"/>
    <w:rsid w:val="000F1A4B"/>
    <w:rsid w:val="000F1AD8"/>
    <w:rsid w:val="000F1AE5"/>
    <w:rsid w:val="000F1B00"/>
    <w:rsid w:val="000F1B7F"/>
    <w:rsid w:val="000F1C15"/>
    <w:rsid w:val="000F1C85"/>
    <w:rsid w:val="000F1CB5"/>
    <w:rsid w:val="000F1D16"/>
    <w:rsid w:val="000F1D4D"/>
    <w:rsid w:val="000F1E61"/>
    <w:rsid w:val="000F1EC1"/>
    <w:rsid w:val="000F1F58"/>
    <w:rsid w:val="000F1FFD"/>
    <w:rsid w:val="000F2030"/>
    <w:rsid w:val="000F2033"/>
    <w:rsid w:val="000F2057"/>
    <w:rsid w:val="000F2081"/>
    <w:rsid w:val="000F2089"/>
    <w:rsid w:val="000F20B8"/>
    <w:rsid w:val="000F20CB"/>
    <w:rsid w:val="000F20F0"/>
    <w:rsid w:val="000F22A5"/>
    <w:rsid w:val="000F2389"/>
    <w:rsid w:val="000F23BC"/>
    <w:rsid w:val="000F23DC"/>
    <w:rsid w:val="000F24B5"/>
    <w:rsid w:val="000F24BD"/>
    <w:rsid w:val="000F24E6"/>
    <w:rsid w:val="000F2556"/>
    <w:rsid w:val="000F2589"/>
    <w:rsid w:val="000F259F"/>
    <w:rsid w:val="000F25E2"/>
    <w:rsid w:val="000F26D8"/>
    <w:rsid w:val="000F27D5"/>
    <w:rsid w:val="000F2820"/>
    <w:rsid w:val="000F28A7"/>
    <w:rsid w:val="000F28BC"/>
    <w:rsid w:val="000F2982"/>
    <w:rsid w:val="000F2994"/>
    <w:rsid w:val="000F2A99"/>
    <w:rsid w:val="000F2AAB"/>
    <w:rsid w:val="000F2AC1"/>
    <w:rsid w:val="000F2B01"/>
    <w:rsid w:val="000F2B4E"/>
    <w:rsid w:val="000F2B8B"/>
    <w:rsid w:val="000F2C19"/>
    <w:rsid w:val="000F2C70"/>
    <w:rsid w:val="000F2D4F"/>
    <w:rsid w:val="000F2D9F"/>
    <w:rsid w:val="000F2DE0"/>
    <w:rsid w:val="000F2E31"/>
    <w:rsid w:val="000F2E5F"/>
    <w:rsid w:val="000F2E74"/>
    <w:rsid w:val="000F2EC5"/>
    <w:rsid w:val="000F2EEC"/>
    <w:rsid w:val="000F2F01"/>
    <w:rsid w:val="000F2F5E"/>
    <w:rsid w:val="000F2F6E"/>
    <w:rsid w:val="000F30C6"/>
    <w:rsid w:val="000F30E1"/>
    <w:rsid w:val="000F30E5"/>
    <w:rsid w:val="000F311B"/>
    <w:rsid w:val="000F325A"/>
    <w:rsid w:val="000F3317"/>
    <w:rsid w:val="000F337C"/>
    <w:rsid w:val="000F33BC"/>
    <w:rsid w:val="000F3521"/>
    <w:rsid w:val="000F3559"/>
    <w:rsid w:val="000F35A0"/>
    <w:rsid w:val="000F364A"/>
    <w:rsid w:val="000F3658"/>
    <w:rsid w:val="000F36AF"/>
    <w:rsid w:val="000F3745"/>
    <w:rsid w:val="000F3758"/>
    <w:rsid w:val="000F3849"/>
    <w:rsid w:val="000F3886"/>
    <w:rsid w:val="000F38DE"/>
    <w:rsid w:val="000F398F"/>
    <w:rsid w:val="000F39BB"/>
    <w:rsid w:val="000F39C4"/>
    <w:rsid w:val="000F3A51"/>
    <w:rsid w:val="000F3A5D"/>
    <w:rsid w:val="000F3A71"/>
    <w:rsid w:val="000F3A7B"/>
    <w:rsid w:val="000F3AEC"/>
    <w:rsid w:val="000F3AFF"/>
    <w:rsid w:val="000F3BAE"/>
    <w:rsid w:val="000F3BB1"/>
    <w:rsid w:val="000F3BE1"/>
    <w:rsid w:val="000F3C1E"/>
    <w:rsid w:val="000F3C9A"/>
    <w:rsid w:val="000F3CBB"/>
    <w:rsid w:val="000F3EB5"/>
    <w:rsid w:val="000F3EE1"/>
    <w:rsid w:val="000F3F25"/>
    <w:rsid w:val="000F3F2B"/>
    <w:rsid w:val="000F3F41"/>
    <w:rsid w:val="000F3F9D"/>
    <w:rsid w:val="000F3F9F"/>
    <w:rsid w:val="000F408F"/>
    <w:rsid w:val="000F4193"/>
    <w:rsid w:val="000F4218"/>
    <w:rsid w:val="000F4238"/>
    <w:rsid w:val="000F426A"/>
    <w:rsid w:val="000F42D2"/>
    <w:rsid w:val="000F42D3"/>
    <w:rsid w:val="000F43C3"/>
    <w:rsid w:val="000F43D5"/>
    <w:rsid w:val="000F441F"/>
    <w:rsid w:val="000F4477"/>
    <w:rsid w:val="000F44AB"/>
    <w:rsid w:val="000F44B6"/>
    <w:rsid w:val="000F44DC"/>
    <w:rsid w:val="000F451A"/>
    <w:rsid w:val="000F4524"/>
    <w:rsid w:val="000F4613"/>
    <w:rsid w:val="000F463D"/>
    <w:rsid w:val="000F46B2"/>
    <w:rsid w:val="000F477C"/>
    <w:rsid w:val="000F47DF"/>
    <w:rsid w:val="000F4889"/>
    <w:rsid w:val="000F48BC"/>
    <w:rsid w:val="000F49D6"/>
    <w:rsid w:val="000F4A53"/>
    <w:rsid w:val="000F4A5D"/>
    <w:rsid w:val="000F4B35"/>
    <w:rsid w:val="000F4B41"/>
    <w:rsid w:val="000F4BD8"/>
    <w:rsid w:val="000F4CC7"/>
    <w:rsid w:val="000F4D08"/>
    <w:rsid w:val="000F4E5E"/>
    <w:rsid w:val="000F4F2E"/>
    <w:rsid w:val="000F4FD3"/>
    <w:rsid w:val="000F5068"/>
    <w:rsid w:val="000F5262"/>
    <w:rsid w:val="000F526B"/>
    <w:rsid w:val="000F52F6"/>
    <w:rsid w:val="000F53F9"/>
    <w:rsid w:val="000F5476"/>
    <w:rsid w:val="000F5479"/>
    <w:rsid w:val="000F54B5"/>
    <w:rsid w:val="000F54D1"/>
    <w:rsid w:val="000F5515"/>
    <w:rsid w:val="000F5541"/>
    <w:rsid w:val="000F555A"/>
    <w:rsid w:val="000F5581"/>
    <w:rsid w:val="000F5616"/>
    <w:rsid w:val="000F571F"/>
    <w:rsid w:val="000F5784"/>
    <w:rsid w:val="000F57A7"/>
    <w:rsid w:val="000F57BA"/>
    <w:rsid w:val="000F57EA"/>
    <w:rsid w:val="000F5803"/>
    <w:rsid w:val="000F58BA"/>
    <w:rsid w:val="000F58BD"/>
    <w:rsid w:val="000F58DB"/>
    <w:rsid w:val="000F59BC"/>
    <w:rsid w:val="000F59D1"/>
    <w:rsid w:val="000F5A5C"/>
    <w:rsid w:val="000F5AAD"/>
    <w:rsid w:val="000F5AD2"/>
    <w:rsid w:val="000F5BB3"/>
    <w:rsid w:val="000F5BC4"/>
    <w:rsid w:val="000F5C0F"/>
    <w:rsid w:val="000F5C4C"/>
    <w:rsid w:val="000F5C6C"/>
    <w:rsid w:val="000F5C7E"/>
    <w:rsid w:val="000F5CFD"/>
    <w:rsid w:val="000F5D5E"/>
    <w:rsid w:val="000F5D6D"/>
    <w:rsid w:val="000F5DE4"/>
    <w:rsid w:val="000F5E02"/>
    <w:rsid w:val="000F5E9D"/>
    <w:rsid w:val="000F5EAD"/>
    <w:rsid w:val="000F5EEB"/>
    <w:rsid w:val="000F5F7C"/>
    <w:rsid w:val="000F5F8C"/>
    <w:rsid w:val="000F6001"/>
    <w:rsid w:val="000F6055"/>
    <w:rsid w:val="000F6090"/>
    <w:rsid w:val="000F60B0"/>
    <w:rsid w:val="000F618C"/>
    <w:rsid w:val="000F6226"/>
    <w:rsid w:val="000F6246"/>
    <w:rsid w:val="000F624B"/>
    <w:rsid w:val="000F625C"/>
    <w:rsid w:val="000F6262"/>
    <w:rsid w:val="000F62BE"/>
    <w:rsid w:val="000F62D0"/>
    <w:rsid w:val="000F62F1"/>
    <w:rsid w:val="000F62FE"/>
    <w:rsid w:val="000F6370"/>
    <w:rsid w:val="000F63B4"/>
    <w:rsid w:val="000F6407"/>
    <w:rsid w:val="000F644C"/>
    <w:rsid w:val="000F6457"/>
    <w:rsid w:val="000F646C"/>
    <w:rsid w:val="000F6481"/>
    <w:rsid w:val="000F64FA"/>
    <w:rsid w:val="000F6568"/>
    <w:rsid w:val="000F6570"/>
    <w:rsid w:val="000F65B0"/>
    <w:rsid w:val="000F662C"/>
    <w:rsid w:val="000F66EA"/>
    <w:rsid w:val="000F6715"/>
    <w:rsid w:val="000F674C"/>
    <w:rsid w:val="000F676C"/>
    <w:rsid w:val="000F68AB"/>
    <w:rsid w:val="000F6955"/>
    <w:rsid w:val="000F6974"/>
    <w:rsid w:val="000F6988"/>
    <w:rsid w:val="000F6A03"/>
    <w:rsid w:val="000F6A20"/>
    <w:rsid w:val="000F6B82"/>
    <w:rsid w:val="000F6C8B"/>
    <w:rsid w:val="000F6CA8"/>
    <w:rsid w:val="000F6CFA"/>
    <w:rsid w:val="000F6CFF"/>
    <w:rsid w:val="000F6E18"/>
    <w:rsid w:val="000F6E9C"/>
    <w:rsid w:val="000F6F59"/>
    <w:rsid w:val="000F6FBE"/>
    <w:rsid w:val="000F7009"/>
    <w:rsid w:val="000F702D"/>
    <w:rsid w:val="000F7070"/>
    <w:rsid w:val="000F70A5"/>
    <w:rsid w:val="000F70B1"/>
    <w:rsid w:val="000F715E"/>
    <w:rsid w:val="000F7195"/>
    <w:rsid w:val="000F71FF"/>
    <w:rsid w:val="000F729A"/>
    <w:rsid w:val="000F73E8"/>
    <w:rsid w:val="000F744F"/>
    <w:rsid w:val="000F74F2"/>
    <w:rsid w:val="000F74FC"/>
    <w:rsid w:val="000F7505"/>
    <w:rsid w:val="000F7674"/>
    <w:rsid w:val="000F76AF"/>
    <w:rsid w:val="000F7720"/>
    <w:rsid w:val="000F772E"/>
    <w:rsid w:val="000F777E"/>
    <w:rsid w:val="000F77E9"/>
    <w:rsid w:val="000F77F9"/>
    <w:rsid w:val="000F7817"/>
    <w:rsid w:val="000F7860"/>
    <w:rsid w:val="000F7861"/>
    <w:rsid w:val="000F789A"/>
    <w:rsid w:val="000F797D"/>
    <w:rsid w:val="000F799F"/>
    <w:rsid w:val="000F7B56"/>
    <w:rsid w:val="000F7B58"/>
    <w:rsid w:val="000F7C6E"/>
    <w:rsid w:val="000F7C7D"/>
    <w:rsid w:val="000F7D6B"/>
    <w:rsid w:val="000F7D88"/>
    <w:rsid w:val="000F7DA9"/>
    <w:rsid w:val="000F7DDB"/>
    <w:rsid w:val="000F7DDC"/>
    <w:rsid w:val="000F7E6C"/>
    <w:rsid w:val="000F7E80"/>
    <w:rsid w:val="000F7E9D"/>
    <w:rsid w:val="000F7F4D"/>
    <w:rsid w:val="000F7F67"/>
    <w:rsid w:val="000F7FB9"/>
    <w:rsid w:val="000F7FEC"/>
    <w:rsid w:val="0010007B"/>
    <w:rsid w:val="00100098"/>
    <w:rsid w:val="001000F9"/>
    <w:rsid w:val="00100167"/>
    <w:rsid w:val="001002D3"/>
    <w:rsid w:val="00100381"/>
    <w:rsid w:val="001003A3"/>
    <w:rsid w:val="001003C5"/>
    <w:rsid w:val="001003C9"/>
    <w:rsid w:val="001003E3"/>
    <w:rsid w:val="00100489"/>
    <w:rsid w:val="001004B6"/>
    <w:rsid w:val="001004F9"/>
    <w:rsid w:val="001004FE"/>
    <w:rsid w:val="00100556"/>
    <w:rsid w:val="00100591"/>
    <w:rsid w:val="001005A6"/>
    <w:rsid w:val="00100609"/>
    <w:rsid w:val="0010068F"/>
    <w:rsid w:val="001006E3"/>
    <w:rsid w:val="001006EA"/>
    <w:rsid w:val="001006EC"/>
    <w:rsid w:val="00100750"/>
    <w:rsid w:val="0010075E"/>
    <w:rsid w:val="001007E9"/>
    <w:rsid w:val="0010083C"/>
    <w:rsid w:val="001008EC"/>
    <w:rsid w:val="00100913"/>
    <w:rsid w:val="00100977"/>
    <w:rsid w:val="001009C6"/>
    <w:rsid w:val="00100A5A"/>
    <w:rsid w:val="00100AA8"/>
    <w:rsid w:val="00100AB1"/>
    <w:rsid w:val="00100AC8"/>
    <w:rsid w:val="00100BA5"/>
    <w:rsid w:val="00100BD6"/>
    <w:rsid w:val="00100C31"/>
    <w:rsid w:val="00100D1C"/>
    <w:rsid w:val="00100D1D"/>
    <w:rsid w:val="00100D5A"/>
    <w:rsid w:val="00100D99"/>
    <w:rsid w:val="00100E96"/>
    <w:rsid w:val="00100F7F"/>
    <w:rsid w:val="00100FB6"/>
    <w:rsid w:val="0010103E"/>
    <w:rsid w:val="001010ED"/>
    <w:rsid w:val="001010F3"/>
    <w:rsid w:val="00101104"/>
    <w:rsid w:val="0010112C"/>
    <w:rsid w:val="0010118E"/>
    <w:rsid w:val="00101191"/>
    <w:rsid w:val="0010128C"/>
    <w:rsid w:val="001012A1"/>
    <w:rsid w:val="00101340"/>
    <w:rsid w:val="00101377"/>
    <w:rsid w:val="00101401"/>
    <w:rsid w:val="00101405"/>
    <w:rsid w:val="0010141F"/>
    <w:rsid w:val="0010147B"/>
    <w:rsid w:val="001014B9"/>
    <w:rsid w:val="0010154F"/>
    <w:rsid w:val="0010155F"/>
    <w:rsid w:val="0010167D"/>
    <w:rsid w:val="00101685"/>
    <w:rsid w:val="001016A5"/>
    <w:rsid w:val="001016B2"/>
    <w:rsid w:val="00101757"/>
    <w:rsid w:val="00101766"/>
    <w:rsid w:val="001017D2"/>
    <w:rsid w:val="001018B7"/>
    <w:rsid w:val="001018FE"/>
    <w:rsid w:val="00101ABF"/>
    <w:rsid w:val="00101B1B"/>
    <w:rsid w:val="00101B22"/>
    <w:rsid w:val="00101B6E"/>
    <w:rsid w:val="00101C68"/>
    <w:rsid w:val="00101CA3"/>
    <w:rsid w:val="00101CA8"/>
    <w:rsid w:val="00101CDC"/>
    <w:rsid w:val="00101D21"/>
    <w:rsid w:val="00101D4B"/>
    <w:rsid w:val="00101DB1"/>
    <w:rsid w:val="00101DED"/>
    <w:rsid w:val="00101E13"/>
    <w:rsid w:val="00101FB7"/>
    <w:rsid w:val="0010201C"/>
    <w:rsid w:val="00102033"/>
    <w:rsid w:val="00102159"/>
    <w:rsid w:val="0010215A"/>
    <w:rsid w:val="00102297"/>
    <w:rsid w:val="001022A9"/>
    <w:rsid w:val="001022C2"/>
    <w:rsid w:val="00102336"/>
    <w:rsid w:val="00102361"/>
    <w:rsid w:val="001023EE"/>
    <w:rsid w:val="0010243A"/>
    <w:rsid w:val="00102494"/>
    <w:rsid w:val="001025AE"/>
    <w:rsid w:val="001026E9"/>
    <w:rsid w:val="001026FC"/>
    <w:rsid w:val="0010271B"/>
    <w:rsid w:val="00102756"/>
    <w:rsid w:val="00102812"/>
    <w:rsid w:val="001028DF"/>
    <w:rsid w:val="001028F2"/>
    <w:rsid w:val="00102902"/>
    <w:rsid w:val="00102947"/>
    <w:rsid w:val="0010295F"/>
    <w:rsid w:val="00102986"/>
    <w:rsid w:val="001029D3"/>
    <w:rsid w:val="00102A19"/>
    <w:rsid w:val="00102A9B"/>
    <w:rsid w:val="00102C52"/>
    <w:rsid w:val="00102CFA"/>
    <w:rsid w:val="00102D0D"/>
    <w:rsid w:val="00102EFD"/>
    <w:rsid w:val="00102F46"/>
    <w:rsid w:val="00102F61"/>
    <w:rsid w:val="00102F7C"/>
    <w:rsid w:val="00102F95"/>
    <w:rsid w:val="00102FAA"/>
    <w:rsid w:val="00103013"/>
    <w:rsid w:val="00103020"/>
    <w:rsid w:val="001030CE"/>
    <w:rsid w:val="001030D1"/>
    <w:rsid w:val="00103114"/>
    <w:rsid w:val="001031ED"/>
    <w:rsid w:val="001031F2"/>
    <w:rsid w:val="00103256"/>
    <w:rsid w:val="00103353"/>
    <w:rsid w:val="00103375"/>
    <w:rsid w:val="001033D4"/>
    <w:rsid w:val="001033F4"/>
    <w:rsid w:val="00103408"/>
    <w:rsid w:val="0010348C"/>
    <w:rsid w:val="00103498"/>
    <w:rsid w:val="0010357D"/>
    <w:rsid w:val="00103666"/>
    <w:rsid w:val="001036AB"/>
    <w:rsid w:val="00103760"/>
    <w:rsid w:val="001037A9"/>
    <w:rsid w:val="001037E6"/>
    <w:rsid w:val="001038B1"/>
    <w:rsid w:val="001038B5"/>
    <w:rsid w:val="00103933"/>
    <w:rsid w:val="001039C7"/>
    <w:rsid w:val="00103A45"/>
    <w:rsid w:val="00103A6A"/>
    <w:rsid w:val="00103AFF"/>
    <w:rsid w:val="00103B33"/>
    <w:rsid w:val="00103B8F"/>
    <w:rsid w:val="00103BF2"/>
    <w:rsid w:val="00103C51"/>
    <w:rsid w:val="00103D82"/>
    <w:rsid w:val="00103E6B"/>
    <w:rsid w:val="00103E85"/>
    <w:rsid w:val="00103F98"/>
    <w:rsid w:val="00104029"/>
    <w:rsid w:val="00104039"/>
    <w:rsid w:val="001040F8"/>
    <w:rsid w:val="00104102"/>
    <w:rsid w:val="0010414D"/>
    <w:rsid w:val="0010421F"/>
    <w:rsid w:val="00104260"/>
    <w:rsid w:val="0010427A"/>
    <w:rsid w:val="001042C7"/>
    <w:rsid w:val="00104322"/>
    <w:rsid w:val="0010441D"/>
    <w:rsid w:val="00104541"/>
    <w:rsid w:val="001045D2"/>
    <w:rsid w:val="001046CB"/>
    <w:rsid w:val="001047BB"/>
    <w:rsid w:val="001047F8"/>
    <w:rsid w:val="00104851"/>
    <w:rsid w:val="00104979"/>
    <w:rsid w:val="00104A2A"/>
    <w:rsid w:val="00104B32"/>
    <w:rsid w:val="00104B65"/>
    <w:rsid w:val="00104C2C"/>
    <w:rsid w:val="00104C3E"/>
    <w:rsid w:val="00104C7A"/>
    <w:rsid w:val="00104D4E"/>
    <w:rsid w:val="00104D72"/>
    <w:rsid w:val="00104E35"/>
    <w:rsid w:val="00104E5D"/>
    <w:rsid w:val="00104E9E"/>
    <w:rsid w:val="00104F6C"/>
    <w:rsid w:val="00104F98"/>
    <w:rsid w:val="00104FCC"/>
    <w:rsid w:val="00105089"/>
    <w:rsid w:val="00105091"/>
    <w:rsid w:val="0010516C"/>
    <w:rsid w:val="001051D4"/>
    <w:rsid w:val="001051F5"/>
    <w:rsid w:val="00105213"/>
    <w:rsid w:val="0010522F"/>
    <w:rsid w:val="00105243"/>
    <w:rsid w:val="0010526F"/>
    <w:rsid w:val="001052E5"/>
    <w:rsid w:val="00105312"/>
    <w:rsid w:val="0010535F"/>
    <w:rsid w:val="00105452"/>
    <w:rsid w:val="001055C8"/>
    <w:rsid w:val="001055E7"/>
    <w:rsid w:val="00105610"/>
    <w:rsid w:val="00105642"/>
    <w:rsid w:val="0010568E"/>
    <w:rsid w:val="00105699"/>
    <w:rsid w:val="001057C0"/>
    <w:rsid w:val="001057DB"/>
    <w:rsid w:val="001057E9"/>
    <w:rsid w:val="00105847"/>
    <w:rsid w:val="00105928"/>
    <w:rsid w:val="0010595B"/>
    <w:rsid w:val="001059D0"/>
    <w:rsid w:val="00105ABB"/>
    <w:rsid w:val="00105B04"/>
    <w:rsid w:val="00105B44"/>
    <w:rsid w:val="00105BDF"/>
    <w:rsid w:val="00105BED"/>
    <w:rsid w:val="00105BF2"/>
    <w:rsid w:val="00105C81"/>
    <w:rsid w:val="00105CA9"/>
    <w:rsid w:val="00105CB9"/>
    <w:rsid w:val="00105D93"/>
    <w:rsid w:val="00105DA7"/>
    <w:rsid w:val="00105DD7"/>
    <w:rsid w:val="00105E00"/>
    <w:rsid w:val="00105E86"/>
    <w:rsid w:val="00105EFC"/>
    <w:rsid w:val="00105EFD"/>
    <w:rsid w:val="00105F07"/>
    <w:rsid w:val="00105F36"/>
    <w:rsid w:val="00105F70"/>
    <w:rsid w:val="00106078"/>
    <w:rsid w:val="001060DE"/>
    <w:rsid w:val="00106105"/>
    <w:rsid w:val="00106115"/>
    <w:rsid w:val="00106147"/>
    <w:rsid w:val="001061A1"/>
    <w:rsid w:val="001061AA"/>
    <w:rsid w:val="00106278"/>
    <w:rsid w:val="00106288"/>
    <w:rsid w:val="00106302"/>
    <w:rsid w:val="00106333"/>
    <w:rsid w:val="001063B3"/>
    <w:rsid w:val="00106463"/>
    <w:rsid w:val="00106484"/>
    <w:rsid w:val="00106576"/>
    <w:rsid w:val="00106595"/>
    <w:rsid w:val="00106608"/>
    <w:rsid w:val="0010660C"/>
    <w:rsid w:val="00106750"/>
    <w:rsid w:val="00106753"/>
    <w:rsid w:val="001067AB"/>
    <w:rsid w:val="001067B2"/>
    <w:rsid w:val="001067CA"/>
    <w:rsid w:val="00106836"/>
    <w:rsid w:val="001068E6"/>
    <w:rsid w:val="00106947"/>
    <w:rsid w:val="0010696C"/>
    <w:rsid w:val="001069C5"/>
    <w:rsid w:val="001069ED"/>
    <w:rsid w:val="00106A99"/>
    <w:rsid w:val="00106ABC"/>
    <w:rsid w:val="00106ABE"/>
    <w:rsid w:val="00106B2B"/>
    <w:rsid w:val="00106B3F"/>
    <w:rsid w:val="00106B9A"/>
    <w:rsid w:val="00106BAB"/>
    <w:rsid w:val="00106BF7"/>
    <w:rsid w:val="00106C67"/>
    <w:rsid w:val="00106C96"/>
    <w:rsid w:val="00106CDF"/>
    <w:rsid w:val="00106CFB"/>
    <w:rsid w:val="00106D8D"/>
    <w:rsid w:val="00106DF9"/>
    <w:rsid w:val="00106E0E"/>
    <w:rsid w:val="00106ECB"/>
    <w:rsid w:val="00106ED0"/>
    <w:rsid w:val="00106F0E"/>
    <w:rsid w:val="00106F81"/>
    <w:rsid w:val="0010704C"/>
    <w:rsid w:val="00107117"/>
    <w:rsid w:val="00107133"/>
    <w:rsid w:val="00107185"/>
    <w:rsid w:val="001072E0"/>
    <w:rsid w:val="00107360"/>
    <w:rsid w:val="001073BB"/>
    <w:rsid w:val="00107434"/>
    <w:rsid w:val="0010745D"/>
    <w:rsid w:val="00107497"/>
    <w:rsid w:val="001074CF"/>
    <w:rsid w:val="001074E9"/>
    <w:rsid w:val="00107547"/>
    <w:rsid w:val="00107555"/>
    <w:rsid w:val="001076B5"/>
    <w:rsid w:val="001076C5"/>
    <w:rsid w:val="00107736"/>
    <w:rsid w:val="00107763"/>
    <w:rsid w:val="001077F8"/>
    <w:rsid w:val="0010782F"/>
    <w:rsid w:val="00107837"/>
    <w:rsid w:val="0010786D"/>
    <w:rsid w:val="001078D1"/>
    <w:rsid w:val="001078EE"/>
    <w:rsid w:val="001078F5"/>
    <w:rsid w:val="00107957"/>
    <w:rsid w:val="00107A99"/>
    <w:rsid w:val="00107B2B"/>
    <w:rsid w:val="00107B41"/>
    <w:rsid w:val="00107B83"/>
    <w:rsid w:val="00107C6E"/>
    <w:rsid w:val="00107D43"/>
    <w:rsid w:val="00107D66"/>
    <w:rsid w:val="00107DDA"/>
    <w:rsid w:val="00107E34"/>
    <w:rsid w:val="00107E72"/>
    <w:rsid w:val="00107E86"/>
    <w:rsid w:val="00107EAB"/>
    <w:rsid w:val="00107F29"/>
    <w:rsid w:val="0011007B"/>
    <w:rsid w:val="00110093"/>
    <w:rsid w:val="0011013B"/>
    <w:rsid w:val="00110156"/>
    <w:rsid w:val="0011023E"/>
    <w:rsid w:val="00110386"/>
    <w:rsid w:val="001103A3"/>
    <w:rsid w:val="001103A4"/>
    <w:rsid w:val="001103BD"/>
    <w:rsid w:val="001103F0"/>
    <w:rsid w:val="00110451"/>
    <w:rsid w:val="0011046E"/>
    <w:rsid w:val="0011048E"/>
    <w:rsid w:val="00110554"/>
    <w:rsid w:val="00110691"/>
    <w:rsid w:val="00110738"/>
    <w:rsid w:val="00110764"/>
    <w:rsid w:val="001107C0"/>
    <w:rsid w:val="001107F0"/>
    <w:rsid w:val="0011082E"/>
    <w:rsid w:val="0011085A"/>
    <w:rsid w:val="0011085B"/>
    <w:rsid w:val="0011091E"/>
    <w:rsid w:val="00110A69"/>
    <w:rsid w:val="00110ADC"/>
    <w:rsid w:val="00110AF2"/>
    <w:rsid w:val="00110B88"/>
    <w:rsid w:val="00110BD0"/>
    <w:rsid w:val="00110BE0"/>
    <w:rsid w:val="00110C9D"/>
    <w:rsid w:val="00110CD5"/>
    <w:rsid w:val="00110CE8"/>
    <w:rsid w:val="00110D49"/>
    <w:rsid w:val="00110DB9"/>
    <w:rsid w:val="00110DCE"/>
    <w:rsid w:val="00110E0E"/>
    <w:rsid w:val="00110EA8"/>
    <w:rsid w:val="00110EC8"/>
    <w:rsid w:val="00110EE5"/>
    <w:rsid w:val="00110F0B"/>
    <w:rsid w:val="00110F37"/>
    <w:rsid w:val="00110FC7"/>
    <w:rsid w:val="001110AE"/>
    <w:rsid w:val="001110C0"/>
    <w:rsid w:val="001110F7"/>
    <w:rsid w:val="0011115F"/>
    <w:rsid w:val="0011122C"/>
    <w:rsid w:val="00111296"/>
    <w:rsid w:val="001112BE"/>
    <w:rsid w:val="001112DA"/>
    <w:rsid w:val="0011137D"/>
    <w:rsid w:val="00111381"/>
    <w:rsid w:val="0011139A"/>
    <w:rsid w:val="0011146C"/>
    <w:rsid w:val="001114EF"/>
    <w:rsid w:val="00111523"/>
    <w:rsid w:val="001115C3"/>
    <w:rsid w:val="00111601"/>
    <w:rsid w:val="0011160A"/>
    <w:rsid w:val="00111619"/>
    <w:rsid w:val="001116B1"/>
    <w:rsid w:val="001116E9"/>
    <w:rsid w:val="00111715"/>
    <w:rsid w:val="0011173B"/>
    <w:rsid w:val="0011179E"/>
    <w:rsid w:val="00111808"/>
    <w:rsid w:val="001118B9"/>
    <w:rsid w:val="00111927"/>
    <w:rsid w:val="00111931"/>
    <w:rsid w:val="00111990"/>
    <w:rsid w:val="001119D4"/>
    <w:rsid w:val="001119D9"/>
    <w:rsid w:val="00111A56"/>
    <w:rsid w:val="00111AA8"/>
    <w:rsid w:val="00111B6A"/>
    <w:rsid w:val="00111C8C"/>
    <w:rsid w:val="00111CC7"/>
    <w:rsid w:val="00111CE4"/>
    <w:rsid w:val="00111D08"/>
    <w:rsid w:val="00111D85"/>
    <w:rsid w:val="00111D8A"/>
    <w:rsid w:val="00111DA8"/>
    <w:rsid w:val="00111EB5"/>
    <w:rsid w:val="00111EC0"/>
    <w:rsid w:val="00111F82"/>
    <w:rsid w:val="00111FCE"/>
    <w:rsid w:val="00112027"/>
    <w:rsid w:val="00112086"/>
    <w:rsid w:val="001120BF"/>
    <w:rsid w:val="00112112"/>
    <w:rsid w:val="00112147"/>
    <w:rsid w:val="00112156"/>
    <w:rsid w:val="00112189"/>
    <w:rsid w:val="001121A9"/>
    <w:rsid w:val="00112203"/>
    <w:rsid w:val="0011232E"/>
    <w:rsid w:val="00112333"/>
    <w:rsid w:val="00112334"/>
    <w:rsid w:val="00112341"/>
    <w:rsid w:val="00112345"/>
    <w:rsid w:val="00112365"/>
    <w:rsid w:val="001123F9"/>
    <w:rsid w:val="00112406"/>
    <w:rsid w:val="00112418"/>
    <w:rsid w:val="001125CC"/>
    <w:rsid w:val="001125DB"/>
    <w:rsid w:val="00112627"/>
    <w:rsid w:val="001126EC"/>
    <w:rsid w:val="0011270B"/>
    <w:rsid w:val="00112758"/>
    <w:rsid w:val="001127E0"/>
    <w:rsid w:val="001127F5"/>
    <w:rsid w:val="0011288C"/>
    <w:rsid w:val="00112931"/>
    <w:rsid w:val="00112942"/>
    <w:rsid w:val="00112A0E"/>
    <w:rsid w:val="00112A9A"/>
    <w:rsid w:val="00112AF2"/>
    <w:rsid w:val="00112B24"/>
    <w:rsid w:val="00112B9E"/>
    <w:rsid w:val="00112BA1"/>
    <w:rsid w:val="00112BD3"/>
    <w:rsid w:val="00112BDD"/>
    <w:rsid w:val="00112BF1"/>
    <w:rsid w:val="00112BF3"/>
    <w:rsid w:val="00112C16"/>
    <w:rsid w:val="00112D10"/>
    <w:rsid w:val="00112D31"/>
    <w:rsid w:val="00112D4B"/>
    <w:rsid w:val="00112E36"/>
    <w:rsid w:val="00112EC7"/>
    <w:rsid w:val="00112EEC"/>
    <w:rsid w:val="00112F0A"/>
    <w:rsid w:val="00112F5F"/>
    <w:rsid w:val="00112F7D"/>
    <w:rsid w:val="00112FA7"/>
    <w:rsid w:val="00112FCE"/>
    <w:rsid w:val="00113116"/>
    <w:rsid w:val="00113173"/>
    <w:rsid w:val="00113198"/>
    <w:rsid w:val="00113204"/>
    <w:rsid w:val="0011325E"/>
    <w:rsid w:val="001132B5"/>
    <w:rsid w:val="001132CD"/>
    <w:rsid w:val="001132CF"/>
    <w:rsid w:val="00113363"/>
    <w:rsid w:val="001133BF"/>
    <w:rsid w:val="00113412"/>
    <w:rsid w:val="0011341E"/>
    <w:rsid w:val="00113440"/>
    <w:rsid w:val="00113490"/>
    <w:rsid w:val="001134DC"/>
    <w:rsid w:val="00113525"/>
    <w:rsid w:val="00113557"/>
    <w:rsid w:val="0011360F"/>
    <w:rsid w:val="00113626"/>
    <w:rsid w:val="0011363A"/>
    <w:rsid w:val="0011363D"/>
    <w:rsid w:val="00113640"/>
    <w:rsid w:val="00113670"/>
    <w:rsid w:val="00113756"/>
    <w:rsid w:val="00113757"/>
    <w:rsid w:val="00113773"/>
    <w:rsid w:val="0011377D"/>
    <w:rsid w:val="001137B2"/>
    <w:rsid w:val="0011380B"/>
    <w:rsid w:val="0011385B"/>
    <w:rsid w:val="00113861"/>
    <w:rsid w:val="0011388A"/>
    <w:rsid w:val="0011388C"/>
    <w:rsid w:val="0011396E"/>
    <w:rsid w:val="00113971"/>
    <w:rsid w:val="00113B65"/>
    <w:rsid w:val="00113B70"/>
    <w:rsid w:val="00113BC9"/>
    <w:rsid w:val="00113BED"/>
    <w:rsid w:val="00113C3E"/>
    <w:rsid w:val="00113C48"/>
    <w:rsid w:val="00113C62"/>
    <w:rsid w:val="00113C72"/>
    <w:rsid w:val="00113C75"/>
    <w:rsid w:val="00113CA4"/>
    <w:rsid w:val="00113CAF"/>
    <w:rsid w:val="00113D16"/>
    <w:rsid w:val="00113D8D"/>
    <w:rsid w:val="00113DCD"/>
    <w:rsid w:val="00113E76"/>
    <w:rsid w:val="00113E7B"/>
    <w:rsid w:val="00113E85"/>
    <w:rsid w:val="00113F59"/>
    <w:rsid w:val="00113F6E"/>
    <w:rsid w:val="00113FAD"/>
    <w:rsid w:val="00113FD4"/>
    <w:rsid w:val="0011402C"/>
    <w:rsid w:val="00114080"/>
    <w:rsid w:val="00114082"/>
    <w:rsid w:val="0011408D"/>
    <w:rsid w:val="00114108"/>
    <w:rsid w:val="00114110"/>
    <w:rsid w:val="00114124"/>
    <w:rsid w:val="001141CB"/>
    <w:rsid w:val="001141E3"/>
    <w:rsid w:val="00114297"/>
    <w:rsid w:val="001142D9"/>
    <w:rsid w:val="001142E1"/>
    <w:rsid w:val="0011438C"/>
    <w:rsid w:val="001143A4"/>
    <w:rsid w:val="00114418"/>
    <w:rsid w:val="0011441D"/>
    <w:rsid w:val="001144E0"/>
    <w:rsid w:val="00114501"/>
    <w:rsid w:val="0011458D"/>
    <w:rsid w:val="001145FC"/>
    <w:rsid w:val="00114606"/>
    <w:rsid w:val="00114677"/>
    <w:rsid w:val="00114720"/>
    <w:rsid w:val="00114729"/>
    <w:rsid w:val="0011478B"/>
    <w:rsid w:val="001147D4"/>
    <w:rsid w:val="0011480B"/>
    <w:rsid w:val="0011480C"/>
    <w:rsid w:val="0011489F"/>
    <w:rsid w:val="001149DD"/>
    <w:rsid w:val="00114AD9"/>
    <w:rsid w:val="00114B53"/>
    <w:rsid w:val="00114BCE"/>
    <w:rsid w:val="00114C22"/>
    <w:rsid w:val="00114C34"/>
    <w:rsid w:val="00114D37"/>
    <w:rsid w:val="00114D60"/>
    <w:rsid w:val="00114EA2"/>
    <w:rsid w:val="00114F8D"/>
    <w:rsid w:val="00114FED"/>
    <w:rsid w:val="001150AC"/>
    <w:rsid w:val="0011519D"/>
    <w:rsid w:val="001151B1"/>
    <w:rsid w:val="00115247"/>
    <w:rsid w:val="00115278"/>
    <w:rsid w:val="001152BE"/>
    <w:rsid w:val="00115327"/>
    <w:rsid w:val="00115565"/>
    <w:rsid w:val="00115583"/>
    <w:rsid w:val="001155DE"/>
    <w:rsid w:val="0011560E"/>
    <w:rsid w:val="001156D7"/>
    <w:rsid w:val="001157AC"/>
    <w:rsid w:val="001157FB"/>
    <w:rsid w:val="00115824"/>
    <w:rsid w:val="00115840"/>
    <w:rsid w:val="001158C9"/>
    <w:rsid w:val="001159B0"/>
    <w:rsid w:val="00115B0B"/>
    <w:rsid w:val="00115B86"/>
    <w:rsid w:val="00115BA5"/>
    <w:rsid w:val="00115C91"/>
    <w:rsid w:val="00115D02"/>
    <w:rsid w:val="00115D53"/>
    <w:rsid w:val="00115DE1"/>
    <w:rsid w:val="00115DEA"/>
    <w:rsid w:val="00115EE1"/>
    <w:rsid w:val="00115F44"/>
    <w:rsid w:val="00115FD0"/>
    <w:rsid w:val="0011608E"/>
    <w:rsid w:val="0011608F"/>
    <w:rsid w:val="00116129"/>
    <w:rsid w:val="0011614F"/>
    <w:rsid w:val="0011615D"/>
    <w:rsid w:val="00116328"/>
    <w:rsid w:val="0011639F"/>
    <w:rsid w:val="001163D6"/>
    <w:rsid w:val="001163F1"/>
    <w:rsid w:val="001163F5"/>
    <w:rsid w:val="00116400"/>
    <w:rsid w:val="00116417"/>
    <w:rsid w:val="00116441"/>
    <w:rsid w:val="00116461"/>
    <w:rsid w:val="00116483"/>
    <w:rsid w:val="0011654B"/>
    <w:rsid w:val="00116556"/>
    <w:rsid w:val="001165C6"/>
    <w:rsid w:val="0011662E"/>
    <w:rsid w:val="00116666"/>
    <w:rsid w:val="00116675"/>
    <w:rsid w:val="0011676F"/>
    <w:rsid w:val="00116782"/>
    <w:rsid w:val="001167EE"/>
    <w:rsid w:val="00116821"/>
    <w:rsid w:val="0011689E"/>
    <w:rsid w:val="00116A19"/>
    <w:rsid w:val="00116A48"/>
    <w:rsid w:val="00116A69"/>
    <w:rsid w:val="00116B1B"/>
    <w:rsid w:val="00116B5B"/>
    <w:rsid w:val="00116BB7"/>
    <w:rsid w:val="00116BD9"/>
    <w:rsid w:val="00116CDE"/>
    <w:rsid w:val="00116CFD"/>
    <w:rsid w:val="00116D79"/>
    <w:rsid w:val="00116DFA"/>
    <w:rsid w:val="00116E6F"/>
    <w:rsid w:val="00116EAF"/>
    <w:rsid w:val="00116EC6"/>
    <w:rsid w:val="00116FC5"/>
    <w:rsid w:val="00116FCA"/>
    <w:rsid w:val="0011704D"/>
    <w:rsid w:val="0011706C"/>
    <w:rsid w:val="00117207"/>
    <w:rsid w:val="0011726E"/>
    <w:rsid w:val="001172B5"/>
    <w:rsid w:val="0011732D"/>
    <w:rsid w:val="001173AE"/>
    <w:rsid w:val="001174D8"/>
    <w:rsid w:val="001174D9"/>
    <w:rsid w:val="001174F1"/>
    <w:rsid w:val="001174FA"/>
    <w:rsid w:val="00117508"/>
    <w:rsid w:val="00117558"/>
    <w:rsid w:val="00117573"/>
    <w:rsid w:val="0011766E"/>
    <w:rsid w:val="001176A0"/>
    <w:rsid w:val="001177D5"/>
    <w:rsid w:val="001177EB"/>
    <w:rsid w:val="001177F6"/>
    <w:rsid w:val="0011788B"/>
    <w:rsid w:val="001178AA"/>
    <w:rsid w:val="001178B7"/>
    <w:rsid w:val="001179D7"/>
    <w:rsid w:val="001179D8"/>
    <w:rsid w:val="00117A4F"/>
    <w:rsid w:val="00117A68"/>
    <w:rsid w:val="00117A75"/>
    <w:rsid w:val="00117A76"/>
    <w:rsid w:val="00117AAB"/>
    <w:rsid w:val="00117B98"/>
    <w:rsid w:val="00117BC7"/>
    <w:rsid w:val="00117BF6"/>
    <w:rsid w:val="00117C87"/>
    <w:rsid w:val="00117C91"/>
    <w:rsid w:val="00117CD0"/>
    <w:rsid w:val="00117D97"/>
    <w:rsid w:val="00117DA4"/>
    <w:rsid w:val="00117DC2"/>
    <w:rsid w:val="00117EF7"/>
    <w:rsid w:val="00117F68"/>
    <w:rsid w:val="00117FC8"/>
    <w:rsid w:val="00117FDB"/>
    <w:rsid w:val="001200F1"/>
    <w:rsid w:val="0012027A"/>
    <w:rsid w:val="00120299"/>
    <w:rsid w:val="001202A5"/>
    <w:rsid w:val="001202CD"/>
    <w:rsid w:val="0012030A"/>
    <w:rsid w:val="001204A9"/>
    <w:rsid w:val="001204B7"/>
    <w:rsid w:val="001204CB"/>
    <w:rsid w:val="001204F6"/>
    <w:rsid w:val="00120583"/>
    <w:rsid w:val="001205CC"/>
    <w:rsid w:val="001205DC"/>
    <w:rsid w:val="00120611"/>
    <w:rsid w:val="0012066D"/>
    <w:rsid w:val="001206CC"/>
    <w:rsid w:val="001207BA"/>
    <w:rsid w:val="00120883"/>
    <w:rsid w:val="001208C1"/>
    <w:rsid w:val="001209E8"/>
    <w:rsid w:val="001209F6"/>
    <w:rsid w:val="00120A71"/>
    <w:rsid w:val="00120A79"/>
    <w:rsid w:val="00120A8F"/>
    <w:rsid w:val="00120B1B"/>
    <w:rsid w:val="00120BDB"/>
    <w:rsid w:val="00120C2C"/>
    <w:rsid w:val="00120D1A"/>
    <w:rsid w:val="00120E6A"/>
    <w:rsid w:val="00120E85"/>
    <w:rsid w:val="00120E88"/>
    <w:rsid w:val="00120F39"/>
    <w:rsid w:val="00120FCE"/>
    <w:rsid w:val="00120FDD"/>
    <w:rsid w:val="0012100F"/>
    <w:rsid w:val="00121024"/>
    <w:rsid w:val="00121046"/>
    <w:rsid w:val="00121097"/>
    <w:rsid w:val="001210AD"/>
    <w:rsid w:val="001210C6"/>
    <w:rsid w:val="001210FC"/>
    <w:rsid w:val="0012110D"/>
    <w:rsid w:val="00121112"/>
    <w:rsid w:val="001211CA"/>
    <w:rsid w:val="0012124B"/>
    <w:rsid w:val="0012124D"/>
    <w:rsid w:val="00121253"/>
    <w:rsid w:val="0012127B"/>
    <w:rsid w:val="0012127C"/>
    <w:rsid w:val="001212C0"/>
    <w:rsid w:val="00121360"/>
    <w:rsid w:val="001213E9"/>
    <w:rsid w:val="00121498"/>
    <w:rsid w:val="0012151B"/>
    <w:rsid w:val="0012163C"/>
    <w:rsid w:val="001216C4"/>
    <w:rsid w:val="00121716"/>
    <w:rsid w:val="00121732"/>
    <w:rsid w:val="0012176A"/>
    <w:rsid w:val="0012179D"/>
    <w:rsid w:val="0012182C"/>
    <w:rsid w:val="00121848"/>
    <w:rsid w:val="0012186D"/>
    <w:rsid w:val="001218E3"/>
    <w:rsid w:val="001219E2"/>
    <w:rsid w:val="00121B14"/>
    <w:rsid w:val="00121B23"/>
    <w:rsid w:val="00121B24"/>
    <w:rsid w:val="00121B28"/>
    <w:rsid w:val="00121CE1"/>
    <w:rsid w:val="00121D1F"/>
    <w:rsid w:val="00121D35"/>
    <w:rsid w:val="00121D45"/>
    <w:rsid w:val="00121D5F"/>
    <w:rsid w:val="00121DE6"/>
    <w:rsid w:val="00121DE8"/>
    <w:rsid w:val="00121E10"/>
    <w:rsid w:val="00121E57"/>
    <w:rsid w:val="00121FFB"/>
    <w:rsid w:val="0012201F"/>
    <w:rsid w:val="001220AA"/>
    <w:rsid w:val="001220B8"/>
    <w:rsid w:val="001220D5"/>
    <w:rsid w:val="00122142"/>
    <w:rsid w:val="001221E8"/>
    <w:rsid w:val="0012220E"/>
    <w:rsid w:val="00122241"/>
    <w:rsid w:val="00122264"/>
    <w:rsid w:val="001222C8"/>
    <w:rsid w:val="001222D5"/>
    <w:rsid w:val="001222E7"/>
    <w:rsid w:val="001222F6"/>
    <w:rsid w:val="0012233C"/>
    <w:rsid w:val="001223C7"/>
    <w:rsid w:val="0012248B"/>
    <w:rsid w:val="001224BA"/>
    <w:rsid w:val="00122552"/>
    <w:rsid w:val="00122572"/>
    <w:rsid w:val="0012258E"/>
    <w:rsid w:val="00122681"/>
    <w:rsid w:val="00122690"/>
    <w:rsid w:val="00122783"/>
    <w:rsid w:val="001227B3"/>
    <w:rsid w:val="001227DF"/>
    <w:rsid w:val="001227E0"/>
    <w:rsid w:val="001228F1"/>
    <w:rsid w:val="00122918"/>
    <w:rsid w:val="00122985"/>
    <w:rsid w:val="001229B7"/>
    <w:rsid w:val="001229E0"/>
    <w:rsid w:val="00122A34"/>
    <w:rsid w:val="00122A51"/>
    <w:rsid w:val="00122AF5"/>
    <w:rsid w:val="00122B04"/>
    <w:rsid w:val="00122B49"/>
    <w:rsid w:val="00122B59"/>
    <w:rsid w:val="00122B66"/>
    <w:rsid w:val="00122BF7"/>
    <w:rsid w:val="00122C33"/>
    <w:rsid w:val="00122C34"/>
    <w:rsid w:val="00122C52"/>
    <w:rsid w:val="00122DA7"/>
    <w:rsid w:val="00122DF2"/>
    <w:rsid w:val="00122F66"/>
    <w:rsid w:val="00122F69"/>
    <w:rsid w:val="00122FF2"/>
    <w:rsid w:val="00123035"/>
    <w:rsid w:val="001230C8"/>
    <w:rsid w:val="001230E7"/>
    <w:rsid w:val="00123174"/>
    <w:rsid w:val="00123224"/>
    <w:rsid w:val="0012325B"/>
    <w:rsid w:val="001232CD"/>
    <w:rsid w:val="001232DE"/>
    <w:rsid w:val="00123328"/>
    <w:rsid w:val="00123355"/>
    <w:rsid w:val="00123381"/>
    <w:rsid w:val="001233D9"/>
    <w:rsid w:val="001233F2"/>
    <w:rsid w:val="00123452"/>
    <w:rsid w:val="0012347D"/>
    <w:rsid w:val="001234BE"/>
    <w:rsid w:val="00123596"/>
    <w:rsid w:val="001236A1"/>
    <w:rsid w:val="00123746"/>
    <w:rsid w:val="00123782"/>
    <w:rsid w:val="00123853"/>
    <w:rsid w:val="001238C2"/>
    <w:rsid w:val="0012390C"/>
    <w:rsid w:val="00123987"/>
    <w:rsid w:val="00123A7E"/>
    <w:rsid w:val="00123B1E"/>
    <w:rsid w:val="00123C17"/>
    <w:rsid w:val="00123CE3"/>
    <w:rsid w:val="00123CEC"/>
    <w:rsid w:val="00123D55"/>
    <w:rsid w:val="00123DC7"/>
    <w:rsid w:val="00123DD1"/>
    <w:rsid w:val="00123F93"/>
    <w:rsid w:val="00123F96"/>
    <w:rsid w:val="00123F9B"/>
    <w:rsid w:val="0012401D"/>
    <w:rsid w:val="0012402E"/>
    <w:rsid w:val="00124055"/>
    <w:rsid w:val="00124194"/>
    <w:rsid w:val="001241CE"/>
    <w:rsid w:val="00124219"/>
    <w:rsid w:val="001242E1"/>
    <w:rsid w:val="00124318"/>
    <w:rsid w:val="0012431B"/>
    <w:rsid w:val="0012436A"/>
    <w:rsid w:val="00124398"/>
    <w:rsid w:val="001243BE"/>
    <w:rsid w:val="00124426"/>
    <w:rsid w:val="001244FE"/>
    <w:rsid w:val="0012451E"/>
    <w:rsid w:val="0012452D"/>
    <w:rsid w:val="00124599"/>
    <w:rsid w:val="001245B6"/>
    <w:rsid w:val="0012460A"/>
    <w:rsid w:val="0012464E"/>
    <w:rsid w:val="00124652"/>
    <w:rsid w:val="00124662"/>
    <w:rsid w:val="00124684"/>
    <w:rsid w:val="001246B7"/>
    <w:rsid w:val="001246E3"/>
    <w:rsid w:val="001247CA"/>
    <w:rsid w:val="0012484E"/>
    <w:rsid w:val="0012485F"/>
    <w:rsid w:val="00124889"/>
    <w:rsid w:val="001248BA"/>
    <w:rsid w:val="001248BD"/>
    <w:rsid w:val="0012494B"/>
    <w:rsid w:val="001249A1"/>
    <w:rsid w:val="001249DE"/>
    <w:rsid w:val="00124CA6"/>
    <w:rsid w:val="00124CDE"/>
    <w:rsid w:val="00124D1C"/>
    <w:rsid w:val="00124D7F"/>
    <w:rsid w:val="00124DA9"/>
    <w:rsid w:val="00124E60"/>
    <w:rsid w:val="00124E8B"/>
    <w:rsid w:val="00124E8E"/>
    <w:rsid w:val="00124F24"/>
    <w:rsid w:val="00124FAB"/>
    <w:rsid w:val="00125010"/>
    <w:rsid w:val="00125075"/>
    <w:rsid w:val="0012508B"/>
    <w:rsid w:val="001250B6"/>
    <w:rsid w:val="00125117"/>
    <w:rsid w:val="001251C7"/>
    <w:rsid w:val="00125258"/>
    <w:rsid w:val="0012526E"/>
    <w:rsid w:val="00125285"/>
    <w:rsid w:val="00125290"/>
    <w:rsid w:val="00125292"/>
    <w:rsid w:val="001252AF"/>
    <w:rsid w:val="001252B2"/>
    <w:rsid w:val="001252C8"/>
    <w:rsid w:val="00125317"/>
    <w:rsid w:val="00125355"/>
    <w:rsid w:val="0012543A"/>
    <w:rsid w:val="001254B5"/>
    <w:rsid w:val="00125545"/>
    <w:rsid w:val="00125588"/>
    <w:rsid w:val="0012567B"/>
    <w:rsid w:val="00125699"/>
    <w:rsid w:val="001256B8"/>
    <w:rsid w:val="001257DC"/>
    <w:rsid w:val="001257DF"/>
    <w:rsid w:val="00125802"/>
    <w:rsid w:val="0012593A"/>
    <w:rsid w:val="0012598A"/>
    <w:rsid w:val="00125A7E"/>
    <w:rsid w:val="00125A95"/>
    <w:rsid w:val="00125AE7"/>
    <w:rsid w:val="00125BA7"/>
    <w:rsid w:val="00125BC7"/>
    <w:rsid w:val="00125BFC"/>
    <w:rsid w:val="00125C54"/>
    <w:rsid w:val="00125D30"/>
    <w:rsid w:val="00125D37"/>
    <w:rsid w:val="00125DC6"/>
    <w:rsid w:val="00125E21"/>
    <w:rsid w:val="00125EEF"/>
    <w:rsid w:val="00125F24"/>
    <w:rsid w:val="001260A9"/>
    <w:rsid w:val="0012611C"/>
    <w:rsid w:val="0012613F"/>
    <w:rsid w:val="0012619B"/>
    <w:rsid w:val="00126243"/>
    <w:rsid w:val="00126291"/>
    <w:rsid w:val="001262E5"/>
    <w:rsid w:val="001263A7"/>
    <w:rsid w:val="00126433"/>
    <w:rsid w:val="00126453"/>
    <w:rsid w:val="00126580"/>
    <w:rsid w:val="001265B3"/>
    <w:rsid w:val="001265FC"/>
    <w:rsid w:val="0012661C"/>
    <w:rsid w:val="0012667E"/>
    <w:rsid w:val="00126688"/>
    <w:rsid w:val="00126697"/>
    <w:rsid w:val="0012671E"/>
    <w:rsid w:val="00126763"/>
    <w:rsid w:val="0012679A"/>
    <w:rsid w:val="00126828"/>
    <w:rsid w:val="0012698B"/>
    <w:rsid w:val="00126A9D"/>
    <w:rsid w:val="00126B51"/>
    <w:rsid w:val="00126B88"/>
    <w:rsid w:val="00126C10"/>
    <w:rsid w:val="00126CD4"/>
    <w:rsid w:val="00126CDE"/>
    <w:rsid w:val="00126D1B"/>
    <w:rsid w:val="00126D44"/>
    <w:rsid w:val="00126EAB"/>
    <w:rsid w:val="00126FEB"/>
    <w:rsid w:val="0012700E"/>
    <w:rsid w:val="001270F3"/>
    <w:rsid w:val="0012711D"/>
    <w:rsid w:val="00127189"/>
    <w:rsid w:val="001271DC"/>
    <w:rsid w:val="00127219"/>
    <w:rsid w:val="00127254"/>
    <w:rsid w:val="00127263"/>
    <w:rsid w:val="00127286"/>
    <w:rsid w:val="0012729D"/>
    <w:rsid w:val="001272AE"/>
    <w:rsid w:val="0012732D"/>
    <w:rsid w:val="001273BB"/>
    <w:rsid w:val="001273C4"/>
    <w:rsid w:val="001273CB"/>
    <w:rsid w:val="001273DF"/>
    <w:rsid w:val="00127408"/>
    <w:rsid w:val="00127450"/>
    <w:rsid w:val="00127551"/>
    <w:rsid w:val="0012755F"/>
    <w:rsid w:val="00127592"/>
    <w:rsid w:val="0012759C"/>
    <w:rsid w:val="0012764C"/>
    <w:rsid w:val="00127679"/>
    <w:rsid w:val="0012768A"/>
    <w:rsid w:val="001276B5"/>
    <w:rsid w:val="001276CE"/>
    <w:rsid w:val="0012773E"/>
    <w:rsid w:val="00127760"/>
    <w:rsid w:val="00127774"/>
    <w:rsid w:val="0012789C"/>
    <w:rsid w:val="001278F6"/>
    <w:rsid w:val="00127971"/>
    <w:rsid w:val="00127985"/>
    <w:rsid w:val="001279B4"/>
    <w:rsid w:val="001279CE"/>
    <w:rsid w:val="00127A44"/>
    <w:rsid w:val="00127C70"/>
    <w:rsid w:val="00127CBA"/>
    <w:rsid w:val="00127CD5"/>
    <w:rsid w:val="00127DB8"/>
    <w:rsid w:val="00127DDD"/>
    <w:rsid w:val="00127E18"/>
    <w:rsid w:val="00127E5C"/>
    <w:rsid w:val="00127E78"/>
    <w:rsid w:val="00130007"/>
    <w:rsid w:val="00130048"/>
    <w:rsid w:val="0013004A"/>
    <w:rsid w:val="00130281"/>
    <w:rsid w:val="001302AB"/>
    <w:rsid w:val="001302ED"/>
    <w:rsid w:val="0013034C"/>
    <w:rsid w:val="00130363"/>
    <w:rsid w:val="0013036E"/>
    <w:rsid w:val="00130376"/>
    <w:rsid w:val="001303A7"/>
    <w:rsid w:val="0013044E"/>
    <w:rsid w:val="001304B7"/>
    <w:rsid w:val="001304BA"/>
    <w:rsid w:val="0013051D"/>
    <w:rsid w:val="00130531"/>
    <w:rsid w:val="001305AD"/>
    <w:rsid w:val="001305B2"/>
    <w:rsid w:val="001305FF"/>
    <w:rsid w:val="0013065A"/>
    <w:rsid w:val="001306A7"/>
    <w:rsid w:val="00130730"/>
    <w:rsid w:val="0013080A"/>
    <w:rsid w:val="001308D2"/>
    <w:rsid w:val="001308E2"/>
    <w:rsid w:val="00130928"/>
    <w:rsid w:val="00130984"/>
    <w:rsid w:val="0013099C"/>
    <w:rsid w:val="001309C3"/>
    <w:rsid w:val="00130A60"/>
    <w:rsid w:val="00130A71"/>
    <w:rsid w:val="00130A9C"/>
    <w:rsid w:val="00130AF9"/>
    <w:rsid w:val="00130B13"/>
    <w:rsid w:val="00130C4D"/>
    <w:rsid w:val="00130CF6"/>
    <w:rsid w:val="00130D33"/>
    <w:rsid w:val="00130D4C"/>
    <w:rsid w:val="00130E4B"/>
    <w:rsid w:val="00130E64"/>
    <w:rsid w:val="00130EA3"/>
    <w:rsid w:val="00130ED5"/>
    <w:rsid w:val="00130ED9"/>
    <w:rsid w:val="00130EFE"/>
    <w:rsid w:val="00130F3F"/>
    <w:rsid w:val="00130FE3"/>
    <w:rsid w:val="00131076"/>
    <w:rsid w:val="00131123"/>
    <w:rsid w:val="00131144"/>
    <w:rsid w:val="0013116A"/>
    <w:rsid w:val="00131188"/>
    <w:rsid w:val="00131304"/>
    <w:rsid w:val="001313B7"/>
    <w:rsid w:val="001313C3"/>
    <w:rsid w:val="001313D0"/>
    <w:rsid w:val="0013141A"/>
    <w:rsid w:val="0013141E"/>
    <w:rsid w:val="00131466"/>
    <w:rsid w:val="001314AA"/>
    <w:rsid w:val="001316B2"/>
    <w:rsid w:val="001316F0"/>
    <w:rsid w:val="00131703"/>
    <w:rsid w:val="0013175D"/>
    <w:rsid w:val="001317A8"/>
    <w:rsid w:val="001317B1"/>
    <w:rsid w:val="001317E1"/>
    <w:rsid w:val="001317EB"/>
    <w:rsid w:val="00131829"/>
    <w:rsid w:val="001318C0"/>
    <w:rsid w:val="0013194D"/>
    <w:rsid w:val="00131984"/>
    <w:rsid w:val="001319E3"/>
    <w:rsid w:val="00131A42"/>
    <w:rsid w:val="00131AA3"/>
    <w:rsid w:val="00131B30"/>
    <w:rsid w:val="00131B44"/>
    <w:rsid w:val="00131B4A"/>
    <w:rsid w:val="00131BB6"/>
    <w:rsid w:val="00131C46"/>
    <w:rsid w:val="00131C57"/>
    <w:rsid w:val="00131C6F"/>
    <w:rsid w:val="00131D11"/>
    <w:rsid w:val="00131E7C"/>
    <w:rsid w:val="00131EB1"/>
    <w:rsid w:val="00131EB4"/>
    <w:rsid w:val="00131F11"/>
    <w:rsid w:val="00131F3A"/>
    <w:rsid w:val="00131FA1"/>
    <w:rsid w:val="0013202A"/>
    <w:rsid w:val="0013202D"/>
    <w:rsid w:val="001320D3"/>
    <w:rsid w:val="0013217F"/>
    <w:rsid w:val="001321F1"/>
    <w:rsid w:val="00132202"/>
    <w:rsid w:val="00132208"/>
    <w:rsid w:val="00132312"/>
    <w:rsid w:val="0013245F"/>
    <w:rsid w:val="001324C3"/>
    <w:rsid w:val="001325DE"/>
    <w:rsid w:val="00132636"/>
    <w:rsid w:val="00132657"/>
    <w:rsid w:val="0013268B"/>
    <w:rsid w:val="0013269B"/>
    <w:rsid w:val="001326C7"/>
    <w:rsid w:val="00132716"/>
    <w:rsid w:val="00132774"/>
    <w:rsid w:val="001327C1"/>
    <w:rsid w:val="0013287B"/>
    <w:rsid w:val="0013289F"/>
    <w:rsid w:val="0013294B"/>
    <w:rsid w:val="0013297E"/>
    <w:rsid w:val="001329ED"/>
    <w:rsid w:val="00132A99"/>
    <w:rsid w:val="00132AF5"/>
    <w:rsid w:val="00132B56"/>
    <w:rsid w:val="00132B5B"/>
    <w:rsid w:val="00132B7D"/>
    <w:rsid w:val="00132BEF"/>
    <w:rsid w:val="00132C1F"/>
    <w:rsid w:val="00132C69"/>
    <w:rsid w:val="00132CE8"/>
    <w:rsid w:val="00132D8E"/>
    <w:rsid w:val="00132E3B"/>
    <w:rsid w:val="00132E5F"/>
    <w:rsid w:val="00132E76"/>
    <w:rsid w:val="00132E94"/>
    <w:rsid w:val="00132F1C"/>
    <w:rsid w:val="00132F33"/>
    <w:rsid w:val="00133002"/>
    <w:rsid w:val="001330B6"/>
    <w:rsid w:val="001330DD"/>
    <w:rsid w:val="0013312B"/>
    <w:rsid w:val="0013317E"/>
    <w:rsid w:val="001331C0"/>
    <w:rsid w:val="001331EB"/>
    <w:rsid w:val="00133214"/>
    <w:rsid w:val="001332AE"/>
    <w:rsid w:val="001332BB"/>
    <w:rsid w:val="0013343F"/>
    <w:rsid w:val="00133450"/>
    <w:rsid w:val="00133459"/>
    <w:rsid w:val="001335BB"/>
    <w:rsid w:val="00133651"/>
    <w:rsid w:val="001336C0"/>
    <w:rsid w:val="001336FA"/>
    <w:rsid w:val="001337BB"/>
    <w:rsid w:val="001337F5"/>
    <w:rsid w:val="00133815"/>
    <w:rsid w:val="00133891"/>
    <w:rsid w:val="001338B6"/>
    <w:rsid w:val="001338C6"/>
    <w:rsid w:val="001339B1"/>
    <w:rsid w:val="001339EC"/>
    <w:rsid w:val="00133A39"/>
    <w:rsid w:val="00133AA6"/>
    <w:rsid w:val="00133B27"/>
    <w:rsid w:val="00133B62"/>
    <w:rsid w:val="00133BD5"/>
    <w:rsid w:val="00133CF3"/>
    <w:rsid w:val="00133D03"/>
    <w:rsid w:val="00133D15"/>
    <w:rsid w:val="00133D1D"/>
    <w:rsid w:val="00133D66"/>
    <w:rsid w:val="00133D6A"/>
    <w:rsid w:val="00133E10"/>
    <w:rsid w:val="00133E17"/>
    <w:rsid w:val="00133E2D"/>
    <w:rsid w:val="00133E5D"/>
    <w:rsid w:val="00133EBB"/>
    <w:rsid w:val="001340CE"/>
    <w:rsid w:val="001340D1"/>
    <w:rsid w:val="0013414C"/>
    <w:rsid w:val="0013414F"/>
    <w:rsid w:val="001341F0"/>
    <w:rsid w:val="0013422C"/>
    <w:rsid w:val="0013429C"/>
    <w:rsid w:val="0013436E"/>
    <w:rsid w:val="00134415"/>
    <w:rsid w:val="00134563"/>
    <w:rsid w:val="00134617"/>
    <w:rsid w:val="00134653"/>
    <w:rsid w:val="0013467A"/>
    <w:rsid w:val="0013468C"/>
    <w:rsid w:val="001346C3"/>
    <w:rsid w:val="001346F1"/>
    <w:rsid w:val="001347E3"/>
    <w:rsid w:val="0013480F"/>
    <w:rsid w:val="00134882"/>
    <w:rsid w:val="00134883"/>
    <w:rsid w:val="001348BC"/>
    <w:rsid w:val="00134901"/>
    <w:rsid w:val="0013492A"/>
    <w:rsid w:val="00134932"/>
    <w:rsid w:val="0013493B"/>
    <w:rsid w:val="00134951"/>
    <w:rsid w:val="001349B9"/>
    <w:rsid w:val="001349FE"/>
    <w:rsid w:val="00134A50"/>
    <w:rsid w:val="00134A54"/>
    <w:rsid w:val="00134A5B"/>
    <w:rsid w:val="00134A5E"/>
    <w:rsid w:val="00134B2B"/>
    <w:rsid w:val="00134B35"/>
    <w:rsid w:val="00134B6A"/>
    <w:rsid w:val="00134D42"/>
    <w:rsid w:val="00134E7E"/>
    <w:rsid w:val="00134EF0"/>
    <w:rsid w:val="00134EFD"/>
    <w:rsid w:val="00134F17"/>
    <w:rsid w:val="00134FD5"/>
    <w:rsid w:val="00134FEB"/>
    <w:rsid w:val="00135083"/>
    <w:rsid w:val="00135167"/>
    <w:rsid w:val="0013519F"/>
    <w:rsid w:val="00135272"/>
    <w:rsid w:val="001352DC"/>
    <w:rsid w:val="001352F2"/>
    <w:rsid w:val="0013538B"/>
    <w:rsid w:val="00135399"/>
    <w:rsid w:val="00135418"/>
    <w:rsid w:val="00135474"/>
    <w:rsid w:val="001354D0"/>
    <w:rsid w:val="00135578"/>
    <w:rsid w:val="001355CB"/>
    <w:rsid w:val="0013567E"/>
    <w:rsid w:val="001356B7"/>
    <w:rsid w:val="001357C5"/>
    <w:rsid w:val="001357C7"/>
    <w:rsid w:val="00135858"/>
    <w:rsid w:val="0013588B"/>
    <w:rsid w:val="0013599C"/>
    <w:rsid w:val="001359B8"/>
    <w:rsid w:val="001359BB"/>
    <w:rsid w:val="001359C5"/>
    <w:rsid w:val="00135A6C"/>
    <w:rsid w:val="00135B08"/>
    <w:rsid w:val="00135B5B"/>
    <w:rsid w:val="00135BCA"/>
    <w:rsid w:val="00135BFE"/>
    <w:rsid w:val="00135C6A"/>
    <w:rsid w:val="00135C80"/>
    <w:rsid w:val="00135C8B"/>
    <w:rsid w:val="00135CF5"/>
    <w:rsid w:val="00135D11"/>
    <w:rsid w:val="00135D89"/>
    <w:rsid w:val="00135D9D"/>
    <w:rsid w:val="00135E71"/>
    <w:rsid w:val="00135ED2"/>
    <w:rsid w:val="00135F10"/>
    <w:rsid w:val="00135F84"/>
    <w:rsid w:val="00135F9F"/>
    <w:rsid w:val="00135FD8"/>
    <w:rsid w:val="0013601A"/>
    <w:rsid w:val="00136025"/>
    <w:rsid w:val="0013603F"/>
    <w:rsid w:val="001360D5"/>
    <w:rsid w:val="0013624C"/>
    <w:rsid w:val="0013628C"/>
    <w:rsid w:val="001362B1"/>
    <w:rsid w:val="001362D1"/>
    <w:rsid w:val="0013636A"/>
    <w:rsid w:val="001363AA"/>
    <w:rsid w:val="001363DF"/>
    <w:rsid w:val="00136411"/>
    <w:rsid w:val="0013641A"/>
    <w:rsid w:val="00136421"/>
    <w:rsid w:val="00136467"/>
    <w:rsid w:val="001364A9"/>
    <w:rsid w:val="00136528"/>
    <w:rsid w:val="00136622"/>
    <w:rsid w:val="00136721"/>
    <w:rsid w:val="001367D5"/>
    <w:rsid w:val="001367D9"/>
    <w:rsid w:val="001367DF"/>
    <w:rsid w:val="0013687C"/>
    <w:rsid w:val="00136888"/>
    <w:rsid w:val="001368CB"/>
    <w:rsid w:val="001368D3"/>
    <w:rsid w:val="00136A80"/>
    <w:rsid w:val="00136A99"/>
    <w:rsid w:val="00136AEB"/>
    <w:rsid w:val="00136B13"/>
    <w:rsid w:val="00136BB2"/>
    <w:rsid w:val="00136D4C"/>
    <w:rsid w:val="00136E35"/>
    <w:rsid w:val="00136E53"/>
    <w:rsid w:val="00136E85"/>
    <w:rsid w:val="00136EDB"/>
    <w:rsid w:val="00136F0D"/>
    <w:rsid w:val="00136F70"/>
    <w:rsid w:val="00136FBF"/>
    <w:rsid w:val="00137036"/>
    <w:rsid w:val="0013708D"/>
    <w:rsid w:val="0013712A"/>
    <w:rsid w:val="0013716B"/>
    <w:rsid w:val="001371E6"/>
    <w:rsid w:val="00137226"/>
    <w:rsid w:val="0013723E"/>
    <w:rsid w:val="0013724A"/>
    <w:rsid w:val="0013730D"/>
    <w:rsid w:val="00137356"/>
    <w:rsid w:val="00137384"/>
    <w:rsid w:val="001373A8"/>
    <w:rsid w:val="00137426"/>
    <w:rsid w:val="0013743F"/>
    <w:rsid w:val="00137440"/>
    <w:rsid w:val="00137444"/>
    <w:rsid w:val="00137487"/>
    <w:rsid w:val="001374EF"/>
    <w:rsid w:val="001375BF"/>
    <w:rsid w:val="00137651"/>
    <w:rsid w:val="0013766A"/>
    <w:rsid w:val="001376E2"/>
    <w:rsid w:val="001377DE"/>
    <w:rsid w:val="0013780F"/>
    <w:rsid w:val="0013783D"/>
    <w:rsid w:val="00137880"/>
    <w:rsid w:val="001379A6"/>
    <w:rsid w:val="001379C4"/>
    <w:rsid w:val="00137A4B"/>
    <w:rsid w:val="00137AA0"/>
    <w:rsid w:val="00137AAB"/>
    <w:rsid w:val="00137B2B"/>
    <w:rsid w:val="00137B70"/>
    <w:rsid w:val="00137BC4"/>
    <w:rsid w:val="00137C98"/>
    <w:rsid w:val="00137CBA"/>
    <w:rsid w:val="00137CD4"/>
    <w:rsid w:val="00137CF4"/>
    <w:rsid w:val="00137D41"/>
    <w:rsid w:val="00137D4B"/>
    <w:rsid w:val="00137DD3"/>
    <w:rsid w:val="00137E23"/>
    <w:rsid w:val="00137E37"/>
    <w:rsid w:val="00137FAC"/>
    <w:rsid w:val="00137FD8"/>
    <w:rsid w:val="00137FF7"/>
    <w:rsid w:val="0014006B"/>
    <w:rsid w:val="00140070"/>
    <w:rsid w:val="0014009F"/>
    <w:rsid w:val="001400E4"/>
    <w:rsid w:val="0014011E"/>
    <w:rsid w:val="0014012A"/>
    <w:rsid w:val="0014012E"/>
    <w:rsid w:val="00140221"/>
    <w:rsid w:val="00140285"/>
    <w:rsid w:val="001402CC"/>
    <w:rsid w:val="001402DA"/>
    <w:rsid w:val="001402E4"/>
    <w:rsid w:val="001403A6"/>
    <w:rsid w:val="001404EB"/>
    <w:rsid w:val="00140523"/>
    <w:rsid w:val="00140541"/>
    <w:rsid w:val="001405B2"/>
    <w:rsid w:val="0014067E"/>
    <w:rsid w:val="00140692"/>
    <w:rsid w:val="001406B5"/>
    <w:rsid w:val="001406DC"/>
    <w:rsid w:val="0014073C"/>
    <w:rsid w:val="0014073E"/>
    <w:rsid w:val="0014074D"/>
    <w:rsid w:val="001407D2"/>
    <w:rsid w:val="00140818"/>
    <w:rsid w:val="0014084A"/>
    <w:rsid w:val="0014084B"/>
    <w:rsid w:val="00140936"/>
    <w:rsid w:val="0014096A"/>
    <w:rsid w:val="00140985"/>
    <w:rsid w:val="0014098E"/>
    <w:rsid w:val="00140A36"/>
    <w:rsid w:val="00140ABD"/>
    <w:rsid w:val="00140B4D"/>
    <w:rsid w:val="00140BD7"/>
    <w:rsid w:val="00140BE2"/>
    <w:rsid w:val="00140CD3"/>
    <w:rsid w:val="00140CE8"/>
    <w:rsid w:val="00140D95"/>
    <w:rsid w:val="00140E5F"/>
    <w:rsid w:val="00140EB5"/>
    <w:rsid w:val="00140FCA"/>
    <w:rsid w:val="00141015"/>
    <w:rsid w:val="00141091"/>
    <w:rsid w:val="001410DC"/>
    <w:rsid w:val="001410E2"/>
    <w:rsid w:val="00141121"/>
    <w:rsid w:val="00141219"/>
    <w:rsid w:val="0014125A"/>
    <w:rsid w:val="00141274"/>
    <w:rsid w:val="00141348"/>
    <w:rsid w:val="00141420"/>
    <w:rsid w:val="00141455"/>
    <w:rsid w:val="00141473"/>
    <w:rsid w:val="00141540"/>
    <w:rsid w:val="0014154D"/>
    <w:rsid w:val="00141588"/>
    <w:rsid w:val="00141618"/>
    <w:rsid w:val="001416F9"/>
    <w:rsid w:val="001416FE"/>
    <w:rsid w:val="00141749"/>
    <w:rsid w:val="00141799"/>
    <w:rsid w:val="001417A7"/>
    <w:rsid w:val="001417B1"/>
    <w:rsid w:val="001417B5"/>
    <w:rsid w:val="001417CD"/>
    <w:rsid w:val="0014180C"/>
    <w:rsid w:val="001418E6"/>
    <w:rsid w:val="0014199B"/>
    <w:rsid w:val="00141A15"/>
    <w:rsid w:val="00141A64"/>
    <w:rsid w:val="00141A71"/>
    <w:rsid w:val="00141A8D"/>
    <w:rsid w:val="00141B04"/>
    <w:rsid w:val="00141B9A"/>
    <w:rsid w:val="00141BB8"/>
    <w:rsid w:val="00141C1C"/>
    <w:rsid w:val="00141D0D"/>
    <w:rsid w:val="00141D1F"/>
    <w:rsid w:val="00141D99"/>
    <w:rsid w:val="00141E9A"/>
    <w:rsid w:val="00141EC7"/>
    <w:rsid w:val="00141EF0"/>
    <w:rsid w:val="00141EF4"/>
    <w:rsid w:val="00141F71"/>
    <w:rsid w:val="00141FC8"/>
    <w:rsid w:val="0014206C"/>
    <w:rsid w:val="00142078"/>
    <w:rsid w:val="0014208C"/>
    <w:rsid w:val="001420E7"/>
    <w:rsid w:val="00142136"/>
    <w:rsid w:val="00142139"/>
    <w:rsid w:val="00142235"/>
    <w:rsid w:val="0014234E"/>
    <w:rsid w:val="00142439"/>
    <w:rsid w:val="001424AE"/>
    <w:rsid w:val="00142522"/>
    <w:rsid w:val="00142555"/>
    <w:rsid w:val="00142575"/>
    <w:rsid w:val="001425BD"/>
    <w:rsid w:val="001425FE"/>
    <w:rsid w:val="00142615"/>
    <w:rsid w:val="0014269C"/>
    <w:rsid w:val="001426DD"/>
    <w:rsid w:val="001426FE"/>
    <w:rsid w:val="00142715"/>
    <w:rsid w:val="001427C8"/>
    <w:rsid w:val="00142815"/>
    <w:rsid w:val="00142829"/>
    <w:rsid w:val="0014286D"/>
    <w:rsid w:val="0014288B"/>
    <w:rsid w:val="0014296A"/>
    <w:rsid w:val="00142A23"/>
    <w:rsid w:val="00142A76"/>
    <w:rsid w:val="00142AFC"/>
    <w:rsid w:val="00142B58"/>
    <w:rsid w:val="00142C69"/>
    <w:rsid w:val="00142C86"/>
    <w:rsid w:val="00142CD9"/>
    <w:rsid w:val="00142CDA"/>
    <w:rsid w:val="00142DDA"/>
    <w:rsid w:val="00142F1D"/>
    <w:rsid w:val="00142F89"/>
    <w:rsid w:val="00142FA1"/>
    <w:rsid w:val="00142FDB"/>
    <w:rsid w:val="0014300D"/>
    <w:rsid w:val="001430BC"/>
    <w:rsid w:val="00143111"/>
    <w:rsid w:val="00143112"/>
    <w:rsid w:val="0014313C"/>
    <w:rsid w:val="0014315B"/>
    <w:rsid w:val="00143217"/>
    <w:rsid w:val="00143251"/>
    <w:rsid w:val="00143287"/>
    <w:rsid w:val="0014328B"/>
    <w:rsid w:val="00143303"/>
    <w:rsid w:val="00143324"/>
    <w:rsid w:val="0014336E"/>
    <w:rsid w:val="0014341A"/>
    <w:rsid w:val="00143441"/>
    <w:rsid w:val="001434D4"/>
    <w:rsid w:val="0014354C"/>
    <w:rsid w:val="0014355E"/>
    <w:rsid w:val="00143586"/>
    <w:rsid w:val="00143587"/>
    <w:rsid w:val="001435B0"/>
    <w:rsid w:val="0014362A"/>
    <w:rsid w:val="001436FF"/>
    <w:rsid w:val="0014378D"/>
    <w:rsid w:val="001437AC"/>
    <w:rsid w:val="00143826"/>
    <w:rsid w:val="0014385B"/>
    <w:rsid w:val="00143886"/>
    <w:rsid w:val="001438A9"/>
    <w:rsid w:val="001438DD"/>
    <w:rsid w:val="00143923"/>
    <w:rsid w:val="00143943"/>
    <w:rsid w:val="00143960"/>
    <w:rsid w:val="001439B3"/>
    <w:rsid w:val="001439CE"/>
    <w:rsid w:val="00143A1B"/>
    <w:rsid w:val="00143A29"/>
    <w:rsid w:val="00143A59"/>
    <w:rsid w:val="00143A72"/>
    <w:rsid w:val="00143B05"/>
    <w:rsid w:val="00143B10"/>
    <w:rsid w:val="00143B91"/>
    <w:rsid w:val="00143C66"/>
    <w:rsid w:val="00143D4E"/>
    <w:rsid w:val="00143DFC"/>
    <w:rsid w:val="00143E75"/>
    <w:rsid w:val="00143E95"/>
    <w:rsid w:val="00143F36"/>
    <w:rsid w:val="00143F81"/>
    <w:rsid w:val="00143FCC"/>
    <w:rsid w:val="00144017"/>
    <w:rsid w:val="00144073"/>
    <w:rsid w:val="00144099"/>
    <w:rsid w:val="00144116"/>
    <w:rsid w:val="001441C0"/>
    <w:rsid w:val="00144236"/>
    <w:rsid w:val="00144378"/>
    <w:rsid w:val="001443B9"/>
    <w:rsid w:val="00144400"/>
    <w:rsid w:val="0014447C"/>
    <w:rsid w:val="0014452E"/>
    <w:rsid w:val="00144551"/>
    <w:rsid w:val="00144558"/>
    <w:rsid w:val="00144580"/>
    <w:rsid w:val="001445E5"/>
    <w:rsid w:val="00144613"/>
    <w:rsid w:val="0014461D"/>
    <w:rsid w:val="00144658"/>
    <w:rsid w:val="0014473F"/>
    <w:rsid w:val="00144747"/>
    <w:rsid w:val="0014485B"/>
    <w:rsid w:val="0014488B"/>
    <w:rsid w:val="001448DC"/>
    <w:rsid w:val="001448DE"/>
    <w:rsid w:val="001448F6"/>
    <w:rsid w:val="00144994"/>
    <w:rsid w:val="001449FF"/>
    <w:rsid w:val="00144ABE"/>
    <w:rsid w:val="00144AC8"/>
    <w:rsid w:val="00144AEC"/>
    <w:rsid w:val="00144B64"/>
    <w:rsid w:val="00144B7B"/>
    <w:rsid w:val="00144BB8"/>
    <w:rsid w:val="00144BC0"/>
    <w:rsid w:val="00144C2C"/>
    <w:rsid w:val="00144C5B"/>
    <w:rsid w:val="00144C79"/>
    <w:rsid w:val="00144EB2"/>
    <w:rsid w:val="00144ED5"/>
    <w:rsid w:val="00144ED6"/>
    <w:rsid w:val="00144FCC"/>
    <w:rsid w:val="00144FDC"/>
    <w:rsid w:val="00145042"/>
    <w:rsid w:val="0014506C"/>
    <w:rsid w:val="001450EA"/>
    <w:rsid w:val="00145169"/>
    <w:rsid w:val="001451AD"/>
    <w:rsid w:val="0014522B"/>
    <w:rsid w:val="00145315"/>
    <w:rsid w:val="00145336"/>
    <w:rsid w:val="00145362"/>
    <w:rsid w:val="001453AB"/>
    <w:rsid w:val="001453CA"/>
    <w:rsid w:val="0014543E"/>
    <w:rsid w:val="0014544B"/>
    <w:rsid w:val="00145501"/>
    <w:rsid w:val="0014553A"/>
    <w:rsid w:val="0014561E"/>
    <w:rsid w:val="00145660"/>
    <w:rsid w:val="00145662"/>
    <w:rsid w:val="001456F7"/>
    <w:rsid w:val="001457A9"/>
    <w:rsid w:val="00145866"/>
    <w:rsid w:val="00145894"/>
    <w:rsid w:val="001458A9"/>
    <w:rsid w:val="00145990"/>
    <w:rsid w:val="00145AAF"/>
    <w:rsid w:val="00145B0F"/>
    <w:rsid w:val="00145C77"/>
    <w:rsid w:val="00145CA5"/>
    <w:rsid w:val="00145CFE"/>
    <w:rsid w:val="00145D0E"/>
    <w:rsid w:val="00145DCA"/>
    <w:rsid w:val="00145DE0"/>
    <w:rsid w:val="00145E2F"/>
    <w:rsid w:val="00145E5A"/>
    <w:rsid w:val="00145EEB"/>
    <w:rsid w:val="00145F14"/>
    <w:rsid w:val="00145F89"/>
    <w:rsid w:val="00146017"/>
    <w:rsid w:val="00146027"/>
    <w:rsid w:val="00146028"/>
    <w:rsid w:val="00146056"/>
    <w:rsid w:val="001460A7"/>
    <w:rsid w:val="001460F1"/>
    <w:rsid w:val="00146129"/>
    <w:rsid w:val="00146178"/>
    <w:rsid w:val="001461E8"/>
    <w:rsid w:val="0014625D"/>
    <w:rsid w:val="00146291"/>
    <w:rsid w:val="001462E8"/>
    <w:rsid w:val="00146314"/>
    <w:rsid w:val="001463ED"/>
    <w:rsid w:val="00146424"/>
    <w:rsid w:val="00146432"/>
    <w:rsid w:val="00146526"/>
    <w:rsid w:val="0014653C"/>
    <w:rsid w:val="00146628"/>
    <w:rsid w:val="001466B2"/>
    <w:rsid w:val="0014672D"/>
    <w:rsid w:val="0014675B"/>
    <w:rsid w:val="00146787"/>
    <w:rsid w:val="00146826"/>
    <w:rsid w:val="00146834"/>
    <w:rsid w:val="00146850"/>
    <w:rsid w:val="0014685D"/>
    <w:rsid w:val="0014688C"/>
    <w:rsid w:val="00146923"/>
    <w:rsid w:val="00146963"/>
    <w:rsid w:val="0014697D"/>
    <w:rsid w:val="001469D5"/>
    <w:rsid w:val="001469E6"/>
    <w:rsid w:val="00146A0E"/>
    <w:rsid w:val="00146A12"/>
    <w:rsid w:val="00146A3C"/>
    <w:rsid w:val="00146A47"/>
    <w:rsid w:val="00146ABF"/>
    <w:rsid w:val="00146AD5"/>
    <w:rsid w:val="00146AEB"/>
    <w:rsid w:val="00146B82"/>
    <w:rsid w:val="00146BF2"/>
    <w:rsid w:val="00146C9E"/>
    <w:rsid w:val="00146CA5"/>
    <w:rsid w:val="00146D72"/>
    <w:rsid w:val="00146D84"/>
    <w:rsid w:val="00146DBC"/>
    <w:rsid w:val="00146DF5"/>
    <w:rsid w:val="00146E09"/>
    <w:rsid w:val="00146E24"/>
    <w:rsid w:val="00146E7E"/>
    <w:rsid w:val="00146EE7"/>
    <w:rsid w:val="00146FBE"/>
    <w:rsid w:val="00147012"/>
    <w:rsid w:val="0014708C"/>
    <w:rsid w:val="001470B5"/>
    <w:rsid w:val="001470FB"/>
    <w:rsid w:val="00147173"/>
    <w:rsid w:val="00147256"/>
    <w:rsid w:val="00147263"/>
    <w:rsid w:val="0014726A"/>
    <w:rsid w:val="00147345"/>
    <w:rsid w:val="0014736F"/>
    <w:rsid w:val="001473F7"/>
    <w:rsid w:val="00147419"/>
    <w:rsid w:val="0014742D"/>
    <w:rsid w:val="00147499"/>
    <w:rsid w:val="00147518"/>
    <w:rsid w:val="00147579"/>
    <w:rsid w:val="0014761B"/>
    <w:rsid w:val="001476EA"/>
    <w:rsid w:val="00147759"/>
    <w:rsid w:val="0014777A"/>
    <w:rsid w:val="0014783A"/>
    <w:rsid w:val="00147846"/>
    <w:rsid w:val="001478BA"/>
    <w:rsid w:val="001478CB"/>
    <w:rsid w:val="001478DA"/>
    <w:rsid w:val="00147962"/>
    <w:rsid w:val="001479EB"/>
    <w:rsid w:val="00147AA5"/>
    <w:rsid w:val="00147AC2"/>
    <w:rsid w:val="00147AD6"/>
    <w:rsid w:val="00147BCF"/>
    <w:rsid w:val="00147BF1"/>
    <w:rsid w:val="00147C28"/>
    <w:rsid w:val="00147C5A"/>
    <w:rsid w:val="00147C86"/>
    <w:rsid w:val="00147CB8"/>
    <w:rsid w:val="00147CB9"/>
    <w:rsid w:val="00147CC5"/>
    <w:rsid w:val="00147D4F"/>
    <w:rsid w:val="00147D7B"/>
    <w:rsid w:val="00147DEF"/>
    <w:rsid w:val="00147E54"/>
    <w:rsid w:val="00147F00"/>
    <w:rsid w:val="00147F54"/>
    <w:rsid w:val="00147F7F"/>
    <w:rsid w:val="00147FDC"/>
    <w:rsid w:val="00150034"/>
    <w:rsid w:val="0015003D"/>
    <w:rsid w:val="001500B6"/>
    <w:rsid w:val="001500BF"/>
    <w:rsid w:val="001500F9"/>
    <w:rsid w:val="00150103"/>
    <w:rsid w:val="00150170"/>
    <w:rsid w:val="001501D5"/>
    <w:rsid w:val="00150285"/>
    <w:rsid w:val="00150374"/>
    <w:rsid w:val="0015037F"/>
    <w:rsid w:val="001503F6"/>
    <w:rsid w:val="0015044E"/>
    <w:rsid w:val="00150474"/>
    <w:rsid w:val="00150475"/>
    <w:rsid w:val="001504BC"/>
    <w:rsid w:val="001504E0"/>
    <w:rsid w:val="0015052C"/>
    <w:rsid w:val="00150594"/>
    <w:rsid w:val="00150680"/>
    <w:rsid w:val="0015072D"/>
    <w:rsid w:val="0015076A"/>
    <w:rsid w:val="001507EF"/>
    <w:rsid w:val="0015083F"/>
    <w:rsid w:val="00150852"/>
    <w:rsid w:val="0015086F"/>
    <w:rsid w:val="0015089A"/>
    <w:rsid w:val="00150955"/>
    <w:rsid w:val="00150979"/>
    <w:rsid w:val="00150A83"/>
    <w:rsid w:val="00150AF9"/>
    <w:rsid w:val="00150B55"/>
    <w:rsid w:val="00150C0E"/>
    <w:rsid w:val="00150C19"/>
    <w:rsid w:val="00150C6A"/>
    <w:rsid w:val="00150DAA"/>
    <w:rsid w:val="00150DD7"/>
    <w:rsid w:val="00150E2D"/>
    <w:rsid w:val="00150E87"/>
    <w:rsid w:val="00150ED4"/>
    <w:rsid w:val="00150EF2"/>
    <w:rsid w:val="00150F6E"/>
    <w:rsid w:val="00150F9E"/>
    <w:rsid w:val="0015100C"/>
    <w:rsid w:val="0015104D"/>
    <w:rsid w:val="00151085"/>
    <w:rsid w:val="0015119C"/>
    <w:rsid w:val="00151326"/>
    <w:rsid w:val="0015136D"/>
    <w:rsid w:val="00151475"/>
    <w:rsid w:val="00151522"/>
    <w:rsid w:val="00151569"/>
    <w:rsid w:val="001515F2"/>
    <w:rsid w:val="00151627"/>
    <w:rsid w:val="00151655"/>
    <w:rsid w:val="00151665"/>
    <w:rsid w:val="00151720"/>
    <w:rsid w:val="00151760"/>
    <w:rsid w:val="0015176D"/>
    <w:rsid w:val="00151777"/>
    <w:rsid w:val="0015182B"/>
    <w:rsid w:val="0015195B"/>
    <w:rsid w:val="0015198F"/>
    <w:rsid w:val="00151A04"/>
    <w:rsid w:val="00151A54"/>
    <w:rsid w:val="00151A9D"/>
    <w:rsid w:val="00151AAE"/>
    <w:rsid w:val="00151AD7"/>
    <w:rsid w:val="00151AF4"/>
    <w:rsid w:val="00151BC1"/>
    <w:rsid w:val="00151BD5"/>
    <w:rsid w:val="00151C8C"/>
    <w:rsid w:val="00151CFD"/>
    <w:rsid w:val="00151DDB"/>
    <w:rsid w:val="00151DDC"/>
    <w:rsid w:val="00151E36"/>
    <w:rsid w:val="00151EF3"/>
    <w:rsid w:val="00151EF9"/>
    <w:rsid w:val="00151F3F"/>
    <w:rsid w:val="00151F8C"/>
    <w:rsid w:val="00151FA7"/>
    <w:rsid w:val="00151FBB"/>
    <w:rsid w:val="00151FF1"/>
    <w:rsid w:val="0015203B"/>
    <w:rsid w:val="00152090"/>
    <w:rsid w:val="001520BD"/>
    <w:rsid w:val="001520E0"/>
    <w:rsid w:val="00152177"/>
    <w:rsid w:val="001521E4"/>
    <w:rsid w:val="0015228A"/>
    <w:rsid w:val="001523AD"/>
    <w:rsid w:val="001523FB"/>
    <w:rsid w:val="00152470"/>
    <w:rsid w:val="00152494"/>
    <w:rsid w:val="001524B4"/>
    <w:rsid w:val="001524B7"/>
    <w:rsid w:val="001524D8"/>
    <w:rsid w:val="00152567"/>
    <w:rsid w:val="0015262C"/>
    <w:rsid w:val="00152646"/>
    <w:rsid w:val="00152660"/>
    <w:rsid w:val="001526AE"/>
    <w:rsid w:val="00152701"/>
    <w:rsid w:val="00152727"/>
    <w:rsid w:val="0015278C"/>
    <w:rsid w:val="00152887"/>
    <w:rsid w:val="001528B0"/>
    <w:rsid w:val="001528D3"/>
    <w:rsid w:val="001529B7"/>
    <w:rsid w:val="001529C2"/>
    <w:rsid w:val="00152A11"/>
    <w:rsid w:val="00152A2A"/>
    <w:rsid w:val="00152A4E"/>
    <w:rsid w:val="00152BB9"/>
    <w:rsid w:val="00152BC1"/>
    <w:rsid w:val="00152BD5"/>
    <w:rsid w:val="00152C24"/>
    <w:rsid w:val="00152CB4"/>
    <w:rsid w:val="00152CE6"/>
    <w:rsid w:val="00152D72"/>
    <w:rsid w:val="00152E9B"/>
    <w:rsid w:val="00152F7B"/>
    <w:rsid w:val="00152FC6"/>
    <w:rsid w:val="00152FE1"/>
    <w:rsid w:val="00153038"/>
    <w:rsid w:val="00153061"/>
    <w:rsid w:val="00153081"/>
    <w:rsid w:val="001530A4"/>
    <w:rsid w:val="001530AF"/>
    <w:rsid w:val="001530F4"/>
    <w:rsid w:val="0015317F"/>
    <w:rsid w:val="001531C7"/>
    <w:rsid w:val="001531F2"/>
    <w:rsid w:val="0015321E"/>
    <w:rsid w:val="001532A5"/>
    <w:rsid w:val="0015331B"/>
    <w:rsid w:val="0015336E"/>
    <w:rsid w:val="00153377"/>
    <w:rsid w:val="00153457"/>
    <w:rsid w:val="00153567"/>
    <w:rsid w:val="001535FE"/>
    <w:rsid w:val="001536F0"/>
    <w:rsid w:val="0015374B"/>
    <w:rsid w:val="00153761"/>
    <w:rsid w:val="00153765"/>
    <w:rsid w:val="0015378A"/>
    <w:rsid w:val="00153885"/>
    <w:rsid w:val="00153898"/>
    <w:rsid w:val="001538FF"/>
    <w:rsid w:val="0015399D"/>
    <w:rsid w:val="001539AC"/>
    <w:rsid w:val="00153A4A"/>
    <w:rsid w:val="00153AB6"/>
    <w:rsid w:val="00153ADC"/>
    <w:rsid w:val="00153BBD"/>
    <w:rsid w:val="00153BE3"/>
    <w:rsid w:val="00153D32"/>
    <w:rsid w:val="00153D5B"/>
    <w:rsid w:val="00153EC1"/>
    <w:rsid w:val="00153EF8"/>
    <w:rsid w:val="00153EFC"/>
    <w:rsid w:val="00153F36"/>
    <w:rsid w:val="00153FDF"/>
    <w:rsid w:val="00154012"/>
    <w:rsid w:val="00154095"/>
    <w:rsid w:val="001540F5"/>
    <w:rsid w:val="001541B5"/>
    <w:rsid w:val="001541E6"/>
    <w:rsid w:val="0015426A"/>
    <w:rsid w:val="001542C4"/>
    <w:rsid w:val="0015431E"/>
    <w:rsid w:val="0015437F"/>
    <w:rsid w:val="00154477"/>
    <w:rsid w:val="00154489"/>
    <w:rsid w:val="00154571"/>
    <w:rsid w:val="00154606"/>
    <w:rsid w:val="001546AE"/>
    <w:rsid w:val="001546EC"/>
    <w:rsid w:val="0015473B"/>
    <w:rsid w:val="00154782"/>
    <w:rsid w:val="001547E2"/>
    <w:rsid w:val="001547EA"/>
    <w:rsid w:val="00154811"/>
    <w:rsid w:val="00154839"/>
    <w:rsid w:val="00154875"/>
    <w:rsid w:val="00154884"/>
    <w:rsid w:val="00154988"/>
    <w:rsid w:val="001549DF"/>
    <w:rsid w:val="00154A0D"/>
    <w:rsid w:val="00154A2B"/>
    <w:rsid w:val="00154A56"/>
    <w:rsid w:val="00154B32"/>
    <w:rsid w:val="00154B93"/>
    <w:rsid w:val="00154C6E"/>
    <w:rsid w:val="00154C74"/>
    <w:rsid w:val="00154CA0"/>
    <w:rsid w:val="00154CCB"/>
    <w:rsid w:val="00154D78"/>
    <w:rsid w:val="00154F39"/>
    <w:rsid w:val="00154F4D"/>
    <w:rsid w:val="00154F5C"/>
    <w:rsid w:val="00155167"/>
    <w:rsid w:val="00155252"/>
    <w:rsid w:val="00155288"/>
    <w:rsid w:val="001552B8"/>
    <w:rsid w:val="001552F0"/>
    <w:rsid w:val="0015536D"/>
    <w:rsid w:val="001553B1"/>
    <w:rsid w:val="001553C1"/>
    <w:rsid w:val="00155431"/>
    <w:rsid w:val="001554F6"/>
    <w:rsid w:val="0015555B"/>
    <w:rsid w:val="00155593"/>
    <w:rsid w:val="001555B8"/>
    <w:rsid w:val="001555FC"/>
    <w:rsid w:val="00155603"/>
    <w:rsid w:val="00155643"/>
    <w:rsid w:val="0015565F"/>
    <w:rsid w:val="0015568B"/>
    <w:rsid w:val="0015575C"/>
    <w:rsid w:val="001557BE"/>
    <w:rsid w:val="00155807"/>
    <w:rsid w:val="00155845"/>
    <w:rsid w:val="00155950"/>
    <w:rsid w:val="00155962"/>
    <w:rsid w:val="001559D2"/>
    <w:rsid w:val="00155A00"/>
    <w:rsid w:val="00155A4C"/>
    <w:rsid w:val="00155A96"/>
    <w:rsid w:val="00155ADA"/>
    <w:rsid w:val="00155B40"/>
    <w:rsid w:val="00155B54"/>
    <w:rsid w:val="00155B9A"/>
    <w:rsid w:val="00155BE8"/>
    <w:rsid w:val="00155C35"/>
    <w:rsid w:val="00155C76"/>
    <w:rsid w:val="00155CE9"/>
    <w:rsid w:val="00155DA9"/>
    <w:rsid w:val="00155E1F"/>
    <w:rsid w:val="00155E89"/>
    <w:rsid w:val="00155E9E"/>
    <w:rsid w:val="00155F10"/>
    <w:rsid w:val="00155F55"/>
    <w:rsid w:val="00155F99"/>
    <w:rsid w:val="00155FC2"/>
    <w:rsid w:val="00156018"/>
    <w:rsid w:val="0015604F"/>
    <w:rsid w:val="001560B9"/>
    <w:rsid w:val="001560C4"/>
    <w:rsid w:val="001560F1"/>
    <w:rsid w:val="001560F8"/>
    <w:rsid w:val="001560FA"/>
    <w:rsid w:val="00156106"/>
    <w:rsid w:val="00156119"/>
    <w:rsid w:val="0015618D"/>
    <w:rsid w:val="0015618F"/>
    <w:rsid w:val="00156249"/>
    <w:rsid w:val="00156274"/>
    <w:rsid w:val="001562A9"/>
    <w:rsid w:val="001562BA"/>
    <w:rsid w:val="00156384"/>
    <w:rsid w:val="0015638D"/>
    <w:rsid w:val="0015638F"/>
    <w:rsid w:val="00156406"/>
    <w:rsid w:val="0015644C"/>
    <w:rsid w:val="00156468"/>
    <w:rsid w:val="001564DA"/>
    <w:rsid w:val="001565D1"/>
    <w:rsid w:val="0015660B"/>
    <w:rsid w:val="00156654"/>
    <w:rsid w:val="0015667C"/>
    <w:rsid w:val="001566AB"/>
    <w:rsid w:val="001567D8"/>
    <w:rsid w:val="00156831"/>
    <w:rsid w:val="0015683B"/>
    <w:rsid w:val="00156942"/>
    <w:rsid w:val="00156AEC"/>
    <w:rsid w:val="00156AF2"/>
    <w:rsid w:val="00156BE2"/>
    <w:rsid w:val="00156CBD"/>
    <w:rsid w:val="00156CC1"/>
    <w:rsid w:val="00156CE2"/>
    <w:rsid w:val="00156E1C"/>
    <w:rsid w:val="00156E7A"/>
    <w:rsid w:val="00156ED3"/>
    <w:rsid w:val="00156F2F"/>
    <w:rsid w:val="00156FCC"/>
    <w:rsid w:val="001570C6"/>
    <w:rsid w:val="001570D5"/>
    <w:rsid w:val="001570E9"/>
    <w:rsid w:val="00157148"/>
    <w:rsid w:val="0015722A"/>
    <w:rsid w:val="0015722E"/>
    <w:rsid w:val="00157235"/>
    <w:rsid w:val="0015723B"/>
    <w:rsid w:val="00157289"/>
    <w:rsid w:val="001575B9"/>
    <w:rsid w:val="0015762B"/>
    <w:rsid w:val="001576F6"/>
    <w:rsid w:val="00157717"/>
    <w:rsid w:val="0015776E"/>
    <w:rsid w:val="00157785"/>
    <w:rsid w:val="001577A7"/>
    <w:rsid w:val="001577D9"/>
    <w:rsid w:val="00157805"/>
    <w:rsid w:val="00157818"/>
    <w:rsid w:val="001578C0"/>
    <w:rsid w:val="001579C5"/>
    <w:rsid w:val="00157A02"/>
    <w:rsid w:val="00157A0B"/>
    <w:rsid w:val="00157A1E"/>
    <w:rsid w:val="00157A85"/>
    <w:rsid w:val="00157ABF"/>
    <w:rsid w:val="00157B0B"/>
    <w:rsid w:val="00157B4D"/>
    <w:rsid w:val="00157B4E"/>
    <w:rsid w:val="00157C91"/>
    <w:rsid w:val="00157CCF"/>
    <w:rsid w:val="00157D52"/>
    <w:rsid w:val="00157D66"/>
    <w:rsid w:val="00157D81"/>
    <w:rsid w:val="00157DED"/>
    <w:rsid w:val="00157EF0"/>
    <w:rsid w:val="00157F30"/>
    <w:rsid w:val="00157FE7"/>
    <w:rsid w:val="00160038"/>
    <w:rsid w:val="001600B3"/>
    <w:rsid w:val="00160174"/>
    <w:rsid w:val="001601B7"/>
    <w:rsid w:val="00160372"/>
    <w:rsid w:val="0016043B"/>
    <w:rsid w:val="00160492"/>
    <w:rsid w:val="00160493"/>
    <w:rsid w:val="001604F8"/>
    <w:rsid w:val="00160520"/>
    <w:rsid w:val="00160541"/>
    <w:rsid w:val="001605B9"/>
    <w:rsid w:val="001605CD"/>
    <w:rsid w:val="00160635"/>
    <w:rsid w:val="00160772"/>
    <w:rsid w:val="00160780"/>
    <w:rsid w:val="001607EC"/>
    <w:rsid w:val="00160815"/>
    <w:rsid w:val="001608DC"/>
    <w:rsid w:val="0016090A"/>
    <w:rsid w:val="00160931"/>
    <w:rsid w:val="00160A9C"/>
    <w:rsid w:val="00160B2C"/>
    <w:rsid w:val="00160B37"/>
    <w:rsid w:val="00160B53"/>
    <w:rsid w:val="00160C34"/>
    <w:rsid w:val="00160C8E"/>
    <w:rsid w:val="00160D10"/>
    <w:rsid w:val="00160D6D"/>
    <w:rsid w:val="00160EB2"/>
    <w:rsid w:val="00160ED5"/>
    <w:rsid w:val="00160F46"/>
    <w:rsid w:val="00160F48"/>
    <w:rsid w:val="00161042"/>
    <w:rsid w:val="00161044"/>
    <w:rsid w:val="00161181"/>
    <w:rsid w:val="001611C2"/>
    <w:rsid w:val="00161221"/>
    <w:rsid w:val="00161245"/>
    <w:rsid w:val="0016124B"/>
    <w:rsid w:val="001612CB"/>
    <w:rsid w:val="0016137A"/>
    <w:rsid w:val="001613FC"/>
    <w:rsid w:val="00161458"/>
    <w:rsid w:val="0016147D"/>
    <w:rsid w:val="0016158B"/>
    <w:rsid w:val="001615D0"/>
    <w:rsid w:val="0016160A"/>
    <w:rsid w:val="00161615"/>
    <w:rsid w:val="00161797"/>
    <w:rsid w:val="00161839"/>
    <w:rsid w:val="001618C4"/>
    <w:rsid w:val="0016194D"/>
    <w:rsid w:val="0016195A"/>
    <w:rsid w:val="001619C7"/>
    <w:rsid w:val="001619E1"/>
    <w:rsid w:val="001619E4"/>
    <w:rsid w:val="001619FE"/>
    <w:rsid w:val="00161A05"/>
    <w:rsid w:val="00161A31"/>
    <w:rsid w:val="00161A42"/>
    <w:rsid w:val="00161B39"/>
    <w:rsid w:val="00161B64"/>
    <w:rsid w:val="00161B71"/>
    <w:rsid w:val="00161B76"/>
    <w:rsid w:val="00161B9F"/>
    <w:rsid w:val="00161C7D"/>
    <w:rsid w:val="00161C84"/>
    <w:rsid w:val="00161D1C"/>
    <w:rsid w:val="00161D3F"/>
    <w:rsid w:val="00161D6F"/>
    <w:rsid w:val="00161DAC"/>
    <w:rsid w:val="00161DAE"/>
    <w:rsid w:val="00161DBD"/>
    <w:rsid w:val="00161E05"/>
    <w:rsid w:val="00161E0F"/>
    <w:rsid w:val="00161E51"/>
    <w:rsid w:val="0016216B"/>
    <w:rsid w:val="00162178"/>
    <w:rsid w:val="001621A7"/>
    <w:rsid w:val="001621B4"/>
    <w:rsid w:val="001621C7"/>
    <w:rsid w:val="001621CC"/>
    <w:rsid w:val="001622E3"/>
    <w:rsid w:val="00162366"/>
    <w:rsid w:val="00162415"/>
    <w:rsid w:val="00162476"/>
    <w:rsid w:val="00162552"/>
    <w:rsid w:val="001625C7"/>
    <w:rsid w:val="0016262D"/>
    <w:rsid w:val="00162648"/>
    <w:rsid w:val="001626FC"/>
    <w:rsid w:val="00162718"/>
    <w:rsid w:val="001627B1"/>
    <w:rsid w:val="001627F8"/>
    <w:rsid w:val="0016284B"/>
    <w:rsid w:val="0016288F"/>
    <w:rsid w:val="0016289C"/>
    <w:rsid w:val="0016299C"/>
    <w:rsid w:val="00162A24"/>
    <w:rsid w:val="00162AAA"/>
    <w:rsid w:val="00162AC4"/>
    <w:rsid w:val="00162ACC"/>
    <w:rsid w:val="00162B6E"/>
    <w:rsid w:val="00162B8A"/>
    <w:rsid w:val="00162BA4"/>
    <w:rsid w:val="00162BA7"/>
    <w:rsid w:val="00162BBD"/>
    <w:rsid w:val="00162BFC"/>
    <w:rsid w:val="00162C64"/>
    <w:rsid w:val="00162C8B"/>
    <w:rsid w:val="00162D0C"/>
    <w:rsid w:val="00162E4A"/>
    <w:rsid w:val="00162E66"/>
    <w:rsid w:val="00162E7E"/>
    <w:rsid w:val="00162F04"/>
    <w:rsid w:val="0016304C"/>
    <w:rsid w:val="00163071"/>
    <w:rsid w:val="001630B2"/>
    <w:rsid w:val="00163142"/>
    <w:rsid w:val="00163194"/>
    <w:rsid w:val="001631B0"/>
    <w:rsid w:val="00163238"/>
    <w:rsid w:val="00163244"/>
    <w:rsid w:val="00163299"/>
    <w:rsid w:val="001632AA"/>
    <w:rsid w:val="00163379"/>
    <w:rsid w:val="00163384"/>
    <w:rsid w:val="001633AD"/>
    <w:rsid w:val="0016342A"/>
    <w:rsid w:val="00163454"/>
    <w:rsid w:val="00163457"/>
    <w:rsid w:val="0016346F"/>
    <w:rsid w:val="0016357F"/>
    <w:rsid w:val="001635AD"/>
    <w:rsid w:val="001635B6"/>
    <w:rsid w:val="001635CD"/>
    <w:rsid w:val="00163644"/>
    <w:rsid w:val="001636AC"/>
    <w:rsid w:val="00163723"/>
    <w:rsid w:val="0016374E"/>
    <w:rsid w:val="0016382B"/>
    <w:rsid w:val="0016382D"/>
    <w:rsid w:val="00163837"/>
    <w:rsid w:val="001638B4"/>
    <w:rsid w:val="0016396E"/>
    <w:rsid w:val="0016397F"/>
    <w:rsid w:val="001639B4"/>
    <w:rsid w:val="001639E2"/>
    <w:rsid w:val="00163A29"/>
    <w:rsid w:val="00163A56"/>
    <w:rsid w:val="00163A68"/>
    <w:rsid w:val="00163AAA"/>
    <w:rsid w:val="00163B2F"/>
    <w:rsid w:val="00163BBB"/>
    <w:rsid w:val="00163BC6"/>
    <w:rsid w:val="00163BFF"/>
    <w:rsid w:val="00163C11"/>
    <w:rsid w:val="00163D3F"/>
    <w:rsid w:val="00163D50"/>
    <w:rsid w:val="00163D8C"/>
    <w:rsid w:val="00163DB8"/>
    <w:rsid w:val="00163DC5"/>
    <w:rsid w:val="00163DE0"/>
    <w:rsid w:val="00163EE7"/>
    <w:rsid w:val="001640B2"/>
    <w:rsid w:val="001640DB"/>
    <w:rsid w:val="0016414C"/>
    <w:rsid w:val="00164331"/>
    <w:rsid w:val="0016439B"/>
    <w:rsid w:val="001643B3"/>
    <w:rsid w:val="001643FA"/>
    <w:rsid w:val="0016449B"/>
    <w:rsid w:val="001644AC"/>
    <w:rsid w:val="0016458A"/>
    <w:rsid w:val="001645A6"/>
    <w:rsid w:val="001645DD"/>
    <w:rsid w:val="001645F7"/>
    <w:rsid w:val="00164624"/>
    <w:rsid w:val="001647D6"/>
    <w:rsid w:val="00164809"/>
    <w:rsid w:val="00164825"/>
    <w:rsid w:val="0016482B"/>
    <w:rsid w:val="00164944"/>
    <w:rsid w:val="0016494D"/>
    <w:rsid w:val="00164973"/>
    <w:rsid w:val="001649AE"/>
    <w:rsid w:val="001649D8"/>
    <w:rsid w:val="00164A27"/>
    <w:rsid w:val="00164A2D"/>
    <w:rsid w:val="00164AA6"/>
    <w:rsid w:val="00164AF0"/>
    <w:rsid w:val="00164B10"/>
    <w:rsid w:val="00164B43"/>
    <w:rsid w:val="00164C01"/>
    <w:rsid w:val="00164C6E"/>
    <w:rsid w:val="00164C7E"/>
    <w:rsid w:val="00164D18"/>
    <w:rsid w:val="00164D56"/>
    <w:rsid w:val="00164D79"/>
    <w:rsid w:val="00164DB8"/>
    <w:rsid w:val="00164DFE"/>
    <w:rsid w:val="00164E03"/>
    <w:rsid w:val="00164E17"/>
    <w:rsid w:val="00164E4C"/>
    <w:rsid w:val="00164EB6"/>
    <w:rsid w:val="00164EEF"/>
    <w:rsid w:val="00164FAA"/>
    <w:rsid w:val="00164FC4"/>
    <w:rsid w:val="00165073"/>
    <w:rsid w:val="001650D0"/>
    <w:rsid w:val="00165192"/>
    <w:rsid w:val="001651BB"/>
    <w:rsid w:val="0016521F"/>
    <w:rsid w:val="00165250"/>
    <w:rsid w:val="001653B7"/>
    <w:rsid w:val="001653BE"/>
    <w:rsid w:val="001653F7"/>
    <w:rsid w:val="0016542B"/>
    <w:rsid w:val="00165561"/>
    <w:rsid w:val="00165678"/>
    <w:rsid w:val="00165748"/>
    <w:rsid w:val="0016574A"/>
    <w:rsid w:val="001657A2"/>
    <w:rsid w:val="00165818"/>
    <w:rsid w:val="001658BF"/>
    <w:rsid w:val="001658D1"/>
    <w:rsid w:val="00165967"/>
    <w:rsid w:val="00165A0E"/>
    <w:rsid w:val="00165A1E"/>
    <w:rsid w:val="00165A64"/>
    <w:rsid w:val="00165AD1"/>
    <w:rsid w:val="00165C1B"/>
    <w:rsid w:val="00165D16"/>
    <w:rsid w:val="00165D1A"/>
    <w:rsid w:val="00165D34"/>
    <w:rsid w:val="00165DDA"/>
    <w:rsid w:val="00165DF2"/>
    <w:rsid w:val="00165E1B"/>
    <w:rsid w:val="00165E1D"/>
    <w:rsid w:val="00165F6C"/>
    <w:rsid w:val="00165F9B"/>
    <w:rsid w:val="00166016"/>
    <w:rsid w:val="00166062"/>
    <w:rsid w:val="0016609C"/>
    <w:rsid w:val="001660F8"/>
    <w:rsid w:val="0016617F"/>
    <w:rsid w:val="00166197"/>
    <w:rsid w:val="001662B7"/>
    <w:rsid w:val="001662F9"/>
    <w:rsid w:val="0016632A"/>
    <w:rsid w:val="00166397"/>
    <w:rsid w:val="00166433"/>
    <w:rsid w:val="001664AE"/>
    <w:rsid w:val="00166675"/>
    <w:rsid w:val="001666BD"/>
    <w:rsid w:val="001666D7"/>
    <w:rsid w:val="00166786"/>
    <w:rsid w:val="0016679C"/>
    <w:rsid w:val="001667B0"/>
    <w:rsid w:val="001667FD"/>
    <w:rsid w:val="00166852"/>
    <w:rsid w:val="00166928"/>
    <w:rsid w:val="00166955"/>
    <w:rsid w:val="00166A0E"/>
    <w:rsid w:val="00166A47"/>
    <w:rsid w:val="00166A9B"/>
    <w:rsid w:val="00166A9E"/>
    <w:rsid w:val="00166C1C"/>
    <w:rsid w:val="00166C42"/>
    <w:rsid w:val="00166C6E"/>
    <w:rsid w:val="00166C71"/>
    <w:rsid w:val="00166E3A"/>
    <w:rsid w:val="00166EA6"/>
    <w:rsid w:val="00166EA8"/>
    <w:rsid w:val="00166ECA"/>
    <w:rsid w:val="00166F96"/>
    <w:rsid w:val="00166FC3"/>
    <w:rsid w:val="00167088"/>
    <w:rsid w:val="00167090"/>
    <w:rsid w:val="001670BF"/>
    <w:rsid w:val="001670E9"/>
    <w:rsid w:val="00167142"/>
    <w:rsid w:val="001671EE"/>
    <w:rsid w:val="00167340"/>
    <w:rsid w:val="00167364"/>
    <w:rsid w:val="001673A3"/>
    <w:rsid w:val="0016744A"/>
    <w:rsid w:val="00167475"/>
    <w:rsid w:val="001674FE"/>
    <w:rsid w:val="0016750D"/>
    <w:rsid w:val="00167541"/>
    <w:rsid w:val="00167552"/>
    <w:rsid w:val="001675C6"/>
    <w:rsid w:val="001675D7"/>
    <w:rsid w:val="001675E0"/>
    <w:rsid w:val="001675EB"/>
    <w:rsid w:val="00167666"/>
    <w:rsid w:val="00167692"/>
    <w:rsid w:val="001676CB"/>
    <w:rsid w:val="001676CC"/>
    <w:rsid w:val="00167740"/>
    <w:rsid w:val="00167741"/>
    <w:rsid w:val="00167778"/>
    <w:rsid w:val="001677BA"/>
    <w:rsid w:val="001677DB"/>
    <w:rsid w:val="00167801"/>
    <w:rsid w:val="0016780E"/>
    <w:rsid w:val="001678D9"/>
    <w:rsid w:val="001679BE"/>
    <w:rsid w:val="00167A1E"/>
    <w:rsid w:val="00167A6C"/>
    <w:rsid w:val="00167ABA"/>
    <w:rsid w:val="00167AC1"/>
    <w:rsid w:val="00167AFD"/>
    <w:rsid w:val="00167C07"/>
    <w:rsid w:val="00167C12"/>
    <w:rsid w:val="00167C2E"/>
    <w:rsid w:val="00167C47"/>
    <w:rsid w:val="00167CA8"/>
    <w:rsid w:val="00167CF3"/>
    <w:rsid w:val="00167DE6"/>
    <w:rsid w:val="00167E61"/>
    <w:rsid w:val="00167F66"/>
    <w:rsid w:val="0017003B"/>
    <w:rsid w:val="001700AC"/>
    <w:rsid w:val="00170156"/>
    <w:rsid w:val="00170198"/>
    <w:rsid w:val="001702A2"/>
    <w:rsid w:val="00170397"/>
    <w:rsid w:val="001703C0"/>
    <w:rsid w:val="00170423"/>
    <w:rsid w:val="0017043B"/>
    <w:rsid w:val="001704EE"/>
    <w:rsid w:val="00170651"/>
    <w:rsid w:val="0017066F"/>
    <w:rsid w:val="00170687"/>
    <w:rsid w:val="001706AC"/>
    <w:rsid w:val="00170711"/>
    <w:rsid w:val="00170737"/>
    <w:rsid w:val="0017073B"/>
    <w:rsid w:val="00170835"/>
    <w:rsid w:val="0017092F"/>
    <w:rsid w:val="00170991"/>
    <w:rsid w:val="00170997"/>
    <w:rsid w:val="001709B1"/>
    <w:rsid w:val="001709D8"/>
    <w:rsid w:val="001709E1"/>
    <w:rsid w:val="001709FB"/>
    <w:rsid w:val="00170A43"/>
    <w:rsid w:val="00170A6A"/>
    <w:rsid w:val="00170BBF"/>
    <w:rsid w:val="00170C33"/>
    <w:rsid w:val="00170C89"/>
    <w:rsid w:val="00170CC3"/>
    <w:rsid w:val="00170D40"/>
    <w:rsid w:val="00170D43"/>
    <w:rsid w:val="00170EC3"/>
    <w:rsid w:val="00170EC6"/>
    <w:rsid w:val="00170EE0"/>
    <w:rsid w:val="00170FCF"/>
    <w:rsid w:val="0017106E"/>
    <w:rsid w:val="0017106F"/>
    <w:rsid w:val="0017112F"/>
    <w:rsid w:val="00171146"/>
    <w:rsid w:val="00171151"/>
    <w:rsid w:val="001712D7"/>
    <w:rsid w:val="001713C0"/>
    <w:rsid w:val="00171452"/>
    <w:rsid w:val="00171461"/>
    <w:rsid w:val="001714C3"/>
    <w:rsid w:val="001714F1"/>
    <w:rsid w:val="001715CC"/>
    <w:rsid w:val="00171635"/>
    <w:rsid w:val="00171758"/>
    <w:rsid w:val="00171815"/>
    <w:rsid w:val="00171820"/>
    <w:rsid w:val="0017190D"/>
    <w:rsid w:val="00171914"/>
    <w:rsid w:val="0017196E"/>
    <w:rsid w:val="00171A14"/>
    <w:rsid w:val="00171A54"/>
    <w:rsid w:val="00171A5A"/>
    <w:rsid w:val="00171B41"/>
    <w:rsid w:val="00171B6F"/>
    <w:rsid w:val="00171BCD"/>
    <w:rsid w:val="00171C0F"/>
    <w:rsid w:val="00171C12"/>
    <w:rsid w:val="00171C4C"/>
    <w:rsid w:val="00171D78"/>
    <w:rsid w:val="00171D83"/>
    <w:rsid w:val="00171E06"/>
    <w:rsid w:val="00171E4E"/>
    <w:rsid w:val="00171E8B"/>
    <w:rsid w:val="00171E9D"/>
    <w:rsid w:val="00171F00"/>
    <w:rsid w:val="00171F51"/>
    <w:rsid w:val="00171F7D"/>
    <w:rsid w:val="00171F9D"/>
    <w:rsid w:val="00171FCB"/>
    <w:rsid w:val="00171FEC"/>
    <w:rsid w:val="00172066"/>
    <w:rsid w:val="001720AB"/>
    <w:rsid w:val="001720B2"/>
    <w:rsid w:val="001720E9"/>
    <w:rsid w:val="001720EA"/>
    <w:rsid w:val="001720FA"/>
    <w:rsid w:val="00172123"/>
    <w:rsid w:val="001721DF"/>
    <w:rsid w:val="001721FC"/>
    <w:rsid w:val="00172202"/>
    <w:rsid w:val="00172205"/>
    <w:rsid w:val="0017226C"/>
    <w:rsid w:val="001722A0"/>
    <w:rsid w:val="001722AC"/>
    <w:rsid w:val="001722D6"/>
    <w:rsid w:val="001722FC"/>
    <w:rsid w:val="0017239E"/>
    <w:rsid w:val="0017244B"/>
    <w:rsid w:val="001724C6"/>
    <w:rsid w:val="001724CD"/>
    <w:rsid w:val="0017253A"/>
    <w:rsid w:val="00172666"/>
    <w:rsid w:val="0017266D"/>
    <w:rsid w:val="001726A5"/>
    <w:rsid w:val="0017277F"/>
    <w:rsid w:val="001727FF"/>
    <w:rsid w:val="00172808"/>
    <w:rsid w:val="0017281E"/>
    <w:rsid w:val="0017286B"/>
    <w:rsid w:val="00172923"/>
    <w:rsid w:val="00172946"/>
    <w:rsid w:val="00172AA2"/>
    <w:rsid w:val="00172AED"/>
    <w:rsid w:val="00172BDA"/>
    <w:rsid w:val="00172C0A"/>
    <w:rsid w:val="00172C69"/>
    <w:rsid w:val="00172C7C"/>
    <w:rsid w:val="00172D40"/>
    <w:rsid w:val="00172D86"/>
    <w:rsid w:val="00172E62"/>
    <w:rsid w:val="00172F1A"/>
    <w:rsid w:val="00172F57"/>
    <w:rsid w:val="00172F9A"/>
    <w:rsid w:val="00172FB5"/>
    <w:rsid w:val="00173033"/>
    <w:rsid w:val="001730CE"/>
    <w:rsid w:val="001730E6"/>
    <w:rsid w:val="00173105"/>
    <w:rsid w:val="00173148"/>
    <w:rsid w:val="00173197"/>
    <w:rsid w:val="001731C7"/>
    <w:rsid w:val="001731D2"/>
    <w:rsid w:val="001731FE"/>
    <w:rsid w:val="00173250"/>
    <w:rsid w:val="00173413"/>
    <w:rsid w:val="0017346D"/>
    <w:rsid w:val="00173473"/>
    <w:rsid w:val="001734EB"/>
    <w:rsid w:val="00173561"/>
    <w:rsid w:val="001736BF"/>
    <w:rsid w:val="001736CE"/>
    <w:rsid w:val="00173722"/>
    <w:rsid w:val="00173799"/>
    <w:rsid w:val="0017382F"/>
    <w:rsid w:val="00173839"/>
    <w:rsid w:val="0017384D"/>
    <w:rsid w:val="0017388B"/>
    <w:rsid w:val="0017389D"/>
    <w:rsid w:val="00173938"/>
    <w:rsid w:val="0017393D"/>
    <w:rsid w:val="00173940"/>
    <w:rsid w:val="00173943"/>
    <w:rsid w:val="00173984"/>
    <w:rsid w:val="00173988"/>
    <w:rsid w:val="00173A13"/>
    <w:rsid w:val="00173A1F"/>
    <w:rsid w:val="00173A4A"/>
    <w:rsid w:val="00173A55"/>
    <w:rsid w:val="00173A6E"/>
    <w:rsid w:val="00173A88"/>
    <w:rsid w:val="00173A9F"/>
    <w:rsid w:val="00173AAE"/>
    <w:rsid w:val="00173AF7"/>
    <w:rsid w:val="00173B05"/>
    <w:rsid w:val="00173B19"/>
    <w:rsid w:val="00173B5E"/>
    <w:rsid w:val="00173C48"/>
    <w:rsid w:val="00173D82"/>
    <w:rsid w:val="00173E81"/>
    <w:rsid w:val="00173EBE"/>
    <w:rsid w:val="00173F63"/>
    <w:rsid w:val="00173FF0"/>
    <w:rsid w:val="0017402F"/>
    <w:rsid w:val="0017403E"/>
    <w:rsid w:val="001740BD"/>
    <w:rsid w:val="00174275"/>
    <w:rsid w:val="001742C4"/>
    <w:rsid w:val="00174300"/>
    <w:rsid w:val="001743C7"/>
    <w:rsid w:val="0017441B"/>
    <w:rsid w:val="0017444F"/>
    <w:rsid w:val="00174476"/>
    <w:rsid w:val="001744DE"/>
    <w:rsid w:val="00174528"/>
    <w:rsid w:val="001745E8"/>
    <w:rsid w:val="00174607"/>
    <w:rsid w:val="0017468F"/>
    <w:rsid w:val="001746BF"/>
    <w:rsid w:val="001746D9"/>
    <w:rsid w:val="001746E3"/>
    <w:rsid w:val="0017473F"/>
    <w:rsid w:val="00174759"/>
    <w:rsid w:val="00174783"/>
    <w:rsid w:val="00174826"/>
    <w:rsid w:val="0017484E"/>
    <w:rsid w:val="00174895"/>
    <w:rsid w:val="001748FD"/>
    <w:rsid w:val="00174912"/>
    <w:rsid w:val="00174978"/>
    <w:rsid w:val="00174980"/>
    <w:rsid w:val="00174A32"/>
    <w:rsid w:val="00174A84"/>
    <w:rsid w:val="00174A99"/>
    <w:rsid w:val="00174AFB"/>
    <w:rsid w:val="00174B98"/>
    <w:rsid w:val="00174BE4"/>
    <w:rsid w:val="00174C25"/>
    <w:rsid w:val="00174C32"/>
    <w:rsid w:val="00174D20"/>
    <w:rsid w:val="00174D4F"/>
    <w:rsid w:val="00174D5E"/>
    <w:rsid w:val="00174DB6"/>
    <w:rsid w:val="00174DF5"/>
    <w:rsid w:val="00174E9F"/>
    <w:rsid w:val="00174EEC"/>
    <w:rsid w:val="00174FD5"/>
    <w:rsid w:val="00175034"/>
    <w:rsid w:val="00175061"/>
    <w:rsid w:val="001750CC"/>
    <w:rsid w:val="001750F6"/>
    <w:rsid w:val="00175120"/>
    <w:rsid w:val="00175130"/>
    <w:rsid w:val="00175167"/>
    <w:rsid w:val="001751F1"/>
    <w:rsid w:val="0017535E"/>
    <w:rsid w:val="00175373"/>
    <w:rsid w:val="0017542F"/>
    <w:rsid w:val="00175490"/>
    <w:rsid w:val="0017549C"/>
    <w:rsid w:val="001754D0"/>
    <w:rsid w:val="00175519"/>
    <w:rsid w:val="00175592"/>
    <w:rsid w:val="00175672"/>
    <w:rsid w:val="001756B8"/>
    <w:rsid w:val="001756F3"/>
    <w:rsid w:val="001756F5"/>
    <w:rsid w:val="001757B4"/>
    <w:rsid w:val="001757CF"/>
    <w:rsid w:val="0017585F"/>
    <w:rsid w:val="0017590F"/>
    <w:rsid w:val="0017595E"/>
    <w:rsid w:val="00175976"/>
    <w:rsid w:val="00175980"/>
    <w:rsid w:val="001759F6"/>
    <w:rsid w:val="00175A03"/>
    <w:rsid w:val="00175A63"/>
    <w:rsid w:val="00175A8B"/>
    <w:rsid w:val="00175B06"/>
    <w:rsid w:val="00175B16"/>
    <w:rsid w:val="00175C0C"/>
    <w:rsid w:val="00175CE5"/>
    <w:rsid w:val="00175D83"/>
    <w:rsid w:val="00175DB4"/>
    <w:rsid w:val="00175DD6"/>
    <w:rsid w:val="00175DF9"/>
    <w:rsid w:val="00175EA3"/>
    <w:rsid w:val="0017603C"/>
    <w:rsid w:val="001760AF"/>
    <w:rsid w:val="00176111"/>
    <w:rsid w:val="00176129"/>
    <w:rsid w:val="0017618F"/>
    <w:rsid w:val="00176225"/>
    <w:rsid w:val="001762F3"/>
    <w:rsid w:val="001762FC"/>
    <w:rsid w:val="00176321"/>
    <w:rsid w:val="00176327"/>
    <w:rsid w:val="00176332"/>
    <w:rsid w:val="00176345"/>
    <w:rsid w:val="00176374"/>
    <w:rsid w:val="00176470"/>
    <w:rsid w:val="001764BE"/>
    <w:rsid w:val="001764DF"/>
    <w:rsid w:val="0017653C"/>
    <w:rsid w:val="001765F4"/>
    <w:rsid w:val="00176622"/>
    <w:rsid w:val="00176689"/>
    <w:rsid w:val="001766DD"/>
    <w:rsid w:val="0017671D"/>
    <w:rsid w:val="00176744"/>
    <w:rsid w:val="00176767"/>
    <w:rsid w:val="001767A5"/>
    <w:rsid w:val="001767B5"/>
    <w:rsid w:val="001767D0"/>
    <w:rsid w:val="001767D1"/>
    <w:rsid w:val="001767D5"/>
    <w:rsid w:val="0017686D"/>
    <w:rsid w:val="0017686F"/>
    <w:rsid w:val="001768A2"/>
    <w:rsid w:val="001768DC"/>
    <w:rsid w:val="001768E2"/>
    <w:rsid w:val="0017697D"/>
    <w:rsid w:val="00176981"/>
    <w:rsid w:val="00176986"/>
    <w:rsid w:val="001769B0"/>
    <w:rsid w:val="001769FE"/>
    <w:rsid w:val="00176ABD"/>
    <w:rsid w:val="00176AE7"/>
    <w:rsid w:val="00176AF0"/>
    <w:rsid w:val="00176B11"/>
    <w:rsid w:val="00176B54"/>
    <w:rsid w:val="00176BCE"/>
    <w:rsid w:val="00176C33"/>
    <w:rsid w:val="00176C68"/>
    <w:rsid w:val="00176CC4"/>
    <w:rsid w:val="00176CD4"/>
    <w:rsid w:val="00176CE5"/>
    <w:rsid w:val="00176D0E"/>
    <w:rsid w:val="00176D4C"/>
    <w:rsid w:val="00176DD8"/>
    <w:rsid w:val="00176DFD"/>
    <w:rsid w:val="00176E46"/>
    <w:rsid w:val="00176E66"/>
    <w:rsid w:val="00176E84"/>
    <w:rsid w:val="00176F29"/>
    <w:rsid w:val="00176F3D"/>
    <w:rsid w:val="00176F6D"/>
    <w:rsid w:val="00176F84"/>
    <w:rsid w:val="00176FA3"/>
    <w:rsid w:val="00176FEC"/>
    <w:rsid w:val="0017704E"/>
    <w:rsid w:val="001770C8"/>
    <w:rsid w:val="001770DA"/>
    <w:rsid w:val="001771A3"/>
    <w:rsid w:val="001771B8"/>
    <w:rsid w:val="00177247"/>
    <w:rsid w:val="00177287"/>
    <w:rsid w:val="001772B1"/>
    <w:rsid w:val="00177397"/>
    <w:rsid w:val="001773BA"/>
    <w:rsid w:val="001773BF"/>
    <w:rsid w:val="0017744B"/>
    <w:rsid w:val="001774DB"/>
    <w:rsid w:val="0017752A"/>
    <w:rsid w:val="001775B8"/>
    <w:rsid w:val="001775CC"/>
    <w:rsid w:val="001776C1"/>
    <w:rsid w:val="001777FC"/>
    <w:rsid w:val="0017782E"/>
    <w:rsid w:val="00177843"/>
    <w:rsid w:val="00177851"/>
    <w:rsid w:val="00177864"/>
    <w:rsid w:val="001778B2"/>
    <w:rsid w:val="00177910"/>
    <w:rsid w:val="00177918"/>
    <w:rsid w:val="001779C2"/>
    <w:rsid w:val="00177A31"/>
    <w:rsid w:val="00177A75"/>
    <w:rsid w:val="00177B30"/>
    <w:rsid w:val="00177B89"/>
    <w:rsid w:val="00177C1C"/>
    <w:rsid w:val="00177C34"/>
    <w:rsid w:val="00177C44"/>
    <w:rsid w:val="00177C4C"/>
    <w:rsid w:val="00177CC0"/>
    <w:rsid w:val="00177CC8"/>
    <w:rsid w:val="00177CE8"/>
    <w:rsid w:val="00177D06"/>
    <w:rsid w:val="00177D13"/>
    <w:rsid w:val="00177D4D"/>
    <w:rsid w:val="00177DB5"/>
    <w:rsid w:val="00177DED"/>
    <w:rsid w:val="00177E0D"/>
    <w:rsid w:val="00177E55"/>
    <w:rsid w:val="00177E68"/>
    <w:rsid w:val="00177F03"/>
    <w:rsid w:val="00177F2F"/>
    <w:rsid w:val="00177F38"/>
    <w:rsid w:val="00177FD2"/>
    <w:rsid w:val="00180054"/>
    <w:rsid w:val="001801AA"/>
    <w:rsid w:val="00180219"/>
    <w:rsid w:val="00180351"/>
    <w:rsid w:val="001803B1"/>
    <w:rsid w:val="0018041D"/>
    <w:rsid w:val="001804FA"/>
    <w:rsid w:val="00180506"/>
    <w:rsid w:val="00180509"/>
    <w:rsid w:val="00180537"/>
    <w:rsid w:val="00180568"/>
    <w:rsid w:val="001805E7"/>
    <w:rsid w:val="00180647"/>
    <w:rsid w:val="001806D2"/>
    <w:rsid w:val="001806EE"/>
    <w:rsid w:val="0018072E"/>
    <w:rsid w:val="0018073E"/>
    <w:rsid w:val="001807A2"/>
    <w:rsid w:val="00180802"/>
    <w:rsid w:val="00180819"/>
    <w:rsid w:val="001808E9"/>
    <w:rsid w:val="001808F0"/>
    <w:rsid w:val="00180910"/>
    <w:rsid w:val="0018091C"/>
    <w:rsid w:val="0018092D"/>
    <w:rsid w:val="00180937"/>
    <w:rsid w:val="0018098F"/>
    <w:rsid w:val="001809C8"/>
    <w:rsid w:val="001809CB"/>
    <w:rsid w:val="001809F5"/>
    <w:rsid w:val="00180A0B"/>
    <w:rsid w:val="00180A88"/>
    <w:rsid w:val="00180A8F"/>
    <w:rsid w:val="00180AF2"/>
    <w:rsid w:val="00180B0D"/>
    <w:rsid w:val="00180B61"/>
    <w:rsid w:val="00180BC4"/>
    <w:rsid w:val="00180C08"/>
    <w:rsid w:val="00180C28"/>
    <w:rsid w:val="00180C95"/>
    <w:rsid w:val="00180D6F"/>
    <w:rsid w:val="00180DE3"/>
    <w:rsid w:val="00180DF8"/>
    <w:rsid w:val="00180E9B"/>
    <w:rsid w:val="00180EC0"/>
    <w:rsid w:val="00180F56"/>
    <w:rsid w:val="00180FBF"/>
    <w:rsid w:val="00180FE6"/>
    <w:rsid w:val="001810DF"/>
    <w:rsid w:val="001810E1"/>
    <w:rsid w:val="00181220"/>
    <w:rsid w:val="00181236"/>
    <w:rsid w:val="0018129D"/>
    <w:rsid w:val="001812A0"/>
    <w:rsid w:val="001812A1"/>
    <w:rsid w:val="001812A5"/>
    <w:rsid w:val="001812CE"/>
    <w:rsid w:val="001812F1"/>
    <w:rsid w:val="00181313"/>
    <w:rsid w:val="001813C2"/>
    <w:rsid w:val="001813FD"/>
    <w:rsid w:val="0018142E"/>
    <w:rsid w:val="00181434"/>
    <w:rsid w:val="0018147E"/>
    <w:rsid w:val="001814B3"/>
    <w:rsid w:val="001814DB"/>
    <w:rsid w:val="00181541"/>
    <w:rsid w:val="0018158B"/>
    <w:rsid w:val="001815AB"/>
    <w:rsid w:val="001815D6"/>
    <w:rsid w:val="001815F4"/>
    <w:rsid w:val="0018168E"/>
    <w:rsid w:val="001816D9"/>
    <w:rsid w:val="00181839"/>
    <w:rsid w:val="0018186A"/>
    <w:rsid w:val="00181879"/>
    <w:rsid w:val="001818A1"/>
    <w:rsid w:val="001819BD"/>
    <w:rsid w:val="001819C4"/>
    <w:rsid w:val="00181A53"/>
    <w:rsid w:val="00181B14"/>
    <w:rsid w:val="00181B27"/>
    <w:rsid w:val="00181B34"/>
    <w:rsid w:val="00181B76"/>
    <w:rsid w:val="00181C29"/>
    <w:rsid w:val="00181CA8"/>
    <w:rsid w:val="00181D4D"/>
    <w:rsid w:val="00181D65"/>
    <w:rsid w:val="00181DB6"/>
    <w:rsid w:val="00181E0A"/>
    <w:rsid w:val="00181E1E"/>
    <w:rsid w:val="00181E36"/>
    <w:rsid w:val="00181E87"/>
    <w:rsid w:val="00181F17"/>
    <w:rsid w:val="00181FCC"/>
    <w:rsid w:val="0018206D"/>
    <w:rsid w:val="0018207F"/>
    <w:rsid w:val="0018209C"/>
    <w:rsid w:val="001820DD"/>
    <w:rsid w:val="00182166"/>
    <w:rsid w:val="00182190"/>
    <w:rsid w:val="0018219A"/>
    <w:rsid w:val="001821E1"/>
    <w:rsid w:val="001821E8"/>
    <w:rsid w:val="00182291"/>
    <w:rsid w:val="0018235C"/>
    <w:rsid w:val="0018238B"/>
    <w:rsid w:val="0018239C"/>
    <w:rsid w:val="001823DE"/>
    <w:rsid w:val="00182425"/>
    <w:rsid w:val="0018246A"/>
    <w:rsid w:val="00182509"/>
    <w:rsid w:val="0018255B"/>
    <w:rsid w:val="0018261F"/>
    <w:rsid w:val="0018266E"/>
    <w:rsid w:val="001826BD"/>
    <w:rsid w:val="001826E8"/>
    <w:rsid w:val="00182712"/>
    <w:rsid w:val="0018274B"/>
    <w:rsid w:val="00182826"/>
    <w:rsid w:val="001828A9"/>
    <w:rsid w:val="00182927"/>
    <w:rsid w:val="00182A16"/>
    <w:rsid w:val="00182A8D"/>
    <w:rsid w:val="00182B31"/>
    <w:rsid w:val="00182BA6"/>
    <w:rsid w:val="00182BB0"/>
    <w:rsid w:val="00182C45"/>
    <w:rsid w:val="00182D3D"/>
    <w:rsid w:val="00182DD0"/>
    <w:rsid w:val="00182DEC"/>
    <w:rsid w:val="00182E08"/>
    <w:rsid w:val="00182E3A"/>
    <w:rsid w:val="00182E4B"/>
    <w:rsid w:val="00182EEF"/>
    <w:rsid w:val="00182F78"/>
    <w:rsid w:val="00182F8C"/>
    <w:rsid w:val="00182F9C"/>
    <w:rsid w:val="00183017"/>
    <w:rsid w:val="00183030"/>
    <w:rsid w:val="0018303B"/>
    <w:rsid w:val="00183041"/>
    <w:rsid w:val="00183080"/>
    <w:rsid w:val="001830AA"/>
    <w:rsid w:val="001830E4"/>
    <w:rsid w:val="001831A7"/>
    <w:rsid w:val="0018324D"/>
    <w:rsid w:val="00183275"/>
    <w:rsid w:val="001832EE"/>
    <w:rsid w:val="0018342D"/>
    <w:rsid w:val="001834C7"/>
    <w:rsid w:val="00183595"/>
    <w:rsid w:val="001835A3"/>
    <w:rsid w:val="00183646"/>
    <w:rsid w:val="00183697"/>
    <w:rsid w:val="001836D9"/>
    <w:rsid w:val="001837B1"/>
    <w:rsid w:val="0018382D"/>
    <w:rsid w:val="0018384D"/>
    <w:rsid w:val="0018385A"/>
    <w:rsid w:val="0018386A"/>
    <w:rsid w:val="001838CC"/>
    <w:rsid w:val="001839F4"/>
    <w:rsid w:val="00183A02"/>
    <w:rsid w:val="00183A2E"/>
    <w:rsid w:val="00183A7E"/>
    <w:rsid w:val="00183ABF"/>
    <w:rsid w:val="00183B18"/>
    <w:rsid w:val="00183B5D"/>
    <w:rsid w:val="00183B61"/>
    <w:rsid w:val="00183B93"/>
    <w:rsid w:val="00183B98"/>
    <w:rsid w:val="00183BAD"/>
    <w:rsid w:val="00183C4E"/>
    <w:rsid w:val="00183CC9"/>
    <w:rsid w:val="00183D3E"/>
    <w:rsid w:val="00183DA2"/>
    <w:rsid w:val="00183F0A"/>
    <w:rsid w:val="0018401E"/>
    <w:rsid w:val="00184048"/>
    <w:rsid w:val="00184093"/>
    <w:rsid w:val="001840CB"/>
    <w:rsid w:val="00184126"/>
    <w:rsid w:val="00184159"/>
    <w:rsid w:val="00184177"/>
    <w:rsid w:val="00184210"/>
    <w:rsid w:val="00184217"/>
    <w:rsid w:val="0018421F"/>
    <w:rsid w:val="00184228"/>
    <w:rsid w:val="00184261"/>
    <w:rsid w:val="00184321"/>
    <w:rsid w:val="00184394"/>
    <w:rsid w:val="00184482"/>
    <w:rsid w:val="001844BA"/>
    <w:rsid w:val="001844F9"/>
    <w:rsid w:val="0018457A"/>
    <w:rsid w:val="0018459F"/>
    <w:rsid w:val="001845AF"/>
    <w:rsid w:val="00184605"/>
    <w:rsid w:val="00184622"/>
    <w:rsid w:val="00184662"/>
    <w:rsid w:val="0018466E"/>
    <w:rsid w:val="001846CA"/>
    <w:rsid w:val="001846D1"/>
    <w:rsid w:val="00184741"/>
    <w:rsid w:val="0018475E"/>
    <w:rsid w:val="0018479C"/>
    <w:rsid w:val="001847CA"/>
    <w:rsid w:val="0018480F"/>
    <w:rsid w:val="001848E0"/>
    <w:rsid w:val="00184958"/>
    <w:rsid w:val="001849ED"/>
    <w:rsid w:val="00184AA0"/>
    <w:rsid w:val="00184AB3"/>
    <w:rsid w:val="00184ABD"/>
    <w:rsid w:val="00184B11"/>
    <w:rsid w:val="00184B3A"/>
    <w:rsid w:val="00184BC7"/>
    <w:rsid w:val="00184BD1"/>
    <w:rsid w:val="00184C00"/>
    <w:rsid w:val="00184C1F"/>
    <w:rsid w:val="00184C2E"/>
    <w:rsid w:val="00184CEF"/>
    <w:rsid w:val="00184D28"/>
    <w:rsid w:val="00184D29"/>
    <w:rsid w:val="00184D7B"/>
    <w:rsid w:val="00184DA2"/>
    <w:rsid w:val="00184DCC"/>
    <w:rsid w:val="00184F23"/>
    <w:rsid w:val="00184F4B"/>
    <w:rsid w:val="00184F4C"/>
    <w:rsid w:val="00184F4E"/>
    <w:rsid w:val="00184F53"/>
    <w:rsid w:val="00184FE7"/>
    <w:rsid w:val="00184FED"/>
    <w:rsid w:val="0018500A"/>
    <w:rsid w:val="0018502A"/>
    <w:rsid w:val="0018506B"/>
    <w:rsid w:val="00185076"/>
    <w:rsid w:val="00185098"/>
    <w:rsid w:val="001850E5"/>
    <w:rsid w:val="001850FB"/>
    <w:rsid w:val="0018511C"/>
    <w:rsid w:val="001851BD"/>
    <w:rsid w:val="001851D5"/>
    <w:rsid w:val="001851DD"/>
    <w:rsid w:val="00185222"/>
    <w:rsid w:val="0018523E"/>
    <w:rsid w:val="001852A3"/>
    <w:rsid w:val="001853ED"/>
    <w:rsid w:val="0018540E"/>
    <w:rsid w:val="00185411"/>
    <w:rsid w:val="00185444"/>
    <w:rsid w:val="00185493"/>
    <w:rsid w:val="00185524"/>
    <w:rsid w:val="00185553"/>
    <w:rsid w:val="001855C5"/>
    <w:rsid w:val="001856BB"/>
    <w:rsid w:val="001857A3"/>
    <w:rsid w:val="00185820"/>
    <w:rsid w:val="00185848"/>
    <w:rsid w:val="001858D4"/>
    <w:rsid w:val="0018591E"/>
    <w:rsid w:val="0018593B"/>
    <w:rsid w:val="001859B5"/>
    <w:rsid w:val="00185B2D"/>
    <w:rsid w:val="00185B6A"/>
    <w:rsid w:val="00185B9F"/>
    <w:rsid w:val="00185BCB"/>
    <w:rsid w:val="00185BF0"/>
    <w:rsid w:val="00185C31"/>
    <w:rsid w:val="00185C4E"/>
    <w:rsid w:val="00185CB7"/>
    <w:rsid w:val="00185D8E"/>
    <w:rsid w:val="00185E29"/>
    <w:rsid w:val="00185E55"/>
    <w:rsid w:val="00185E8E"/>
    <w:rsid w:val="00185EA4"/>
    <w:rsid w:val="00185F48"/>
    <w:rsid w:val="00185F69"/>
    <w:rsid w:val="00186060"/>
    <w:rsid w:val="00186082"/>
    <w:rsid w:val="00186162"/>
    <w:rsid w:val="0018617A"/>
    <w:rsid w:val="001861BC"/>
    <w:rsid w:val="00186202"/>
    <w:rsid w:val="001862EA"/>
    <w:rsid w:val="0018630E"/>
    <w:rsid w:val="00186324"/>
    <w:rsid w:val="00186463"/>
    <w:rsid w:val="00186492"/>
    <w:rsid w:val="001864B3"/>
    <w:rsid w:val="00186570"/>
    <w:rsid w:val="0018657C"/>
    <w:rsid w:val="001865CD"/>
    <w:rsid w:val="00186744"/>
    <w:rsid w:val="001867B3"/>
    <w:rsid w:val="00186804"/>
    <w:rsid w:val="0018682F"/>
    <w:rsid w:val="0018693E"/>
    <w:rsid w:val="001869B0"/>
    <w:rsid w:val="001869CB"/>
    <w:rsid w:val="001869D5"/>
    <w:rsid w:val="00186A08"/>
    <w:rsid w:val="00186A18"/>
    <w:rsid w:val="00186A2C"/>
    <w:rsid w:val="00186A3C"/>
    <w:rsid w:val="00186A5E"/>
    <w:rsid w:val="00186A9D"/>
    <w:rsid w:val="00186B16"/>
    <w:rsid w:val="00186C63"/>
    <w:rsid w:val="00186DA9"/>
    <w:rsid w:val="00186DB3"/>
    <w:rsid w:val="00186E40"/>
    <w:rsid w:val="00186E72"/>
    <w:rsid w:val="00186E9F"/>
    <w:rsid w:val="00186EDC"/>
    <w:rsid w:val="00186F6B"/>
    <w:rsid w:val="00186F6D"/>
    <w:rsid w:val="00186FE2"/>
    <w:rsid w:val="0018701B"/>
    <w:rsid w:val="001870CE"/>
    <w:rsid w:val="001870F3"/>
    <w:rsid w:val="0018712E"/>
    <w:rsid w:val="0018729A"/>
    <w:rsid w:val="001872C7"/>
    <w:rsid w:val="00187321"/>
    <w:rsid w:val="00187331"/>
    <w:rsid w:val="001873A3"/>
    <w:rsid w:val="001873DB"/>
    <w:rsid w:val="00187424"/>
    <w:rsid w:val="00187439"/>
    <w:rsid w:val="0018743C"/>
    <w:rsid w:val="00187466"/>
    <w:rsid w:val="001874DE"/>
    <w:rsid w:val="0018752F"/>
    <w:rsid w:val="0018757A"/>
    <w:rsid w:val="00187589"/>
    <w:rsid w:val="001875B4"/>
    <w:rsid w:val="0018764B"/>
    <w:rsid w:val="00187695"/>
    <w:rsid w:val="001876D7"/>
    <w:rsid w:val="00187788"/>
    <w:rsid w:val="001877CF"/>
    <w:rsid w:val="00187828"/>
    <w:rsid w:val="00187830"/>
    <w:rsid w:val="001878BC"/>
    <w:rsid w:val="001878DD"/>
    <w:rsid w:val="00187901"/>
    <w:rsid w:val="0018794D"/>
    <w:rsid w:val="00187996"/>
    <w:rsid w:val="001879F2"/>
    <w:rsid w:val="00187A4A"/>
    <w:rsid w:val="00187A6C"/>
    <w:rsid w:val="00187A71"/>
    <w:rsid w:val="00187A90"/>
    <w:rsid w:val="00187ACF"/>
    <w:rsid w:val="00187B35"/>
    <w:rsid w:val="00187B9B"/>
    <w:rsid w:val="00187C8C"/>
    <w:rsid w:val="00187C9A"/>
    <w:rsid w:val="00187D2C"/>
    <w:rsid w:val="00187D58"/>
    <w:rsid w:val="00187D7D"/>
    <w:rsid w:val="00187F1A"/>
    <w:rsid w:val="00187F38"/>
    <w:rsid w:val="00187FEC"/>
    <w:rsid w:val="0019001F"/>
    <w:rsid w:val="00190088"/>
    <w:rsid w:val="00190165"/>
    <w:rsid w:val="0019029D"/>
    <w:rsid w:val="001902A1"/>
    <w:rsid w:val="00190332"/>
    <w:rsid w:val="0019037F"/>
    <w:rsid w:val="001903E5"/>
    <w:rsid w:val="0019041D"/>
    <w:rsid w:val="0019045A"/>
    <w:rsid w:val="00190483"/>
    <w:rsid w:val="00190497"/>
    <w:rsid w:val="001904D9"/>
    <w:rsid w:val="001904FA"/>
    <w:rsid w:val="00190514"/>
    <w:rsid w:val="0019053F"/>
    <w:rsid w:val="00190546"/>
    <w:rsid w:val="0019054C"/>
    <w:rsid w:val="00190595"/>
    <w:rsid w:val="001905F3"/>
    <w:rsid w:val="0019085F"/>
    <w:rsid w:val="0019086E"/>
    <w:rsid w:val="00190879"/>
    <w:rsid w:val="00190892"/>
    <w:rsid w:val="00190A11"/>
    <w:rsid w:val="00190A59"/>
    <w:rsid w:val="00190A79"/>
    <w:rsid w:val="00190B0B"/>
    <w:rsid w:val="00190B1E"/>
    <w:rsid w:val="00190BA8"/>
    <w:rsid w:val="00190C06"/>
    <w:rsid w:val="00190C15"/>
    <w:rsid w:val="00190C95"/>
    <w:rsid w:val="00190D09"/>
    <w:rsid w:val="00190D23"/>
    <w:rsid w:val="00190DD7"/>
    <w:rsid w:val="00190DD9"/>
    <w:rsid w:val="00190E20"/>
    <w:rsid w:val="00190E80"/>
    <w:rsid w:val="00190E99"/>
    <w:rsid w:val="00190EAA"/>
    <w:rsid w:val="00190ED4"/>
    <w:rsid w:val="00190FDF"/>
    <w:rsid w:val="0019103F"/>
    <w:rsid w:val="001910D5"/>
    <w:rsid w:val="001910E6"/>
    <w:rsid w:val="0019115B"/>
    <w:rsid w:val="0019117B"/>
    <w:rsid w:val="001911CD"/>
    <w:rsid w:val="001911E3"/>
    <w:rsid w:val="00191238"/>
    <w:rsid w:val="00191270"/>
    <w:rsid w:val="00191274"/>
    <w:rsid w:val="001912A5"/>
    <w:rsid w:val="001913AA"/>
    <w:rsid w:val="001913CC"/>
    <w:rsid w:val="00191444"/>
    <w:rsid w:val="00191459"/>
    <w:rsid w:val="00191488"/>
    <w:rsid w:val="001914AB"/>
    <w:rsid w:val="001914C5"/>
    <w:rsid w:val="001914F9"/>
    <w:rsid w:val="0019155F"/>
    <w:rsid w:val="0019156D"/>
    <w:rsid w:val="0019157C"/>
    <w:rsid w:val="001915E2"/>
    <w:rsid w:val="0019163A"/>
    <w:rsid w:val="00191678"/>
    <w:rsid w:val="0019168B"/>
    <w:rsid w:val="001916D7"/>
    <w:rsid w:val="00191737"/>
    <w:rsid w:val="001917AE"/>
    <w:rsid w:val="001917DE"/>
    <w:rsid w:val="00191847"/>
    <w:rsid w:val="0019184B"/>
    <w:rsid w:val="0019186A"/>
    <w:rsid w:val="0019188E"/>
    <w:rsid w:val="001919AC"/>
    <w:rsid w:val="00191A07"/>
    <w:rsid w:val="00191A14"/>
    <w:rsid w:val="00191A80"/>
    <w:rsid w:val="00191AB5"/>
    <w:rsid w:val="00191B21"/>
    <w:rsid w:val="00191B22"/>
    <w:rsid w:val="00191BA9"/>
    <w:rsid w:val="00191CB2"/>
    <w:rsid w:val="00191D2C"/>
    <w:rsid w:val="00191D46"/>
    <w:rsid w:val="00191E9C"/>
    <w:rsid w:val="00191F0B"/>
    <w:rsid w:val="00191F0D"/>
    <w:rsid w:val="00191F1A"/>
    <w:rsid w:val="00191F53"/>
    <w:rsid w:val="00192033"/>
    <w:rsid w:val="00192068"/>
    <w:rsid w:val="001920A3"/>
    <w:rsid w:val="001920C5"/>
    <w:rsid w:val="001920E8"/>
    <w:rsid w:val="0019210C"/>
    <w:rsid w:val="0019213C"/>
    <w:rsid w:val="0019217B"/>
    <w:rsid w:val="001921AA"/>
    <w:rsid w:val="001921EC"/>
    <w:rsid w:val="001921F2"/>
    <w:rsid w:val="00192274"/>
    <w:rsid w:val="001922E0"/>
    <w:rsid w:val="001922EA"/>
    <w:rsid w:val="001922FC"/>
    <w:rsid w:val="0019234A"/>
    <w:rsid w:val="001923C6"/>
    <w:rsid w:val="001924D6"/>
    <w:rsid w:val="0019259D"/>
    <w:rsid w:val="00192623"/>
    <w:rsid w:val="00192674"/>
    <w:rsid w:val="00192677"/>
    <w:rsid w:val="00192688"/>
    <w:rsid w:val="00192762"/>
    <w:rsid w:val="001927F5"/>
    <w:rsid w:val="00192828"/>
    <w:rsid w:val="0019288C"/>
    <w:rsid w:val="001928A8"/>
    <w:rsid w:val="001928D9"/>
    <w:rsid w:val="00192910"/>
    <w:rsid w:val="00192982"/>
    <w:rsid w:val="00192AF6"/>
    <w:rsid w:val="00192AFE"/>
    <w:rsid w:val="00192B9F"/>
    <w:rsid w:val="00192BCC"/>
    <w:rsid w:val="00192BD9"/>
    <w:rsid w:val="00192C7A"/>
    <w:rsid w:val="00192CDF"/>
    <w:rsid w:val="00192D22"/>
    <w:rsid w:val="00192E73"/>
    <w:rsid w:val="00192E76"/>
    <w:rsid w:val="00192E7C"/>
    <w:rsid w:val="00192F22"/>
    <w:rsid w:val="00192F62"/>
    <w:rsid w:val="00192F89"/>
    <w:rsid w:val="00192FF4"/>
    <w:rsid w:val="00193007"/>
    <w:rsid w:val="00193010"/>
    <w:rsid w:val="00193089"/>
    <w:rsid w:val="001930A5"/>
    <w:rsid w:val="001930F9"/>
    <w:rsid w:val="00193104"/>
    <w:rsid w:val="00193113"/>
    <w:rsid w:val="0019316B"/>
    <w:rsid w:val="001931EF"/>
    <w:rsid w:val="001933AA"/>
    <w:rsid w:val="001933E1"/>
    <w:rsid w:val="00193487"/>
    <w:rsid w:val="001934AD"/>
    <w:rsid w:val="001934D9"/>
    <w:rsid w:val="00193503"/>
    <w:rsid w:val="001935C9"/>
    <w:rsid w:val="00193625"/>
    <w:rsid w:val="00193635"/>
    <w:rsid w:val="0019363C"/>
    <w:rsid w:val="00193664"/>
    <w:rsid w:val="001936D1"/>
    <w:rsid w:val="001936FD"/>
    <w:rsid w:val="00193700"/>
    <w:rsid w:val="001938C5"/>
    <w:rsid w:val="001938CA"/>
    <w:rsid w:val="001938E3"/>
    <w:rsid w:val="00193A16"/>
    <w:rsid w:val="00193B16"/>
    <w:rsid w:val="00193B1C"/>
    <w:rsid w:val="00193B5D"/>
    <w:rsid w:val="00193B8C"/>
    <w:rsid w:val="00193BE9"/>
    <w:rsid w:val="00193C09"/>
    <w:rsid w:val="00193C3E"/>
    <w:rsid w:val="00193C46"/>
    <w:rsid w:val="00193C8D"/>
    <w:rsid w:val="00193CD9"/>
    <w:rsid w:val="00193D04"/>
    <w:rsid w:val="00193DB5"/>
    <w:rsid w:val="00193DDC"/>
    <w:rsid w:val="00193DF0"/>
    <w:rsid w:val="00193E03"/>
    <w:rsid w:val="00193E2A"/>
    <w:rsid w:val="00193ED3"/>
    <w:rsid w:val="00193F22"/>
    <w:rsid w:val="00194031"/>
    <w:rsid w:val="001940AD"/>
    <w:rsid w:val="001940FA"/>
    <w:rsid w:val="0019412A"/>
    <w:rsid w:val="00194261"/>
    <w:rsid w:val="0019431E"/>
    <w:rsid w:val="0019440B"/>
    <w:rsid w:val="00194459"/>
    <w:rsid w:val="00194486"/>
    <w:rsid w:val="001944C5"/>
    <w:rsid w:val="001944CE"/>
    <w:rsid w:val="001944F9"/>
    <w:rsid w:val="00194535"/>
    <w:rsid w:val="0019457F"/>
    <w:rsid w:val="00194599"/>
    <w:rsid w:val="001945DE"/>
    <w:rsid w:val="0019464C"/>
    <w:rsid w:val="00194658"/>
    <w:rsid w:val="001946D0"/>
    <w:rsid w:val="001946FD"/>
    <w:rsid w:val="0019474E"/>
    <w:rsid w:val="00194751"/>
    <w:rsid w:val="0019476B"/>
    <w:rsid w:val="00194832"/>
    <w:rsid w:val="001948F7"/>
    <w:rsid w:val="001948FF"/>
    <w:rsid w:val="00194906"/>
    <w:rsid w:val="0019497B"/>
    <w:rsid w:val="00194A07"/>
    <w:rsid w:val="00194A52"/>
    <w:rsid w:val="00194A6A"/>
    <w:rsid w:val="00194A7E"/>
    <w:rsid w:val="00194AB9"/>
    <w:rsid w:val="00194B53"/>
    <w:rsid w:val="00194B6D"/>
    <w:rsid w:val="00194B8C"/>
    <w:rsid w:val="00194C02"/>
    <w:rsid w:val="00194D2D"/>
    <w:rsid w:val="00194D64"/>
    <w:rsid w:val="00194DA1"/>
    <w:rsid w:val="00194E23"/>
    <w:rsid w:val="00194F40"/>
    <w:rsid w:val="00194F6A"/>
    <w:rsid w:val="00195016"/>
    <w:rsid w:val="00195054"/>
    <w:rsid w:val="0019506C"/>
    <w:rsid w:val="0019511F"/>
    <w:rsid w:val="00195167"/>
    <w:rsid w:val="0019518A"/>
    <w:rsid w:val="001951BD"/>
    <w:rsid w:val="00195218"/>
    <w:rsid w:val="001953D1"/>
    <w:rsid w:val="001954F0"/>
    <w:rsid w:val="001954F1"/>
    <w:rsid w:val="001954FD"/>
    <w:rsid w:val="00195573"/>
    <w:rsid w:val="00195579"/>
    <w:rsid w:val="0019559F"/>
    <w:rsid w:val="00195636"/>
    <w:rsid w:val="00195739"/>
    <w:rsid w:val="00195745"/>
    <w:rsid w:val="0019574E"/>
    <w:rsid w:val="00195754"/>
    <w:rsid w:val="001957CC"/>
    <w:rsid w:val="001957EB"/>
    <w:rsid w:val="001957ED"/>
    <w:rsid w:val="00195805"/>
    <w:rsid w:val="00195813"/>
    <w:rsid w:val="00195826"/>
    <w:rsid w:val="0019587F"/>
    <w:rsid w:val="00195892"/>
    <w:rsid w:val="001958F6"/>
    <w:rsid w:val="0019595A"/>
    <w:rsid w:val="0019596F"/>
    <w:rsid w:val="001959CC"/>
    <w:rsid w:val="00195A2E"/>
    <w:rsid w:val="00195A37"/>
    <w:rsid w:val="00195A6A"/>
    <w:rsid w:val="00195A91"/>
    <w:rsid w:val="00195AD7"/>
    <w:rsid w:val="00195ADD"/>
    <w:rsid w:val="00195B08"/>
    <w:rsid w:val="00195BA6"/>
    <w:rsid w:val="00195BE2"/>
    <w:rsid w:val="00195BF5"/>
    <w:rsid w:val="00195C75"/>
    <w:rsid w:val="00195CBB"/>
    <w:rsid w:val="00195D6C"/>
    <w:rsid w:val="00195DE8"/>
    <w:rsid w:val="00195E44"/>
    <w:rsid w:val="00195F68"/>
    <w:rsid w:val="00196015"/>
    <w:rsid w:val="001960B3"/>
    <w:rsid w:val="001961E8"/>
    <w:rsid w:val="0019620D"/>
    <w:rsid w:val="00196213"/>
    <w:rsid w:val="00196227"/>
    <w:rsid w:val="0019624E"/>
    <w:rsid w:val="001962B6"/>
    <w:rsid w:val="0019645D"/>
    <w:rsid w:val="0019648B"/>
    <w:rsid w:val="001964B8"/>
    <w:rsid w:val="001964F0"/>
    <w:rsid w:val="001964F5"/>
    <w:rsid w:val="00196511"/>
    <w:rsid w:val="00196515"/>
    <w:rsid w:val="00196561"/>
    <w:rsid w:val="00196580"/>
    <w:rsid w:val="001965B6"/>
    <w:rsid w:val="001965C4"/>
    <w:rsid w:val="001965ED"/>
    <w:rsid w:val="001966DF"/>
    <w:rsid w:val="00196704"/>
    <w:rsid w:val="00196718"/>
    <w:rsid w:val="0019674F"/>
    <w:rsid w:val="00196864"/>
    <w:rsid w:val="001968D2"/>
    <w:rsid w:val="0019694C"/>
    <w:rsid w:val="00196A11"/>
    <w:rsid w:val="00196A66"/>
    <w:rsid w:val="00196A88"/>
    <w:rsid w:val="00196A95"/>
    <w:rsid w:val="00196A9B"/>
    <w:rsid w:val="00196AA5"/>
    <w:rsid w:val="00196B45"/>
    <w:rsid w:val="00196BD9"/>
    <w:rsid w:val="00196BEE"/>
    <w:rsid w:val="00196C96"/>
    <w:rsid w:val="00196CFB"/>
    <w:rsid w:val="00196D89"/>
    <w:rsid w:val="00196DBE"/>
    <w:rsid w:val="00196E05"/>
    <w:rsid w:val="00196E34"/>
    <w:rsid w:val="00196EFC"/>
    <w:rsid w:val="00196F61"/>
    <w:rsid w:val="00196F7D"/>
    <w:rsid w:val="00196FB8"/>
    <w:rsid w:val="00196FEB"/>
    <w:rsid w:val="00197019"/>
    <w:rsid w:val="00197230"/>
    <w:rsid w:val="00197291"/>
    <w:rsid w:val="0019730B"/>
    <w:rsid w:val="0019730F"/>
    <w:rsid w:val="00197379"/>
    <w:rsid w:val="001973F5"/>
    <w:rsid w:val="0019741B"/>
    <w:rsid w:val="00197437"/>
    <w:rsid w:val="00197473"/>
    <w:rsid w:val="001974C0"/>
    <w:rsid w:val="00197500"/>
    <w:rsid w:val="0019751A"/>
    <w:rsid w:val="00197549"/>
    <w:rsid w:val="00197595"/>
    <w:rsid w:val="001975BB"/>
    <w:rsid w:val="001976D0"/>
    <w:rsid w:val="00197703"/>
    <w:rsid w:val="00197798"/>
    <w:rsid w:val="001977D8"/>
    <w:rsid w:val="001977F2"/>
    <w:rsid w:val="001977FB"/>
    <w:rsid w:val="0019792B"/>
    <w:rsid w:val="00197942"/>
    <w:rsid w:val="00197950"/>
    <w:rsid w:val="00197A48"/>
    <w:rsid w:val="00197A79"/>
    <w:rsid w:val="00197BA6"/>
    <w:rsid w:val="00197C0D"/>
    <w:rsid w:val="00197D1B"/>
    <w:rsid w:val="00197DC3"/>
    <w:rsid w:val="00197F3D"/>
    <w:rsid w:val="00197FDE"/>
    <w:rsid w:val="001A0046"/>
    <w:rsid w:val="001A0048"/>
    <w:rsid w:val="001A0059"/>
    <w:rsid w:val="001A00A4"/>
    <w:rsid w:val="001A0122"/>
    <w:rsid w:val="001A01C5"/>
    <w:rsid w:val="001A0268"/>
    <w:rsid w:val="001A02C5"/>
    <w:rsid w:val="001A0390"/>
    <w:rsid w:val="001A042F"/>
    <w:rsid w:val="001A05A9"/>
    <w:rsid w:val="001A05AD"/>
    <w:rsid w:val="001A05F5"/>
    <w:rsid w:val="001A0632"/>
    <w:rsid w:val="001A0635"/>
    <w:rsid w:val="001A065B"/>
    <w:rsid w:val="001A06FB"/>
    <w:rsid w:val="001A0712"/>
    <w:rsid w:val="001A0751"/>
    <w:rsid w:val="001A0798"/>
    <w:rsid w:val="001A0946"/>
    <w:rsid w:val="001A09CB"/>
    <w:rsid w:val="001A0AB8"/>
    <w:rsid w:val="001A0DF2"/>
    <w:rsid w:val="001A0DF4"/>
    <w:rsid w:val="001A0F09"/>
    <w:rsid w:val="001A0F40"/>
    <w:rsid w:val="001A0FD5"/>
    <w:rsid w:val="001A0FD6"/>
    <w:rsid w:val="001A101B"/>
    <w:rsid w:val="001A10B7"/>
    <w:rsid w:val="001A10CA"/>
    <w:rsid w:val="001A10CB"/>
    <w:rsid w:val="001A1162"/>
    <w:rsid w:val="001A116D"/>
    <w:rsid w:val="001A1341"/>
    <w:rsid w:val="001A138C"/>
    <w:rsid w:val="001A13B2"/>
    <w:rsid w:val="001A13F2"/>
    <w:rsid w:val="001A14B0"/>
    <w:rsid w:val="001A14EB"/>
    <w:rsid w:val="001A1504"/>
    <w:rsid w:val="001A1510"/>
    <w:rsid w:val="001A165F"/>
    <w:rsid w:val="001A16E2"/>
    <w:rsid w:val="001A16F9"/>
    <w:rsid w:val="001A178C"/>
    <w:rsid w:val="001A17C8"/>
    <w:rsid w:val="001A17D1"/>
    <w:rsid w:val="001A1861"/>
    <w:rsid w:val="001A187F"/>
    <w:rsid w:val="001A18D3"/>
    <w:rsid w:val="001A19C5"/>
    <w:rsid w:val="001A1A47"/>
    <w:rsid w:val="001A1B00"/>
    <w:rsid w:val="001A1B3C"/>
    <w:rsid w:val="001A1BD7"/>
    <w:rsid w:val="001A1BF3"/>
    <w:rsid w:val="001A1C04"/>
    <w:rsid w:val="001A1C34"/>
    <w:rsid w:val="001A1C80"/>
    <w:rsid w:val="001A1CD6"/>
    <w:rsid w:val="001A1CF8"/>
    <w:rsid w:val="001A1D55"/>
    <w:rsid w:val="001A1D5B"/>
    <w:rsid w:val="001A1E63"/>
    <w:rsid w:val="001A1E6F"/>
    <w:rsid w:val="001A1F2F"/>
    <w:rsid w:val="001A209D"/>
    <w:rsid w:val="001A224C"/>
    <w:rsid w:val="001A226F"/>
    <w:rsid w:val="001A23AA"/>
    <w:rsid w:val="001A23FA"/>
    <w:rsid w:val="001A2431"/>
    <w:rsid w:val="001A24E6"/>
    <w:rsid w:val="001A2660"/>
    <w:rsid w:val="001A26B5"/>
    <w:rsid w:val="001A26BA"/>
    <w:rsid w:val="001A26C5"/>
    <w:rsid w:val="001A26E1"/>
    <w:rsid w:val="001A287F"/>
    <w:rsid w:val="001A28D2"/>
    <w:rsid w:val="001A2A00"/>
    <w:rsid w:val="001A2A29"/>
    <w:rsid w:val="001A2A55"/>
    <w:rsid w:val="001A2AD3"/>
    <w:rsid w:val="001A2B0A"/>
    <w:rsid w:val="001A2BAE"/>
    <w:rsid w:val="001A2BB7"/>
    <w:rsid w:val="001A2BB8"/>
    <w:rsid w:val="001A2BF4"/>
    <w:rsid w:val="001A2C5B"/>
    <w:rsid w:val="001A2CA0"/>
    <w:rsid w:val="001A2D47"/>
    <w:rsid w:val="001A2DA0"/>
    <w:rsid w:val="001A2DC9"/>
    <w:rsid w:val="001A2EAB"/>
    <w:rsid w:val="001A2F07"/>
    <w:rsid w:val="001A2F3C"/>
    <w:rsid w:val="001A2F53"/>
    <w:rsid w:val="001A2F8A"/>
    <w:rsid w:val="001A2FB8"/>
    <w:rsid w:val="001A3011"/>
    <w:rsid w:val="001A303C"/>
    <w:rsid w:val="001A306D"/>
    <w:rsid w:val="001A309E"/>
    <w:rsid w:val="001A314E"/>
    <w:rsid w:val="001A32D9"/>
    <w:rsid w:val="001A34A7"/>
    <w:rsid w:val="001A365D"/>
    <w:rsid w:val="001A368D"/>
    <w:rsid w:val="001A36DC"/>
    <w:rsid w:val="001A3763"/>
    <w:rsid w:val="001A378B"/>
    <w:rsid w:val="001A37C2"/>
    <w:rsid w:val="001A383A"/>
    <w:rsid w:val="001A38C1"/>
    <w:rsid w:val="001A39BE"/>
    <w:rsid w:val="001A39F5"/>
    <w:rsid w:val="001A3A21"/>
    <w:rsid w:val="001A3A32"/>
    <w:rsid w:val="001A3A33"/>
    <w:rsid w:val="001A3A7A"/>
    <w:rsid w:val="001A3AFE"/>
    <w:rsid w:val="001A3B11"/>
    <w:rsid w:val="001A3B29"/>
    <w:rsid w:val="001A3B2C"/>
    <w:rsid w:val="001A3B95"/>
    <w:rsid w:val="001A3C9D"/>
    <w:rsid w:val="001A3D3D"/>
    <w:rsid w:val="001A3E41"/>
    <w:rsid w:val="001A3E5D"/>
    <w:rsid w:val="001A4043"/>
    <w:rsid w:val="001A40EE"/>
    <w:rsid w:val="001A4144"/>
    <w:rsid w:val="001A4157"/>
    <w:rsid w:val="001A4199"/>
    <w:rsid w:val="001A41AE"/>
    <w:rsid w:val="001A41C0"/>
    <w:rsid w:val="001A422E"/>
    <w:rsid w:val="001A4291"/>
    <w:rsid w:val="001A4298"/>
    <w:rsid w:val="001A42E0"/>
    <w:rsid w:val="001A4396"/>
    <w:rsid w:val="001A43C1"/>
    <w:rsid w:val="001A43CB"/>
    <w:rsid w:val="001A4402"/>
    <w:rsid w:val="001A4466"/>
    <w:rsid w:val="001A446A"/>
    <w:rsid w:val="001A452F"/>
    <w:rsid w:val="001A45F9"/>
    <w:rsid w:val="001A4634"/>
    <w:rsid w:val="001A46E3"/>
    <w:rsid w:val="001A46FA"/>
    <w:rsid w:val="001A472F"/>
    <w:rsid w:val="001A481A"/>
    <w:rsid w:val="001A4966"/>
    <w:rsid w:val="001A496B"/>
    <w:rsid w:val="001A499C"/>
    <w:rsid w:val="001A499E"/>
    <w:rsid w:val="001A49A5"/>
    <w:rsid w:val="001A49BE"/>
    <w:rsid w:val="001A4A6C"/>
    <w:rsid w:val="001A4ACF"/>
    <w:rsid w:val="001A4B72"/>
    <w:rsid w:val="001A4BD3"/>
    <w:rsid w:val="001A4CBC"/>
    <w:rsid w:val="001A4CF1"/>
    <w:rsid w:val="001A4D4A"/>
    <w:rsid w:val="001A4E5E"/>
    <w:rsid w:val="001A4EBC"/>
    <w:rsid w:val="001A4ED8"/>
    <w:rsid w:val="001A4F12"/>
    <w:rsid w:val="001A4F34"/>
    <w:rsid w:val="001A4F7A"/>
    <w:rsid w:val="001A501A"/>
    <w:rsid w:val="001A5037"/>
    <w:rsid w:val="001A5043"/>
    <w:rsid w:val="001A5088"/>
    <w:rsid w:val="001A50AE"/>
    <w:rsid w:val="001A50CC"/>
    <w:rsid w:val="001A50E7"/>
    <w:rsid w:val="001A5168"/>
    <w:rsid w:val="001A51BE"/>
    <w:rsid w:val="001A51E2"/>
    <w:rsid w:val="001A51F6"/>
    <w:rsid w:val="001A52EB"/>
    <w:rsid w:val="001A534B"/>
    <w:rsid w:val="001A535D"/>
    <w:rsid w:val="001A537D"/>
    <w:rsid w:val="001A53A7"/>
    <w:rsid w:val="001A53B5"/>
    <w:rsid w:val="001A53BF"/>
    <w:rsid w:val="001A5424"/>
    <w:rsid w:val="001A5454"/>
    <w:rsid w:val="001A5475"/>
    <w:rsid w:val="001A5492"/>
    <w:rsid w:val="001A5543"/>
    <w:rsid w:val="001A55FE"/>
    <w:rsid w:val="001A562E"/>
    <w:rsid w:val="001A5704"/>
    <w:rsid w:val="001A5754"/>
    <w:rsid w:val="001A576E"/>
    <w:rsid w:val="001A5843"/>
    <w:rsid w:val="001A5888"/>
    <w:rsid w:val="001A58B8"/>
    <w:rsid w:val="001A5997"/>
    <w:rsid w:val="001A5A39"/>
    <w:rsid w:val="001A5AA9"/>
    <w:rsid w:val="001A5AF9"/>
    <w:rsid w:val="001A5B20"/>
    <w:rsid w:val="001A5B80"/>
    <w:rsid w:val="001A5BA0"/>
    <w:rsid w:val="001A5BE2"/>
    <w:rsid w:val="001A5C3F"/>
    <w:rsid w:val="001A5C9C"/>
    <w:rsid w:val="001A5CA5"/>
    <w:rsid w:val="001A5CDD"/>
    <w:rsid w:val="001A5DFC"/>
    <w:rsid w:val="001A5E48"/>
    <w:rsid w:val="001A5E83"/>
    <w:rsid w:val="001A5ED6"/>
    <w:rsid w:val="001A5F18"/>
    <w:rsid w:val="001A5F8E"/>
    <w:rsid w:val="001A5FA2"/>
    <w:rsid w:val="001A5FF3"/>
    <w:rsid w:val="001A600D"/>
    <w:rsid w:val="001A603A"/>
    <w:rsid w:val="001A6078"/>
    <w:rsid w:val="001A6083"/>
    <w:rsid w:val="001A6115"/>
    <w:rsid w:val="001A62DE"/>
    <w:rsid w:val="001A63A2"/>
    <w:rsid w:val="001A6471"/>
    <w:rsid w:val="001A64DF"/>
    <w:rsid w:val="001A64EA"/>
    <w:rsid w:val="001A6519"/>
    <w:rsid w:val="001A6547"/>
    <w:rsid w:val="001A6754"/>
    <w:rsid w:val="001A6781"/>
    <w:rsid w:val="001A67B6"/>
    <w:rsid w:val="001A67D1"/>
    <w:rsid w:val="001A68B7"/>
    <w:rsid w:val="001A6A2A"/>
    <w:rsid w:val="001A6C52"/>
    <w:rsid w:val="001A6C9F"/>
    <w:rsid w:val="001A6D7E"/>
    <w:rsid w:val="001A6E1C"/>
    <w:rsid w:val="001A6E5C"/>
    <w:rsid w:val="001A6E61"/>
    <w:rsid w:val="001A6E76"/>
    <w:rsid w:val="001A6E82"/>
    <w:rsid w:val="001A6F3D"/>
    <w:rsid w:val="001A6F53"/>
    <w:rsid w:val="001A6FA1"/>
    <w:rsid w:val="001A6FA5"/>
    <w:rsid w:val="001A6FFC"/>
    <w:rsid w:val="001A704F"/>
    <w:rsid w:val="001A7078"/>
    <w:rsid w:val="001A707A"/>
    <w:rsid w:val="001A7099"/>
    <w:rsid w:val="001A713B"/>
    <w:rsid w:val="001A71F9"/>
    <w:rsid w:val="001A7231"/>
    <w:rsid w:val="001A7264"/>
    <w:rsid w:val="001A7283"/>
    <w:rsid w:val="001A72EC"/>
    <w:rsid w:val="001A7344"/>
    <w:rsid w:val="001A75A9"/>
    <w:rsid w:val="001A7686"/>
    <w:rsid w:val="001A76AF"/>
    <w:rsid w:val="001A770C"/>
    <w:rsid w:val="001A777F"/>
    <w:rsid w:val="001A7850"/>
    <w:rsid w:val="001A78D8"/>
    <w:rsid w:val="001A7913"/>
    <w:rsid w:val="001A79A1"/>
    <w:rsid w:val="001A79D4"/>
    <w:rsid w:val="001A7A49"/>
    <w:rsid w:val="001A7A55"/>
    <w:rsid w:val="001A7AFF"/>
    <w:rsid w:val="001A7BFF"/>
    <w:rsid w:val="001A7CC1"/>
    <w:rsid w:val="001A7D40"/>
    <w:rsid w:val="001A7D51"/>
    <w:rsid w:val="001A7D93"/>
    <w:rsid w:val="001A7DC7"/>
    <w:rsid w:val="001A7E1C"/>
    <w:rsid w:val="001A7E63"/>
    <w:rsid w:val="001A7E69"/>
    <w:rsid w:val="001A7F7D"/>
    <w:rsid w:val="001A7F98"/>
    <w:rsid w:val="001AFF6F"/>
    <w:rsid w:val="001B0036"/>
    <w:rsid w:val="001B009F"/>
    <w:rsid w:val="001B024E"/>
    <w:rsid w:val="001B02AF"/>
    <w:rsid w:val="001B03AE"/>
    <w:rsid w:val="001B03EF"/>
    <w:rsid w:val="001B03FE"/>
    <w:rsid w:val="001B04B4"/>
    <w:rsid w:val="001B04D3"/>
    <w:rsid w:val="001B04F8"/>
    <w:rsid w:val="001B0588"/>
    <w:rsid w:val="001B05B5"/>
    <w:rsid w:val="001B05E6"/>
    <w:rsid w:val="001B0633"/>
    <w:rsid w:val="001B067B"/>
    <w:rsid w:val="001B0695"/>
    <w:rsid w:val="001B06B8"/>
    <w:rsid w:val="001B06E1"/>
    <w:rsid w:val="001B06F7"/>
    <w:rsid w:val="001B06FB"/>
    <w:rsid w:val="001B071B"/>
    <w:rsid w:val="001B07F7"/>
    <w:rsid w:val="001B08AD"/>
    <w:rsid w:val="001B08B0"/>
    <w:rsid w:val="001B08C6"/>
    <w:rsid w:val="001B0928"/>
    <w:rsid w:val="001B0963"/>
    <w:rsid w:val="001B0977"/>
    <w:rsid w:val="001B09A6"/>
    <w:rsid w:val="001B09D1"/>
    <w:rsid w:val="001B09F0"/>
    <w:rsid w:val="001B0A63"/>
    <w:rsid w:val="001B0AE8"/>
    <w:rsid w:val="001B0B36"/>
    <w:rsid w:val="001B0B96"/>
    <w:rsid w:val="001B0BC6"/>
    <w:rsid w:val="001B0BEF"/>
    <w:rsid w:val="001B0C08"/>
    <w:rsid w:val="001B0C15"/>
    <w:rsid w:val="001B0C25"/>
    <w:rsid w:val="001B0CB5"/>
    <w:rsid w:val="001B0CFB"/>
    <w:rsid w:val="001B0D62"/>
    <w:rsid w:val="001B0E4B"/>
    <w:rsid w:val="001B0ED3"/>
    <w:rsid w:val="001B0F3A"/>
    <w:rsid w:val="001B0FC7"/>
    <w:rsid w:val="001B103A"/>
    <w:rsid w:val="001B108E"/>
    <w:rsid w:val="001B112C"/>
    <w:rsid w:val="001B1198"/>
    <w:rsid w:val="001B120E"/>
    <w:rsid w:val="001B12A9"/>
    <w:rsid w:val="001B1315"/>
    <w:rsid w:val="001B131D"/>
    <w:rsid w:val="001B134B"/>
    <w:rsid w:val="001B13B1"/>
    <w:rsid w:val="001B149D"/>
    <w:rsid w:val="001B14FC"/>
    <w:rsid w:val="001B1540"/>
    <w:rsid w:val="001B1611"/>
    <w:rsid w:val="001B163B"/>
    <w:rsid w:val="001B16E3"/>
    <w:rsid w:val="001B1867"/>
    <w:rsid w:val="001B1958"/>
    <w:rsid w:val="001B19B3"/>
    <w:rsid w:val="001B19DF"/>
    <w:rsid w:val="001B1A04"/>
    <w:rsid w:val="001B1A10"/>
    <w:rsid w:val="001B1A21"/>
    <w:rsid w:val="001B1A47"/>
    <w:rsid w:val="001B1A7F"/>
    <w:rsid w:val="001B1B25"/>
    <w:rsid w:val="001B1B50"/>
    <w:rsid w:val="001B1BC8"/>
    <w:rsid w:val="001B1C37"/>
    <w:rsid w:val="001B1C40"/>
    <w:rsid w:val="001B1C48"/>
    <w:rsid w:val="001B1D6F"/>
    <w:rsid w:val="001B1D92"/>
    <w:rsid w:val="001B1EB5"/>
    <w:rsid w:val="001B1EE0"/>
    <w:rsid w:val="001B1F74"/>
    <w:rsid w:val="001B1F75"/>
    <w:rsid w:val="001B1F9C"/>
    <w:rsid w:val="001B2085"/>
    <w:rsid w:val="001B2115"/>
    <w:rsid w:val="001B2136"/>
    <w:rsid w:val="001B2162"/>
    <w:rsid w:val="001B224F"/>
    <w:rsid w:val="001B229C"/>
    <w:rsid w:val="001B22C2"/>
    <w:rsid w:val="001B231F"/>
    <w:rsid w:val="001B2347"/>
    <w:rsid w:val="001B2365"/>
    <w:rsid w:val="001B249F"/>
    <w:rsid w:val="001B25E2"/>
    <w:rsid w:val="001B2600"/>
    <w:rsid w:val="001B263A"/>
    <w:rsid w:val="001B263F"/>
    <w:rsid w:val="001B2677"/>
    <w:rsid w:val="001B2728"/>
    <w:rsid w:val="001B2734"/>
    <w:rsid w:val="001B28FA"/>
    <w:rsid w:val="001B2948"/>
    <w:rsid w:val="001B2951"/>
    <w:rsid w:val="001B29CF"/>
    <w:rsid w:val="001B29E0"/>
    <w:rsid w:val="001B29E6"/>
    <w:rsid w:val="001B2A76"/>
    <w:rsid w:val="001B2A91"/>
    <w:rsid w:val="001B2B04"/>
    <w:rsid w:val="001B2B2A"/>
    <w:rsid w:val="001B2B6E"/>
    <w:rsid w:val="001B2BDB"/>
    <w:rsid w:val="001B2C74"/>
    <w:rsid w:val="001B2C94"/>
    <w:rsid w:val="001B2CEB"/>
    <w:rsid w:val="001B2D3D"/>
    <w:rsid w:val="001B2DE7"/>
    <w:rsid w:val="001B2E20"/>
    <w:rsid w:val="001B2E35"/>
    <w:rsid w:val="001B2F1B"/>
    <w:rsid w:val="001B302D"/>
    <w:rsid w:val="001B305C"/>
    <w:rsid w:val="001B313A"/>
    <w:rsid w:val="001B31C2"/>
    <w:rsid w:val="001B322C"/>
    <w:rsid w:val="001B32A1"/>
    <w:rsid w:val="001B3350"/>
    <w:rsid w:val="001B337D"/>
    <w:rsid w:val="001B342A"/>
    <w:rsid w:val="001B3448"/>
    <w:rsid w:val="001B3452"/>
    <w:rsid w:val="001B34E7"/>
    <w:rsid w:val="001B35C6"/>
    <w:rsid w:val="001B35D0"/>
    <w:rsid w:val="001B35FB"/>
    <w:rsid w:val="001B3648"/>
    <w:rsid w:val="001B3778"/>
    <w:rsid w:val="001B3793"/>
    <w:rsid w:val="001B3821"/>
    <w:rsid w:val="001B38CA"/>
    <w:rsid w:val="001B3993"/>
    <w:rsid w:val="001B39F5"/>
    <w:rsid w:val="001B3A65"/>
    <w:rsid w:val="001B3AF4"/>
    <w:rsid w:val="001B3B3D"/>
    <w:rsid w:val="001B3B6C"/>
    <w:rsid w:val="001B3BBC"/>
    <w:rsid w:val="001B3BC7"/>
    <w:rsid w:val="001B3BD7"/>
    <w:rsid w:val="001B3C74"/>
    <w:rsid w:val="001B3CA5"/>
    <w:rsid w:val="001B3CC9"/>
    <w:rsid w:val="001B3E0F"/>
    <w:rsid w:val="001B3F00"/>
    <w:rsid w:val="001B40C8"/>
    <w:rsid w:val="001B40E7"/>
    <w:rsid w:val="001B412B"/>
    <w:rsid w:val="001B4145"/>
    <w:rsid w:val="001B4150"/>
    <w:rsid w:val="001B4158"/>
    <w:rsid w:val="001B4182"/>
    <w:rsid w:val="001B419F"/>
    <w:rsid w:val="001B41D7"/>
    <w:rsid w:val="001B41E7"/>
    <w:rsid w:val="001B41F5"/>
    <w:rsid w:val="001B4242"/>
    <w:rsid w:val="001B4340"/>
    <w:rsid w:val="001B4347"/>
    <w:rsid w:val="001B4349"/>
    <w:rsid w:val="001B4366"/>
    <w:rsid w:val="001B4372"/>
    <w:rsid w:val="001B4396"/>
    <w:rsid w:val="001B444F"/>
    <w:rsid w:val="001B449C"/>
    <w:rsid w:val="001B44D1"/>
    <w:rsid w:val="001B4590"/>
    <w:rsid w:val="001B45E9"/>
    <w:rsid w:val="001B4621"/>
    <w:rsid w:val="001B4641"/>
    <w:rsid w:val="001B470E"/>
    <w:rsid w:val="001B4725"/>
    <w:rsid w:val="001B4794"/>
    <w:rsid w:val="001B47E9"/>
    <w:rsid w:val="001B4828"/>
    <w:rsid w:val="001B489A"/>
    <w:rsid w:val="001B4997"/>
    <w:rsid w:val="001B49A0"/>
    <w:rsid w:val="001B49BE"/>
    <w:rsid w:val="001B4B15"/>
    <w:rsid w:val="001B4B83"/>
    <w:rsid w:val="001B4B85"/>
    <w:rsid w:val="001B4B8E"/>
    <w:rsid w:val="001B4B9B"/>
    <w:rsid w:val="001B4D99"/>
    <w:rsid w:val="001B4ED0"/>
    <w:rsid w:val="001B4F0F"/>
    <w:rsid w:val="001B4FAF"/>
    <w:rsid w:val="001B5090"/>
    <w:rsid w:val="001B5119"/>
    <w:rsid w:val="001B5190"/>
    <w:rsid w:val="001B5216"/>
    <w:rsid w:val="001B5251"/>
    <w:rsid w:val="001B5279"/>
    <w:rsid w:val="001B52E8"/>
    <w:rsid w:val="001B5336"/>
    <w:rsid w:val="001B5385"/>
    <w:rsid w:val="001B5409"/>
    <w:rsid w:val="001B541D"/>
    <w:rsid w:val="001B5466"/>
    <w:rsid w:val="001B548B"/>
    <w:rsid w:val="001B54B9"/>
    <w:rsid w:val="001B54E8"/>
    <w:rsid w:val="001B551B"/>
    <w:rsid w:val="001B551E"/>
    <w:rsid w:val="001B5603"/>
    <w:rsid w:val="001B5642"/>
    <w:rsid w:val="001B56AD"/>
    <w:rsid w:val="001B56DD"/>
    <w:rsid w:val="001B579F"/>
    <w:rsid w:val="001B585D"/>
    <w:rsid w:val="001B588E"/>
    <w:rsid w:val="001B58CA"/>
    <w:rsid w:val="001B58D3"/>
    <w:rsid w:val="001B59F6"/>
    <w:rsid w:val="001B5A42"/>
    <w:rsid w:val="001B5AEF"/>
    <w:rsid w:val="001B5B01"/>
    <w:rsid w:val="001B5B3A"/>
    <w:rsid w:val="001B5B7E"/>
    <w:rsid w:val="001B5BEA"/>
    <w:rsid w:val="001B5C73"/>
    <w:rsid w:val="001B5C85"/>
    <w:rsid w:val="001B5CF6"/>
    <w:rsid w:val="001B5D24"/>
    <w:rsid w:val="001B5D5D"/>
    <w:rsid w:val="001B5DA5"/>
    <w:rsid w:val="001B5DA8"/>
    <w:rsid w:val="001B5E13"/>
    <w:rsid w:val="001B5E38"/>
    <w:rsid w:val="001B5E98"/>
    <w:rsid w:val="001B5EDC"/>
    <w:rsid w:val="001B5F09"/>
    <w:rsid w:val="001B5F55"/>
    <w:rsid w:val="001B5FC7"/>
    <w:rsid w:val="001B5FD2"/>
    <w:rsid w:val="001B5FDF"/>
    <w:rsid w:val="001B6085"/>
    <w:rsid w:val="001B608A"/>
    <w:rsid w:val="001B60D4"/>
    <w:rsid w:val="001B60E6"/>
    <w:rsid w:val="001B612B"/>
    <w:rsid w:val="001B6155"/>
    <w:rsid w:val="001B6174"/>
    <w:rsid w:val="001B61BD"/>
    <w:rsid w:val="001B61DA"/>
    <w:rsid w:val="001B622A"/>
    <w:rsid w:val="001B625C"/>
    <w:rsid w:val="001B6415"/>
    <w:rsid w:val="001B6451"/>
    <w:rsid w:val="001B645F"/>
    <w:rsid w:val="001B646A"/>
    <w:rsid w:val="001B650D"/>
    <w:rsid w:val="001B6535"/>
    <w:rsid w:val="001B653C"/>
    <w:rsid w:val="001B65CD"/>
    <w:rsid w:val="001B662A"/>
    <w:rsid w:val="001B66C4"/>
    <w:rsid w:val="001B66DF"/>
    <w:rsid w:val="001B66E6"/>
    <w:rsid w:val="001B6747"/>
    <w:rsid w:val="001B67C8"/>
    <w:rsid w:val="001B67E6"/>
    <w:rsid w:val="001B682B"/>
    <w:rsid w:val="001B6876"/>
    <w:rsid w:val="001B6895"/>
    <w:rsid w:val="001B68F1"/>
    <w:rsid w:val="001B68F9"/>
    <w:rsid w:val="001B6919"/>
    <w:rsid w:val="001B698E"/>
    <w:rsid w:val="001B69E0"/>
    <w:rsid w:val="001B69F8"/>
    <w:rsid w:val="001B6A47"/>
    <w:rsid w:val="001B6A9A"/>
    <w:rsid w:val="001B6AF2"/>
    <w:rsid w:val="001B6B89"/>
    <w:rsid w:val="001B6BEF"/>
    <w:rsid w:val="001B6CC1"/>
    <w:rsid w:val="001B6CD1"/>
    <w:rsid w:val="001B6CF0"/>
    <w:rsid w:val="001B6D6B"/>
    <w:rsid w:val="001B6DC7"/>
    <w:rsid w:val="001B6E26"/>
    <w:rsid w:val="001B6E90"/>
    <w:rsid w:val="001B6F02"/>
    <w:rsid w:val="001B6F3C"/>
    <w:rsid w:val="001B706B"/>
    <w:rsid w:val="001B7091"/>
    <w:rsid w:val="001B70C2"/>
    <w:rsid w:val="001B712E"/>
    <w:rsid w:val="001B7182"/>
    <w:rsid w:val="001B71D8"/>
    <w:rsid w:val="001B71EF"/>
    <w:rsid w:val="001B71F7"/>
    <w:rsid w:val="001B7279"/>
    <w:rsid w:val="001B72C1"/>
    <w:rsid w:val="001B72C7"/>
    <w:rsid w:val="001B72CD"/>
    <w:rsid w:val="001B72F9"/>
    <w:rsid w:val="001B7387"/>
    <w:rsid w:val="001B7395"/>
    <w:rsid w:val="001B73C2"/>
    <w:rsid w:val="001B7405"/>
    <w:rsid w:val="001B740A"/>
    <w:rsid w:val="001B7434"/>
    <w:rsid w:val="001B74F5"/>
    <w:rsid w:val="001B74FD"/>
    <w:rsid w:val="001B7537"/>
    <w:rsid w:val="001B7544"/>
    <w:rsid w:val="001B7585"/>
    <w:rsid w:val="001B75B3"/>
    <w:rsid w:val="001B75B6"/>
    <w:rsid w:val="001B75E8"/>
    <w:rsid w:val="001B7632"/>
    <w:rsid w:val="001B7642"/>
    <w:rsid w:val="001B7649"/>
    <w:rsid w:val="001B7673"/>
    <w:rsid w:val="001B76F0"/>
    <w:rsid w:val="001B76FA"/>
    <w:rsid w:val="001B772F"/>
    <w:rsid w:val="001B7794"/>
    <w:rsid w:val="001B77D3"/>
    <w:rsid w:val="001B77DC"/>
    <w:rsid w:val="001B7834"/>
    <w:rsid w:val="001B78A7"/>
    <w:rsid w:val="001B79EE"/>
    <w:rsid w:val="001B7B1F"/>
    <w:rsid w:val="001B7C1D"/>
    <w:rsid w:val="001B7C87"/>
    <w:rsid w:val="001B7C88"/>
    <w:rsid w:val="001B7CBB"/>
    <w:rsid w:val="001B7D1D"/>
    <w:rsid w:val="001B7DC2"/>
    <w:rsid w:val="001B7E31"/>
    <w:rsid w:val="001B7EB1"/>
    <w:rsid w:val="001B7F68"/>
    <w:rsid w:val="001B7FFA"/>
    <w:rsid w:val="001C0018"/>
    <w:rsid w:val="001C0088"/>
    <w:rsid w:val="001C0091"/>
    <w:rsid w:val="001C00A2"/>
    <w:rsid w:val="001C013A"/>
    <w:rsid w:val="001C0284"/>
    <w:rsid w:val="001C02A4"/>
    <w:rsid w:val="001C02DB"/>
    <w:rsid w:val="001C02F8"/>
    <w:rsid w:val="001C0357"/>
    <w:rsid w:val="001C035C"/>
    <w:rsid w:val="001C0383"/>
    <w:rsid w:val="001C044E"/>
    <w:rsid w:val="001C0494"/>
    <w:rsid w:val="001C049B"/>
    <w:rsid w:val="001C04E8"/>
    <w:rsid w:val="001C05E5"/>
    <w:rsid w:val="001C0624"/>
    <w:rsid w:val="001C0666"/>
    <w:rsid w:val="001C06E3"/>
    <w:rsid w:val="001C0700"/>
    <w:rsid w:val="001C075C"/>
    <w:rsid w:val="001C07A0"/>
    <w:rsid w:val="001C081B"/>
    <w:rsid w:val="001C0859"/>
    <w:rsid w:val="001C0861"/>
    <w:rsid w:val="001C0874"/>
    <w:rsid w:val="001C0950"/>
    <w:rsid w:val="001C099B"/>
    <w:rsid w:val="001C09A5"/>
    <w:rsid w:val="001C0A28"/>
    <w:rsid w:val="001C0A35"/>
    <w:rsid w:val="001C0A8A"/>
    <w:rsid w:val="001C0AEC"/>
    <w:rsid w:val="001C0AED"/>
    <w:rsid w:val="001C0B13"/>
    <w:rsid w:val="001C0B34"/>
    <w:rsid w:val="001C0C9D"/>
    <w:rsid w:val="001C0CC1"/>
    <w:rsid w:val="001C0CC8"/>
    <w:rsid w:val="001C0CFF"/>
    <w:rsid w:val="001C0D13"/>
    <w:rsid w:val="001C0D78"/>
    <w:rsid w:val="001C0E6A"/>
    <w:rsid w:val="001C0EA6"/>
    <w:rsid w:val="001C0EA8"/>
    <w:rsid w:val="001C0EFF"/>
    <w:rsid w:val="001C0F30"/>
    <w:rsid w:val="001C0F3E"/>
    <w:rsid w:val="001C0F74"/>
    <w:rsid w:val="001C0F88"/>
    <w:rsid w:val="001C0FB0"/>
    <w:rsid w:val="001C1069"/>
    <w:rsid w:val="001C11D1"/>
    <w:rsid w:val="001C1223"/>
    <w:rsid w:val="001C137A"/>
    <w:rsid w:val="001C13EB"/>
    <w:rsid w:val="001C1422"/>
    <w:rsid w:val="001C142D"/>
    <w:rsid w:val="001C1432"/>
    <w:rsid w:val="001C145F"/>
    <w:rsid w:val="001C146A"/>
    <w:rsid w:val="001C14BA"/>
    <w:rsid w:val="001C14BC"/>
    <w:rsid w:val="001C14FC"/>
    <w:rsid w:val="001C15EC"/>
    <w:rsid w:val="001C16C5"/>
    <w:rsid w:val="001C16CB"/>
    <w:rsid w:val="001C1729"/>
    <w:rsid w:val="001C1803"/>
    <w:rsid w:val="001C1818"/>
    <w:rsid w:val="001C1846"/>
    <w:rsid w:val="001C1855"/>
    <w:rsid w:val="001C185A"/>
    <w:rsid w:val="001C1861"/>
    <w:rsid w:val="001C1868"/>
    <w:rsid w:val="001C187A"/>
    <w:rsid w:val="001C191A"/>
    <w:rsid w:val="001C196A"/>
    <w:rsid w:val="001C19B3"/>
    <w:rsid w:val="001C19E2"/>
    <w:rsid w:val="001C19E9"/>
    <w:rsid w:val="001C1A66"/>
    <w:rsid w:val="001C1AC4"/>
    <w:rsid w:val="001C1ACC"/>
    <w:rsid w:val="001C1ADD"/>
    <w:rsid w:val="001C1BE7"/>
    <w:rsid w:val="001C1CC5"/>
    <w:rsid w:val="001C1CED"/>
    <w:rsid w:val="001C1D36"/>
    <w:rsid w:val="001C1DBD"/>
    <w:rsid w:val="001C1DCB"/>
    <w:rsid w:val="001C1E3D"/>
    <w:rsid w:val="001C1E79"/>
    <w:rsid w:val="001C1EA3"/>
    <w:rsid w:val="001C1EC4"/>
    <w:rsid w:val="001C1EE9"/>
    <w:rsid w:val="001C1F7A"/>
    <w:rsid w:val="001C1FE3"/>
    <w:rsid w:val="001C2048"/>
    <w:rsid w:val="001C2161"/>
    <w:rsid w:val="001C2229"/>
    <w:rsid w:val="001C2307"/>
    <w:rsid w:val="001C2308"/>
    <w:rsid w:val="001C245F"/>
    <w:rsid w:val="001C25ED"/>
    <w:rsid w:val="001C264A"/>
    <w:rsid w:val="001C2731"/>
    <w:rsid w:val="001C2732"/>
    <w:rsid w:val="001C2748"/>
    <w:rsid w:val="001C2789"/>
    <w:rsid w:val="001C285F"/>
    <w:rsid w:val="001C2864"/>
    <w:rsid w:val="001C28C6"/>
    <w:rsid w:val="001C28E4"/>
    <w:rsid w:val="001C28EB"/>
    <w:rsid w:val="001C29AD"/>
    <w:rsid w:val="001C2CBF"/>
    <w:rsid w:val="001C2CD3"/>
    <w:rsid w:val="001C2D8B"/>
    <w:rsid w:val="001C2DF2"/>
    <w:rsid w:val="001C2E0F"/>
    <w:rsid w:val="001C2E3F"/>
    <w:rsid w:val="001C2EAC"/>
    <w:rsid w:val="001C2ED2"/>
    <w:rsid w:val="001C2F22"/>
    <w:rsid w:val="001C2FDA"/>
    <w:rsid w:val="001C3025"/>
    <w:rsid w:val="001C3034"/>
    <w:rsid w:val="001C3071"/>
    <w:rsid w:val="001C30AF"/>
    <w:rsid w:val="001C30C5"/>
    <w:rsid w:val="001C315B"/>
    <w:rsid w:val="001C3192"/>
    <w:rsid w:val="001C31D9"/>
    <w:rsid w:val="001C31E4"/>
    <w:rsid w:val="001C31FE"/>
    <w:rsid w:val="001C32B2"/>
    <w:rsid w:val="001C32CF"/>
    <w:rsid w:val="001C32D3"/>
    <w:rsid w:val="001C3323"/>
    <w:rsid w:val="001C33A3"/>
    <w:rsid w:val="001C33FC"/>
    <w:rsid w:val="001C3415"/>
    <w:rsid w:val="001C343A"/>
    <w:rsid w:val="001C34C5"/>
    <w:rsid w:val="001C3500"/>
    <w:rsid w:val="001C35A1"/>
    <w:rsid w:val="001C3602"/>
    <w:rsid w:val="001C3639"/>
    <w:rsid w:val="001C364F"/>
    <w:rsid w:val="001C36ED"/>
    <w:rsid w:val="001C3765"/>
    <w:rsid w:val="001C37CB"/>
    <w:rsid w:val="001C37EF"/>
    <w:rsid w:val="001C3824"/>
    <w:rsid w:val="001C388D"/>
    <w:rsid w:val="001C38A1"/>
    <w:rsid w:val="001C3917"/>
    <w:rsid w:val="001C398B"/>
    <w:rsid w:val="001C39B4"/>
    <w:rsid w:val="001C39FB"/>
    <w:rsid w:val="001C3A1B"/>
    <w:rsid w:val="001C3A22"/>
    <w:rsid w:val="001C3B9B"/>
    <w:rsid w:val="001C3BB3"/>
    <w:rsid w:val="001C3C08"/>
    <w:rsid w:val="001C3C0D"/>
    <w:rsid w:val="001C3C13"/>
    <w:rsid w:val="001C3D10"/>
    <w:rsid w:val="001C3D20"/>
    <w:rsid w:val="001C3D96"/>
    <w:rsid w:val="001C3DC3"/>
    <w:rsid w:val="001C3DD3"/>
    <w:rsid w:val="001C3DFC"/>
    <w:rsid w:val="001C3E0F"/>
    <w:rsid w:val="001C3E13"/>
    <w:rsid w:val="001C3EB7"/>
    <w:rsid w:val="001C3F77"/>
    <w:rsid w:val="001C3FCE"/>
    <w:rsid w:val="001C4002"/>
    <w:rsid w:val="001C4005"/>
    <w:rsid w:val="001C402A"/>
    <w:rsid w:val="001C4035"/>
    <w:rsid w:val="001C403A"/>
    <w:rsid w:val="001C4058"/>
    <w:rsid w:val="001C4078"/>
    <w:rsid w:val="001C41C8"/>
    <w:rsid w:val="001C41F9"/>
    <w:rsid w:val="001C423B"/>
    <w:rsid w:val="001C424D"/>
    <w:rsid w:val="001C4347"/>
    <w:rsid w:val="001C4371"/>
    <w:rsid w:val="001C4385"/>
    <w:rsid w:val="001C442D"/>
    <w:rsid w:val="001C4517"/>
    <w:rsid w:val="001C4570"/>
    <w:rsid w:val="001C45DC"/>
    <w:rsid w:val="001C4615"/>
    <w:rsid w:val="001C474A"/>
    <w:rsid w:val="001C4811"/>
    <w:rsid w:val="001C4897"/>
    <w:rsid w:val="001C48B1"/>
    <w:rsid w:val="001C4971"/>
    <w:rsid w:val="001C4991"/>
    <w:rsid w:val="001C4A84"/>
    <w:rsid w:val="001C4AD3"/>
    <w:rsid w:val="001C4B27"/>
    <w:rsid w:val="001C4B3D"/>
    <w:rsid w:val="001C4B8F"/>
    <w:rsid w:val="001C4BC6"/>
    <w:rsid w:val="001C4C14"/>
    <w:rsid w:val="001C4C5B"/>
    <w:rsid w:val="001C4C7D"/>
    <w:rsid w:val="001C4D26"/>
    <w:rsid w:val="001C4D29"/>
    <w:rsid w:val="001C4D2C"/>
    <w:rsid w:val="001C4D4C"/>
    <w:rsid w:val="001C4D50"/>
    <w:rsid w:val="001C4DBA"/>
    <w:rsid w:val="001C4E27"/>
    <w:rsid w:val="001C504E"/>
    <w:rsid w:val="001C5074"/>
    <w:rsid w:val="001C5079"/>
    <w:rsid w:val="001C5099"/>
    <w:rsid w:val="001C521C"/>
    <w:rsid w:val="001C5278"/>
    <w:rsid w:val="001C53F3"/>
    <w:rsid w:val="001C53FA"/>
    <w:rsid w:val="001C542A"/>
    <w:rsid w:val="001C545C"/>
    <w:rsid w:val="001C54F5"/>
    <w:rsid w:val="001C5585"/>
    <w:rsid w:val="001C5591"/>
    <w:rsid w:val="001C5667"/>
    <w:rsid w:val="001C5706"/>
    <w:rsid w:val="001C570D"/>
    <w:rsid w:val="001C5789"/>
    <w:rsid w:val="001C57AF"/>
    <w:rsid w:val="001C58A2"/>
    <w:rsid w:val="001C58A9"/>
    <w:rsid w:val="001C58FC"/>
    <w:rsid w:val="001C59E1"/>
    <w:rsid w:val="001C5AC4"/>
    <w:rsid w:val="001C5B6D"/>
    <w:rsid w:val="001C5C44"/>
    <w:rsid w:val="001C5C7F"/>
    <w:rsid w:val="001C5DE1"/>
    <w:rsid w:val="001C5EA8"/>
    <w:rsid w:val="001C5F0E"/>
    <w:rsid w:val="001C5F14"/>
    <w:rsid w:val="001C5F78"/>
    <w:rsid w:val="001C5F80"/>
    <w:rsid w:val="001C604D"/>
    <w:rsid w:val="001C604E"/>
    <w:rsid w:val="001C605B"/>
    <w:rsid w:val="001C60AF"/>
    <w:rsid w:val="001C60B1"/>
    <w:rsid w:val="001C60D7"/>
    <w:rsid w:val="001C60F1"/>
    <w:rsid w:val="001C6136"/>
    <w:rsid w:val="001C619E"/>
    <w:rsid w:val="001C61E3"/>
    <w:rsid w:val="001C6239"/>
    <w:rsid w:val="001C629E"/>
    <w:rsid w:val="001C62D3"/>
    <w:rsid w:val="001C62D4"/>
    <w:rsid w:val="001C62DE"/>
    <w:rsid w:val="001C6366"/>
    <w:rsid w:val="001C6387"/>
    <w:rsid w:val="001C642B"/>
    <w:rsid w:val="001C6437"/>
    <w:rsid w:val="001C6467"/>
    <w:rsid w:val="001C6481"/>
    <w:rsid w:val="001C650D"/>
    <w:rsid w:val="001C6649"/>
    <w:rsid w:val="001C667E"/>
    <w:rsid w:val="001C6682"/>
    <w:rsid w:val="001C6697"/>
    <w:rsid w:val="001C66C9"/>
    <w:rsid w:val="001C6737"/>
    <w:rsid w:val="001C6782"/>
    <w:rsid w:val="001C67AF"/>
    <w:rsid w:val="001C686F"/>
    <w:rsid w:val="001C68B8"/>
    <w:rsid w:val="001C6934"/>
    <w:rsid w:val="001C6939"/>
    <w:rsid w:val="001C6998"/>
    <w:rsid w:val="001C69DB"/>
    <w:rsid w:val="001C6A2D"/>
    <w:rsid w:val="001C6B0F"/>
    <w:rsid w:val="001C6B22"/>
    <w:rsid w:val="001C6B54"/>
    <w:rsid w:val="001C6BDF"/>
    <w:rsid w:val="001C6BE1"/>
    <w:rsid w:val="001C6C5D"/>
    <w:rsid w:val="001C6CA6"/>
    <w:rsid w:val="001C6D0B"/>
    <w:rsid w:val="001C6E50"/>
    <w:rsid w:val="001C6E78"/>
    <w:rsid w:val="001C6E7F"/>
    <w:rsid w:val="001C6E89"/>
    <w:rsid w:val="001C6F06"/>
    <w:rsid w:val="001C7065"/>
    <w:rsid w:val="001C708D"/>
    <w:rsid w:val="001C70EA"/>
    <w:rsid w:val="001C7140"/>
    <w:rsid w:val="001C715A"/>
    <w:rsid w:val="001C7177"/>
    <w:rsid w:val="001C7206"/>
    <w:rsid w:val="001C721F"/>
    <w:rsid w:val="001C727C"/>
    <w:rsid w:val="001C7286"/>
    <w:rsid w:val="001C731F"/>
    <w:rsid w:val="001C741A"/>
    <w:rsid w:val="001C745E"/>
    <w:rsid w:val="001C7477"/>
    <w:rsid w:val="001C747F"/>
    <w:rsid w:val="001C7488"/>
    <w:rsid w:val="001C74BC"/>
    <w:rsid w:val="001C7502"/>
    <w:rsid w:val="001C750A"/>
    <w:rsid w:val="001C755B"/>
    <w:rsid w:val="001C75AF"/>
    <w:rsid w:val="001C75C5"/>
    <w:rsid w:val="001C75EF"/>
    <w:rsid w:val="001C762C"/>
    <w:rsid w:val="001C765D"/>
    <w:rsid w:val="001C769F"/>
    <w:rsid w:val="001C773B"/>
    <w:rsid w:val="001C77BA"/>
    <w:rsid w:val="001C7827"/>
    <w:rsid w:val="001C78EA"/>
    <w:rsid w:val="001C7908"/>
    <w:rsid w:val="001C7A75"/>
    <w:rsid w:val="001C7AE0"/>
    <w:rsid w:val="001C7AF8"/>
    <w:rsid w:val="001C7B44"/>
    <w:rsid w:val="001C7BF8"/>
    <w:rsid w:val="001C7C48"/>
    <w:rsid w:val="001C7C54"/>
    <w:rsid w:val="001C7D51"/>
    <w:rsid w:val="001C7DCF"/>
    <w:rsid w:val="001C7E1B"/>
    <w:rsid w:val="001C7EA9"/>
    <w:rsid w:val="001C7EE6"/>
    <w:rsid w:val="001C7F09"/>
    <w:rsid w:val="001C7F2D"/>
    <w:rsid w:val="001C7FA8"/>
    <w:rsid w:val="001D0020"/>
    <w:rsid w:val="001D0085"/>
    <w:rsid w:val="001D00C7"/>
    <w:rsid w:val="001D00EF"/>
    <w:rsid w:val="001D0188"/>
    <w:rsid w:val="001D020A"/>
    <w:rsid w:val="001D020F"/>
    <w:rsid w:val="001D0253"/>
    <w:rsid w:val="001D02B4"/>
    <w:rsid w:val="001D0303"/>
    <w:rsid w:val="001D0407"/>
    <w:rsid w:val="001D046A"/>
    <w:rsid w:val="001D04C4"/>
    <w:rsid w:val="001D054B"/>
    <w:rsid w:val="001D0553"/>
    <w:rsid w:val="001D058A"/>
    <w:rsid w:val="001D05FB"/>
    <w:rsid w:val="001D061E"/>
    <w:rsid w:val="001D0756"/>
    <w:rsid w:val="001D07CD"/>
    <w:rsid w:val="001D07CE"/>
    <w:rsid w:val="001D0818"/>
    <w:rsid w:val="001D084B"/>
    <w:rsid w:val="001D08B3"/>
    <w:rsid w:val="001D08C1"/>
    <w:rsid w:val="001D08D2"/>
    <w:rsid w:val="001D08FE"/>
    <w:rsid w:val="001D095B"/>
    <w:rsid w:val="001D097F"/>
    <w:rsid w:val="001D09F8"/>
    <w:rsid w:val="001D0A44"/>
    <w:rsid w:val="001D0AAA"/>
    <w:rsid w:val="001D0B09"/>
    <w:rsid w:val="001D0B35"/>
    <w:rsid w:val="001D0B60"/>
    <w:rsid w:val="001D0B7A"/>
    <w:rsid w:val="001D0BB2"/>
    <w:rsid w:val="001D0C0C"/>
    <w:rsid w:val="001D0C2B"/>
    <w:rsid w:val="001D0CB7"/>
    <w:rsid w:val="001D0D4A"/>
    <w:rsid w:val="001D0DAB"/>
    <w:rsid w:val="001D0DC0"/>
    <w:rsid w:val="001D0E15"/>
    <w:rsid w:val="001D0E56"/>
    <w:rsid w:val="001D0E88"/>
    <w:rsid w:val="001D0E96"/>
    <w:rsid w:val="001D0EBE"/>
    <w:rsid w:val="001D0F10"/>
    <w:rsid w:val="001D0F46"/>
    <w:rsid w:val="001D0F89"/>
    <w:rsid w:val="001D0FA1"/>
    <w:rsid w:val="001D1006"/>
    <w:rsid w:val="001D1232"/>
    <w:rsid w:val="001D12A2"/>
    <w:rsid w:val="001D12CE"/>
    <w:rsid w:val="001D131C"/>
    <w:rsid w:val="001D132A"/>
    <w:rsid w:val="001D1350"/>
    <w:rsid w:val="001D135C"/>
    <w:rsid w:val="001D139F"/>
    <w:rsid w:val="001D1406"/>
    <w:rsid w:val="001D142E"/>
    <w:rsid w:val="001D145B"/>
    <w:rsid w:val="001D1461"/>
    <w:rsid w:val="001D1468"/>
    <w:rsid w:val="001D14CD"/>
    <w:rsid w:val="001D14EA"/>
    <w:rsid w:val="001D14F1"/>
    <w:rsid w:val="001D150D"/>
    <w:rsid w:val="001D155A"/>
    <w:rsid w:val="001D15CF"/>
    <w:rsid w:val="001D15F5"/>
    <w:rsid w:val="001D166D"/>
    <w:rsid w:val="001D168B"/>
    <w:rsid w:val="001D1716"/>
    <w:rsid w:val="001D1726"/>
    <w:rsid w:val="001D1766"/>
    <w:rsid w:val="001D1901"/>
    <w:rsid w:val="001D19A8"/>
    <w:rsid w:val="001D1A9A"/>
    <w:rsid w:val="001D1B50"/>
    <w:rsid w:val="001D1C03"/>
    <w:rsid w:val="001D1C47"/>
    <w:rsid w:val="001D1C83"/>
    <w:rsid w:val="001D1C9A"/>
    <w:rsid w:val="001D1CEE"/>
    <w:rsid w:val="001D1D6E"/>
    <w:rsid w:val="001D1EFD"/>
    <w:rsid w:val="001D1F77"/>
    <w:rsid w:val="001D1F92"/>
    <w:rsid w:val="001D20F6"/>
    <w:rsid w:val="001D213D"/>
    <w:rsid w:val="001D215F"/>
    <w:rsid w:val="001D219F"/>
    <w:rsid w:val="001D21BA"/>
    <w:rsid w:val="001D2224"/>
    <w:rsid w:val="001D227C"/>
    <w:rsid w:val="001D22A0"/>
    <w:rsid w:val="001D22EE"/>
    <w:rsid w:val="001D2355"/>
    <w:rsid w:val="001D2396"/>
    <w:rsid w:val="001D24A5"/>
    <w:rsid w:val="001D24AF"/>
    <w:rsid w:val="001D2556"/>
    <w:rsid w:val="001D2591"/>
    <w:rsid w:val="001D25B0"/>
    <w:rsid w:val="001D2602"/>
    <w:rsid w:val="001D2690"/>
    <w:rsid w:val="001D26BF"/>
    <w:rsid w:val="001D271D"/>
    <w:rsid w:val="001D2744"/>
    <w:rsid w:val="001D2769"/>
    <w:rsid w:val="001D277B"/>
    <w:rsid w:val="001D282C"/>
    <w:rsid w:val="001D2893"/>
    <w:rsid w:val="001D28B2"/>
    <w:rsid w:val="001D28E5"/>
    <w:rsid w:val="001D28E7"/>
    <w:rsid w:val="001D291B"/>
    <w:rsid w:val="001D2947"/>
    <w:rsid w:val="001D29B2"/>
    <w:rsid w:val="001D29C2"/>
    <w:rsid w:val="001D29DA"/>
    <w:rsid w:val="001D29FA"/>
    <w:rsid w:val="001D29FB"/>
    <w:rsid w:val="001D2A1C"/>
    <w:rsid w:val="001D2AB6"/>
    <w:rsid w:val="001D2AD7"/>
    <w:rsid w:val="001D2B04"/>
    <w:rsid w:val="001D2B6A"/>
    <w:rsid w:val="001D2BC6"/>
    <w:rsid w:val="001D2C43"/>
    <w:rsid w:val="001D2C5A"/>
    <w:rsid w:val="001D2CF1"/>
    <w:rsid w:val="001D2CF5"/>
    <w:rsid w:val="001D2D04"/>
    <w:rsid w:val="001D2D20"/>
    <w:rsid w:val="001D2D4A"/>
    <w:rsid w:val="001D2EA1"/>
    <w:rsid w:val="001D2F02"/>
    <w:rsid w:val="001D2F1F"/>
    <w:rsid w:val="001D2F2C"/>
    <w:rsid w:val="001D2F7C"/>
    <w:rsid w:val="001D30A5"/>
    <w:rsid w:val="001D30A8"/>
    <w:rsid w:val="001D317A"/>
    <w:rsid w:val="001D31C2"/>
    <w:rsid w:val="001D32C7"/>
    <w:rsid w:val="001D3384"/>
    <w:rsid w:val="001D33E0"/>
    <w:rsid w:val="001D3440"/>
    <w:rsid w:val="001D3441"/>
    <w:rsid w:val="001D3452"/>
    <w:rsid w:val="001D3477"/>
    <w:rsid w:val="001D348D"/>
    <w:rsid w:val="001D34B5"/>
    <w:rsid w:val="001D3516"/>
    <w:rsid w:val="001D3607"/>
    <w:rsid w:val="001D3644"/>
    <w:rsid w:val="001D369E"/>
    <w:rsid w:val="001D372E"/>
    <w:rsid w:val="001D374D"/>
    <w:rsid w:val="001D37E3"/>
    <w:rsid w:val="001D3838"/>
    <w:rsid w:val="001D3889"/>
    <w:rsid w:val="001D38F7"/>
    <w:rsid w:val="001D3909"/>
    <w:rsid w:val="001D3931"/>
    <w:rsid w:val="001D3A23"/>
    <w:rsid w:val="001D3A29"/>
    <w:rsid w:val="001D3AC0"/>
    <w:rsid w:val="001D3AD6"/>
    <w:rsid w:val="001D3B2D"/>
    <w:rsid w:val="001D3B8D"/>
    <w:rsid w:val="001D3BA5"/>
    <w:rsid w:val="001D3C8F"/>
    <w:rsid w:val="001D3CCB"/>
    <w:rsid w:val="001D3D11"/>
    <w:rsid w:val="001D3D1B"/>
    <w:rsid w:val="001D3DB0"/>
    <w:rsid w:val="001D3DC7"/>
    <w:rsid w:val="001D3DD2"/>
    <w:rsid w:val="001D3DD4"/>
    <w:rsid w:val="001D3EAF"/>
    <w:rsid w:val="001D3EB1"/>
    <w:rsid w:val="001D3EFF"/>
    <w:rsid w:val="001D3F43"/>
    <w:rsid w:val="001D3F6B"/>
    <w:rsid w:val="001D3F6D"/>
    <w:rsid w:val="001D3FA2"/>
    <w:rsid w:val="001D4118"/>
    <w:rsid w:val="001D412F"/>
    <w:rsid w:val="001D413F"/>
    <w:rsid w:val="001D4146"/>
    <w:rsid w:val="001D416B"/>
    <w:rsid w:val="001D4184"/>
    <w:rsid w:val="001D4186"/>
    <w:rsid w:val="001D4197"/>
    <w:rsid w:val="001D41C4"/>
    <w:rsid w:val="001D42CA"/>
    <w:rsid w:val="001D42DF"/>
    <w:rsid w:val="001D430A"/>
    <w:rsid w:val="001D4343"/>
    <w:rsid w:val="001D43A3"/>
    <w:rsid w:val="001D43EF"/>
    <w:rsid w:val="001D44C4"/>
    <w:rsid w:val="001D45AD"/>
    <w:rsid w:val="001D45D2"/>
    <w:rsid w:val="001D45F3"/>
    <w:rsid w:val="001D460C"/>
    <w:rsid w:val="001D4629"/>
    <w:rsid w:val="001D46D9"/>
    <w:rsid w:val="001D46E9"/>
    <w:rsid w:val="001D4722"/>
    <w:rsid w:val="001D4776"/>
    <w:rsid w:val="001D479B"/>
    <w:rsid w:val="001D47BF"/>
    <w:rsid w:val="001D47EF"/>
    <w:rsid w:val="001D4854"/>
    <w:rsid w:val="001D488C"/>
    <w:rsid w:val="001D48A2"/>
    <w:rsid w:val="001D48CF"/>
    <w:rsid w:val="001D48DB"/>
    <w:rsid w:val="001D4938"/>
    <w:rsid w:val="001D493B"/>
    <w:rsid w:val="001D4975"/>
    <w:rsid w:val="001D4990"/>
    <w:rsid w:val="001D4B43"/>
    <w:rsid w:val="001D4B4E"/>
    <w:rsid w:val="001D4B79"/>
    <w:rsid w:val="001D4BAF"/>
    <w:rsid w:val="001D4BE2"/>
    <w:rsid w:val="001D4BF3"/>
    <w:rsid w:val="001D4C0F"/>
    <w:rsid w:val="001D4C3B"/>
    <w:rsid w:val="001D4C58"/>
    <w:rsid w:val="001D4C6D"/>
    <w:rsid w:val="001D4CD1"/>
    <w:rsid w:val="001D4D06"/>
    <w:rsid w:val="001D4D4D"/>
    <w:rsid w:val="001D4D7D"/>
    <w:rsid w:val="001D4D8C"/>
    <w:rsid w:val="001D4D97"/>
    <w:rsid w:val="001D4E6E"/>
    <w:rsid w:val="001D4F10"/>
    <w:rsid w:val="001D4F13"/>
    <w:rsid w:val="001D4F64"/>
    <w:rsid w:val="001D519E"/>
    <w:rsid w:val="001D51D6"/>
    <w:rsid w:val="001D51E1"/>
    <w:rsid w:val="001D5240"/>
    <w:rsid w:val="001D5252"/>
    <w:rsid w:val="001D5282"/>
    <w:rsid w:val="001D52CB"/>
    <w:rsid w:val="001D52D0"/>
    <w:rsid w:val="001D536B"/>
    <w:rsid w:val="001D53CA"/>
    <w:rsid w:val="001D53CE"/>
    <w:rsid w:val="001D555F"/>
    <w:rsid w:val="001D5597"/>
    <w:rsid w:val="001D5633"/>
    <w:rsid w:val="001D5641"/>
    <w:rsid w:val="001D566C"/>
    <w:rsid w:val="001D56ED"/>
    <w:rsid w:val="001D5712"/>
    <w:rsid w:val="001D579F"/>
    <w:rsid w:val="001D58EB"/>
    <w:rsid w:val="001D5904"/>
    <w:rsid w:val="001D59CA"/>
    <w:rsid w:val="001D5A85"/>
    <w:rsid w:val="001D5B22"/>
    <w:rsid w:val="001D5BE5"/>
    <w:rsid w:val="001D5C8F"/>
    <w:rsid w:val="001D5CDA"/>
    <w:rsid w:val="001D5DBD"/>
    <w:rsid w:val="001D5E83"/>
    <w:rsid w:val="001D5E88"/>
    <w:rsid w:val="001D5E97"/>
    <w:rsid w:val="001D5F6C"/>
    <w:rsid w:val="001D5FCE"/>
    <w:rsid w:val="001D6013"/>
    <w:rsid w:val="001D603A"/>
    <w:rsid w:val="001D60B1"/>
    <w:rsid w:val="001D6100"/>
    <w:rsid w:val="001D6102"/>
    <w:rsid w:val="001D61AE"/>
    <w:rsid w:val="001D61C3"/>
    <w:rsid w:val="001D61EF"/>
    <w:rsid w:val="001D6279"/>
    <w:rsid w:val="001D6377"/>
    <w:rsid w:val="001D63CF"/>
    <w:rsid w:val="001D6405"/>
    <w:rsid w:val="001D6440"/>
    <w:rsid w:val="001D645F"/>
    <w:rsid w:val="001D64DE"/>
    <w:rsid w:val="001D652A"/>
    <w:rsid w:val="001D66A8"/>
    <w:rsid w:val="001D6741"/>
    <w:rsid w:val="001D6777"/>
    <w:rsid w:val="001D68B8"/>
    <w:rsid w:val="001D690F"/>
    <w:rsid w:val="001D6A8A"/>
    <w:rsid w:val="001D6AB1"/>
    <w:rsid w:val="001D6ABE"/>
    <w:rsid w:val="001D6B22"/>
    <w:rsid w:val="001D6B49"/>
    <w:rsid w:val="001D6B67"/>
    <w:rsid w:val="001D6CB1"/>
    <w:rsid w:val="001D6CB7"/>
    <w:rsid w:val="001D6D87"/>
    <w:rsid w:val="001D6DA7"/>
    <w:rsid w:val="001D6DF8"/>
    <w:rsid w:val="001D6E40"/>
    <w:rsid w:val="001D6E43"/>
    <w:rsid w:val="001D6E87"/>
    <w:rsid w:val="001D6EA1"/>
    <w:rsid w:val="001D6F27"/>
    <w:rsid w:val="001D6FA8"/>
    <w:rsid w:val="001D7004"/>
    <w:rsid w:val="001D70BC"/>
    <w:rsid w:val="001D70C1"/>
    <w:rsid w:val="001D7104"/>
    <w:rsid w:val="001D7132"/>
    <w:rsid w:val="001D7154"/>
    <w:rsid w:val="001D718F"/>
    <w:rsid w:val="001D71ED"/>
    <w:rsid w:val="001D7241"/>
    <w:rsid w:val="001D729E"/>
    <w:rsid w:val="001D72C5"/>
    <w:rsid w:val="001D7306"/>
    <w:rsid w:val="001D7364"/>
    <w:rsid w:val="001D7439"/>
    <w:rsid w:val="001D746D"/>
    <w:rsid w:val="001D7562"/>
    <w:rsid w:val="001D7573"/>
    <w:rsid w:val="001D75BF"/>
    <w:rsid w:val="001D75D2"/>
    <w:rsid w:val="001D75DE"/>
    <w:rsid w:val="001D7639"/>
    <w:rsid w:val="001D7656"/>
    <w:rsid w:val="001D76EF"/>
    <w:rsid w:val="001D770D"/>
    <w:rsid w:val="001D771A"/>
    <w:rsid w:val="001D7737"/>
    <w:rsid w:val="001D77E4"/>
    <w:rsid w:val="001D77FD"/>
    <w:rsid w:val="001D7803"/>
    <w:rsid w:val="001D785A"/>
    <w:rsid w:val="001D7A0E"/>
    <w:rsid w:val="001D7A1C"/>
    <w:rsid w:val="001D7A55"/>
    <w:rsid w:val="001D7A99"/>
    <w:rsid w:val="001D7AAB"/>
    <w:rsid w:val="001D7AD5"/>
    <w:rsid w:val="001D7B20"/>
    <w:rsid w:val="001D7B7A"/>
    <w:rsid w:val="001D7BB6"/>
    <w:rsid w:val="001D7BDE"/>
    <w:rsid w:val="001D7C05"/>
    <w:rsid w:val="001D7C63"/>
    <w:rsid w:val="001D7CFE"/>
    <w:rsid w:val="001D7D61"/>
    <w:rsid w:val="001D7D82"/>
    <w:rsid w:val="001D7DA1"/>
    <w:rsid w:val="001D7DFD"/>
    <w:rsid w:val="001D7E0F"/>
    <w:rsid w:val="001D7E3B"/>
    <w:rsid w:val="001D7EB6"/>
    <w:rsid w:val="001D7F55"/>
    <w:rsid w:val="001D7FEE"/>
    <w:rsid w:val="001E002C"/>
    <w:rsid w:val="001E00B3"/>
    <w:rsid w:val="001E0149"/>
    <w:rsid w:val="001E01BE"/>
    <w:rsid w:val="001E01F0"/>
    <w:rsid w:val="001E02BF"/>
    <w:rsid w:val="001E0350"/>
    <w:rsid w:val="001E0356"/>
    <w:rsid w:val="001E03AA"/>
    <w:rsid w:val="001E03E7"/>
    <w:rsid w:val="001E046B"/>
    <w:rsid w:val="001E048A"/>
    <w:rsid w:val="001E04C1"/>
    <w:rsid w:val="001E04E7"/>
    <w:rsid w:val="001E0616"/>
    <w:rsid w:val="001E0641"/>
    <w:rsid w:val="001E064F"/>
    <w:rsid w:val="001E065E"/>
    <w:rsid w:val="001E0758"/>
    <w:rsid w:val="001E0771"/>
    <w:rsid w:val="001E082E"/>
    <w:rsid w:val="001E087F"/>
    <w:rsid w:val="001E0910"/>
    <w:rsid w:val="001E0948"/>
    <w:rsid w:val="001E0957"/>
    <w:rsid w:val="001E09A5"/>
    <w:rsid w:val="001E09AB"/>
    <w:rsid w:val="001E09E7"/>
    <w:rsid w:val="001E0AD1"/>
    <w:rsid w:val="001E0BCC"/>
    <w:rsid w:val="001E0BCE"/>
    <w:rsid w:val="001E0BD2"/>
    <w:rsid w:val="001E0BE7"/>
    <w:rsid w:val="001E0BF2"/>
    <w:rsid w:val="001E0C47"/>
    <w:rsid w:val="001E0DAD"/>
    <w:rsid w:val="001E0EB4"/>
    <w:rsid w:val="001E0F81"/>
    <w:rsid w:val="001E0FA5"/>
    <w:rsid w:val="001E102F"/>
    <w:rsid w:val="001E1063"/>
    <w:rsid w:val="001E10A9"/>
    <w:rsid w:val="001E1105"/>
    <w:rsid w:val="001E110F"/>
    <w:rsid w:val="001E1122"/>
    <w:rsid w:val="001E1162"/>
    <w:rsid w:val="001E1165"/>
    <w:rsid w:val="001E11D3"/>
    <w:rsid w:val="001E11FC"/>
    <w:rsid w:val="001E1249"/>
    <w:rsid w:val="001E12AD"/>
    <w:rsid w:val="001E133E"/>
    <w:rsid w:val="001E1350"/>
    <w:rsid w:val="001E13DC"/>
    <w:rsid w:val="001E13FB"/>
    <w:rsid w:val="001E145A"/>
    <w:rsid w:val="001E14D7"/>
    <w:rsid w:val="001E152A"/>
    <w:rsid w:val="001E1532"/>
    <w:rsid w:val="001E1591"/>
    <w:rsid w:val="001E15C0"/>
    <w:rsid w:val="001E1631"/>
    <w:rsid w:val="001E16DF"/>
    <w:rsid w:val="001E16F1"/>
    <w:rsid w:val="001E16F2"/>
    <w:rsid w:val="001E17D0"/>
    <w:rsid w:val="001E17D6"/>
    <w:rsid w:val="001E186D"/>
    <w:rsid w:val="001E1890"/>
    <w:rsid w:val="001E18B9"/>
    <w:rsid w:val="001E18D9"/>
    <w:rsid w:val="001E18DE"/>
    <w:rsid w:val="001E18F5"/>
    <w:rsid w:val="001E196B"/>
    <w:rsid w:val="001E198D"/>
    <w:rsid w:val="001E19B8"/>
    <w:rsid w:val="001E1A08"/>
    <w:rsid w:val="001E1A17"/>
    <w:rsid w:val="001E1A52"/>
    <w:rsid w:val="001E1A81"/>
    <w:rsid w:val="001E1AAA"/>
    <w:rsid w:val="001E1B55"/>
    <w:rsid w:val="001E1C4D"/>
    <w:rsid w:val="001E1C72"/>
    <w:rsid w:val="001E1C78"/>
    <w:rsid w:val="001E1C85"/>
    <w:rsid w:val="001E1CB0"/>
    <w:rsid w:val="001E1D3F"/>
    <w:rsid w:val="001E1E07"/>
    <w:rsid w:val="001E1E5F"/>
    <w:rsid w:val="001E1E69"/>
    <w:rsid w:val="001E1EA5"/>
    <w:rsid w:val="001E1EBC"/>
    <w:rsid w:val="001E207B"/>
    <w:rsid w:val="001E20A8"/>
    <w:rsid w:val="001E20C7"/>
    <w:rsid w:val="001E20E2"/>
    <w:rsid w:val="001E2107"/>
    <w:rsid w:val="001E21DD"/>
    <w:rsid w:val="001E2297"/>
    <w:rsid w:val="001E2310"/>
    <w:rsid w:val="001E2429"/>
    <w:rsid w:val="001E2438"/>
    <w:rsid w:val="001E244E"/>
    <w:rsid w:val="001E245D"/>
    <w:rsid w:val="001E2471"/>
    <w:rsid w:val="001E2477"/>
    <w:rsid w:val="001E247F"/>
    <w:rsid w:val="001E24B6"/>
    <w:rsid w:val="001E24F4"/>
    <w:rsid w:val="001E2515"/>
    <w:rsid w:val="001E25A9"/>
    <w:rsid w:val="001E2664"/>
    <w:rsid w:val="001E26BA"/>
    <w:rsid w:val="001E2727"/>
    <w:rsid w:val="001E278D"/>
    <w:rsid w:val="001E27A1"/>
    <w:rsid w:val="001E2831"/>
    <w:rsid w:val="001E28AA"/>
    <w:rsid w:val="001E2911"/>
    <w:rsid w:val="001E2925"/>
    <w:rsid w:val="001E2929"/>
    <w:rsid w:val="001E297F"/>
    <w:rsid w:val="001E299D"/>
    <w:rsid w:val="001E29BF"/>
    <w:rsid w:val="001E29CB"/>
    <w:rsid w:val="001E29E4"/>
    <w:rsid w:val="001E2A5A"/>
    <w:rsid w:val="001E2B51"/>
    <w:rsid w:val="001E2B5F"/>
    <w:rsid w:val="001E2C27"/>
    <w:rsid w:val="001E2CC3"/>
    <w:rsid w:val="001E2CFE"/>
    <w:rsid w:val="001E2D1A"/>
    <w:rsid w:val="001E2D22"/>
    <w:rsid w:val="001E2D39"/>
    <w:rsid w:val="001E2D88"/>
    <w:rsid w:val="001E2E5D"/>
    <w:rsid w:val="001E2E67"/>
    <w:rsid w:val="001E2ED0"/>
    <w:rsid w:val="001E2EFD"/>
    <w:rsid w:val="001E2F57"/>
    <w:rsid w:val="001E3006"/>
    <w:rsid w:val="001E3079"/>
    <w:rsid w:val="001E3105"/>
    <w:rsid w:val="001E3108"/>
    <w:rsid w:val="001E317F"/>
    <w:rsid w:val="001E3222"/>
    <w:rsid w:val="001E330C"/>
    <w:rsid w:val="001E332B"/>
    <w:rsid w:val="001E3371"/>
    <w:rsid w:val="001E337A"/>
    <w:rsid w:val="001E33CF"/>
    <w:rsid w:val="001E345A"/>
    <w:rsid w:val="001E3495"/>
    <w:rsid w:val="001E349F"/>
    <w:rsid w:val="001E352E"/>
    <w:rsid w:val="001E3535"/>
    <w:rsid w:val="001E354C"/>
    <w:rsid w:val="001E35A6"/>
    <w:rsid w:val="001E35D7"/>
    <w:rsid w:val="001E365B"/>
    <w:rsid w:val="001E3682"/>
    <w:rsid w:val="001E371A"/>
    <w:rsid w:val="001E3730"/>
    <w:rsid w:val="001E379D"/>
    <w:rsid w:val="001E381D"/>
    <w:rsid w:val="001E383B"/>
    <w:rsid w:val="001E391A"/>
    <w:rsid w:val="001E3929"/>
    <w:rsid w:val="001E3941"/>
    <w:rsid w:val="001E3975"/>
    <w:rsid w:val="001E3A12"/>
    <w:rsid w:val="001E3A4A"/>
    <w:rsid w:val="001E3A8B"/>
    <w:rsid w:val="001E3B42"/>
    <w:rsid w:val="001E3B69"/>
    <w:rsid w:val="001E3BD1"/>
    <w:rsid w:val="001E3C4E"/>
    <w:rsid w:val="001E3C7A"/>
    <w:rsid w:val="001E3CAC"/>
    <w:rsid w:val="001E3CE3"/>
    <w:rsid w:val="001E3D10"/>
    <w:rsid w:val="001E3D17"/>
    <w:rsid w:val="001E3D20"/>
    <w:rsid w:val="001E3D32"/>
    <w:rsid w:val="001E3D55"/>
    <w:rsid w:val="001E3D6C"/>
    <w:rsid w:val="001E3DA4"/>
    <w:rsid w:val="001E3DD9"/>
    <w:rsid w:val="001E3EB3"/>
    <w:rsid w:val="001E3EFC"/>
    <w:rsid w:val="001E3F8F"/>
    <w:rsid w:val="001E3F95"/>
    <w:rsid w:val="001E3FC2"/>
    <w:rsid w:val="001E3FF6"/>
    <w:rsid w:val="001E40AA"/>
    <w:rsid w:val="001E40C5"/>
    <w:rsid w:val="001E40DF"/>
    <w:rsid w:val="001E40F9"/>
    <w:rsid w:val="001E41A1"/>
    <w:rsid w:val="001E41F0"/>
    <w:rsid w:val="001E42C3"/>
    <w:rsid w:val="001E432B"/>
    <w:rsid w:val="001E4340"/>
    <w:rsid w:val="001E43E6"/>
    <w:rsid w:val="001E4464"/>
    <w:rsid w:val="001E4478"/>
    <w:rsid w:val="001E4498"/>
    <w:rsid w:val="001E449D"/>
    <w:rsid w:val="001E460B"/>
    <w:rsid w:val="001E4622"/>
    <w:rsid w:val="001E4634"/>
    <w:rsid w:val="001E4636"/>
    <w:rsid w:val="001E466A"/>
    <w:rsid w:val="001E4697"/>
    <w:rsid w:val="001E4716"/>
    <w:rsid w:val="001E4819"/>
    <w:rsid w:val="001E4821"/>
    <w:rsid w:val="001E49BD"/>
    <w:rsid w:val="001E4A11"/>
    <w:rsid w:val="001E4A50"/>
    <w:rsid w:val="001E4ABC"/>
    <w:rsid w:val="001E4ACC"/>
    <w:rsid w:val="001E4B62"/>
    <w:rsid w:val="001E4BC9"/>
    <w:rsid w:val="001E4BDB"/>
    <w:rsid w:val="001E4BEF"/>
    <w:rsid w:val="001E4BF5"/>
    <w:rsid w:val="001E4C34"/>
    <w:rsid w:val="001E4CC1"/>
    <w:rsid w:val="001E4D09"/>
    <w:rsid w:val="001E4D25"/>
    <w:rsid w:val="001E4DE9"/>
    <w:rsid w:val="001E4E57"/>
    <w:rsid w:val="001E4E76"/>
    <w:rsid w:val="001E4E82"/>
    <w:rsid w:val="001E4F56"/>
    <w:rsid w:val="001E4FBA"/>
    <w:rsid w:val="001E51CB"/>
    <w:rsid w:val="001E51FA"/>
    <w:rsid w:val="001E5238"/>
    <w:rsid w:val="001E528F"/>
    <w:rsid w:val="001E5345"/>
    <w:rsid w:val="001E53BA"/>
    <w:rsid w:val="001E5404"/>
    <w:rsid w:val="001E5413"/>
    <w:rsid w:val="001E544F"/>
    <w:rsid w:val="001E5466"/>
    <w:rsid w:val="001E5475"/>
    <w:rsid w:val="001E54D0"/>
    <w:rsid w:val="001E54D7"/>
    <w:rsid w:val="001E5548"/>
    <w:rsid w:val="001E554D"/>
    <w:rsid w:val="001E555A"/>
    <w:rsid w:val="001E55B1"/>
    <w:rsid w:val="001E55CA"/>
    <w:rsid w:val="001E5655"/>
    <w:rsid w:val="001E5680"/>
    <w:rsid w:val="001E56F8"/>
    <w:rsid w:val="001E5719"/>
    <w:rsid w:val="001E5752"/>
    <w:rsid w:val="001E57DE"/>
    <w:rsid w:val="001E5860"/>
    <w:rsid w:val="001E5885"/>
    <w:rsid w:val="001E5898"/>
    <w:rsid w:val="001E59FE"/>
    <w:rsid w:val="001E5ACB"/>
    <w:rsid w:val="001E5ACF"/>
    <w:rsid w:val="001E5B56"/>
    <w:rsid w:val="001E5B8B"/>
    <w:rsid w:val="001E5BC8"/>
    <w:rsid w:val="001E5C0E"/>
    <w:rsid w:val="001E5C2B"/>
    <w:rsid w:val="001E5C3A"/>
    <w:rsid w:val="001E5CC8"/>
    <w:rsid w:val="001E5D1D"/>
    <w:rsid w:val="001E5DC5"/>
    <w:rsid w:val="001E5E2D"/>
    <w:rsid w:val="001E5EB9"/>
    <w:rsid w:val="001E5EC1"/>
    <w:rsid w:val="001E5ED1"/>
    <w:rsid w:val="001E5ED4"/>
    <w:rsid w:val="001E5F1C"/>
    <w:rsid w:val="001E5FDF"/>
    <w:rsid w:val="001E5FFA"/>
    <w:rsid w:val="001E604C"/>
    <w:rsid w:val="001E6070"/>
    <w:rsid w:val="001E6262"/>
    <w:rsid w:val="001E629B"/>
    <w:rsid w:val="001E62D4"/>
    <w:rsid w:val="001E62F2"/>
    <w:rsid w:val="001E6316"/>
    <w:rsid w:val="001E632A"/>
    <w:rsid w:val="001E637F"/>
    <w:rsid w:val="001E63A4"/>
    <w:rsid w:val="001E6419"/>
    <w:rsid w:val="001E64A1"/>
    <w:rsid w:val="001E64B3"/>
    <w:rsid w:val="001E650D"/>
    <w:rsid w:val="001E6515"/>
    <w:rsid w:val="001E6718"/>
    <w:rsid w:val="001E6758"/>
    <w:rsid w:val="001E6912"/>
    <w:rsid w:val="001E691A"/>
    <w:rsid w:val="001E697F"/>
    <w:rsid w:val="001E69D8"/>
    <w:rsid w:val="001E69EE"/>
    <w:rsid w:val="001E6A25"/>
    <w:rsid w:val="001E6A99"/>
    <w:rsid w:val="001E6B03"/>
    <w:rsid w:val="001E6B26"/>
    <w:rsid w:val="001E6B39"/>
    <w:rsid w:val="001E6C01"/>
    <w:rsid w:val="001E6C27"/>
    <w:rsid w:val="001E6C9E"/>
    <w:rsid w:val="001E6CE3"/>
    <w:rsid w:val="001E6D1F"/>
    <w:rsid w:val="001E6D5C"/>
    <w:rsid w:val="001E6D65"/>
    <w:rsid w:val="001E6D8E"/>
    <w:rsid w:val="001E6D8F"/>
    <w:rsid w:val="001E6DBF"/>
    <w:rsid w:val="001E6DC4"/>
    <w:rsid w:val="001E6E0E"/>
    <w:rsid w:val="001E6E78"/>
    <w:rsid w:val="001E6EAC"/>
    <w:rsid w:val="001E6FCC"/>
    <w:rsid w:val="001E70BE"/>
    <w:rsid w:val="001E7162"/>
    <w:rsid w:val="001E71B9"/>
    <w:rsid w:val="001E720B"/>
    <w:rsid w:val="001E7295"/>
    <w:rsid w:val="001E7297"/>
    <w:rsid w:val="001E72AE"/>
    <w:rsid w:val="001E735D"/>
    <w:rsid w:val="001E7376"/>
    <w:rsid w:val="001E73AF"/>
    <w:rsid w:val="001E7481"/>
    <w:rsid w:val="001E74DC"/>
    <w:rsid w:val="001E75D0"/>
    <w:rsid w:val="001E7641"/>
    <w:rsid w:val="001E764A"/>
    <w:rsid w:val="001E7699"/>
    <w:rsid w:val="001E76BF"/>
    <w:rsid w:val="001E7704"/>
    <w:rsid w:val="001E777F"/>
    <w:rsid w:val="001E77B5"/>
    <w:rsid w:val="001E77CD"/>
    <w:rsid w:val="001E77CE"/>
    <w:rsid w:val="001E7803"/>
    <w:rsid w:val="001E78A4"/>
    <w:rsid w:val="001E79B3"/>
    <w:rsid w:val="001E79EC"/>
    <w:rsid w:val="001E79FC"/>
    <w:rsid w:val="001E7A46"/>
    <w:rsid w:val="001E7ACA"/>
    <w:rsid w:val="001E7B7D"/>
    <w:rsid w:val="001E7BAB"/>
    <w:rsid w:val="001E7BD1"/>
    <w:rsid w:val="001E7C00"/>
    <w:rsid w:val="001E7C2C"/>
    <w:rsid w:val="001E7C63"/>
    <w:rsid w:val="001E7CB9"/>
    <w:rsid w:val="001E7CBD"/>
    <w:rsid w:val="001E7D42"/>
    <w:rsid w:val="001E7DAD"/>
    <w:rsid w:val="001E7DB2"/>
    <w:rsid w:val="001E7E82"/>
    <w:rsid w:val="001E7F1E"/>
    <w:rsid w:val="001E7F7C"/>
    <w:rsid w:val="001E7FA7"/>
    <w:rsid w:val="001E7FB8"/>
    <w:rsid w:val="001E7FD6"/>
    <w:rsid w:val="001E7FF0"/>
    <w:rsid w:val="001E7FFC"/>
    <w:rsid w:val="001F0049"/>
    <w:rsid w:val="001F0050"/>
    <w:rsid w:val="001F007D"/>
    <w:rsid w:val="001F009A"/>
    <w:rsid w:val="001F0188"/>
    <w:rsid w:val="001F0200"/>
    <w:rsid w:val="001F021E"/>
    <w:rsid w:val="001F025B"/>
    <w:rsid w:val="001F02A1"/>
    <w:rsid w:val="001F02AB"/>
    <w:rsid w:val="001F0370"/>
    <w:rsid w:val="001F03A8"/>
    <w:rsid w:val="001F04C7"/>
    <w:rsid w:val="001F05EB"/>
    <w:rsid w:val="001F070D"/>
    <w:rsid w:val="001F0773"/>
    <w:rsid w:val="001F07AB"/>
    <w:rsid w:val="001F07B4"/>
    <w:rsid w:val="001F07FB"/>
    <w:rsid w:val="001F084E"/>
    <w:rsid w:val="001F086A"/>
    <w:rsid w:val="001F08D5"/>
    <w:rsid w:val="001F08EE"/>
    <w:rsid w:val="001F090D"/>
    <w:rsid w:val="001F0930"/>
    <w:rsid w:val="001F0992"/>
    <w:rsid w:val="001F099D"/>
    <w:rsid w:val="001F0B33"/>
    <w:rsid w:val="001F0B41"/>
    <w:rsid w:val="001F0B49"/>
    <w:rsid w:val="001F0C88"/>
    <w:rsid w:val="001F0D0B"/>
    <w:rsid w:val="001F0E3B"/>
    <w:rsid w:val="001F0E92"/>
    <w:rsid w:val="001F0ECB"/>
    <w:rsid w:val="001F0FB6"/>
    <w:rsid w:val="001F0FD0"/>
    <w:rsid w:val="001F1054"/>
    <w:rsid w:val="001F1072"/>
    <w:rsid w:val="001F1089"/>
    <w:rsid w:val="001F111C"/>
    <w:rsid w:val="001F1160"/>
    <w:rsid w:val="001F11ED"/>
    <w:rsid w:val="001F126C"/>
    <w:rsid w:val="001F1286"/>
    <w:rsid w:val="001F12C2"/>
    <w:rsid w:val="001F131B"/>
    <w:rsid w:val="001F1353"/>
    <w:rsid w:val="001F136F"/>
    <w:rsid w:val="001F137E"/>
    <w:rsid w:val="001F1398"/>
    <w:rsid w:val="001F13C8"/>
    <w:rsid w:val="001F1480"/>
    <w:rsid w:val="001F1540"/>
    <w:rsid w:val="001F1555"/>
    <w:rsid w:val="001F155C"/>
    <w:rsid w:val="001F158B"/>
    <w:rsid w:val="001F15AB"/>
    <w:rsid w:val="001F1628"/>
    <w:rsid w:val="001F162F"/>
    <w:rsid w:val="001F1680"/>
    <w:rsid w:val="001F1729"/>
    <w:rsid w:val="001F173E"/>
    <w:rsid w:val="001F17B4"/>
    <w:rsid w:val="001F17CE"/>
    <w:rsid w:val="001F185A"/>
    <w:rsid w:val="001F1979"/>
    <w:rsid w:val="001F1A08"/>
    <w:rsid w:val="001F1A97"/>
    <w:rsid w:val="001F1AA5"/>
    <w:rsid w:val="001F1AD9"/>
    <w:rsid w:val="001F1B44"/>
    <w:rsid w:val="001F1C13"/>
    <w:rsid w:val="001F1D3F"/>
    <w:rsid w:val="001F1D82"/>
    <w:rsid w:val="001F1E9A"/>
    <w:rsid w:val="001F1EF1"/>
    <w:rsid w:val="001F1F72"/>
    <w:rsid w:val="001F1F94"/>
    <w:rsid w:val="001F1FA7"/>
    <w:rsid w:val="001F1FA8"/>
    <w:rsid w:val="001F204B"/>
    <w:rsid w:val="001F20C0"/>
    <w:rsid w:val="001F2103"/>
    <w:rsid w:val="001F2258"/>
    <w:rsid w:val="001F22E6"/>
    <w:rsid w:val="001F2324"/>
    <w:rsid w:val="001F244C"/>
    <w:rsid w:val="001F246B"/>
    <w:rsid w:val="001F247A"/>
    <w:rsid w:val="001F24DE"/>
    <w:rsid w:val="001F2573"/>
    <w:rsid w:val="001F25C2"/>
    <w:rsid w:val="001F25CD"/>
    <w:rsid w:val="001F260B"/>
    <w:rsid w:val="001F26CD"/>
    <w:rsid w:val="001F26CE"/>
    <w:rsid w:val="001F26ED"/>
    <w:rsid w:val="001F271F"/>
    <w:rsid w:val="001F272B"/>
    <w:rsid w:val="001F2793"/>
    <w:rsid w:val="001F2821"/>
    <w:rsid w:val="001F2859"/>
    <w:rsid w:val="001F28CA"/>
    <w:rsid w:val="001F28E6"/>
    <w:rsid w:val="001F291F"/>
    <w:rsid w:val="001F295E"/>
    <w:rsid w:val="001F29BD"/>
    <w:rsid w:val="001F29F6"/>
    <w:rsid w:val="001F2A2D"/>
    <w:rsid w:val="001F2A39"/>
    <w:rsid w:val="001F2B56"/>
    <w:rsid w:val="001F2BCB"/>
    <w:rsid w:val="001F2C91"/>
    <w:rsid w:val="001F2D5E"/>
    <w:rsid w:val="001F2D7F"/>
    <w:rsid w:val="001F2E35"/>
    <w:rsid w:val="001F2E62"/>
    <w:rsid w:val="001F2EB4"/>
    <w:rsid w:val="001F2ED9"/>
    <w:rsid w:val="001F2F35"/>
    <w:rsid w:val="001F2F6C"/>
    <w:rsid w:val="001F300E"/>
    <w:rsid w:val="001F3015"/>
    <w:rsid w:val="001F303F"/>
    <w:rsid w:val="001F3172"/>
    <w:rsid w:val="001F319D"/>
    <w:rsid w:val="001F31D1"/>
    <w:rsid w:val="001F3203"/>
    <w:rsid w:val="001F32B5"/>
    <w:rsid w:val="001F339E"/>
    <w:rsid w:val="001F33A6"/>
    <w:rsid w:val="001F345E"/>
    <w:rsid w:val="001F3558"/>
    <w:rsid w:val="001F359D"/>
    <w:rsid w:val="001F35BA"/>
    <w:rsid w:val="001F36AC"/>
    <w:rsid w:val="001F3730"/>
    <w:rsid w:val="001F37F2"/>
    <w:rsid w:val="001F3840"/>
    <w:rsid w:val="001F386F"/>
    <w:rsid w:val="001F3913"/>
    <w:rsid w:val="001F3997"/>
    <w:rsid w:val="001F39E3"/>
    <w:rsid w:val="001F3B7A"/>
    <w:rsid w:val="001F3BCD"/>
    <w:rsid w:val="001F3C23"/>
    <w:rsid w:val="001F3C73"/>
    <w:rsid w:val="001F3CA6"/>
    <w:rsid w:val="001F3CE6"/>
    <w:rsid w:val="001F3DF2"/>
    <w:rsid w:val="001F3E01"/>
    <w:rsid w:val="001F3E1C"/>
    <w:rsid w:val="001F3F3C"/>
    <w:rsid w:val="001F3FA4"/>
    <w:rsid w:val="001F3FA7"/>
    <w:rsid w:val="001F3FAD"/>
    <w:rsid w:val="001F405A"/>
    <w:rsid w:val="001F4063"/>
    <w:rsid w:val="001F4081"/>
    <w:rsid w:val="001F4139"/>
    <w:rsid w:val="001F4188"/>
    <w:rsid w:val="001F424E"/>
    <w:rsid w:val="001F4290"/>
    <w:rsid w:val="001F4293"/>
    <w:rsid w:val="001F42D0"/>
    <w:rsid w:val="001F42F4"/>
    <w:rsid w:val="001F431D"/>
    <w:rsid w:val="001F435A"/>
    <w:rsid w:val="001F43B4"/>
    <w:rsid w:val="001F4497"/>
    <w:rsid w:val="001F44DC"/>
    <w:rsid w:val="001F44E7"/>
    <w:rsid w:val="001F4564"/>
    <w:rsid w:val="001F45C5"/>
    <w:rsid w:val="001F45E8"/>
    <w:rsid w:val="001F47B4"/>
    <w:rsid w:val="001F47C9"/>
    <w:rsid w:val="001F485F"/>
    <w:rsid w:val="001F4994"/>
    <w:rsid w:val="001F49D1"/>
    <w:rsid w:val="001F4ABC"/>
    <w:rsid w:val="001F4AC1"/>
    <w:rsid w:val="001F4ACE"/>
    <w:rsid w:val="001F4B35"/>
    <w:rsid w:val="001F4BA7"/>
    <w:rsid w:val="001F4BAB"/>
    <w:rsid w:val="001F4C99"/>
    <w:rsid w:val="001F4CEA"/>
    <w:rsid w:val="001F4CFC"/>
    <w:rsid w:val="001F4E27"/>
    <w:rsid w:val="001F4E8E"/>
    <w:rsid w:val="001F4EAC"/>
    <w:rsid w:val="001F4F06"/>
    <w:rsid w:val="001F4F88"/>
    <w:rsid w:val="001F4FF1"/>
    <w:rsid w:val="001F4FFE"/>
    <w:rsid w:val="001F50C8"/>
    <w:rsid w:val="001F513F"/>
    <w:rsid w:val="001F514F"/>
    <w:rsid w:val="001F51C0"/>
    <w:rsid w:val="001F52B5"/>
    <w:rsid w:val="001F52F4"/>
    <w:rsid w:val="001F5308"/>
    <w:rsid w:val="001F53B9"/>
    <w:rsid w:val="001F53C0"/>
    <w:rsid w:val="001F5451"/>
    <w:rsid w:val="001F5463"/>
    <w:rsid w:val="001F54A0"/>
    <w:rsid w:val="001F54C2"/>
    <w:rsid w:val="001F54CD"/>
    <w:rsid w:val="001F553E"/>
    <w:rsid w:val="001F5561"/>
    <w:rsid w:val="001F5567"/>
    <w:rsid w:val="001F560C"/>
    <w:rsid w:val="001F561D"/>
    <w:rsid w:val="001F5670"/>
    <w:rsid w:val="001F569E"/>
    <w:rsid w:val="001F573A"/>
    <w:rsid w:val="001F5769"/>
    <w:rsid w:val="001F5804"/>
    <w:rsid w:val="001F5879"/>
    <w:rsid w:val="001F58CC"/>
    <w:rsid w:val="001F58E6"/>
    <w:rsid w:val="001F5975"/>
    <w:rsid w:val="001F5998"/>
    <w:rsid w:val="001F5A03"/>
    <w:rsid w:val="001F5A9D"/>
    <w:rsid w:val="001F5B67"/>
    <w:rsid w:val="001F5B7D"/>
    <w:rsid w:val="001F5B90"/>
    <w:rsid w:val="001F5CF4"/>
    <w:rsid w:val="001F5D34"/>
    <w:rsid w:val="001F5D58"/>
    <w:rsid w:val="001F5DC8"/>
    <w:rsid w:val="001F5DE4"/>
    <w:rsid w:val="001F5E12"/>
    <w:rsid w:val="001F5E6B"/>
    <w:rsid w:val="001F5E70"/>
    <w:rsid w:val="001F5E9E"/>
    <w:rsid w:val="001F5EF6"/>
    <w:rsid w:val="001F5F15"/>
    <w:rsid w:val="001F5F3A"/>
    <w:rsid w:val="001F5F63"/>
    <w:rsid w:val="001F5F91"/>
    <w:rsid w:val="001F5FFB"/>
    <w:rsid w:val="001F6047"/>
    <w:rsid w:val="001F604D"/>
    <w:rsid w:val="001F60BE"/>
    <w:rsid w:val="001F6103"/>
    <w:rsid w:val="001F6136"/>
    <w:rsid w:val="001F6164"/>
    <w:rsid w:val="001F62A4"/>
    <w:rsid w:val="001F6309"/>
    <w:rsid w:val="001F63E9"/>
    <w:rsid w:val="001F6417"/>
    <w:rsid w:val="001F644B"/>
    <w:rsid w:val="001F6497"/>
    <w:rsid w:val="001F64A3"/>
    <w:rsid w:val="001F6536"/>
    <w:rsid w:val="001F6587"/>
    <w:rsid w:val="001F65A8"/>
    <w:rsid w:val="001F65CE"/>
    <w:rsid w:val="001F65E4"/>
    <w:rsid w:val="001F65EB"/>
    <w:rsid w:val="001F66CC"/>
    <w:rsid w:val="001F6720"/>
    <w:rsid w:val="001F672C"/>
    <w:rsid w:val="001F67A0"/>
    <w:rsid w:val="001F67B8"/>
    <w:rsid w:val="001F67FB"/>
    <w:rsid w:val="001F68D1"/>
    <w:rsid w:val="001F68EB"/>
    <w:rsid w:val="001F68ED"/>
    <w:rsid w:val="001F6923"/>
    <w:rsid w:val="001F694B"/>
    <w:rsid w:val="001F696D"/>
    <w:rsid w:val="001F697D"/>
    <w:rsid w:val="001F6991"/>
    <w:rsid w:val="001F6AE4"/>
    <w:rsid w:val="001F6AF2"/>
    <w:rsid w:val="001F6B8B"/>
    <w:rsid w:val="001F6CC6"/>
    <w:rsid w:val="001F6CDF"/>
    <w:rsid w:val="001F6D7B"/>
    <w:rsid w:val="001F6E1F"/>
    <w:rsid w:val="001F6E34"/>
    <w:rsid w:val="001F6E3D"/>
    <w:rsid w:val="001F6E46"/>
    <w:rsid w:val="001F6E5B"/>
    <w:rsid w:val="001F6E82"/>
    <w:rsid w:val="001F6FBE"/>
    <w:rsid w:val="001F701C"/>
    <w:rsid w:val="001F7074"/>
    <w:rsid w:val="001F709F"/>
    <w:rsid w:val="001F70AF"/>
    <w:rsid w:val="001F70E7"/>
    <w:rsid w:val="001F7112"/>
    <w:rsid w:val="001F72CB"/>
    <w:rsid w:val="001F7350"/>
    <w:rsid w:val="001F738A"/>
    <w:rsid w:val="001F73D2"/>
    <w:rsid w:val="001F73D8"/>
    <w:rsid w:val="001F7409"/>
    <w:rsid w:val="001F74D7"/>
    <w:rsid w:val="001F7533"/>
    <w:rsid w:val="001F75F1"/>
    <w:rsid w:val="001F7621"/>
    <w:rsid w:val="001F7633"/>
    <w:rsid w:val="001F7635"/>
    <w:rsid w:val="001F7659"/>
    <w:rsid w:val="001F7710"/>
    <w:rsid w:val="001F7767"/>
    <w:rsid w:val="001F77A6"/>
    <w:rsid w:val="001F77C4"/>
    <w:rsid w:val="001F7808"/>
    <w:rsid w:val="001F7824"/>
    <w:rsid w:val="001F7825"/>
    <w:rsid w:val="001F78D1"/>
    <w:rsid w:val="001F78E9"/>
    <w:rsid w:val="001F7928"/>
    <w:rsid w:val="001F7946"/>
    <w:rsid w:val="001F7A52"/>
    <w:rsid w:val="001F7A5E"/>
    <w:rsid w:val="001F7AB6"/>
    <w:rsid w:val="001F7AEB"/>
    <w:rsid w:val="001F7AF5"/>
    <w:rsid w:val="001F7AF9"/>
    <w:rsid w:val="001F7B1F"/>
    <w:rsid w:val="001F7B3C"/>
    <w:rsid w:val="001F7C46"/>
    <w:rsid w:val="001F7C61"/>
    <w:rsid w:val="001F7CED"/>
    <w:rsid w:val="001F7CEF"/>
    <w:rsid w:val="001F7D13"/>
    <w:rsid w:val="001F7DAE"/>
    <w:rsid w:val="001F7DCA"/>
    <w:rsid w:val="001F7E08"/>
    <w:rsid w:val="001F7E09"/>
    <w:rsid w:val="001F7E12"/>
    <w:rsid w:val="001F7E3A"/>
    <w:rsid w:val="001F7EB2"/>
    <w:rsid w:val="001F7F1F"/>
    <w:rsid w:val="001F7FD8"/>
    <w:rsid w:val="0020001D"/>
    <w:rsid w:val="0020002D"/>
    <w:rsid w:val="00200086"/>
    <w:rsid w:val="002000D2"/>
    <w:rsid w:val="002000F7"/>
    <w:rsid w:val="002001BF"/>
    <w:rsid w:val="00200223"/>
    <w:rsid w:val="00200283"/>
    <w:rsid w:val="00200399"/>
    <w:rsid w:val="002003E7"/>
    <w:rsid w:val="002004C2"/>
    <w:rsid w:val="00200547"/>
    <w:rsid w:val="002005B8"/>
    <w:rsid w:val="002005FB"/>
    <w:rsid w:val="00200624"/>
    <w:rsid w:val="002006AB"/>
    <w:rsid w:val="002007F6"/>
    <w:rsid w:val="00200805"/>
    <w:rsid w:val="0020081F"/>
    <w:rsid w:val="00200901"/>
    <w:rsid w:val="00200910"/>
    <w:rsid w:val="00200971"/>
    <w:rsid w:val="002009B1"/>
    <w:rsid w:val="00200A68"/>
    <w:rsid w:val="00200A7B"/>
    <w:rsid w:val="00200ACA"/>
    <w:rsid w:val="00200B11"/>
    <w:rsid w:val="00200D23"/>
    <w:rsid w:val="00200D32"/>
    <w:rsid w:val="00200D93"/>
    <w:rsid w:val="00200F2D"/>
    <w:rsid w:val="00200F4F"/>
    <w:rsid w:val="00200FBF"/>
    <w:rsid w:val="00201017"/>
    <w:rsid w:val="0020105A"/>
    <w:rsid w:val="0020106C"/>
    <w:rsid w:val="00201162"/>
    <w:rsid w:val="00201178"/>
    <w:rsid w:val="002011A0"/>
    <w:rsid w:val="0020124D"/>
    <w:rsid w:val="0020129E"/>
    <w:rsid w:val="002012A0"/>
    <w:rsid w:val="002012DF"/>
    <w:rsid w:val="002013CE"/>
    <w:rsid w:val="002013FE"/>
    <w:rsid w:val="00201440"/>
    <w:rsid w:val="00201452"/>
    <w:rsid w:val="0020153F"/>
    <w:rsid w:val="00201605"/>
    <w:rsid w:val="00201729"/>
    <w:rsid w:val="0020172F"/>
    <w:rsid w:val="002017BC"/>
    <w:rsid w:val="002017DC"/>
    <w:rsid w:val="00201816"/>
    <w:rsid w:val="00201859"/>
    <w:rsid w:val="00201958"/>
    <w:rsid w:val="00201984"/>
    <w:rsid w:val="002019A7"/>
    <w:rsid w:val="00201ACC"/>
    <w:rsid w:val="00201BAD"/>
    <w:rsid w:val="00201BF8"/>
    <w:rsid w:val="00201C03"/>
    <w:rsid w:val="00201CB0"/>
    <w:rsid w:val="00201CC6"/>
    <w:rsid w:val="00201CE7"/>
    <w:rsid w:val="00201D00"/>
    <w:rsid w:val="00201D1F"/>
    <w:rsid w:val="00201D26"/>
    <w:rsid w:val="00201E03"/>
    <w:rsid w:val="00201E2A"/>
    <w:rsid w:val="00201E31"/>
    <w:rsid w:val="00201F89"/>
    <w:rsid w:val="00201F9F"/>
    <w:rsid w:val="00201FCF"/>
    <w:rsid w:val="00202001"/>
    <w:rsid w:val="00202032"/>
    <w:rsid w:val="0020207B"/>
    <w:rsid w:val="002020D0"/>
    <w:rsid w:val="002020E7"/>
    <w:rsid w:val="0020210A"/>
    <w:rsid w:val="0020212E"/>
    <w:rsid w:val="00202196"/>
    <w:rsid w:val="0020228E"/>
    <w:rsid w:val="00202296"/>
    <w:rsid w:val="002022BD"/>
    <w:rsid w:val="002022C4"/>
    <w:rsid w:val="0020230F"/>
    <w:rsid w:val="0020238F"/>
    <w:rsid w:val="00202396"/>
    <w:rsid w:val="002023C6"/>
    <w:rsid w:val="00202492"/>
    <w:rsid w:val="002024EE"/>
    <w:rsid w:val="002024F1"/>
    <w:rsid w:val="00202510"/>
    <w:rsid w:val="00202565"/>
    <w:rsid w:val="0020259A"/>
    <w:rsid w:val="002025CD"/>
    <w:rsid w:val="002025EC"/>
    <w:rsid w:val="0020269C"/>
    <w:rsid w:val="002026F8"/>
    <w:rsid w:val="00202743"/>
    <w:rsid w:val="0020274D"/>
    <w:rsid w:val="00202787"/>
    <w:rsid w:val="002027D9"/>
    <w:rsid w:val="002027FA"/>
    <w:rsid w:val="00202810"/>
    <w:rsid w:val="0020285C"/>
    <w:rsid w:val="002028DC"/>
    <w:rsid w:val="0020291D"/>
    <w:rsid w:val="00202948"/>
    <w:rsid w:val="0020295D"/>
    <w:rsid w:val="00202980"/>
    <w:rsid w:val="00202A32"/>
    <w:rsid w:val="00202A4B"/>
    <w:rsid w:val="00202B2C"/>
    <w:rsid w:val="00202BB5"/>
    <w:rsid w:val="00202BC7"/>
    <w:rsid w:val="00202CE8"/>
    <w:rsid w:val="00202CF3"/>
    <w:rsid w:val="00202E75"/>
    <w:rsid w:val="00202F15"/>
    <w:rsid w:val="00202F1E"/>
    <w:rsid w:val="00202FC8"/>
    <w:rsid w:val="00202FF9"/>
    <w:rsid w:val="0020307D"/>
    <w:rsid w:val="002030D7"/>
    <w:rsid w:val="0020312E"/>
    <w:rsid w:val="00203134"/>
    <w:rsid w:val="002031AE"/>
    <w:rsid w:val="0020322B"/>
    <w:rsid w:val="00203260"/>
    <w:rsid w:val="002032A3"/>
    <w:rsid w:val="002032CC"/>
    <w:rsid w:val="00203300"/>
    <w:rsid w:val="0020333D"/>
    <w:rsid w:val="00203348"/>
    <w:rsid w:val="00203349"/>
    <w:rsid w:val="00203364"/>
    <w:rsid w:val="0020337B"/>
    <w:rsid w:val="00203395"/>
    <w:rsid w:val="002033FA"/>
    <w:rsid w:val="00203430"/>
    <w:rsid w:val="002034AE"/>
    <w:rsid w:val="0020357F"/>
    <w:rsid w:val="00203580"/>
    <w:rsid w:val="002035A2"/>
    <w:rsid w:val="002035A6"/>
    <w:rsid w:val="00203603"/>
    <w:rsid w:val="00203623"/>
    <w:rsid w:val="00203679"/>
    <w:rsid w:val="00203699"/>
    <w:rsid w:val="002036D4"/>
    <w:rsid w:val="0020377A"/>
    <w:rsid w:val="00203782"/>
    <w:rsid w:val="002037A5"/>
    <w:rsid w:val="00203806"/>
    <w:rsid w:val="0020387D"/>
    <w:rsid w:val="002038BE"/>
    <w:rsid w:val="002038C2"/>
    <w:rsid w:val="002038DD"/>
    <w:rsid w:val="00203931"/>
    <w:rsid w:val="002039E3"/>
    <w:rsid w:val="002039E4"/>
    <w:rsid w:val="00203B00"/>
    <w:rsid w:val="00203B5B"/>
    <w:rsid w:val="00203BDD"/>
    <w:rsid w:val="00203D00"/>
    <w:rsid w:val="00203D69"/>
    <w:rsid w:val="00203D88"/>
    <w:rsid w:val="00203DA5"/>
    <w:rsid w:val="00203DE6"/>
    <w:rsid w:val="00203DF1"/>
    <w:rsid w:val="00203E25"/>
    <w:rsid w:val="00203E5D"/>
    <w:rsid w:val="00203E78"/>
    <w:rsid w:val="00203F8E"/>
    <w:rsid w:val="00203FC5"/>
    <w:rsid w:val="00203FDE"/>
    <w:rsid w:val="00203FE4"/>
    <w:rsid w:val="00203FF3"/>
    <w:rsid w:val="00204036"/>
    <w:rsid w:val="00204053"/>
    <w:rsid w:val="00204061"/>
    <w:rsid w:val="002040D3"/>
    <w:rsid w:val="00204264"/>
    <w:rsid w:val="00204281"/>
    <w:rsid w:val="002042CC"/>
    <w:rsid w:val="002042EC"/>
    <w:rsid w:val="002042FA"/>
    <w:rsid w:val="002043ED"/>
    <w:rsid w:val="0020444B"/>
    <w:rsid w:val="002044B2"/>
    <w:rsid w:val="00204514"/>
    <w:rsid w:val="00204556"/>
    <w:rsid w:val="00204579"/>
    <w:rsid w:val="002045C2"/>
    <w:rsid w:val="002045D4"/>
    <w:rsid w:val="002045E0"/>
    <w:rsid w:val="00204658"/>
    <w:rsid w:val="00204690"/>
    <w:rsid w:val="002046A3"/>
    <w:rsid w:val="00204700"/>
    <w:rsid w:val="00204709"/>
    <w:rsid w:val="0020473F"/>
    <w:rsid w:val="00204754"/>
    <w:rsid w:val="002047C7"/>
    <w:rsid w:val="00204843"/>
    <w:rsid w:val="0020487B"/>
    <w:rsid w:val="002048C7"/>
    <w:rsid w:val="00204906"/>
    <w:rsid w:val="00204928"/>
    <w:rsid w:val="00204946"/>
    <w:rsid w:val="00204A20"/>
    <w:rsid w:val="00204AB8"/>
    <w:rsid w:val="00204B03"/>
    <w:rsid w:val="00204B8C"/>
    <w:rsid w:val="00204BBF"/>
    <w:rsid w:val="00204BCE"/>
    <w:rsid w:val="00204C88"/>
    <w:rsid w:val="00204C8D"/>
    <w:rsid w:val="00204CB1"/>
    <w:rsid w:val="00204CD8"/>
    <w:rsid w:val="00204D42"/>
    <w:rsid w:val="00204D43"/>
    <w:rsid w:val="00204D96"/>
    <w:rsid w:val="00204D9D"/>
    <w:rsid w:val="00204DB3"/>
    <w:rsid w:val="00204F56"/>
    <w:rsid w:val="00205045"/>
    <w:rsid w:val="00205171"/>
    <w:rsid w:val="0020519E"/>
    <w:rsid w:val="00205251"/>
    <w:rsid w:val="00205266"/>
    <w:rsid w:val="002052CF"/>
    <w:rsid w:val="00205336"/>
    <w:rsid w:val="002053A3"/>
    <w:rsid w:val="00205401"/>
    <w:rsid w:val="00205455"/>
    <w:rsid w:val="0020545B"/>
    <w:rsid w:val="002054D1"/>
    <w:rsid w:val="0020554E"/>
    <w:rsid w:val="00205579"/>
    <w:rsid w:val="002055D7"/>
    <w:rsid w:val="002056BA"/>
    <w:rsid w:val="002056EC"/>
    <w:rsid w:val="002056EE"/>
    <w:rsid w:val="002056F5"/>
    <w:rsid w:val="0020572A"/>
    <w:rsid w:val="00205787"/>
    <w:rsid w:val="0020578C"/>
    <w:rsid w:val="002057A2"/>
    <w:rsid w:val="002057AA"/>
    <w:rsid w:val="00205819"/>
    <w:rsid w:val="00205887"/>
    <w:rsid w:val="002058AF"/>
    <w:rsid w:val="002058FF"/>
    <w:rsid w:val="0020594E"/>
    <w:rsid w:val="002059C5"/>
    <w:rsid w:val="002059CB"/>
    <w:rsid w:val="00205A3C"/>
    <w:rsid w:val="00205A9E"/>
    <w:rsid w:val="00205AA7"/>
    <w:rsid w:val="00205B3B"/>
    <w:rsid w:val="00205B53"/>
    <w:rsid w:val="00205B70"/>
    <w:rsid w:val="00205BAE"/>
    <w:rsid w:val="00205BBE"/>
    <w:rsid w:val="00205C4A"/>
    <w:rsid w:val="00205D37"/>
    <w:rsid w:val="00205D3F"/>
    <w:rsid w:val="00205D5E"/>
    <w:rsid w:val="00205D93"/>
    <w:rsid w:val="00205E27"/>
    <w:rsid w:val="00205E8C"/>
    <w:rsid w:val="00205EC0"/>
    <w:rsid w:val="00205EC7"/>
    <w:rsid w:val="00205F01"/>
    <w:rsid w:val="00205F8B"/>
    <w:rsid w:val="00205FA3"/>
    <w:rsid w:val="00206072"/>
    <w:rsid w:val="00206156"/>
    <w:rsid w:val="00206178"/>
    <w:rsid w:val="00206283"/>
    <w:rsid w:val="00206286"/>
    <w:rsid w:val="002062AB"/>
    <w:rsid w:val="002062C8"/>
    <w:rsid w:val="002062FC"/>
    <w:rsid w:val="0020635B"/>
    <w:rsid w:val="00206369"/>
    <w:rsid w:val="0020636F"/>
    <w:rsid w:val="00206389"/>
    <w:rsid w:val="0020647B"/>
    <w:rsid w:val="002064FB"/>
    <w:rsid w:val="00206527"/>
    <w:rsid w:val="00206548"/>
    <w:rsid w:val="002066BD"/>
    <w:rsid w:val="00206726"/>
    <w:rsid w:val="00206759"/>
    <w:rsid w:val="00206763"/>
    <w:rsid w:val="002067D2"/>
    <w:rsid w:val="002067F1"/>
    <w:rsid w:val="00206832"/>
    <w:rsid w:val="00206868"/>
    <w:rsid w:val="00206880"/>
    <w:rsid w:val="00206962"/>
    <w:rsid w:val="002069E1"/>
    <w:rsid w:val="00206A3F"/>
    <w:rsid w:val="00206A5A"/>
    <w:rsid w:val="00206B17"/>
    <w:rsid w:val="00206B87"/>
    <w:rsid w:val="00206C4A"/>
    <w:rsid w:val="00206CB6"/>
    <w:rsid w:val="00206CC1"/>
    <w:rsid w:val="00206CDD"/>
    <w:rsid w:val="00206D78"/>
    <w:rsid w:val="00206D9A"/>
    <w:rsid w:val="00206DE4"/>
    <w:rsid w:val="00206E9F"/>
    <w:rsid w:val="00206EAD"/>
    <w:rsid w:val="00206F0D"/>
    <w:rsid w:val="00206F2F"/>
    <w:rsid w:val="00206F3F"/>
    <w:rsid w:val="00206F55"/>
    <w:rsid w:val="00206F84"/>
    <w:rsid w:val="00206FDB"/>
    <w:rsid w:val="0020703A"/>
    <w:rsid w:val="0020705A"/>
    <w:rsid w:val="00207074"/>
    <w:rsid w:val="002070ED"/>
    <w:rsid w:val="00207153"/>
    <w:rsid w:val="00207177"/>
    <w:rsid w:val="002071C1"/>
    <w:rsid w:val="0020723C"/>
    <w:rsid w:val="00207300"/>
    <w:rsid w:val="00207393"/>
    <w:rsid w:val="0020760C"/>
    <w:rsid w:val="002076AF"/>
    <w:rsid w:val="002076C8"/>
    <w:rsid w:val="002076F4"/>
    <w:rsid w:val="002077B2"/>
    <w:rsid w:val="002077E0"/>
    <w:rsid w:val="00207808"/>
    <w:rsid w:val="00207830"/>
    <w:rsid w:val="00207851"/>
    <w:rsid w:val="00207862"/>
    <w:rsid w:val="002078AC"/>
    <w:rsid w:val="00207919"/>
    <w:rsid w:val="00207924"/>
    <w:rsid w:val="00207998"/>
    <w:rsid w:val="00207A03"/>
    <w:rsid w:val="00207A17"/>
    <w:rsid w:val="00207A98"/>
    <w:rsid w:val="00207B09"/>
    <w:rsid w:val="00207BF0"/>
    <w:rsid w:val="00207C65"/>
    <w:rsid w:val="00207D9B"/>
    <w:rsid w:val="00207DB9"/>
    <w:rsid w:val="00207E12"/>
    <w:rsid w:val="00207F87"/>
    <w:rsid w:val="0021009B"/>
    <w:rsid w:val="0021016E"/>
    <w:rsid w:val="002101E1"/>
    <w:rsid w:val="002102D6"/>
    <w:rsid w:val="00210334"/>
    <w:rsid w:val="002103C8"/>
    <w:rsid w:val="00210441"/>
    <w:rsid w:val="00210463"/>
    <w:rsid w:val="00210490"/>
    <w:rsid w:val="002104BB"/>
    <w:rsid w:val="0021058E"/>
    <w:rsid w:val="002105C2"/>
    <w:rsid w:val="0021066C"/>
    <w:rsid w:val="0021069F"/>
    <w:rsid w:val="002106E8"/>
    <w:rsid w:val="00210717"/>
    <w:rsid w:val="00210776"/>
    <w:rsid w:val="0021077A"/>
    <w:rsid w:val="002107D0"/>
    <w:rsid w:val="002108CF"/>
    <w:rsid w:val="002109E7"/>
    <w:rsid w:val="00210A02"/>
    <w:rsid w:val="00210AD5"/>
    <w:rsid w:val="00210ADF"/>
    <w:rsid w:val="00210B86"/>
    <w:rsid w:val="00210BDC"/>
    <w:rsid w:val="00210BEA"/>
    <w:rsid w:val="00210D79"/>
    <w:rsid w:val="00210DE7"/>
    <w:rsid w:val="00210F19"/>
    <w:rsid w:val="00210F34"/>
    <w:rsid w:val="00210FBF"/>
    <w:rsid w:val="00211013"/>
    <w:rsid w:val="00211060"/>
    <w:rsid w:val="002110E3"/>
    <w:rsid w:val="00211104"/>
    <w:rsid w:val="00211116"/>
    <w:rsid w:val="00211130"/>
    <w:rsid w:val="00211195"/>
    <w:rsid w:val="002111F7"/>
    <w:rsid w:val="00211291"/>
    <w:rsid w:val="002112B6"/>
    <w:rsid w:val="00211317"/>
    <w:rsid w:val="00211458"/>
    <w:rsid w:val="00211497"/>
    <w:rsid w:val="0021149B"/>
    <w:rsid w:val="00211574"/>
    <w:rsid w:val="00211589"/>
    <w:rsid w:val="002115EA"/>
    <w:rsid w:val="0021165D"/>
    <w:rsid w:val="0021167E"/>
    <w:rsid w:val="00211685"/>
    <w:rsid w:val="00211697"/>
    <w:rsid w:val="002116E4"/>
    <w:rsid w:val="002117B0"/>
    <w:rsid w:val="00211858"/>
    <w:rsid w:val="0021190B"/>
    <w:rsid w:val="00211916"/>
    <w:rsid w:val="002119D7"/>
    <w:rsid w:val="00211B10"/>
    <w:rsid w:val="00211B3B"/>
    <w:rsid w:val="00211B8C"/>
    <w:rsid w:val="00211BF9"/>
    <w:rsid w:val="00211C5B"/>
    <w:rsid w:val="00211C8A"/>
    <w:rsid w:val="00211D48"/>
    <w:rsid w:val="00211D51"/>
    <w:rsid w:val="00211D63"/>
    <w:rsid w:val="00211D6E"/>
    <w:rsid w:val="00211E0A"/>
    <w:rsid w:val="00211E15"/>
    <w:rsid w:val="00211E82"/>
    <w:rsid w:val="00211EA3"/>
    <w:rsid w:val="00211F1D"/>
    <w:rsid w:val="00212026"/>
    <w:rsid w:val="002121D3"/>
    <w:rsid w:val="00212202"/>
    <w:rsid w:val="002122B8"/>
    <w:rsid w:val="0021238E"/>
    <w:rsid w:val="0021239A"/>
    <w:rsid w:val="002123FB"/>
    <w:rsid w:val="00212412"/>
    <w:rsid w:val="00212476"/>
    <w:rsid w:val="002124BA"/>
    <w:rsid w:val="002124CB"/>
    <w:rsid w:val="0021250C"/>
    <w:rsid w:val="00212568"/>
    <w:rsid w:val="002125AC"/>
    <w:rsid w:val="00212659"/>
    <w:rsid w:val="0021266A"/>
    <w:rsid w:val="0021269F"/>
    <w:rsid w:val="0021270C"/>
    <w:rsid w:val="00212753"/>
    <w:rsid w:val="00212758"/>
    <w:rsid w:val="002127E5"/>
    <w:rsid w:val="0021286D"/>
    <w:rsid w:val="00212955"/>
    <w:rsid w:val="002129EE"/>
    <w:rsid w:val="00212A62"/>
    <w:rsid w:val="00212AD1"/>
    <w:rsid w:val="00212B5A"/>
    <w:rsid w:val="00212C42"/>
    <w:rsid w:val="00212C71"/>
    <w:rsid w:val="00212C75"/>
    <w:rsid w:val="00212D36"/>
    <w:rsid w:val="00212D41"/>
    <w:rsid w:val="00212DB8"/>
    <w:rsid w:val="00212DF1"/>
    <w:rsid w:val="00212DFE"/>
    <w:rsid w:val="00212E1A"/>
    <w:rsid w:val="00212E25"/>
    <w:rsid w:val="00212E8B"/>
    <w:rsid w:val="00212EA0"/>
    <w:rsid w:val="00212FCC"/>
    <w:rsid w:val="00212FE3"/>
    <w:rsid w:val="0021301D"/>
    <w:rsid w:val="00213093"/>
    <w:rsid w:val="00213208"/>
    <w:rsid w:val="0021332C"/>
    <w:rsid w:val="0021333C"/>
    <w:rsid w:val="0021336B"/>
    <w:rsid w:val="00213461"/>
    <w:rsid w:val="002134BC"/>
    <w:rsid w:val="002134D3"/>
    <w:rsid w:val="00213511"/>
    <w:rsid w:val="0021353B"/>
    <w:rsid w:val="0021354C"/>
    <w:rsid w:val="002135C7"/>
    <w:rsid w:val="002136B6"/>
    <w:rsid w:val="002136C2"/>
    <w:rsid w:val="002136CD"/>
    <w:rsid w:val="002137F6"/>
    <w:rsid w:val="00213816"/>
    <w:rsid w:val="0021383B"/>
    <w:rsid w:val="002138CA"/>
    <w:rsid w:val="002138DB"/>
    <w:rsid w:val="002139B8"/>
    <w:rsid w:val="00213AE4"/>
    <w:rsid w:val="00213BE4"/>
    <w:rsid w:val="00213DD8"/>
    <w:rsid w:val="00213E65"/>
    <w:rsid w:val="00213E86"/>
    <w:rsid w:val="00213ED1"/>
    <w:rsid w:val="00213F17"/>
    <w:rsid w:val="00214025"/>
    <w:rsid w:val="0021403A"/>
    <w:rsid w:val="00214155"/>
    <w:rsid w:val="002141A3"/>
    <w:rsid w:val="002141F4"/>
    <w:rsid w:val="00214214"/>
    <w:rsid w:val="00214272"/>
    <w:rsid w:val="0021428C"/>
    <w:rsid w:val="0021428D"/>
    <w:rsid w:val="00214310"/>
    <w:rsid w:val="00214339"/>
    <w:rsid w:val="0021434C"/>
    <w:rsid w:val="0021442C"/>
    <w:rsid w:val="0021444B"/>
    <w:rsid w:val="0021446A"/>
    <w:rsid w:val="00214546"/>
    <w:rsid w:val="0021455A"/>
    <w:rsid w:val="00214571"/>
    <w:rsid w:val="002145B4"/>
    <w:rsid w:val="00214631"/>
    <w:rsid w:val="00214649"/>
    <w:rsid w:val="00214690"/>
    <w:rsid w:val="00214750"/>
    <w:rsid w:val="0021479E"/>
    <w:rsid w:val="002147EF"/>
    <w:rsid w:val="0021480E"/>
    <w:rsid w:val="002148D6"/>
    <w:rsid w:val="002148DE"/>
    <w:rsid w:val="002148EB"/>
    <w:rsid w:val="00214983"/>
    <w:rsid w:val="00214991"/>
    <w:rsid w:val="00214A7A"/>
    <w:rsid w:val="00214A8F"/>
    <w:rsid w:val="00214BAD"/>
    <w:rsid w:val="00214BD9"/>
    <w:rsid w:val="00214CFB"/>
    <w:rsid w:val="00214CFF"/>
    <w:rsid w:val="00214D09"/>
    <w:rsid w:val="00214D28"/>
    <w:rsid w:val="00214DAE"/>
    <w:rsid w:val="00214DB8"/>
    <w:rsid w:val="00214DCA"/>
    <w:rsid w:val="00214E2A"/>
    <w:rsid w:val="00214EE6"/>
    <w:rsid w:val="0021515C"/>
    <w:rsid w:val="002151FA"/>
    <w:rsid w:val="0021523E"/>
    <w:rsid w:val="002152D2"/>
    <w:rsid w:val="002152FE"/>
    <w:rsid w:val="00215344"/>
    <w:rsid w:val="0021535A"/>
    <w:rsid w:val="0021537D"/>
    <w:rsid w:val="002153D8"/>
    <w:rsid w:val="002153FB"/>
    <w:rsid w:val="0021545B"/>
    <w:rsid w:val="002154D3"/>
    <w:rsid w:val="002154E2"/>
    <w:rsid w:val="002155A7"/>
    <w:rsid w:val="0021573E"/>
    <w:rsid w:val="00215748"/>
    <w:rsid w:val="002157A6"/>
    <w:rsid w:val="002157A9"/>
    <w:rsid w:val="0021587A"/>
    <w:rsid w:val="00215885"/>
    <w:rsid w:val="002158C3"/>
    <w:rsid w:val="002158D3"/>
    <w:rsid w:val="0021598A"/>
    <w:rsid w:val="00215A3F"/>
    <w:rsid w:val="00215A43"/>
    <w:rsid w:val="00215AE8"/>
    <w:rsid w:val="00215B01"/>
    <w:rsid w:val="00215B1A"/>
    <w:rsid w:val="00215B8B"/>
    <w:rsid w:val="00215C65"/>
    <w:rsid w:val="00215D55"/>
    <w:rsid w:val="00215D60"/>
    <w:rsid w:val="00215D80"/>
    <w:rsid w:val="00215E09"/>
    <w:rsid w:val="00215E1D"/>
    <w:rsid w:val="00215E5C"/>
    <w:rsid w:val="00215E89"/>
    <w:rsid w:val="00215F58"/>
    <w:rsid w:val="00215F8D"/>
    <w:rsid w:val="00215FF1"/>
    <w:rsid w:val="0021600F"/>
    <w:rsid w:val="00216019"/>
    <w:rsid w:val="0021603C"/>
    <w:rsid w:val="00216100"/>
    <w:rsid w:val="00216125"/>
    <w:rsid w:val="0021619A"/>
    <w:rsid w:val="002161A4"/>
    <w:rsid w:val="00216268"/>
    <w:rsid w:val="002162BB"/>
    <w:rsid w:val="002162E4"/>
    <w:rsid w:val="00216300"/>
    <w:rsid w:val="0021632C"/>
    <w:rsid w:val="00216382"/>
    <w:rsid w:val="002163ED"/>
    <w:rsid w:val="0021646E"/>
    <w:rsid w:val="00216486"/>
    <w:rsid w:val="00216510"/>
    <w:rsid w:val="002165D6"/>
    <w:rsid w:val="00216615"/>
    <w:rsid w:val="0021663B"/>
    <w:rsid w:val="0021666E"/>
    <w:rsid w:val="002166F2"/>
    <w:rsid w:val="0021672B"/>
    <w:rsid w:val="00216771"/>
    <w:rsid w:val="0021689A"/>
    <w:rsid w:val="00216935"/>
    <w:rsid w:val="0021695B"/>
    <w:rsid w:val="0021698A"/>
    <w:rsid w:val="002169F2"/>
    <w:rsid w:val="00216B04"/>
    <w:rsid w:val="00216BFF"/>
    <w:rsid w:val="00216CA3"/>
    <w:rsid w:val="00216D03"/>
    <w:rsid w:val="00216E32"/>
    <w:rsid w:val="00216E59"/>
    <w:rsid w:val="00216ECB"/>
    <w:rsid w:val="00216EF0"/>
    <w:rsid w:val="00216F14"/>
    <w:rsid w:val="00216F3E"/>
    <w:rsid w:val="00216F7E"/>
    <w:rsid w:val="00217098"/>
    <w:rsid w:val="00217166"/>
    <w:rsid w:val="00217180"/>
    <w:rsid w:val="002171A0"/>
    <w:rsid w:val="002171AD"/>
    <w:rsid w:val="002171B0"/>
    <w:rsid w:val="002171C3"/>
    <w:rsid w:val="0021721B"/>
    <w:rsid w:val="0021729D"/>
    <w:rsid w:val="002172BE"/>
    <w:rsid w:val="00217335"/>
    <w:rsid w:val="00217336"/>
    <w:rsid w:val="0021734F"/>
    <w:rsid w:val="0021736E"/>
    <w:rsid w:val="00217447"/>
    <w:rsid w:val="002174B9"/>
    <w:rsid w:val="002175BD"/>
    <w:rsid w:val="002175EF"/>
    <w:rsid w:val="00217636"/>
    <w:rsid w:val="0021764E"/>
    <w:rsid w:val="0021767A"/>
    <w:rsid w:val="00217695"/>
    <w:rsid w:val="00217696"/>
    <w:rsid w:val="002177EA"/>
    <w:rsid w:val="0021787E"/>
    <w:rsid w:val="00217888"/>
    <w:rsid w:val="0021788F"/>
    <w:rsid w:val="002178FD"/>
    <w:rsid w:val="002179E8"/>
    <w:rsid w:val="00217A3B"/>
    <w:rsid w:val="00217A3C"/>
    <w:rsid w:val="00217A63"/>
    <w:rsid w:val="00217ABB"/>
    <w:rsid w:val="00217B9C"/>
    <w:rsid w:val="00217C68"/>
    <w:rsid w:val="00217C70"/>
    <w:rsid w:val="00217C94"/>
    <w:rsid w:val="00217D0C"/>
    <w:rsid w:val="00217DF2"/>
    <w:rsid w:val="00217EBD"/>
    <w:rsid w:val="00217EF8"/>
    <w:rsid w:val="00217F1A"/>
    <w:rsid w:val="0022009F"/>
    <w:rsid w:val="00220143"/>
    <w:rsid w:val="0022015A"/>
    <w:rsid w:val="002201A4"/>
    <w:rsid w:val="002201A5"/>
    <w:rsid w:val="00220205"/>
    <w:rsid w:val="0022020F"/>
    <w:rsid w:val="00220251"/>
    <w:rsid w:val="0022026C"/>
    <w:rsid w:val="00220278"/>
    <w:rsid w:val="002202F0"/>
    <w:rsid w:val="0022032E"/>
    <w:rsid w:val="00220352"/>
    <w:rsid w:val="0022038D"/>
    <w:rsid w:val="00220495"/>
    <w:rsid w:val="0022052F"/>
    <w:rsid w:val="002205CF"/>
    <w:rsid w:val="00220688"/>
    <w:rsid w:val="002206B6"/>
    <w:rsid w:val="002206E5"/>
    <w:rsid w:val="00220717"/>
    <w:rsid w:val="0022075E"/>
    <w:rsid w:val="002207D7"/>
    <w:rsid w:val="00220836"/>
    <w:rsid w:val="00220873"/>
    <w:rsid w:val="002208A1"/>
    <w:rsid w:val="00220924"/>
    <w:rsid w:val="00220A96"/>
    <w:rsid w:val="00220AD6"/>
    <w:rsid w:val="00220B4B"/>
    <w:rsid w:val="00220BFA"/>
    <w:rsid w:val="00220C70"/>
    <w:rsid w:val="00220DD1"/>
    <w:rsid w:val="00220DE2"/>
    <w:rsid w:val="00220EA1"/>
    <w:rsid w:val="00220F1A"/>
    <w:rsid w:val="00220F1D"/>
    <w:rsid w:val="00220F61"/>
    <w:rsid w:val="00220FD4"/>
    <w:rsid w:val="00220FFB"/>
    <w:rsid w:val="00221019"/>
    <w:rsid w:val="00221086"/>
    <w:rsid w:val="002210F7"/>
    <w:rsid w:val="002211C9"/>
    <w:rsid w:val="00221208"/>
    <w:rsid w:val="0022129F"/>
    <w:rsid w:val="0022137F"/>
    <w:rsid w:val="002213A6"/>
    <w:rsid w:val="00221455"/>
    <w:rsid w:val="002214DB"/>
    <w:rsid w:val="002214DE"/>
    <w:rsid w:val="00221554"/>
    <w:rsid w:val="00221583"/>
    <w:rsid w:val="002215C0"/>
    <w:rsid w:val="002215FE"/>
    <w:rsid w:val="00221641"/>
    <w:rsid w:val="002216A4"/>
    <w:rsid w:val="002216D5"/>
    <w:rsid w:val="002216F3"/>
    <w:rsid w:val="00221747"/>
    <w:rsid w:val="00221771"/>
    <w:rsid w:val="0022183F"/>
    <w:rsid w:val="002218AD"/>
    <w:rsid w:val="00221917"/>
    <w:rsid w:val="00221A1A"/>
    <w:rsid w:val="00221AA4"/>
    <w:rsid w:val="00221AB2"/>
    <w:rsid w:val="00221AB5"/>
    <w:rsid w:val="00221AFA"/>
    <w:rsid w:val="00221B8A"/>
    <w:rsid w:val="00221C34"/>
    <w:rsid w:val="00221D7B"/>
    <w:rsid w:val="00221D83"/>
    <w:rsid w:val="00221E07"/>
    <w:rsid w:val="00221E30"/>
    <w:rsid w:val="00221E76"/>
    <w:rsid w:val="00221ECC"/>
    <w:rsid w:val="00221EE6"/>
    <w:rsid w:val="00221F98"/>
    <w:rsid w:val="00221FB5"/>
    <w:rsid w:val="0022204B"/>
    <w:rsid w:val="002220F9"/>
    <w:rsid w:val="002220FB"/>
    <w:rsid w:val="00222141"/>
    <w:rsid w:val="002221F3"/>
    <w:rsid w:val="00222244"/>
    <w:rsid w:val="002222A3"/>
    <w:rsid w:val="002222E1"/>
    <w:rsid w:val="00222371"/>
    <w:rsid w:val="002223A8"/>
    <w:rsid w:val="00222442"/>
    <w:rsid w:val="0022252E"/>
    <w:rsid w:val="00222548"/>
    <w:rsid w:val="0022256C"/>
    <w:rsid w:val="00222589"/>
    <w:rsid w:val="0022258C"/>
    <w:rsid w:val="002225B1"/>
    <w:rsid w:val="002225F5"/>
    <w:rsid w:val="0022265A"/>
    <w:rsid w:val="002226EE"/>
    <w:rsid w:val="00222826"/>
    <w:rsid w:val="002228C6"/>
    <w:rsid w:val="002228F5"/>
    <w:rsid w:val="00222924"/>
    <w:rsid w:val="0022293E"/>
    <w:rsid w:val="00222946"/>
    <w:rsid w:val="0022296D"/>
    <w:rsid w:val="00222998"/>
    <w:rsid w:val="002229EA"/>
    <w:rsid w:val="00222AB3"/>
    <w:rsid w:val="00222B09"/>
    <w:rsid w:val="00222B91"/>
    <w:rsid w:val="00222C06"/>
    <w:rsid w:val="00222C10"/>
    <w:rsid w:val="00222CAD"/>
    <w:rsid w:val="00222D63"/>
    <w:rsid w:val="00222D6D"/>
    <w:rsid w:val="00222EED"/>
    <w:rsid w:val="00222EF5"/>
    <w:rsid w:val="00222F3C"/>
    <w:rsid w:val="00223019"/>
    <w:rsid w:val="0022303A"/>
    <w:rsid w:val="002231A8"/>
    <w:rsid w:val="00223212"/>
    <w:rsid w:val="00223251"/>
    <w:rsid w:val="0022328F"/>
    <w:rsid w:val="0022329A"/>
    <w:rsid w:val="002232AF"/>
    <w:rsid w:val="002232BE"/>
    <w:rsid w:val="002232CC"/>
    <w:rsid w:val="002232D3"/>
    <w:rsid w:val="002233C9"/>
    <w:rsid w:val="00223426"/>
    <w:rsid w:val="00223429"/>
    <w:rsid w:val="002234A4"/>
    <w:rsid w:val="00223575"/>
    <w:rsid w:val="00223604"/>
    <w:rsid w:val="0022360B"/>
    <w:rsid w:val="00223621"/>
    <w:rsid w:val="0022363F"/>
    <w:rsid w:val="0022364F"/>
    <w:rsid w:val="00223653"/>
    <w:rsid w:val="0022369E"/>
    <w:rsid w:val="002236F5"/>
    <w:rsid w:val="00223718"/>
    <w:rsid w:val="0022375E"/>
    <w:rsid w:val="002237D8"/>
    <w:rsid w:val="0022381C"/>
    <w:rsid w:val="0022382B"/>
    <w:rsid w:val="00223850"/>
    <w:rsid w:val="002238E6"/>
    <w:rsid w:val="002238F3"/>
    <w:rsid w:val="0022392E"/>
    <w:rsid w:val="0022397E"/>
    <w:rsid w:val="002239B3"/>
    <w:rsid w:val="00223A20"/>
    <w:rsid w:val="00223B03"/>
    <w:rsid w:val="00223B70"/>
    <w:rsid w:val="00223BC2"/>
    <w:rsid w:val="00223C10"/>
    <w:rsid w:val="00223C82"/>
    <w:rsid w:val="00223CE2"/>
    <w:rsid w:val="00223D03"/>
    <w:rsid w:val="00223D65"/>
    <w:rsid w:val="00223D98"/>
    <w:rsid w:val="00223E10"/>
    <w:rsid w:val="00223E76"/>
    <w:rsid w:val="00223FEE"/>
    <w:rsid w:val="00223FF6"/>
    <w:rsid w:val="0022405A"/>
    <w:rsid w:val="00224080"/>
    <w:rsid w:val="002240BC"/>
    <w:rsid w:val="002240EB"/>
    <w:rsid w:val="00224178"/>
    <w:rsid w:val="002241BC"/>
    <w:rsid w:val="00224242"/>
    <w:rsid w:val="0022429E"/>
    <w:rsid w:val="002242B6"/>
    <w:rsid w:val="0022433A"/>
    <w:rsid w:val="0022436D"/>
    <w:rsid w:val="0022438C"/>
    <w:rsid w:val="002243CE"/>
    <w:rsid w:val="002243DC"/>
    <w:rsid w:val="002243F7"/>
    <w:rsid w:val="00224546"/>
    <w:rsid w:val="00224557"/>
    <w:rsid w:val="00224573"/>
    <w:rsid w:val="00224656"/>
    <w:rsid w:val="002246D2"/>
    <w:rsid w:val="00224804"/>
    <w:rsid w:val="0022490B"/>
    <w:rsid w:val="0022491C"/>
    <w:rsid w:val="00224932"/>
    <w:rsid w:val="0022496A"/>
    <w:rsid w:val="00224B07"/>
    <w:rsid w:val="00224B4E"/>
    <w:rsid w:val="00224C0F"/>
    <w:rsid w:val="00224C91"/>
    <w:rsid w:val="00224CB2"/>
    <w:rsid w:val="00224D2E"/>
    <w:rsid w:val="00224D85"/>
    <w:rsid w:val="00224E1B"/>
    <w:rsid w:val="00224F14"/>
    <w:rsid w:val="00224F29"/>
    <w:rsid w:val="00224F48"/>
    <w:rsid w:val="00224FBC"/>
    <w:rsid w:val="00224FCF"/>
    <w:rsid w:val="00224FF2"/>
    <w:rsid w:val="0022500E"/>
    <w:rsid w:val="00225073"/>
    <w:rsid w:val="002250DB"/>
    <w:rsid w:val="002250F9"/>
    <w:rsid w:val="00225131"/>
    <w:rsid w:val="00225198"/>
    <w:rsid w:val="002252F0"/>
    <w:rsid w:val="0022537B"/>
    <w:rsid w:val="0022539F"/>
    <w:rsid w:val="00225418"/>
    <w:rsid w:val="0022543F"/>
    <w:rsid w:val="002254E4"/>
    <w:rsid w:val="00225508"/>
    <w:rsid w:val="002255E5"/>
    <w:rsid w:val="0022573F"/>
    <w:rsid w:val="00225740"/>
    <w:rsid w:val="00225757"/>
    <w:rsid w:val="002257B1"/>
    <w:rsid w:val="002257EF"/>
    <w:rsid w:val="00225816"/>
    <w:rsid w:val="00225914"/>
    <w:rsid w:val="00225924"/>
    <w:rsid w:val="0022594D"/>
    <w:rsid w:val="00225956"/>
    <w:rsid w:val="00225A7F"/>
    <w:rsid w:val="00225AE1"/>
    <w:rsid w:val="00225B75"/>
    <w:rsid w:val="00225BE2"/>
    <w:rsid w:val="00225C82"/>
    <w:rsid w:val="00225CAB"/>
    <w:rsid w:val="00225CFC"/>
    <w:rsid w:val="00225D3C"/>
    <w:rsid w:val="00225DBA"/>
    <w:rsid w:val="00225DDE"/>
    <w:rsid w:val="00225F55"/>
    <w:rsid w:val="00226103"/>
    <w:rsid w:val="00226249"/>
    <w:rsid w:val="00226286"/>
    <w:rsid w:val="0022629B"/>
    <w:rsid w:val="0022629F"/>
    <w:rsid w:val="002262A5"/>
    <w:rsid w:val="002262A6"/>
    <w:rsid w:val="002262F0"/>
    <w:rsid w:val="002263B2"/>
    <w:rsid w:val="002263E9"/>
    <w:rsid w:val="002264D3"/>
    <w:rsid w:val="002264E3"/>
    <w:rsid w:val="00226537"/>
    <w:rsid w:val="00226587"/>
    <w:rsid w:val="002266A9"/>
    <w:rsid w:val="002266CF"/>
    <w:rsid w:val="002266D6"/>
    <w:rsid w:val="002266E1"/>
    <w:rsid w:val="002266F0"/>
    <w:rsid w:val="0022673C"/>
    <w:rsid w:val="0022679D"/>
    <w:rsid w:val="002267D2"/>
    <w:rsid w:val="002268EE"/>
    <w:rsid w:val="002268F8"/>
    <w:rsid w:val="002269FA"/>
    <w:rsid w:val="00226A0A"/>
    <w:rsid w:val="00226B22"/>
    <w:rsid w:val="00226B28"/>
    <w:rsid w:val="00226B61"/>
    <w:rsid w:val="00226B97"/>
    <w:rsid w:val="00226CB5"/>
    <w:rsid w:val="00226CD7"/>
    <w:rsid w:val="00226D63"/>
    <w:rsid w:val="00226DC5"/>
    <w:rsid w:val="00226DF0"/>
    <w:rsid w:val="00226E6B"/>
    <w:rsid w:val="00227003"/>
    <w:rsid w:val="0022700B"/>
    <w:rsid w:val="0022708E"/>
    <w:rsid w:val="002271A1"/>
    <w:rsid w:val="002271A9"/>
    <w:rsid w:val="002271C7"/>
    <w:rsid w:val="002271CF"/>
    <w:rsid w:val="00227215"/>
    <w:rsid w:val="0022723E"/>
    <w:rsid w:val="002272B8"/>
    <w:rsid w:val="00227376"/>
    <w:rsid w:val="00227380"/>
    <w:rsid w:val="00227418"/>
    <w:rsid w:val="00227632"/>
    <w:rsid w:val="0022765D"/>
    <w:rsid w:val="0022770D"/>
    <w:rsid w:val="0022773B"/>
    <w:rsid w:val="00227798"/>
    <w:rsid w:val="002277B5"/>
    <w:rsid w:val="002277D1"/>
    <w:rsid w:val="002277E4"/>
    <w:rsid w:val="0022781B"/>
    <w:rsid w:val="00227831"/>
    <w:rsid w:val="00227867"/>
    <w:rsid w:val="00227871"/>
    <w:rsid w:val="0022794D"/>
    <w:rsid w:val="00227956"/>
    <w:rsid w:val="002279B9"/>
    <w:rsid w:val="002279F7"/>
    <w:rsid w:val="00227A19"/>
    <w:rsid w:val="00227A42"/>
    <w:rsid w:val="00227AB8"/>
    <w:rsid w:val="00227ACE"/>
    <w:rsid w:val="00227AE4"/>
    <w:rsid w:val="00227B73"/>
    <w:rsid w:val="00227B9F"/>
    <w:rsid w:val="00227CAD"/>
    <w:rsid w:val="00227CEB"/>
    <w:rsid w:val="00227D5B"/>
    <w:rsid w:val="00227D76"/>
    <w:rsid w:val="00227D85"/>
    <w:rsid w:val="00227DB2"/>
    <w:rsid w:val="00227EAE"/>
    <w:rsid w:val="00227EB6"/>
    <w:rsid w:val="00227F3F"/>
    <w:rsid w:val="002300AE"/>
    <w:rsid w:val="002300EF"/>
    <w:rsid w:val="002301F6"/>
    <w:rsid w:val="002301F7"/>
    <w:rsid w:val="0023024B"/>
    <w:rsid w:val="002302B7"/>
    <w:rsid w:val="0023038B"/>
    <w:rsid w:val="00230496"/>
    <w:rsid w:val="002304A3"/>
    <w:rsid w:val="002304AF"/>
    <w:rsid w:val="00230545"/>
    <w:rsid w:val="0023054B"/>
    <w:rsid w:val="0023059D"/>
    <w:rsid w:val="0023061F"/>
    <w:rsid w:val="00230620"/>
    <w:rsid w:val="0023068C"/>
    <w:rsid w:val="002306E4"/>
    <w:rsid w:val="00230735"/>
    <w:rsid w:val="00230774"/>
    <w:rsid w:val="00230797"/>
    <w:rsid w:val="002307A3"/>
    <w:rsid w:val="002307D7"/>
    <w:rsid w:val="002307D8"/>
    <w:rsid w:val="002307FE"/>
    <w:rsid w:val="00230836"/>
    <w:rsid w:val="00230856"/>
    <w:rsid w:val="00230999"/>
    <w:rsid w:val="002309C4"/>
    <w:rsid w:val="002309E2"/>
    <w:rsid w:val="002309F7"/>
    <w:rsid w:val="00230A18"/>
    <w:rsid w:val="00230A91"/>
    <w:rsid w:val="00230AB9"/>
    <w:rsid w:val="00230AF0"/>
    <w:rsid w:val="00230B7C"/>
    <w:rsid w:val="00230BA0"/>
    <w:rsid w:val="00230C38"/>
    <w:rsid w:val="00230C39"/>
    <w:rsid w:val="00230C42"/>
    <w:rsid w:val="00230E8E"/>
    <w:rsid w:val="00230EA2"/>
    <w:rsid w:val="00230ED7"/>
    <w:rsid w:val="00230EDA"/>
    <w:rsid w:val="0023108F"/>
    <w:rsid w:val="002310B9"/>
    <w:rsid w:val="00231111"/>
    <w:rsid w:val="00231188"/>
    <w:rsid w:val="0023128A"/>
    <w:rsid w:val="002312DC"/>
    <w:rsid w:val="00231396"/>
    <w:rsid w:val="002313B8"/>
    <w:rsid w:val="00231404"/>
    <w:rsid w:val="00231419"/>
    <w:rsid w:val="002314B0"/>
    <w:rsid w:val="002314B5"/>
    <w:rsid w:val="002314DC"/>
    <w:rsid w:val="00231523"/>
    <w:rsid w:val="0023162E"/>
    <w:rsid w:val="00231664"/>
    <w:rsid w:val="00231679"/>
    <w:rsid w:val="0023168C"/>
    <w:rsid w:val="00231696"/>
    <w:rsid w:val="00231727"/>
    <w:rsid w:val="0023175E"/>
    <w:rsid w:val="002317BC"/>
    <w:rsid w:val="00231821"/>
    <w:rsid w:val="0023183B"/>
    <w:rsid w:val="002318B3"/>
    <w:rsid w:val="00231930"/>
    <w:rsid w:val="002319C2"/>
    <w:rsid w:val="00231A07"/>
    <w:rsid w:val="00231B2F"/>
    <w:rsid w:val="00231BC5"/>
    <w:rsid w:val="00231C9D"/>
    <w:rsid w:val="00231D7D"/>
    <w:rsid w:val="00231DBB"/>
    <w:rsid w:val="00231DD7"/>
    <w:rsid w:val="00231E94"/>
    <w:rsid w:val="00231EF0"/>
    <w:rsid w:val="00231EF1"/>
    <w:rsid w:val="00231F35"/>
    <w:rsid w:val="00232058"/>
    <w:rsid w:val="0023209C"/>
    <w:rsid w:val="0023213F"/>
    <w:rsid w:val="0023214F"/>
    <w:rsid w:val="0023215B"/>
    <w:rsid w:val="002322FB"/>
    <w:rsid w:val="002323AE"/>
    <w:rsid w:val="002323FA"/>
    <w:rsid w:val="0023248D"/>
    <w:rsid w:val="002324CB"/>
    <w:rsid w:val="002324CF"/>
    <w:rsid w:val="00232509"/>
    <w:rsid w:val="00232534"/>
    <w:rsid w:val="00232581"/>
    <w:rsid w:val="002325CC"/>
    <w:rsid w:val="002325F8"/>
    <w:rsid w:val="00232627"/>
    <w:rsid w:val="00232704"/>
    <w:rsid w:val="0023273E"/>
    <w:rsid w:val="00232762"/>
    <w:rsid w:val="002327F3"/>
    <w:rsid w:val="00232871"/>
    <w:rsid w:val="00232971"/>
    <w:rsid w:val="002329B6"/>
    <w:rsid w:val="002329D2"/>
    <w:rsid w:val="002329D6"/>
    <w:rsid w:val="00232A87"/>
    <w:rsid w:val="00232BA0"/>
    <w:rsid w:val="00232BAE"/>
    <w:rsid w:val="00232BBD"/>
    <w:rsid w:val="00232BCF"/>
    <w:rsid w:val="00232C29"/>
    <w:rsid w:val="00232D03"/>
    <w:rsid w:val="00232D2D"/>
    <w:rsid w:val="00232D38"/>
    <w:rsid w:val="00232D3E"/>
    <w:rsid w:val="00232DC6"/>
    <w:rsid w:val="00232DED"/>
    <w:rsid w:val="00232DF0"/>
    <w:rsid w:val="00232DF3"/>
    <w:rsid w:val="00232E5E"/>
    <w:rsid w:val="00232EA2"/>
    <w:rsid w:val="00232EAD"/>
    <w:rsid w:val="00232EDC"/>
    <w:rsid w:val="00232F11"/>
    <w:rsid w:val="00232FE0"/>
    <w:rsid w:val="002330D1"/>
    <w:rsid w:val="0023311E"/>
    <w:rsid w:val="0023311F"/>
    <w:rsid w:val="0023319C"/>
    <w:rsid w:val="002331C7"/>
    <w:rsid w:val="0023321C"/>
    <w:rsid w:val="0023323C"/>
    <w:rsid w:val="002332CC"/>
    <w:rsid w:val="002332FE"/>
    <w:rsid w:val="002333DA"/>
    <w:rsid w:val="0023340A"/>
    <w:rsid w:val="00233422"/>
    <w:rsid w:val="00233466"/>
    <w:rsid w:val="002334AA"/>
    <w:rsid w:val="002334EC"/>
    <w:rsid w:val="00233579"/>
    <w:rsid w:val="00233607"/>
    <w:rsid w:val="00233627"/>
    <w:rsid w:val="002336A0"/>
    <w:rsid w:val="002336C0"/>
    <w:rsid w:val="00233732"/>
    <w:rsid w:val="0023381A"/>
    <w:rsid w:val="002338D7"/>
    <w:rsid w:val="002338E7"/>
    <w:rsid w:val="0023393E"/>
    <w:rsid w:val="002339D1"/>
    <w:rsid w:val="002339F2"/>
    <w:rsid w:val="00233A0F"/>
    <w:rsid w:val="00233A64"/>
    <w:rsid w:val="00233AAB"/>
    <w:rsid w:val="00233B09"/>
    <w:rsid w:val="00233B24"/>
    <w:rsid w:val="00233BFC"/>
    <w:rsid w:val="00233C29"/>
    <w:rsid w:val="00233C50"/>
    <w:rsid w:val="00233C54"/>
    <w:rsid w:val="00233C57"/>
    <w:rsid w:val="00233C5C"/>
    <w:rsid w:val="00233CBC"/>
    <w:rsid w:val="00233EC1"/>
    <w:rsid w:val="00233ED3"/>
    <w:rsid w:val="00233EEA"/>
    <w:rsid w:val="00233F1B"/>
    <w:rsid w:val="00233F80"/>
    <w:rsid w:val="00233F9A"/>
    <w:rsid w:val="00233FAA"/>
    <w:rsid w:val="00233FB2"/>
    <w:rsid w:val="00233FD2"/>
    <w:rsid w:val="002340C1"/>
    <w:rsid w:val="00234110"/>
    <w:rsid w:val="0023411F"/>
    <w:rsid w:val="002341A0"/>
    <w:rsid w:val="00234205"/>
    <w:rsid w:val="002342C5"/>
    <w:rsid w:val="002342E2"/>
    <w:rsid w:val="002343D5"/>
    <w:rsid w:val="0023440D"/>
    <w:rsid w:val="0023440E"/>
    <w:rsid w:val="00234485"/>
    <w:rsid w:val="002344CC"/>
    <w:rsid w:val="00234512"/>
    <w:rsid w:val="0023464B"/>
    <w:rsid w:val="0023468F"/>
    <w:rsid w:val="002346EA"/>
    <w:rsid w:val="002347EF"/>
    <w:rsid w:val="002347FC"/>
    <w:rsid w:val="00234830"/>
    <w:rsid w:val="002348FD"/>
    <w:rsid w:val="00234926"/>
    <w:rsid w:val="00234968"/>
    <w:rsid w:val="0023496E"/>
    <w:rsid w:val="002349CF"/>
    <w:rsid w:val="00234A54"/>
    <w:rsid w:val="00234B6D"/>
    <w:rsid w:val="00234BF7"/>
    <w:rsid w:val="00234C0D"/>
    <w:rsid w:val="00234CD4"/>
    <w:rsid w:val="00234D82"/>
    <w:rsid w:val="00234D89"/>
    <w:rsid w:val="00234E84"/>
    <w:rsid w:val="00234EA1"/>
    <w:rsid w:val="00234FC8"/>
    <w:rsid w:val="00234FD2"/>
    <w:rsid w:val="002350BF"/>
    <w:rsid w:val="002350D0"/>
    <w:rsid w:val="002350DF"/>
    <w:rsid w:val="002350E4"/>
    <w:rsid w:val="00235155"/>
    <w:rsid w:val="0023515B"/>
    <w:rsid w:val="002351E7"/>
    <w:rsid w:val="00235275"/>
    <w:rsid w:val="00235304"/>
    <w:rsid w:val="00235378"/>
    <w:rsid w:val="002353D5"/>
    <w:rsid w:val="002353E8"/>
    <w:rsid w:val="0023545A"/>
    <w:rsid w:val="0023545E"/>
    <w:rsid w:val="002354D2"/>
    <w:rsid w:val="002354F1"/>
    <w:rsid w:val="002354FF"/>
    <w:rsid w:val="002355A2"/>
    <w:rsid w:val="002355A4"/>
    <w:rsid w:val="00235623"/>
    <w:rsid w:val="0023570E"/>
    <w:rsid w:val="002357A5"/>
    <w:rsid w:val="002357C8"/>
    <w:rsid w:val="00235831"/>
    <w:rsid w:val="00235914"/>
    <w:rsid w:val="00235959"/>
    <w:rsid w:val="00235968"/>
    <w:rsid w:val="002359F9"/>
    <w:rsid w:val="00235ABC"/>
    <w:rsid w:val="00235AF7"/>
    <w:rsid w:val="00235B04"/>
    <w:rsid w:val="00235B3B"/>
    <w:rsid w:val="00235B58"/>
    <w:rsid w:val="00235C34"/>
    <w:rsid w:val="00235C5E"/>
    <w:rsid w:val="00235D72"/>
    <w:rsid w:val="00235E05"/>
    <w:rsid w:val="00235E46"/>
    <w:rsid w:val="00235E67"/>
    <w:rsid w:val="00235E91"/>
    <w:rsid w:val="00235F9C"/>
    <w:rsid w:val="00236027"/>
    <w:rsid w:val="00236077"/>
    <w:rsid w:val="0023615A"/>
    <w:rsid w:val="002361C3"/>
    <w:rsid w:val="00236245"/>
    <w:rsid w:val="00236334"/>
    <w:rsid w:val="00236340"/>
    <w:rsid w:val="002363A6"/>
    <w:rsid w:val="002365A0"/>
    <w:rsid w:val="002365D0"/>
    <w:rsid w:val="002365D9"/>
    <w:rsid w:val="002365EF"/>
    <w:rsid w:val="0023661B"/>
    <w:rsid w:val="0023663E"/>
    <w:rsid w:val="00236657"/>
    <w:rsid w:val="00236668"/>
    <w:rsid w:val="002366D1"/>
    <w:rsid w:val="00236714"/>
    <w:rsid w:val="00236752"/>
    <w:rsid w:val="002367BF"/>
    <w:rsid w:val="002367F1"/>
    <w:rsid w:val="00236817"/>
    <w:rsid w:val="00236827"/>
    <w:rsid w:val="00236850"/>
    <w:rsid w:val="00236852"/>
    <w:rsid w:val="00236993"/>
    <w:rsid w:val="00236ACA"/>
    <w:rsid w:val="00236AFB"/>
    <w:rsid w:val="00236BEB"/>
    <w:rsid w:val="00236CE7"/>
    <w:rsid w:val="00236CF8"/>
    <w:rsid w:val="00236D79"/>
    <w:rsid w:val="00236DA0"/>
    <w:rsid w:val="00236DA4"/>
    <w:rsid w:val="00236DCC"/>
    <w:rsid w:val="00236DFF"/>
    <w:rsid w:val="00236E07"/>
    <w:rsid w:val="00236E21"/>
    <w:rsid w:val="00236E25"/>
    <w:rsid w:val="00236E67"/>
    <w:rsid w:val="00236EC5"/>
    <w:rsid w:val="00236F25"/>
    <w:rsid w:val="00236F6F"/>
    <w:rsid w:val="00237020"/>
    <w:rsid w:val="00237048"/>
    <w:rsid w:val="002370E9"/>
    <w:rsid w:val="0023711D"/>
    <w:rsid w:val="00237210"/>
    <w:rsid w:val="00237213"/>
    <w:rsid w:val="002372F9"/>
    <w:rsid w:val="00237330"/>
    <w:rsid w:val="00237369"/>
    <w:rsid w:val="002373A3"/>
    <w:rsid w:val="002373D2"/>
    <w:rsid w:val="002373EC"/>
    <w:rsid w:val="0023741C"/>
    <w:rsid w:val="00237484"/>
    <w:rsid w:val="0023748D"/>
    <w:rsid w:val="0023752C"/>
    <w:rsid w:val="00237597"/>
    <w:rsid w:val="002375FD"/>
    <w:rsid w:val="002375FF"/>
    <w:rsid w:val="0023765C"/>
    <w:rsid w:val="0023765E"/>
    <w:rsid w:val="0023775E"/>
    <w:rsid w:val="00237775"/>
    <w:rsid w:val="0023785A"/>
    <w:rsid w:val="00237971"/>
    <w:rsid w:val="00237982"/>
    <w:rsid w:val="0023798E"/>
    <w:rsid w:val="002379C2"/>
    <w:rsid w:val="002379E6"/>
    <w:rsid w:val="00237A3A"/>
    <w:rsid w:val="00237A86"/>
    <w:rsid w:val="00237AD2"/>
    <w:rsid w:val="00237AD8"/>
    <w:rsid w:val="00237AE8"/>
    <w:rsid w:val="00237B0A"/>
    <w:rsid w:val="00237B50"/>
    <w:rsid w:val="00237BCD"/>
    <w:rsid w:val="00237C2B"/>
    <w:rsid w:val="00237C3E"/>
    <w:rsid w:val="00237C9B"/>
    <w:rsid w:val="00237D49"/>
    <w:rsid w:val="00237D74"/>
    <w:rsid w:val="00237D92"/>
    <w:rsid w:val="00237DCD"/>
    <w:rsid w:val="00237E0F"/>
    <w:rsid w:val="00237E28"/>
    <w:rsid w:val="00237E9A"/>
    <w:rsid w:val="00240090"/>
    <w:rsid w:val="002400AB"/>
    <w:rsid w:val="002400C9"/>
    <w:rsid w:val="00240133"/>
    <w:rsid w:val="00240145"/>
    <w:rsid w:val="00240194"/>
    <w:rsid w:val="002401B7"/>
    <w:rsid w:val="002401C9"/>
    <w:rsid w:val="0024024D"/>
    <w:rsid w:val="002402DD"/>
    <w:rsid w:val="0024034A"/>
    <w:rsid w:val="00240408"/>
    <w:rsid w:val="00240494"/>
    <w:rsid w:val="002404D7"/>
    <w:rsid w:val="00240584"/>
    <w:rsid w:val="00240587"/>
    <w:rsid w:val="0024062F"/>
    <w:rsid w:val="00240652"/>
    <w:rsid w:val="002406F6"/>
    <w:rsid w:val="002407C8"/>
    <w:rsid w:val="002407E4"/>
    <w:rsid w:val="0024081A"/>
    <w:rsid w:val="00240867"/>
    <w:rsid w:val="0024088B"/>
    <w:rsid w:val="00240899"/>
    <w:rsid w:val="002409B4"/>
    <w:rsid w:val="002409D1"/>
    <w:rsid w:val="002409D4"/>
    <w:rsid w:val="002409DB"/>
    <w:rsid w:val="00240A1C"/>
    <w:rsid w:val="00240A38"/>
    <w:rsid w:val="00240A4C"/>
    <w:rsid w:val="00240AEA"/>
    <w:rsid w:val="00240B46"/>
    <w:rsid w:val="00240B49"/>
    <w:rsid w:val="00240B91"/>
    <w:rsid w:val="00240C06"/>
    <w:rsid w:val="00240C10"/>
    <w:rsid w:val="00240C58"/>
    <w:rsid w:val="00240CB0"/>
    <w:rsid w:val="00240CD9"/>
    <w:rsid w:val="00240D94"/>
    <w:rsid w:val="00240E21"/>
    <w:rsid w:val="00240F6E"/>
    <w:rsid w:val="00240F8A"/>
    <w:rsid w:val="00241088"/>
    <w:rsid w:val="002410CE"/>
    <w:rsid w:val="002410E4"/>
    <w:rsid w:val="002411EC"/>
    <w:rsid w:val="002411FA"/>
    <w:rsid w:val="002412C7"/>
    <w:rsid w:val="00241321"/>
    <w:rsid w:val="0024136D"/>
    <w:rsid w:val="0024146E"/>
    <w:rsid w:val="00241476"/>
    <w:rsid w:val="002415DB"/>
    <w:rsid w:val="002415E5"/>
    <w:rsid w:val="002415E9"/>
    <w:rsid w:val="00241630"/>
    <w:rsid w:val="00241651"/>
    <w:rsid w:val="0024167E"/>
    <w:rsid w:val="002416E0"/>
    <w:rsid w:val="002416FE"/>
    <w:rsid w:val="0024176C"/>
    <w:rsid w:val="0024188F"/>
    <w:rsid w:val="002418E7"/>
    <w:rsid w:val="00241900"/>
    <w:rsid w:val="0024191D"/>
    <w:rsid w:val="00241A6F"/>
    <w:rsid w:val="00241B03"/>
    <w:rsid w:val="00241B54"/>
    <w:rsid w:val="00241B92"/>
    <w:rsid w:val="00241BA8"/>
    <w:rsid w:val="00241BDE"/>
    <w:rsid w:val="00241C01"/>
    <w:rsid w:val="00241CDA"/>
    <w:rsid w:val="00241CE7"/>
    <w:rsid w:val="00241DA9"/>
    <w:rsid w:val="00241DBF"/>
    <w:rsid w:val="00241DF2"/>
    <w:rsid w:val="00241F14"/>
    <w:rsid w:val="00241F1F"/>
    <w:rsid w:val="00241FE0"/>
    <w:rsid w:val="00242023"/>
    <w:rsid w:val="00242024"/>
    <w:rsid w:val="00242025"/>
    <w:rsid w:val="002420C5"/>
    <w:rsid w:val="00242119"/>
    <w:rsid w:val="00242142"/>
    <w:rsid w:val="002421D5"/>
    <w:rsid w:val="00242241"/>
    <w:rsid w:val="00242344"/>
    <w:rsid w:val="00242386"/>
    <w:rsid w:val="00242402"/>
    <w:rsid w:val="00242419"/>
    <w:rsid w:val="00242473"/>
    <w:rsid w:val="00242568"/>
    <w:rsid w:val="00242570"/>
    <w:rsid w:val="0024258C"/>
    <w:rsid w:val="002425D3"/>
    <w:rsid w:val="002425DA"/>
    <w:rsid w:val="0024260D"/>
    <w:rsid w:val="0024260E"/>
    <w:rsid w:val="0024265E"/>
    <w:rsid w:val="002426FF"/>
    <w:rsid w:val="00242713"/>
    <w:rsid w:val="00242718"/>
    <w:rsid w:val="002427AA"/>
    <w:rsid w:val="002427DC"/>
    <w:rsid w:val="002427E5"/>
    <w:rsid w:val="0024287C"/>
    <w:rsid w:val="0024288C"/>
    <w:rsid w:val="002429BC"/>
    <w:rsid w:val="002429E4"/>
    <w:rsid w:val="00242A5E"/>
    <w:rsid w:val="00242AE7"/>
    <w:rsid w:val="00242BAB"/>
    <w:rsid w:val="00242BF2"/>
    <w:rsid w:val="00242BF9"/>
    <w:rsid w:val="00242C3C"/>
    <w:rsid w:val="00242CA3"/>
    <w:rsid w:val="00242CFE"/>
    <w:rsid w:val="00242D87"/>
    <w:rsid w:val="00242E2F"/>
    <w:rsid w:val="00242E3D"/>
    <w:rsid w:val="00242E74"/>
    <w:rsid w:val="00242E84"/>
    <w:rsid w:val="00242E8D"/>
    <w:rsid w:val="00242F33"/>
    <w:rsid w:val="00242F36"/>
    <w:rsid w:val="00242F4F"/>
    <w:rsid w:val="00242F7C"/>
    <w:rsid w:val="00242FA6"/>
    <w:rsid w:val="00242FC4"/>
    <w:rsid w:val="00243020"/>
    <w:rsid w:val="002430EC"/>
    <w:rsid w:val="00243111"/>
    <w:rsid w:val="002431BD"/>
    <w:rsid w:val="0024328E"/>
    <w:rsid w:val="002432FC"/>
    <w:rsid w:val="002433AF"/>
    <w:rsid w:val="002433B2"/>
    <w:rsid w:val="002433DD"/>
    <w:rsid w:val="0024342A"/>
    <w:rsid w:val="002434C5"/>
    <w:rsid w:val="00243529"/>
    <w:rsid w:val="002435AB"/>
    <w:rsid w:val="00243606"/>
    <w:rsid w:val="00243617"/>
    <w:rsid w:val="0024374A"/>
    <w:rsid w:val="0024374B"/>
    <w:rsid w:val="00243774"/>
    <w:rsid w:val="00243842"/>
    <w:rsid w:val="00243887"/>
    <w:rsid w:val="002438BD"/>
    <w:rsid w:val="002438E1"/>
    <w:rsid w:val="0024395B"/>
    <w:rsid w:val="00243AD8"/>
    <w:rsid w:val="00243B06"/>
    <w:rsid w:val="00243B88"/>
    <w:rsid w:val="00243B92"/>
    <w:rsid w:val="00243BEF"/>
    <w:rsid w:val="00243C1C"/>
    <w:rsid w:val="00243C21"/>
    <w:rsid w:val="00243C55"/>
    <w:rsid w:val="00243CC2"/>
    <w:rsid w:val="00243CEB"/>
    <w:rsid w:val="00243D33"/>
    <w:rsid w:val="00243D78"/>
    <w:rsid w:val="00243DEE"/>
    <w:rsid w:val="00243E2F"/>
    <w:rsid w:val="00243E70"/>
    <w:rsid w:val="00243E79"/>
    <w:rsid w:val="00243E81"/>
    <w:rsid w:val="00243F16"/>
    <w:rsid w:val="00243F2A"/>
    <w:rsid w:val="00243F58"/>
    <w:rsid w:val="00244037"/>
    <w:rsid w:val="00244121"/>
    <w:rsid w:val="002441AF"/>
    <w:rsid w:val="00244228"/>
    <w:rsid w:val="002442A1"/>
    <w:rsid w:val="002443F8"/>
    <w:rsid w:val="00244446"/>
    <w:rsid w:val="00244487"/>
    <w:rsid w:val="002444A6"/>
    <w:rsid w:val="00244625"/>
    <w:rsid w:val="0024462B"/>
    <w:rsid w:val="002446AF"/>
    <w:rsid w:val="00244709"/>
    <w:rsid w:val="002447DC"/>
    <w:rsid w:val="0024483A"/>
    <w:rsid w:val="002448A9"/>
    <w:rsid w:val="002448FD"/>
    <w:rsid w:val="002449BF"/>
    <w:rsid w:val="002449C1"/>
    <w:rsid w:val="002449CA"/>
    <w:rsid w:val="00244A04"/>
    <w:rsid w:val="00244A51"/>
    <w:rsid w:val="00244AAB"/>
    <w:rsid w:val="00244AD3"/>
    <w:rsid w:val="00244AF2"/>
    <w:rsid w:val="00244B3A"/>
    <w:rsid w:val="00244BF1"/>
    <w:rsid w:val="00244C08"/>
    <w:rsid w:val="00244C16"/>
    <w:rsid w:val="00244C17"/>
    <w:rsid w:val="00244C1D"/>
    <w:rsid w:val="00244C51"/>
    <w:rsid w:val="00244D51"/>
    <w:rsid w:val="00244DC7"/>
    <w:rsid w:val="00244E05"/>
    <w:rsid w:val="00244E2F"/>
    <w:rsid w:val="00244E4B"/>
    <w:rsid w:val="00244E7A"/>
    <w:rsid w:val="00244EF1"/>
    <w:rsid w:val="00244FB4"/>
    <w:rsid w:val="0024504A"/>
    <w:rsid w:val="00245058"/>
    <w:rsid w:val="00245089"/>
    <w:rsid w:val="002450C7"/>
    <w:rsid w:val="00245101"/>
    <w:rsid w:val="00245224"/>
    <w:rsid w:val="0024524B"/>
    <w:rsid w:val="0024528F"/>
    <w:rsid w:val="002452C4"/>
    <w:rsid w:val="002452ED"/>
    <w:rsid w:val="00245380"/>
    <w:rsid w:val="002454A1"/>
    <w:rsid w:val="002455B9"/>
    <w:rsid w:val="002455CC"/>
    <w:rsid w:val="002457C1"/>
    <w:rsid w:val="0024580B"/>
    <w:rsid w:val="00245814"/>
    <w:rsid w:val="00245853"/>
    <w:rsid w:val="002458AE"/>
    <w:rsid w:val="00245918"/>
    <w:rsid w:val="00245938"/>
    <w:rsid w:val="0024595B"/>
    <w:rsid w:val="00245A05"/>
    <w:rsid w:val="00245A68"/>
    <w:rsid w:val="00245A6B"/>
    <w:rsid w:val="00245A76"/>
    <w:rsid w:val="00245A9C"/>
    <w:rsid w:val="00245B82"/>
    <w:rsid w:val="00245CBE"/>
    <w:rsid w:val="00245D45"/>
    <w:rsid w:val="00245E30"/>
    <w:rsid w:val="00245E5F"/>
    <w:rsid w:val="00245EB1"/>
    <w:rsid w:val="00245FF8"/>
    <w:rsid w:val="002460D2"/>
    <w:rsid w:val="00246133"/>
    <w:rsid w:val="00246137"/>
    <w:rsid w:val="0024614B"/>
    <w:rsid w:val="002461C8"/>
    <w:rsid w:val="002461F1"/>
    <w:rsid w:val="0024626E"/>
    <w:rsid w:val="002462F3"/>
    <w:rsid w:val="00246349"/>
    <w:rsid w:val="00246392"/>
    <w:rsid w:val="00246409"/>
    <w:rsid w:val="00246420"/>
    <w:rsid w:val="0024645D"/>
    <w:rsid w:val="002464A7"/>
    <w:rsid w:val="002464D1"/>
    <w:rsid w:val="00246520"/>
    <w:rsid w:val="0024657E"/>
    <w:rsid w:val="00246580"/>
    <w:rsid w:val="002465E1"/>
    <w:rsid w:val="002465E6"/>
    <w:rsid w:val="0024667E"/>
    <w:rsid w:val="00246772"/>
    <w:rsid w:val="002467D1"/>
    <w:rsid w:val="002467E2"/>
    <w:rsid w:val="002467F1"/>
    <w:rsid w:val="002467FB"/>
    <w:rsid w:val="00246815"/>
    <w:rsid w:val="00246817"/>
    <w:rsid w:val="00246899"/>
    <w:rsid w:val="002468C3"/>
    <w:rsid w:val="002468DE"/>
    <w:rsid w:val="0024690C"/>
    <w:rsid w:val="00246919"/>
    <w:rsid w:val="002469D4"/>
    <w:rsid w:val="00246A7A"/>
    <w:rsid w:val="00246A8C"/>
    <w:rsid w:val="00246A9D"/>
    <w:rsid w:val="00246B12"/>
    <w:rsid w:val="00246B49"/>
    <w:rsid w:val="00246B60"/>
    <w:rsid w:val="00246C40"/>
    <w:rsid w:val="00246D2E"/>
    <w:rsid w:val="00246D83"/>
    <w:rsid w:val="00246DE9"/>
    <w:rsid w:val="00246E01"/>
    <w:rsid w:val="00246E89"/>
    <w:rsid w:val="00246E9A"/>
    <w:rsid w:val="00246EA4"/>
    <w:rsid w:val="00246F49"/>
    <w:rsid w:val="00246F4B"/>
    <w:rsid w:val="00246F51"/>
    <w:rsid w:val="00246F58"/>
    <w:rsid w:val="00246F67"/>
    <w:rsid w:val="00246FD7"/>
    <w:rsid w:val="0024703C"/>
    <w:rsid w:val="0024707D"/>
    <w:rsid w:val="00247082"/>
    <w:rsid w:val="0024708F"/>
    <w:rsid w:val="002470A5"/>
    <w:rsid w:val="00247119"/>
    <w:rsid w:val="002471B4"/>
    <w:rsid w:val="002471BA"/>
    <w:rsid w:val="002471BD"/>
    <w:rsid w:val="0024720E"/>
    <w:rsid w:val="00247237"/>
    <w:rsid w:val="002473CA"/>
    <w:rsid w:val="002473D5"/>
    <w:rsid w:val="002473D8"/>
    <w:rsid w:val="002473F3"/>
    <w:rsid w:val="002474BC"/>
    <w:rsid w:val="002474DA"/>
    <w:rsid w:val="00247518"/>
    <w:rsid w:val="0024754C"/>
    <w:rsid w:val="002475B5"/>
    <w:rsid w:val="00247615"/>
    <w:rsid w:val="00247639"/>
    <w:rsid w:val="002477BE"/>
    <w:rsid w:val="0024783E"/>
    <w:rsid w:val="002479C0"/>
    <w:rsid w:val="002479D2"/>
    <w:rsid w:val="00247A0D"/>
    <w:rsid w:val="00247A20"/>
    <w:rsid w:val="00247A6D"/>
    <w:rsid w:val="00247A7C"/>
    <w:rsid w:val="00247AA0"/>
    <w:rsid w:val="00247B0A"/>
    <w:rsid w:val="00247BAF"/>
    <w:rsid w:val="00247C14"/>
    <w:rsid w:val="00247C5C"/>
    <w:rsid w:val="00247DC7"/>
    <w:rsid w:val="00247E35"/>
    <w:rsid w:val="00247E92"/>
    <w:rsid w:val="00247F76"/>
    <w:rsid w:val="0025003A"/>
    <w:rsid w:val="0025009C"/>
    <w:rsid w:val="002500DC"/>
    <w:rsid w:val="00250165"/>
    <w:rsid w:val="002501AC"/>
    <w:rsid w:val="002501EC"/>
    <w:rsid w:val="00250205"/>
    <w:rsid w:val="002502D3"/>
    <w:rsid w:val="002503DA"/>
    <w:rsid w:val="002503E6"/>
    <w:rsid w:val="00250492"/>
    <w:rsid w:val="002504AE"/>
    <w:rsid w:val="002504F2"/>
    <w:rsid w:val="0025053C"/>
    <w:rsid w:val="002505CF"/>
    <w:rsid w:val="002506B6"/>
    <w:rsid w:val="00250711"/>
    <w:rsid w:val="00250869"/>
    <w:rsid w:val="00250873"/>
    <w:rsid w:val="0025089F"/>
    <w:rsid w:val="002508D0"/>
    <w:rsid w:val="002508E2"/>
    <w:rsid w:val="002508E3"/>
    <w:rsid w:val="00250918"/>
    <w:rsid w:val="0025092B"/>
    <w:rsid w:val="0025094B"/>
    <w:rsid w:val="00250960"/>
    <w:rsid w:val="002509A6"/>
    <w:rsid w:val="00250A3D"/>
    <w:rsid w:val="00250A49"/>
    <w:rsid w:val="00250A6E"/>
    <w:rsid w:val="00250AB0"/>
    <w:rsid w:val="00250ADF"/>
    <w:rsid w:val="00250AF1"/>
    <w:rsid w:val="00250B51"/>
    <w:rsid w:val="00250B56"/>
    <w:rsid w:val="00250B7C"/>
    <w:rsid w:val="00250BC1"/>
    <w:rsid w:val="00250C6F"/>
    <w:rsid w:val="00250D27"/>
    <w:rsid w:val="00250D50"/>
    <w:rsid w:val="00250D67"/>
    <w:rsid w:val="00250DE0"/>
    <w:rsid w:val="00250DF1"/>
    <w:rsid w:val="00250E2F"/>
    <w:rsid w:val="00250E5D"/>
    <w:rsid w:val="00250EA3"/>
    <w:rsid w:val="00250F01"/>
    <w:rsid w:val="00250F4E"/>
    <w:rsid w:val="00250F8A"/>
    <w:rsid w:val="00250F93"/>
    <w:rsid w:val="00250FBF"/>
    <w:rsid w:val="0025104A"/>
    <w:rsid w:val="0025108A"/>
    <w:rsid w:val="0025113E"/>
    <w:rsid w:val="00251145"/>
    <w:rsid w:val="00251180"/>
    <w:rsid w:val="002511D8"/>
    <w:rsid w:val="00251216"/>
    <w:rsid w:val="002512F2"/>
    <w:rsid w:val="002512F5"/>
    <w:rsid w:val="002513AE"/>
    <w:rsid w:val="002513C0"/>
    <w:rsid w:val="00251405"/>
    <w:rsid w:val="00251459"/>
    <w:rsid w:val="002514C4"/>
    <w:rsid w:val="002514C8"/>
    <w:rsid w:val="002515BB"/>
    <w:rsid w:val="00251676"/>
    <w:rsid w:val="00251680"/>
    <w:rsid w:val="00251682"/>
    <w:rsid w:val="002516D0"/>
    <w:rsid w:val="0025177B"/>
    <w:rsid w:val="002517B9"/>
    <w:rsid w:val="00251826"/>
    <w:rsid w:val="002518C2"/>
    <w:rsid w:val="0025190C"/>
    <w:rsid w:val="0025194B"/>
    <w:rsid w:val="0025199A"/>
    <w:rsid w:val="00251A7A"/>
    <w:rsid w:val="00251B9D"/>
    <w:rsid w:val="00251C41"/>
    <w:rsid w:val="00251CD2"/>
    <w:rsid w:val="00251D90"/>
    <w:rsid w:val="00251D94"/>
    <w:rsid w:val="00251E42"/>
    <w:rsid w:val="00251E4A"/>
    <w:rsid w:val="00251E4D"/>
    <w:rsid w:val="00251E66"/>
    <w:rsid w:val="00251EB5"/>
    <w:rsid w:val="00251ED7"/>
    <w:rsid w:val="00251F4A"/>
    <w:rsid w:val="00251F4F"/>
    <w:rsid w:val="00251F59"/>
    <w:rsid w:val="00251F63"/>
    <w:rsid w:val="00251FE6"/>
    <w:rsid w:val="00252008"/>
    <w:rsid w:val="002520B5"/>
    <w:rsid w:val="00252162"/>
    <w:rsid w:val="00252175"/>
    <w:rsid w:val="002521E2"/>
    <w:rsid w:val="0025229A"/>
    <w:rsid w:val="00252382"/>
    <w:rsid w:val="002523A3"/>
    <w:rsid w:val="00252456"/>
    <w:rsid w:val="002524AE"/>
    <w:rsid w:val="002524BD"/>
    <w:rsid w:val="00252640"/>
    <w:rsid w:val="00252666"/>
    <w:rsid w:val="002526F5"/>
    <w:rsid w:val="0025274A"/>
    <w:rsid w:val="00252767"/>
    <w:rsid w:val="00252775"/>
    <w:rsid w:val="002527C1"/>
    <w:rsid w:val="00252844"/>
    <w:rsid w:val="00252855"/>
    <w:rsid w:val="0025288C"/>
    <w:rsid w:val="002528FC"/>
    <w:rsid w:val="00252938"/>
    <w:rsid w:val="00252953"/>
    <w:rsid w:val="00252964"/>
    <w:rsid w:val="00252A07"/>
    <w:rsid w:val="00252B5E"/>
    <w:rsid w:val="00252B84"/>
    <w:rsid w:val="00252BFE"/>
    <w:rsid w:val="00252C18"/>
    <w:rsid w:val="00252C42"/>
    <w:rsid w:val="00252D1F"/>
    <w:rsid w:val="00252F54"/>
    <w:rsid w:val="00253066"/>
    <w:rsid w:val="002530D4"/>
    <w:rsid w:val="002531A8"/>
    <w:rsid w:val="00253258"/>
    <w:rsid w:val="002532A6"/>
    <w:rsid w:val="00253325"/>
    <w:rsid w:val="002533A7"/>
    <w:rsid w:val="002533BB"/>
    <w:rsid w:val="002533C6"/>
    <w:rsid w:val="002533E4"/>
    <w:rsid w:val="002533EC"/>
    <w:rsid w:val="0025352E"/>
    <w:rsid w:val="00253553"/>
    <w:rsid w:val="00253554"/>
    <w:rsid w:val="00253562"/>
    <w:rsid w:val="002535FF"/>
    <w:rsid w:val="002536CD"/>
    <w:rsid w:val="0025370B"/>
    <w:rsid w:val="002537C3"/>
    <w:rsid w:val="002537E8"/>
    <w:rsid w:val="00253860"/>
    <w:rsid w:val="00253863"/>
    <w:rsid w:val="002538D6"/>
    <w:rsid w:val="0025391C"/>
    <w:rsid w:val="00253928"/>
    <w:rsid w:val="002539E1"/>
    <w:rsid w:val="00253A35"/>
    <w:rsid w:val="00253A85"/>
    <w:rsid w:val="00253A9B"/>
    <w:rsid w:val="00253BD0"/>
    <w:rsid w:val="00253C03"/>
    <w:rsid w:val="00253D14"/>
    <w:rsid w:val="00253D9A"/>
    <w:rsid w:val="00253E27"/>
    <w:rsid w:val="00253ED2"/>
    <w:rsid w:val="00253EF4"/>
    <w:rsid w:val="00253F44"/>
    <w:rsid w:val="00253FC9"/>
    <w:rsid w:val="00253FEF"/>
    <w:rsid w:val="0025400F"/>
    <w:rsid w:val="00254046"/>
    <w:rsid w:val="002540DF"/>
    <w:rsid w:val="00254103"/>
    <w:rsid w:val="00254133"/>
    <w:rsid w:val="002541FB"/>
    <w:rsid w:val="00254226"/>
    <w:rsid w:val="002543AE"/>
    <w:rsid w:val="002543C9"/>
    <w:rsid w:val="002543CC"/>
    <w:rsid w:val="002543F4"/>
    <w:rsid w:val="00254430"/>
    <w:rsid w:val="00254435"/>
    <w:rsid w:val="00254479"/>
    <w:rsid w:val="0025449D"/>
    <w:rsid w:val="00254522"/>
    <w:rsid w:val="002545ED"/>
    <w:rsid w:val="00254624"/>
    <w:rsid w:val="0025467A"/>
    <w:rsid w:val="002546D7"/>
    <w:rsid w:val="002546E4"/>
    <w:rsid w:val="00254747"/>
    <w:rsid w:val="0025475B"/>
    <w:rsid w:val="002547FC"/>
    <w:rsid w:val="00254898"/>
    <w:rsid w:val="002548A5"/>
    <w:rsid w:val="00254918"/>
    <w:rsid w:val="00254923"/>
    <w:rsid w:val="0025493E"/>
    <w:rsid w:val="00254977"/>
    <w:rsid w:val="00254A4E"/>
    <w:rsid w:val="00254AC2"/>
    <w:rsid w:val="00254B4A"/>
    <w:rsid w:val="00254B5C"/>
    <w:rsid w:val="00254BE1"/>
    <w:rsid w:val="00254BFB"/>
    <w:rsid w:val="00254C17"/>
    <w:rsid w:val="00254C40"/>
    <w:rsid w:val="00254CB3"/>
    <w:rsid w:val="00254CBE"/>
    <w:rsid w:val="00254D5A"/>
    <w:rsid w:val="00254DA0"/>
    <w:rsid w:val="00254DDF"/>
    <w:rsid w:val="00254DF8"/>
    <w:rsid w:val="00254E10"/>
    <w:rsid w:val="00254E1D"/>
    <w:rsid w:val="00254E98"/>
    <w:rsid w:val="00254F01"/>
    <w:rsid w:val="00254F9B"/>
    <w:rsid w:val="00254FF5"/>
    <w:rsid w:val="00255021"/>
    <w:rsid w:val="0025506D"/>
    <w:rsid w:val="002550D4"/>
    <w:rsid w:val="0025511F"/>
    <w:rsid w:val="002551C7"/>
    <w:rsid w:val="002551F6"/>
    <w:rsid w:val="00255272"/>
    <w:rsid w:val="0025533B"/>
    <w:rsid w:val="00255344"/>
    <w:rsid w:val="002553D8"/>
    <w:rsid w:val="002553DA"/>
    <w:rsid w:val="002553DC"/>
    <w:rsid w:val="00255498"/>
    <w:rsid w:val="002554FA"/>
    <w:rsid w:val="00255529"/>
    <w:rsid w:val="0025553F"/>
    <w:rsid w:val="00255609"/>
    <w:rsid w:val="00255613"/>
    <w:rsid w:val="0025565C"/>
    <w:rsid w:val="002556A9"/>
    <w:rsid w:val="002556B9"/>
    <w:rsid w:val="002556E4"/>
    <w:rsid w:val="002556E6"/>
    <w:rsid w:val="00255777"/>
    <w:rsid w:val="00255790"/>
    <w:rsid w:val="002557B2"/>
    <w:rsid w:val="002557E1"/>
    <w:rsid w:val="0025581E"/>
    <w:rsid w:val="00255825"/>
    <w:rsid w:val="00255852"/>
    <w:rsid w:val="00255878"/>
    <w:rsid w:val="002558E3"/>
    <w:rsid w:val="00255908"/>
    <w:rsid w:val="002559B3"/>
    <w:rsid w:val="002559B9"/>
    <w:rsid w:val="002559C9"/>
    <w:rsid w:val="002559E5"/>
    <w:rsid w:val="00255A12"/>
    <w:rsid w:val="00255A28"/>
    <w:rsid w:val="00255BCB"/>
    <w:rsid w:val="00255C88"/>
    <w:rsid w:val="00255C8F"/>
    <w:rsid w:val="00255CC3"/>
    <w:rsid w:val="00255CC4"/>
    <w:rsid w:val="00255D1B"/>
    <w:rsid w:val="00255DA7"/>
    <w:rsid w:val="00255DE3"/>
    <w:rsid w:val="00255E02"/>
    <w:rsid w:val="00255E34"/>
    <w:rsid w:val="00255EDE"/>
    <w:rsid w:val="00255EE5"/>
    <w:rsid w:val="00255EEF"/>
    <w:rsid w:val="00255FA0"/>
    <w:rsid w:val="00255FFC"/>
    <w:rsid w:val="0025611D"/>
    <w:rsid w:val="00256144"/>
    <w:rsid w:val="00256163"/>
    <w:rsid w:val="0025616F"/>
    <w:rsid w:val="002561D3"/>
    <w:rsid w:val="002561EF"/>
    <w:rsid w:val="00256220"/>
    <w:rsid w:val="00256225"/>
    <w:rsid w:val="002562F4"/>
    <w:rsid w:val="00256349"/>
    <w:rsid w:val="0025637B"/>
    <w:rsid w:val="002563B5"/>
    <w:rsid w:val="002563D7"/>
    <w:rsid w:val="002563E3"/>
    <w:rsid w:val="002563E7"/>
    <w:rsid w:val="002563EF"/>
    <w:rsid w:val="0025647D"/>
    <w:rsid w:val="002564CA"/>
    <w:rsid w:val="002564D7"/>
    <w:rsid w:val="002564EF"/>
    <w:rsid w:val="00256522"/>
    <w:rsid w:val="002565AC"/>
    <w:rsid w:val="002565F1"/>
    <w:rsid w:val="002565FF"/>
    <w:rsid w:val="0025661A"/>
    <w:rsid w:val="0025661C"/>
    <w:rsid w:val="002567E8"/>
    <w:rsid w:val="0025687F"/>
    <w:rsid w:val="00256880"/>
    <w:rsid w:val="00256887"/>
    <w:rsid w:val="0025688B"/>
    <w:rsid w:val="002568BC"/>
    <w:rsid w:val="002569A4"/>
    <w:rsid w:val="00256A19"/>
    <w:rsid w:val="00256A98"/>
    <w:rsid w:val="00256AE9"/>
    <w:rsid w:val="00256B46"/>
    <w:rsid w:val="00256C16"/>
    <w:rsid w:val="00256D3F"/>
    <w:rsid w:val="00256E0A"/>
    <w:rsid w:val="00256E12"/>
    <w:rsid w:val="00256E3C"/>
    <w:rsid w:val="00256E47"/>
    <w:rsid w:val="00256E4C"/>
    <w:rsid w:val="00256F56"/>
    <w:rsid w:val="00256F86"/>
    <w:rsid w:val="0025716A"/>
    <w:rsid w:val="0025726F"/>
    <w:rsid w:val="0025727B"/>
    <w:rsid w:val="002572FA"/>
    <w:rsid w:val="00257329"/>
    <w:rsid w:val="0025732E"/>
    <w:rsid w:val="0025735D"/>
    <w:rsid w:val="0025742D"/>
    <w:rsid w:val="002574A8"/>
    <w:rsid w:val="002574C8"/>
    <w:rsid w:val="0025753B"/>
    <w:rsid w:val="00257581"/>
    <w:rsid w:val="002575D7"/>
    <w:rsid w:val="002575E6"/>
    <w:rsid w:val="00257618"/>
    <w:rsid w:val="002576D6"/>
    <w:rsid w:val="002577D6"/>
    <w:rsid w:val="0025791C"/>
    <w:rsid w:val="00257955"/>
    <w:rsid w:val="00257965"/>
    <w:rsid w:val="00257A0F"/>
    <w:rsid w:val="00257A2F"/>
    <w:rsid w:val="00257AC4"/>
    <w:rsid w:val="00257AE7"/>
    <w:rsid w:val="00257B7C"/>
    <w:rsid w:val="00257B82"/>
    <w:rsid w:val="00257BFB"/>
    <w:rsid w:val="00257BFD"/>
    <w:rsid w:val="00257C77"/>
    <w:rsid w:val="00257CC8"/>
    <w:rsid w:val="00257CFE"/>
    <w:rsid w:val="00257D49"/>
    <w:rsid w:val="00257D8A"/>
    <w:rsid w:val="00257E6C"/>
    <w:rsid w:val="00257E96"/>
    <w:rsid w:val="00257EA0"/>
    <w:rsid w:val="00257F0D"/>
    <w:rsid w:val="00257F96"/>
    <w:rsid w:val="00260036"/>
    <w:rsid w:val="00260107"/>
    <w:rsid w:val="00260108"/>
    <w:rsid w:val="002601A6"/>
    <w:rsid w:val="002601D3"/>
    <w:rsid w:val="002601D5"/>
    <w:rsid w:val="002601E3"/>
    <w:rsid w:val="002602B4"/>
    <w:rsid w:val="00260423"/>
    <w:rsid w:val="00260451"/>
    <w:rsid w:val="0026045E"/>
    <w:rsid w:val="0026063E"/>
    <w:rsid w:val="00260645"/>
    <w:rsid w:val="0026065B"/>
    <w:rsid w:val="002606C4"/>
    <w:rsid w:val="002607B4"/>
    <w:rsid w:val="002607F7"/>
    <w:rsid w:val="0026080B"/>
    <w:rsid w:val="0026082F"/>
    <w:rsid w:val="0026085C"/>
    <w:rsid w:val="002608AD"/>
    <w:rsid w:val="002608B1"/>
    <w:rsid w:val="00260960"/>
    <w:rsid w:val="00260974"/>
    <w:rsid w:val="00260A70"/>
    <w:rsid w:val="00260AD3"/>
    <w:rsid w:val="00260AF1"/>
    <w:rsid w:val="00260B6B"/>
    <w:rsid w:val="00260BBC"/>
    <w:rsid w:val="00260C11"/>
    <w:rsid w:val="00260C2F"/>
    <w:rsid w:val="00260C7F"/>
    <w:rsid w:val="00260CF8"/>
    <w:rsid w:val="00260D63"/>
    <w:rsid w:val="00260DFC"/>
    <w:rsid w:val="00260E01"/>
    <w:rsid w:val="00260E58"/>
    <w:rsid w:val="00260E8B"/>
    <w:rsid w:val="00260EB2"/>
    <w:rsid w:val="00260F0F"/>
    <w:rsid w:val="00261001"/>
    <w:rsid w:val="0026100A"/>
    <w:rsid w:val="00261041"/>
    <w:rsid w:val="002610EF"/>
    <w:rsid w:val="0026114B"/>
    <w:rsid w:val="002612AC"/>
    <w:rsid w:val="002612EB"/>
    <w:rsid w:val="002612FE"/>
    <w:rsid w:val="00261355"/>
    <w:rsid w:val="00261359"/>
    <w:rsid w:val="002613A4"/>
    <w:rsid w:val="00261413"/>
    <w:rsid w:val="00261482"/>
    <w:rsid w:val="00261492"/>
    <w:rsid w:val="002614A1"/>
    <w:rsid w:val="002614BA"/>
    <w:rsid w:val="002614FA"/>
    <w:rsid w:val="0026150D"/>
    <w:rsid w:val="0026154F"/>
    <w:rsid w:val="00261602"/>
    <w:rsid w:val="0026168A"/>
    <w:rsid w:val="00261699"/>
    <w:rsid w:val="002616A0"/>
    <w:rsid w:val="002616A6"/>
    <w:rsid w:val="00261705"/>
    <w:rsid w:val="00261724"/>
    <w:rsid w:val="00261751"/>
    <w:rsid w:val="002618D5"/>
    <w:rsid w:val="0026192D"/>
    <w:rsid w:val="00261932"/>
    <w:rsid w:val="00261941"/>
    <w:rsid w:val="00261972"/>
    <w:rsid w:val="0026199B"/>
    <w:rsid w:val="002619CC"/>
    <w:rsid w:val="00261A3D"/>
    <w:rsid w:val="00261A4E"/>
    <w:rsid w:val="00261B3F"/>
    <w:rsid w:val="00261B52"/>
    <w:rsid w:val="00261B93"/>
    <w:rsid w:val="00261BE5"/>
    <w:rsid w:val="00261BFB"/>
    <w:rsid w:val="00261BFE"/>
    <w:rsid w:val="00261C53"/>
    <w:rsid w:val="00261D81"/>
    <w:rsid w:val="00261DB0"/>
    <w:rsid w:val="00261DDC"/>
    <w:rsid w:val="00261DED"/>
    <w:rsid w:val="00261ECD"/>
    <w:rsid w:val="00261F99"/>
    <w:rsid w:val="00261FA9"/>
    <w:rsid w:val="00262061"/>
    <w:rsid w:val="002620E0"/>
    <w:rsid w:val="00262112"/>
    <w:rsid w:val="00262149"/>
    <w:rsid w:val="002621B8"/>
    <w:rsid w:val="002621DC"/>
    <w:rsid w:val="002621F3"/>
    <w:rsid w:val="00262212"/>
    <w:rsid w:val="00262225"/>
    <w:rsid w:val="00262230"/>
    <w:rsid w:val="00262237"/>
    <w:rsid w:val="00262304"/>
    <w:rsid w:val="0026231A"/>
    <w:rsid w:val="00262369"/>
    <w:rsid w:val="00262386"/>
    <w:rsid w:val="0026262D"/>
    <w:rsid w:val="00262778"/>
    <w:rsid w:val="002627A7"/>
    <w:rsid w:val="0026286B"/>
    <w:rsid w:val="00262941"/>
    <w:rsid w:val="00262988"/>
    <w:rsid w:val="00262997"/>
    <w:rsid w:val="0026299D"/>
    <w:rsid w:val="002629D9"/>
    <w:rsid w:val="00262A3E"/>
    <w:rsid w:val="00262A66"/>
    <w:rsid w:val="00262B4D"/>
    <w:rsid w:val="00262C5D"/>
    <w:rsid w:val="00262C91"/>
    <w:rsid w:val="00262D3F"/>
    <w:rsid w:val="00262D4D"/>
    <w:rsid w:val="00262D95"/>
    <w:rsid w:val="00262E56"/>
    <w:rsid w:val="00262ECD"/>
    <w:rsid w:val="00262EE8"/>
    <w:rsid w:val="00262EF9"/>
    <w:rsid w:val="00262F15"/>
    <w:rsid w:val="00262F3A"/>
    <w:rsid w:val="00262FBF"/>
    <w:rsid w:val="00262FE7"/>
    <w:rsid w:val="00263033"/>
    <w:rsid w:val="002631E5"/>
    <w:rsid w:val="002631F8"/>
    <w:rsid w:val="00263258"/>
    <w:rsid w:val="002632D0"/>
    <w:rsid w:val="002632D1"/>
    <w:rsid w:val="0026339C"/>
    <w:rsid w:val="002633C4"/>
    <w:rsid w:val="002633D3"/>
    <w:rsid w:val="00263410"/>
    <w:rsid w:val="00263422"/>
    <w:rsid w:val="002634F5"/>
    <w:rsid w:val="00263506"/>
    <w:rsid w:val="00263655"/>
    <w:rsid w:val="002636C9"/>
    <w:rsid w:val="002636ED"/>
    <w:rsid w:val="00263716"/>
    <w:rsid w:val="0026371A"/>
    <w:rsid w:val="00263721"/>
    <w:rsid w:val="00263753"/>
    <w:rsid w:val="00263793"/>
    <w:rsid w:val="002638A5"/>
    <w:rsid w:val="002638FE"/>
    <w:rsid w:val="00263929"/>
    <w:rsid w:val="002639A5"/>
    <w:rsid w:val="00263A2B"/>
    <w:rsid w:val="00263A53"/>
    <w:rsid w:val="00263A81"/>
    <w:rsid w:val="00263B00"/>
    <w:rsid w:val="00263B26"/>
    <w:rsid w:val="00263B5C"/>
    <w:rsid w:val="00263B7F"/>
    <w:rsid w:val="00263C45"/>
    <w:rsid w:val="00263D0A"/>
    <w:rsid w:val="00263D0D"/>
    <w:rsid w:val="00263D98"/>
    <w:rsid w:val="00263DFF"/>
    <w:rsid w:val="00263E9B"/>
    <w:rsid w:val="00263EB8"/>
    <w:rsid w:val="00263EFC"/>
    <w:rsid w:val="00263F14"/>
    <w:rsid w:val="00263FC7"/>
    <w:rsid w:val="00264058"/>
    <w:rsid w:val="0026405D"/>
    <w:rsid w:val="0026410A"/>
    <w:rsid w:val="00264113"/>
    <w:rsid w:val="002641C1"/>
    <w:rsid w:val="002641C4"/>
    <w:rsid w:val="002641EF"/>
    <w:rsid w:val="00264208"/>
    <w:rsid w:val="002642C3"/>
    <w:rsid w:val="002643B9"/>
    <w:rsid w:val="002643F9"/>
    <w:rsid w:val="0026454C"/>
    <w:rsid w:val="0026454E"/>
    <w:rsid w:val="00264679"/>
    <w:rsid w:val="00264701"/>
    <w:rsid w:val="002647AE"/>
    <w:rsid w:val="002648E5"/>
    <w:rsid w:val="0026493D"/>
    <w:rsid w:val="00264A1A"/>
    <w:rsid w:val="00264AE5"/>
    <w:rsid w:val="00264B22"/>
    <w:rsid w:val="00264CF2"/>
    <w:rsid w:val="00264D11"/>
    <w:rsid w:val="00264D2C"/>
    <w:rsid w:val="00264D2D"/>
    <w:rsid w:val="00264DC0"/>
    <w:rsid w:val="00264E02"/>
    <w:rsid w:val="00264E17"/>
    <w:rsid w:val="00264E30"/>
    <w:rsid w:val="00264E62"/>
    <w:rsid w:val="00264E6D"/>
    <w:rsid w:val="00264EF3"/>
    <w:rsid w:val="00264F77"/>
    <w:rsid w:val="00264FBC"/>
    <w:rsid w:val="00264FE7"/>
    <w:rsid w:val="0026502E"/>
    <w:rsid w:val="002650AE"/>
    <w:rsid w:val="002650EA"/>
    <w:rsid w:val="0026513C"/>
    <w:rsid w:val="002652A4"/>
    <w:rsid w:val="002652D4"/>
    <w:rsid w:val="002652D7"/>
    <w:rsid w:val="00265361"/>
    <w:rsid w:val="0026538D"/>
    <w:rsid w:val="00265579"/>
    <w:rsid w:val="002655C2"/>
    <w:rsid w:val="00265663"/>
    <w:rsid w:val="002656BD"/>
    <w:rsid w:val="00265798"/>
    <w:rsid w:val="0026586F"/>
    <w:rsid w:val="0026591C"/>
    <w:rsid w:val="0026594B"/>
    <w:rsid w:val="00265983"/>
    <w:rsid w:val="00265A3B"/>
    <w:rsid w:val="00265AF9"/>
    <w:rsid w:val="00265B01"/>
    <w:rsid w:val="00265C37"/>
    <w:rsid w:val="00265CC2"/>
    <w:rsid w:val="00265D2E"/>
    <w:rsid w:val="00265D6F"/>
    <w:rsid w:val="00265DC7"/>
    <w:rsid w:val="00265DE0"/>
    <w:rsid w:val="00265E9F"/>
    <w:rsid w:val="00265EC1"/>
    <w:rsid w:val="00265F41"/>
    <w:rsid w:val="00265FB5"/>
    <w:rsid w:val="0026606D"/>
    <w:rsid w:val="002660FA"/>
    <w:rsid w:val="0026613F"/>
    <w:rsid w:val="00266161"/>
    <w:rsid w:val="00266174"/>
    <w:rsid w:val="002661AF"/>
    <w:rsid w:val="0026621F"/>
    <w:rsid w:val="0026625D"/>
    <w:rsid w:val="002663AF"/>
    <w:rsid w:val="002663F2"/>
    <w:rsid w:val="002663FB"/>
    <w:rsid w:val="00266409"/>
    <w:rsid w:val="00266438"/>
    <w:rsid w:val="0026644D"/>
    <w:rsid w:val="0026644F"/>
    <w:rsid w:val="0026645C"/>
    <w:rsid w:val="00266573"/>
    <w:rsid w:val="00266702"/>
    <w:rsid w:val="00266796"/>
    <w:rsid w:val="002667A4"/>
    <w:rsid w:val="0026686D"/>
    <w:rsid w:val="002668DE"/>
    <w:rsid w:val="002668F6"/>
    <w:rsid w:val="002668FB"/>
    <w:rsid w:val="00266AA7"/>
    <w:rsid w:val="00266BFD"/>
    <w:rsid w:val="00266CB1"/>
    <w:rsid w:val="00266CB9"/>
    <w:rsid w:val="00266CED"/>
    <w:rsid w:val="00266D4E"/>
    <w:rsid w:val="00266D99"/>
    <w:rsid w:val="00266DE3"/>
    <w:rsid w:val="00266E50"/>
    <w:rsid w:val="00266EB0"/>
    <w:rsid w:val="00266FA8"/>
    <w:rsid w:val="00266FD2"/>
    <w:rsid w:val="00267106"/>
    <w:rsid w:val="002671E2"/>
    <w:rsid w:val="0026720E"/>
    <w:rsid w:val="00267222"/>
    <w:rsid w:val="00267224"/>
    <w:rsid w:val="00267299"/>
    <w:rsid w:val="002672EF"/>
    <w:rsid w:val="0026739B"/>
    <w:rsid w:val="002673D7"/>
    <w:rsid w:val="0026745F"/>
    <w:rsid w:val="00267544"/>
    <w:rsid w:val="002675B8"/>
    <w:rsid w:val="00267604"/>
    <w:rsid w:val="00267663"/>
    <w:rsid w:val="0026767E"/>
    <w:rsid w:val="00267699"/>
    <w:rsid w:val="002676A4"/>
    <w:rsid w:val="0026773F"/>
    <w:rsid w:val="00267753"/>
    <w:rsid w:val="00267760"/>
    <w:rsid w:val="0026776A"/>
    <w:rsid w:val="002678F1"/>
    <w:rsid w:val="00267998"/>
    <w:rsid w:val="002679A1"/>
    <w:rsid w:val="00267A05"/>
    <w:rsid w:val="00267B4B"/>
    <w:rsid w:val="00267B67"/>
    <w:rsid w:val="00267BAD"/>
    <w:rsid w:val="00267BBC"/>
    <w:rsid w:val="00267C01"/>
    <w:rsid w:val="00267C1B"/>
    <w:rsid w:val="00267C65"/>
    <w:rsid w:val="00267C80"/>
    <w:rsid w:val="00267C8B"/>
    <w:rsid w:val="00267C9C"/>
    <w:rsid w:val="00267CF9"/>
    <w:rsid w:val="00267D12"/>
    <w:rsid w:val="00267DDC"/>
    <w:rsid w:val="00267E0B"/>
    <w:rsid w:val="00267E88"/>
    <w:rsid w:val="00267EBB"/>
    <w:rsid w:val="00267EC3"/>
    <w:rsid w:val="00267F43"/>
    <w:rsid w:val="00267FAC"/>
    <w:rsid w:val="00270005"/>
    <w:rsid w:val="00270039"/>
    <w:rsid w:val="00270088"/>
    <w:rsid w:val="002700D8"/>
    <w:rsid w:val="00270168"/>
    <w:rsid w:val="00270175"/>
    <w:rsid w:val="00270252"/>
    <w:rsid w:val="00270258"/>
    <w:rsid w:val="00270317"/>
    <w:rsid w:val="00270323"/>
    <w:rsid w:val="00270368"/>
    <w:rsid w:val="0027037E"/>
    <w:rsid w:val="002703D5"/>
    <w:rsid w:val="0027047C"/>
    <w:rsid w:val="00270499"/>
    <w:rsid w:val="00270506"/>
    <w:rsid w:val="002705A3"/>
    <w:rsid w:val="002705BA"/>
    <w:rsid w:val="002705F1"/>
    <w:rsid w:val="002706E2"/>
    <w:rsid w:val="002706EA"/>
    <w:rsid w:val="00270716"/>
    <w:rsid w:val="00270749"/>
    <w:rsid w:val="002708A9"/>
    <w:rsid w:val="002708AB"/>
    <w:rsid w:val="0027099F"/>
    <w:rsid w:val="002709B1"/>
    <w:rsid w:val="002709E6"/>
    <w:rsid w:val="00270B49"/>
    <w:rsid w:val="00270BB7"/>
    <w:rsid w:val="00270BE3"/>
    <w:rsid w:val="00270C3D"/>
    <w:rsid w:val="00270C50"/>
    <w:rsid w:val="00270C65"/>
    <w:rsid w:val="00270C9C"/>
    <w:rsid w:val="00270CA6"/>
    <w:rsid w:val="00270CAD"/>
    <w:rsid w:val="00270CB5"/>
    <w:rsid w:val="00270D3B"/>
    <w:rsid w:val="00270D4E"/>
    <w:rsid w:val="00270E04"/>
    <w:rsid w:val="00270EEB"/>
    <w:rsid w:val="00270F03"/>
    <w:rsid w:val="00270F52"/>
    <w:rsid w:val="00270FDF"/>
    <w:rsid w:val="0027106E"/>
    <w:rsid w:val="002710B1"/>
    <w:rsid w:val="0027111A"/>
    <w:rsid w:val="002711AF"/>
    <w:rsid w:val="002711D6"/>
    <w:rsid w:val="002711FF"/>
    <w:rsid w:val="00271220"/>
    <w:rsid w:val="00271277"/>
    <w:rsid w:val="002712B1"/>
    <w:rsid w:val="002712D7"/>
    <w:rsid w:val="00271344"/>
    <w:rsid w:val="002714DD"/>
    <w:rsid w:val="00271507"/>
    <w:rsid w:val="00271510"/>
    <w:rsid w:val="00271568"/>
    <w:rsid w:val="0027156B"/>
    <w:rsid w:val="002715D2"/>
    <w:rsid w:val="002716C6"/>
    <w:rsid w:val="0027176D"/>
    <w:rsid w:val="002717B8"/>
    <w:rsid w:val="00271818"/>
    <w:rsid w:val="002718AF"/>
    <w:rsid w:val="002718C0"/>
    <w:rsid w:val="00271929"/>
    <w:rsid w:val="00271942"/>
    <w:rsid w:val="00271948"/>
    <w:rsid w:val="00271A04"/>
    <w:rsid w:val="00271A29"/>
    <w:rsid w:val="00271A43"/>
    <w:rsid w:val="00271B4B"/>
    <w:rsid w:val="00271B95"/>
    <w:rsid w:val="00271BB8"/>
    <w:rsid w:val="00271C6C"/>
    <w:rsid w:val="00271D1F"/>
    <w:rsid w:val="00271D91"/>
    <w:rsid w:val="00271F94"/>
    <w:rsid w:val="00271FB5"/>
    <w:rsid w:val="0027204D"/>
    <w:rsid w:val="0027205F"/>
    <w:rsid w:val="0027206D"/>
    <w:rsid w:val="002720C2"/>
    <w:rsid w:val="002720F3"/>
    <w:rsid w:val="00272104"/>
    <w:rsid w:val="0027218B"/>
    <w:rsid w:val="002721A9"/>
    <w:rsid w:val="0027220E"/>
    <w:rsid w:val="00272240"/>
    <w:rsid w:val="002722C7"/>
    <w:rsid w:val="0027232C"/>
    <w:rsid w:val="00272355"/>
    <w:rsid w:val="0027249F"/>
    <w:rsid w:val="0027256A"/>
    <w:rsid w:val="00272583"/>
    <w:rsid w:val="002725CB"/>
    <w:rsid w:val="002725D5"/>
    <w:rsid w:val="002725F0"/>
    <w:rsid w:val="002726B4"/>
    <w:rsid w:val="0027282B"/>
    <w:rsid w:val="002729AD"/>
    <w:rsid w:val="00272A3D"/>
    <w:rsid w:val="00272A7F"/>
    <w:rsid w:val="00272A9B"/>
    <w:rsid w:val="00272ADC"/>
    <w:rsid w:val="00272B65"/>
    <w:rsid w:val="00272C00"/>
    <w:rsid w:val="00272C11"/>
    <w:rsid w:val="00272C80"/>
    <w:rsid w:val="00272CB0"/>
    <w:rsid w:val="00272CFC"/>
    <w:rsid w:val="00272D6F"/>
    <w:rsid w:val="00272D74"/>
    <w:rsid w:val="00272D96"/>
    <w:rsid w:val="00272E4E"/>
    <w:rsid w:val="00272E94"/>
    <w:rsid w:val="00272F61"/>
    <w:rsid w:val="00272F7A"/>
    <w:rsid w:val="0027300D"/>
    <w:rsid w:val="0027308A"/>
    <w:rsid w:val="00273111"/>
    <w:rsid w:val="00273124"/>
    <w:rsid w:val="00273180"/>
    <w:rsid w:val="0027319C"/>
    <w:rsid w:val="002732CD"/>
    <w:rsid w:val="00273337"/>
    <w:rsid w:val="00273402"/>
    <w:rsid w:val="0027342E"/>
    <w:rsid w:val="002734C9"/>
    <w:rsid w:val="00273522"/>
    <w:rsid w:val="002735C1"/>
    <w:rsid w:val="002735EB"/>
    <w:rsid w:val="002735FA"/>
    <w:rsid w:val="0027364C"/>
    <w:rsid w:val="002736E8"/>
    <w:rsid w:val="002736FA"/>
    <w:rsid w:val="0027374D"/>
    <w:rsid w:val="0027376D"/>
    <w:rsid w:val="002737AF"/>
    <w:rsid w:val="00273802"/>
    <w:rsid w:val="00273808"/>
    <w:rsid w:val="0027380B"/>
    <w:rsid w:val="0027381E"/>
    <w:rsid w:val="00273822"/>
    <w:rsid w:val="002738BD"/>
    <w:rsid w:val="002738CF"/>
    <w:rsid w:val="002738DC"/>
    <w:rsid w:val="00273A8F"/>
    <w:rsid w:val="00273AF3"/>
    <w:rsid w:val="00273B81"/>
    <w:rsid w:val="00273BC3"/>
    <w:rsid w:val="00273C04"/>
    <w:rsid w:val="00273CAA"/>
    <w:rsid w:val="00273CE2"/>
    <w:rsid w:val="00273D30"/>
    <w:rsid w:val="00273D62"/>
    <w:rsid w:val="00273DE7"/>
    <w:rsid w:val="00273E0A"/>
    <w:rsid w:val="00273EFC"/>
    <w:rsid w:val="00273FDB"/>
    <w:rsid w:val="00274084"/>
    <w:rsid w:val="002740B1"/>
    <w:rsid w:val="002740C8"/>
    <w:rsid w:val="00274176"/>
    <w:rsid w:val="00274223"/>
    <w:rsid w:val="002742AA"/>
    <w:rsid w:val="002742BD"/>
    <w:rsid w:val="0027433F"/>
    <w:rsid w:val="00274357"/>
    <w:rsid w:val="002743AE"/>
    <w:rsid w:val="002743B0"/>
    <w:rsid w:val="002743DC"/>
    <w:rsid w:val="002743F2"/>
    <w:rsid w:val="00274447"/>
    <w:rsid w:val="002744A7"/>
    <w:rsid w:val="002744CC"/>
    <w:rsid w:val="00274618"/>
    <w:rsid w:val="00274644"/>
    <w:rsid w:val="00274686"/>
    <w:rsid w:val="00274737"/>
    <w:rsid w:val="00274743"/>
    <w:rsid w:val="00274939"/>
    <w:rsid w:val="0027494B"/>
    <w:rsid w:val="00274A77"/>
    <w:rsid w:val="00274A8D"/>
    <w:rsid w:val="00274B7D"/>
    <w:rsid w:val="00274BF5"/>
    <w:rsid w:val="00274D9A"/>
    <w:rsid w:val="00274DB7"/>
    <w:rsid w:val="00274E0E"/>
    <w:rsid w:val="00274E37"/>
    <w:rsid w:val="00274E46"/>
    <w:rsid w:val="00274E58"/>
    <w:rsid w:val="00274E96"/>
    <w:rsid w:val="00274EB8"/>
    <w:rsid w:val="00274EEF"/>
    <w:rsid w:val="0027503E"/>
    <w:rsid w:val="002750C4"/>
    <w:rsid w:val="002750E0"/>
    <w:rsid w:val="0027518A"/>
    <w:rsid w:val="00275197"/>
    <w:rsid w:val="002752C1"/>
    <w:rsid w:val="0027532C"/>
    <w:rsid w:val="00275465"/>
    <w:rsid w:val="002754C3"/>
    <w:rsid w:val="00275530"/>
    <w:rsid w:val="00275563"/>
    <w:rsid w:val="0027560A"/>
    <w:rsid w:val="0027560C"/>
    <w:rsid w:val="00275641"/>
    <w:rsid w:val="002756F5"/>
    <w:rsid w:val="00275730"/>
    <w:rsid w:val="0027579C"/>
    <w:rsid w:val="00275821"/>
    <w:rsid w:val="00275935"/>
    <w:rsid w:val="002759D4"/>
    <w:rsid w:val="00275A00"/>
    <w:rsid w:val="00275A3D"/>
    <w:rsid w:val="00275A52"/>
    <w:rsid w:val="00275A63"/>
    <w:rsid w:val="00275AE5"/>
    <w:rsid w:val="00275B1D"/>
    <w:rsid w:val="00275D01"/>
    <w:rsid w:val="00275DF1"/>
    <w:rsid w:val="00275DFB"/>
    <w:rsid w:val="00275E03"/>
    <w:rsid w:val="00275E71"/>
    <w:rsid w:val="00275EB2"/>
    <w:rsid w:val="00275FAC"/>
    <w:rsid w:val="00275FFB"/>
    <w:rsid w:val="0027603C"/>
    <w:rsid w:val="002760C2"/>
    <w:rsid w:val="00276159"/>
    <w:rsid w:val="0027615D"/>
    <w:rsid w:val="00276306"/>
    <w:rsid w:val="00276341"/>
    <w:rsid w:val="00276392"/>
    <w:rsid w:val="002763FF"/>
    <w:rsid w:val="00276406"/>
    <w:rsid w:val="00276437"/>
    <w:rsid w:val="00276448"/>
    <w:rsid w:val="00276472"/>
    <w:rsid w:val="00276498"/>
    <w:rsid w:val="002764ED"/>
    <w:rsid w:val="002765D3"/>
    <w:rsid w:val="002765E8"/>
    <w:rsid w:val="0027664E"/>
    <w:rsid w:val="00276652"/>
    <w:rsid w:val="00276673"/>
    <w:rsid w:val="002767DE"/>
    <w:rsid w:val="00276812"/>
    <w:rsid w:val="0027683D"/>
    <w:rsid w:val="0027686F"/>
    <w:rsid w:val="002768D3"/>
    <w:rsid w:val="002768D5"/>
    <w:rsid w:val="002769B7"/>
    <w:rsid w:val="002769D5"/>
    <w:rsid w:val="002769ED"/>
    <w:rsid w:val="002769F5"/>
    <w:rsid w:val="00276AA8"/>
    <w:rsid w:val="00276B48"/>
    <w:rsid w:val="00276BA6"/>
    <w:rsid w:val="00276C82"/>
    <w:rsid w:val="00276CB8"/>
    <w:rsid w:val="00276D18"/>
    <w:rsid w:val="00276D7F"/>
    <w:rsid w:val="00276DA3"/>
    <w:rsid w:val="00276E00"/>
    <w:rsid w:val="00276E49"/>
    <w:rsid w:val="00276E93"/>
    <w:rsid w:val="00276FCC"/>
    <w:rsid w:val="00276FFB"/>
    <w:rsid w:val="0027710B"/>
    <w:rsid w:val="00277156"/>
    <w:rsid w:val="002771A1"/>
    <w:rsid w:val="002771A2"/>
    <w:rsid w:val="002771BE"/>
    <w:rsid w:val="00277279"/>
    <w:rsid w:val="00277287"/>
    <w:rsid w:val="002772D1"/>
    <w:rsid w:val="002773DF"/>
    <w:rsid w:val="002773F8"/>
    <w:rsid w:val="0027748C"/>
    <w:rsid w:val="002774EE"/>
    <w:rsid w:val="00277512"/>
    <w:rsid w:val="00277607"/>
    <w:rsid w:val="0027764B"/>
    <w:rsid w:val="0027766F"/>
    <w:rsid w:val="0027771C"/>
    <w:rsid w:val="00277720"/>
    <w:rsid w:val="0027778E"/>
    <w:rsid w:val="002777CA"/>
    <w:rsid w:val="002778DB"/>
    <w:rsid w:val="002779F1"/>
    <w:rsid w:val="00277A2A"/>
    <w:rsid w:val="00277A51"/>
    <w:rsid w:val="00277C7F"/>
    <w:rsid w:val="00277CD9"/>
    <w:rsid w:val="00277DC2"/>
    <w:rsid w:val="00277E49"/>
    <w:rsid w:val="00277E57"/>
    <w:rsid w:val="00277E5A"/>
    <w:rsid w:val="00277F66"/>
    <w:rsid w:val="00277F7B"/>
    <w:rsid w:val="00277F86"/>
    <w:rsid w:val="00277F89"/>
    <w:rsid w:val="00277F94"/>
    <w:rsid w:val="00277FBC"/>
    <w:rsid w:val="00280070"/>
    <w:rsid w:val="002800B2"/>
    <w:rsid w:val="002800DD"/>
    <w:rsid w:val="00280100"/>
    <w:rsid w:val="00280125"/>
    <w:rsid w:val="00280133"/>
    <w:rsid w:val="0028019A"/>
    <w:rsid w:val="002801F8"/>
    <w:rsid w:val="00280334"/>
    <w:rsid w:val="002803A7"/>
    <w:rsid w:val="00280430"/>
    <w:rsid w:val="002804F4"/>
    <w:rsid w:val="002804F5"/>
    <w:rsid w:val="00280510"/>
    <w:rsid w:val="00280515"/>
    <w:rsid w:val="0028055E"/>
    <w:rsid w:val="00280575"/>
    <w:rsid w:val="002805F6"/>
    <w:rsid w:val="00280661"/>
    <w:rsid w:val="0028066F"/>
    <w:rsid w:val="00280683"/>
    <w:rsid w:val="002806C7"/>
    <w:rsid w:val="002806FF"/>
    <w:rsid w:val="00280790"/>
    <w:rsid w:val="002807FD"/>
    <w:rsid w:val="00280803"/>
    <w:rsid w:val="0028081B"/>
    <w:rsid w:val="00280847"/>
    <w:rsid w:val="002808AB"/>
    <w:rsid w:val="00280A05"/>
    <w:rsid w:val="00280A0A"/>
    <w:rsid w:val="00280B0A"/>
    <w:rsid w:val="00280B94"/>
    <w:rsid w:val="00280BAE"/>
    <w:rsid w:val="00280BE2"/>
    <w:rsid w:val="00280BE8"/>
    <w:rsid w:val="00280C19"/>
    <w:rsid w:val="00280CD1"/>
    <w:rsid w:val="00280D40"/>
    <w:rsid w:val="00280D45"/>
    <w:rsid w:val="00280DCC"/>
    <w:rsid w:val="00280DEA"/>
    <w:rsid w:val="00280DF3"/>
    <w:rsid w:val="00280E00"/>
    <w:rsid w:val="00280F88"/>
    <w:rsid w:val="00280F93"/>
    <w:rsid w:val="00280FB7"/>
    <w:rsid w:val="00280FF9"/>
    <w:rsid w:val="00281048"/>
    <w:rsid w:val="00281070"/>
    <w:rsid w:val="00281110"/>
    <w:rsid w:val="0028118E"/>
    <w:rsid w:val="002811F3"/>
    <w:rsid w:val="0028126C"/>
    <w:rsid w:val="00281289"/>
    <w:rsid w:val="0028128A"/>
    <w:rsid w:val="00281316"/>
    <w:rsid w:val="002813AB"/>
    <w:rsid w:val="002813C5"/>
    <w:rsid w:val="00281458"/>
    <w:rsid w:val="00281561"/>
    <w:rsid w:val="0028160D"/>
    <w:rsid w:val="00281664"/>
    <w:rsid w:val="00281723"/>
    <w:rsid w:val="0028177F"/>
    <w:rsid w:val="002817A1"/>
    <w:rsid w:val="002817A6"/>
    <w:rsid w:val="002817C5"/>
    <w:rsid w:val="002817C6"/>
    <w:rsid w:val="00281819"/>
    <w:rsid w:val="0028184F"/>
    <w:rsid w:val="002818C5"/>
    <w:rsid w:val="00281903"/>
    <w:rsid w:val="0028195A"/>
    <w:rsid w:val="00281985"/>
    <w:rsid w:val="00281A31"/>
    <w:rsid w:val="00281A63"/>
    <w:rsid w:val="00281AD8"/>
    <w:rsid w:val="00281B87"/>
    <w:rsid w:val="00281BB7"/>
    <w:rsid w:val="00281BE5"/>
    <w:rsid w:val="00281C07"/>
    <w:rsid w:val="00281CB0"/>
    <w:rsid w:val="00281CC5"/>
    <w:rsid w:val="00281CFF"/>
    <w:rsid w:val="00281D21"/>
    <w:rsid w:val="00281D42"/>
    <w:rsid w:val="00281D9D"/>
    <w:rsid w:val="00281DE4"/>
    <w:rsid w:val="00281DED"/>
    <w:rsid w:val="00281E66"/>
    <w:rsid w:val="00281FC1"/>
    <w:rsid w:val="00282003"/>
    <w:rsid w:val="00282161"/>
    <w:rsid w:val="00282184"/>
    <w:rsid w:val="002821A6"/>
    <w:rsid w:val="002821AF"/>
    <w:rsid w:val="002821B5"/>
    <w:rsid w:val="002821B9"/>
    <w:rsid w:val="002821E0"/>
    <w:rsid w:val="00282217"/>
    <w:rsid w:val="00282236"/>
    <w:rsid w:val="00282283"/>
    <w:rsid w:val="002822AD"/>
    <w:rsid w:val="002822BF"/>
    <w:rsid w:val="00282302"/>
    <w:rsid w:val="00282321"/>
    <w:rsid w:val="00282334"/>
    <w:rsid w:val="002824F8"/>
    <w:rsid w:val="002824FB"/>
    <w:rsid w:val="0028255F"/>
    <w:rsid w:val="00282634"/>
    <w:rsid w:val="002826B9"/>
    <w:rsid w:val="002826DB"/>
    <w:rsid w:val="002826E0"/>
    <w:rsid w:val="0028271B"/>
    <w:rsid w:val="0028272A"/>
    <w:rsid w:val="00282731"/>
    <w:rsid w:val="00282745"/>
    <w:rsid w:val="00282794"/>
    <w:rsid w:val="002827E7"/>
    <w:rsid w:val="002827F4"/>
    <w:rsid w:val="002828DE"/>
    <w:rsid w:val="00282A8B"/>
    <w:rsid w:val="00282AF9"/>
    <w:rsid w:val="00282B2C"/>
    <w:rsid w:val="00282BBB"/>
    <w:rsid w:val="00282BC1"/>
    <w:rsid w:val="00282BCD"/>
    <w:rsid w:val="00282BF2"/>
    <w:rsid w:val="00282CD3"/>
    <w:rsid w:val="00282CF4"/>
    <w:rsid w:val="00282D14"/>
    <w:rsid w:val="00282DEB"/>
    <w:rsid w:val="00282EEC"/>
    <w:rsid w:val="00282FA8"/>
    <w:rsid w:val="00282FBD"/>
    <w:rsid w:val="00283002"/>
    <w:rsid w:val="00283095"/>
    <w:rsid w:val="00283146"/>
    <w:rsid w:val="00283188"/>
    <w:rsid w:val="002831BB"/>
    <w:rsid w:val="00283206"/>
    <w:rsid w:val="00283242"/>
    <w:rsid w:val="00283383"/>
    <w:rsid w:val="0028338B"/>
    <w:rsid w:val="00283392"/>
    <w:rsid w:val="002833A0"/>
    <w:rsid w:val="002833D1"/>
    <w:rsid w:val="002833F9"/>
    <w:rsid w:val="00283453"/>
    <w:rsid w:val="00283535"/>
    <w:rsid w:val="002835E6"/>
    <w:rsid w:val="002835FF"/>
    <w:rsid w:val="00283621"/>
    <w:rsid w:val="0028378F"/>
    <w:rsid w:val="002837D4"/>
    <w:rsid w:val="00283A1C"/>
    <w:rsid w:val="00283A4E"/>
    <w:rsid w:val="00283B18"/>
    <w:rsid w:val="00283B2B"/>
    <w:rsid w:val="00283BC0"/>
    <w:rsid w:val="00283C19"/>
    <w:rsid w:val="00283C87"/>
    <w:rsid w:val="00283CCD"/>
    <w:rsid w:val="00283D0C"/>
    <w:rsid w:val="00283D0F"/>
    <w:rsid w:val="00283D36"/>
    <w:rsid w:val="00283DEE"/>
    <w:rsid w:val="00283E04"/>
    <w:rsid w:val="00283EFC"/>
    <w:rsid w:val="00283F12"/>
    <w:rsid w:val="00283F22"/>
    <w:rsid w:val="00283F6F"/>
    <w:rsid w:val="00283FB1"/>
    <w:rsid w:val="00283FB6"/>
    <w:rsid w:val="002840D7"/>
    <w:rsid w:val="002840DC"/>
    <w:rsid w:val="00284160"/>
    <w:rsid w:val="0028419B"/>
    <w:rsid w:val="002841E0"/>
    <w:rsid w:val="0028422C"/>
    <w:rsid w:val="00284430"/>
    <w:rsid w:val="00284448"/>
    <w:rsid w:val="002844B3"/>
    <w:rsid w:val="002844DA"/>
    <w:rsid w:val="00284507"/>
    <w:rsid w:val="00284539"/>
    <w:rsid w:val="0028455D"/>
    <w:rsid w:val="002845F3"/>
    <w:rsid w:val="00284625"/>
    <w:rsid w:val="002846BD"/>
    <w:rsid w:val="0028476E"/>
    <w:rsid w:val="0028481A"/>
    <w:rsid w:val="00284834"/>
    <w:rsid w:val="002848A1"/>
    <w:rsid w:val="002848B4"/>
    <w:rsid w:val="002849BB"/>
    <w:rsid w:val="00284A69"/>
    <w:rsid w:val="00284A7D"/>
    <w:rsid w:val="00284B80"/>
    <w:rsid w:val="00284B87"/>
    <w:rsid w:val="00284B8C"/>
    <w:rsid w:val="00284B8D"/>
    <w:rsid w:val="00284BF9"/>
    <w:rsid w:val="00284CF6"/>
    <w:rsid w:val="00284D21"/>
    <w:rsid w:val="00284D59"/>
    <w:rsid w:val="00284DF6"/>
    <w:rsid w:val="00284E0E"/>
    <w:rsid w:val="00284E10"/>
    <w:rsid w:val="00284ECF"/>
    <w:rsid w:val="00284EF5"/>
    <w:rsid w:val="00284F88"/>
    <w:rsid w:val="00285037"/>
    <w:rsid w:val="002850C9"/>
    <w:rsid w:val="002850E4"/>
    <w:rsid w:val="002850FE"/>
    <w:rsid w:val="00285118"/>
    <w:rsid w:val="00285130"/>
    <w:rsid w:val="00285232"/>
    <w:rsid w:val="00285272"/>
    <w:rsid w:val="00285403"/>
    <w:rsid w:val="0028547E"/>
    <w:rsid w:val="002854C1"/>
    <w:rsid w:val="0028559F"/>
    <w:rsid w:val="002855EE"/>
    <w:rsid w:val="0028565A"/>
    <w:rsid w:val="00285677"/>
    <w:rsid w:val="0028567F"/>
    <w:rsid w:val="002856BB"/>
    <w:rsid w:val="002857AF"/>
    <w:rsid w:val="002857B7"/>
    <w:rsid w:val="002857CE"/>
    <w:rsid w:val="0028580D"/>
    <w:rsid w:val="00285870"/>
    <w:rsid w:val="00285890"/>
    <w:rsid w:val="002858D5"/>
    <w:rsid w:val="0028590B"/>
    <w:rsid w:val="0028593F"/>
    <w:rsid w:val="00285973"/>
    <w:rsid w:val="00285A0C"/>
    <w:rsid w:val="00285A27"/>
    <w:rsid w:val="00285ADA"/>
    <w:rsid w:val="00285B27"/>
    <w:rsid w:val="00285BD3"/>
    <w:rsid w:val="00285C18"/>
    <w:rsid w:val="00285C6B"/>
    <w:rsid w:val="00285C9C"/>
    <w:rsid w:val="00285D58"/>
    <w:rsid w:val="00285E2A"/>
    <w:rsid w:val="00285E37"/>
    <w:rsid w:val="00285F22"/>
    <w:rsid w:val="00285F53"/>
    <w:rsid w:val="00285F96"/>
    <w:rsid w:val="00285FFD"/>
    <w:rsid w:val="0028614A"/>
    <w:rsid w:val="00286224"/>
    <w:rsid w:val="00286295"/>
    <w:rsid w:val="00286360"/>
    <w:rsid w:val="00286364"/>
    <w:rsid w:val="00286379"/>
    <w:rsid w:val="002863D8"/>
    <w:rsid w:val="002863F8"/>
    <w:rsid w:val="00286428"/>
    <w:rsid w:val="00286517"/>
    <w:rsid w:val="002865C6"/>
    <w:rsid w:val="0028663F"/>
    <w:rsid w:val="00286684"/>
    <w:rsid w:val="002866DE"/>
    <w:rsid w:val="0028675F"/>
    <w:rsid w:val="00286850"/>
    <w:rsid w:val="00286853"/>
    <w:rsid w:val="0028687F"/>
    <w:rsid w:val="002868EB"/>
    <w:rsid w:val="00286920"/>
    <w:rsid w:val="00286A19"/>
    <w:rsid w:val="00286A9D"/>
    <w:rsid w:val="00286AA8"/>
    <w:rsid w:val="00286B89"/>
    <w:rsid w:val="00286BBA"/>
    <w:rsid w:val="00286BD9"/>
    <w:rsid w:val="00286BE9"/>
    <w:rsid w:val="00286BF9"/>
    <w:rsid w:val="00286D26"/>
    <w:rsid w:val="00286DB5"/>
    <w:rsid w:val="00286DF5"/>
    <w:rsid w:val="00286E1F"/>
    <w:rsid w:val="00286E45"/>
    <w:rsid w:val="00286E8F"/>
    <w:rsid w:val="00286E9C"/>
    <w:rsid w:val="00286EA1"/>
    <w:rsid w:val="00286EDA"/>
    <w:rsid w:val="00286F45"/>
    <w:rsid w:val="00286FCA"/>
    <w:rsid w:val="00287047"/>
    <w:rsid w:val="00287089"/>
    <w:rsid w:val="0028708A"/>
    <w:rsid w:val="00287099"/>
    <w:rsid w:val="00287106"/>
    <w:rsid w:val="0028713C"/>
    <w:rsid w:val="0028716C"/>
    <w:rsid w:val="00287239"/>
    <w:rsid w:val="0028723F"/>
    <w:rsid w:val="00287256"/>
    <w:rsid w:val="0028726C"/>
    <w:rsid w:val="002872F5"/>
    <w:rsid w:val="002873CD"/>
    <w:rsid w:val="002873D0"/>
    <w:rsid w:val="002874D7"/>
    <w:rsid w:val="0028758A"/>
    <w:rsid w:val="002875E7"/>
    <w:rsid w:val="0028762F"/>
    <w:rsid w:val="0028766C"/>
    <w:rsid w:val="00287693"/>
    <w:rsid w:val="002876A4"/>
    <w:rsid w:val="002876F9"/>
    <w:rsid w:val="00287713"/>
    <w:rsid w:val="0028771E"/>
    <w:rsid w:val="00287742"/>
    <w:rsid w:val="00287764"/>
    <w:rsid w:val="0028798C"/>
    <w:rsid w:val="0028798E"/>
    <w:rsid w:val="00287A2A"/>
    <w:rsid w:val="00287A58"/>
    <w:rsid w:val="00287B0F"/>
    <w:rsid w:val="00287BBE"/>
    <w:rsid w:val="00287C28"/>
    <w:rsid w:val="00287C7A"/>
    <w:rsid w:val="00287CAB"/>
    <w:rsid w:val="00287DBA"/>
    <w:rsid w:val="00287DF2"/>
    <w:rsid w:val="00287E29"/>
    <w:rsid w:val="00287E54"/>
    <w:rsid w:val="00287F0B"/>
    <w:rsid w:val="00287FE8"/>
    <w:rsid w:val="00290035"/>
    <w:rsid w:val="002901CC"/>
    <w:rsid w:val="00290231"/>
    <w:rsid w:val="0029024C"/>
    <w:rsid w:val="00290309"/>
    <w:rsid w:val="00290371"/>
    <w:rsid w:val="00290373"/>
    <w:rsid w:val="0029039C"/>
    <w:rsid w:val="002903DA"/>
    <w:rsid w:val="00290421"/>
    <w:rsid w:val="00290462"/>
    <w:rsid w:val="0029048A"/>
    <w:rsid w:val="002906B2"/>
    <w:rsid w:val="002906D0"/>
    <w:rsid w:val="0029076B"/>
    <w:rsid w:val="00290773"/>
    <w:rsid w:val="00290787"/>
    <w:rsid w:val="002907EA"/>
    <w:rsid w:val="00290806"/>
    <w:rsid w:val="00290822"/>
    <w:rsid w:val="002908DC"/>
    <w:rsid w:val="002908FD"/>
    <w:rsid w:val="00290901"/>
    <w:rsid w:val="0029093F"/>
    <w:rsid w:val="00290973"/>
    <w:rsid w:val="00290A45"/>
    <w:rsid w:val="00290A68"/>
    <w:rsid w:val="00290A81"/>
    <w:rsid w:val="00290AC5"/>
    <w:rsid w:val="00290B31"/>
    <w:rsid w:val="00290CF4"/>
    <w:rsid w:val="00290D3C"/>
    <w:rsid w:val="00290D69"/>
    <w:rsid w:val="00290D73"/>
    <w:rsid w:val="00290D99"/>
    <w:rsid w:val="00290DC4"/>
    <w:rsid w:val="00290E1A"/>
    <w:rsid w:val="00290E21"/>
    <w:rsid w:val="00290EC8"/>
    <w:rsid w:val="00290ECD"/>
    <w:rsid w:val="00290EE6"/>
    <w:rsid w:val="00290F0F"/>
    <w:rsid w:val="00290F5F"/>
    <w:rsid w:val="00290FAF"/>
    <w:rsid w:val="00291036"/>
    <w:rsid w:val="0029106E"/>
    <w:rsid w:val="00291136"/>
    <w:rsid w:val="0029113F"/>
    <w:rsid w:val="00291159"/>
    <w:rsid w:val="0029115B"/>
    <w:rsid w:val="00291197"/>
    <w:rsid w:val="002913A4"/>
    <w:rsid w:val="00291400"/>
    <w:rsid w:val="00291483"/>
    <w:rsid w:val="002917D5"/>
    <w:rsid w:val="00291813"/>
    <w:rsid w:val="002918DC"/>
    <w:rsid w:val="00291915"/>
    <w:rsid w:val="00291921"/>
    <w:rsid w:val="00291957"/>
    <w:rsid w:val="0029199D"/>
    <w:rsid w:val="00291A7E"/>
    <w:rsid w:val="00291B2F"/>
    <w:rsid w:val="00291B3A"/>
    <w:rsid w:val="00291C0D"/>
    <w:rsid w:val="00291C6C"/>
    <w:rsid w:val="00291D2E"/>
    <w:rsid w:val="00291D72"/>
    <w:rsid w:val="00291D9C"/>
    <w:rsid w:val="00291ECD"/>
    <w:rsid w:val="00291FB9"/>
    <w:rsid w:val="00292097"/>
    <w:rsid w:val="00292102"/>
    <w:rsid w:val="00292119"/>
    <w:rsid w:val="00292215"/>
    <w:rsid w:val="00292290"/>
    <w:rsid w:val="002922F5"/>
    <w:rsid w:val="0029234D"/>
    <w:rsid w:val="0029238C"/>
    <w:rsid w:val="002923A7"/>
    <w:rsid w:val="0029251C"/>
    <w:rsid w:val="0029254E"/>
    <w:rsid w:val="0029266C"/>
    <w:rsid w:val="00292779"/>
    <w:rsid w:val="00292840"/>
    <w:rsid w:val="0029286C"/>
    <w:rsid w:val="0029297D"/>
    <w:rsid w:val="002929DC"/>
    <w:rsid w:val="002929F9"/>
    <w:rsid w:val="00292A80"/>
    <w:rsid w:val="00292ADD"/>
    <w:rsid w:val="00292B71"/>
    <w:rsid w:val="00292BA8"/>
    <w:rsid w:val="00292BCB"/>
    <w:rsid w:val="00292BE6"/>
    <w:rsid w:val="00292C18"/>
    <w:rsid w:val="00292C43"/>
    <w:rsid w:val="00292C50"/>
    <w:rsid w:val="00292C56"/>
    <w:rsid w:val="00292C5B"/>
    <w:rsid w:val="00292CAA"/>
    <w:rsid w:val="00292D26"/>
    <w:rsid w:val="00292D8A"/>
    <w:rsid w:val="00292DEE"/>
    <w:rsid w:val="00292E3D"/>
    <w:rsid w:val="00292E78"/>
    <w:rsid w:val="00292EE6"/>
    <w:rsid w:val="00292F37"/>
    <w:rsid w:val="00292FEA"/>
    <w:rsid w:val="002930A7"/>
    <w:rsid w:val="002930B8"/>
    <w:rsid w:val="0029315E"/>
    <w:rsid w:val="0029317A"/>
    <w:rsid w:val="002933B5"/>
    <w:rsid w:val="00293437"/>
    <w:rsid w:val="002934E2"/>
    <w:rsid w:val="002935EC"/>
    <w:rsid w:val="002935F1"/>
    <w:rsid w:val="002936F3"/>
    <w:rsid w:val="002937C5"/>
    <w:rsid w:val="002938EB"/>
    <w:rsid w:val="00293936"/>
    <w:rsid w:val="00293971"/>
    <w:rsid w:val="00293ABB"/>
    <w:rsid w:val="00293ABE"/>
    <w:rsid w:val="00293AC6"/>
    <w:rsid w:val="00293B4B"/>
    <w:rsid w:val="00293BCB"/>
    <w:rsid w:val="00293D16"/>
    <w:rsid w:val="00293D3D"/>
    <w:rsid w:val="00293D48"/>
    <w:rsid w:val="00293D85"/>
    <w:rsid w:val="00293D88"/>
    <w:rsid w:val="00293DBB"/>
    <w:rsid w:val="00293E42"/>
    <w:rsid w:val="00293E67"/>
    <w:rsid w:val="00293F3E"/>
    <w:rsid w:val="00293F6A"/>
    <w:rsid w:val="00293F6B"/>
    <w:rsid w:val="00293F98"/>
    <w:rsid w:val="00293FBB"/>
    <w:rsid w:val="00293FF2"/>
    <w:rsid w:val="00294055"/>
    <w:rsid w:val="0029405C"/>
    <w:rsid w:val="00294152"/>
    <w:rsid w:val="0029417C"/>
    <w:rsid w:val="00294181"/>
    <w:rsid w:val="002941B5"/>
    <w:rsid w:val="00294256"/>
    <w:rsid w:val="00294277"/>
    <w:rsid w:val="0029429B"/>
    <w:rsid w:val="0029431E"/>
    <w:rsid w:val="00294327"/>
    <w:rsid w:val="002943B7"/>
    <w:rsid w:val="002943BC"/>
    <w:rsid w:val="00294402"/>
    <w:rsid w:val="00294445"/>
    <w:rsid w:val="0029446D"/>
    <w:rsid w:val="00294488"/>
    <w:rsid w:val="0029448B"/>
    <w:rsid w:val="0029449C"/>
    <w:rsid w:val="002944B2"/>
    <w:rsid w:val="002944C3"/>
    <w:rsid w:val="002944E3"/>
    <w:rsid w:val="0029453A"/>
    <w:rsid w:val="002945B1"/>
    <w:rsid w:val="002945B3"/>
    <w:rsid w:val="002945C6"/>
    <w:rsid w:val="00294778"/>
    <w:rsid w:val="002947D7"/>
    <w:rsid w:val="00294884"/>
    <w:rsid w:val="002948DF"/>
    <w:rsid w:val="00294965"/>
    <w:rsid w:val="00294970"/>
    <w:rsid w:val="00294972"/>
    <w:rsid w:val="002949AA"/>
    <w:rsid w:val="00294A35"/>
    <w:rsid w:val="00294A65"/>
    <w:rsid w:val="00294B34"/>
    <w:rsid w:val="00294C04"/>
    <w:rsid w:val="00294C35"/>
    <w:rsid w:val="00294CCA"/>
    <w:rsid w:val="00294D58"/>
    <w:rsid w:val="00294D93"/>
    <w:rsid w:val="00294DC9"/>
    <w:rsid w:val="00294DE1"/>
    <w:rsid w:val="00294E04"/>
    <w:rsid w:val="00294E46"/>
    <w:rsid w:val="00294ED3"/>
    <w:rsid w:val="00294F20"/>
    <w:rsid w:val="00294F6C"/>
    <w:rsid w:val="00294FA3"/>
    <w:rsid w:val="00294FD2"/>
    <w:rsid w:val="00295004"/>
    <w:rsid w:val="002950D7"/>
    <w:rsid w:val="00295171"/>
    <w:rsid w:val="002952B4"/>
    <w:rsid w:val="0029538A"/>
    <w:rsid w:val="0029541E"/>
    <w:rsid w:val="00295436"/>
    <w:rsid w:val="00295454"/>
    <w:rsid w:val="00295456"/>
    <w:rsid w:val="0029552A"/>
    <w:rsid w:val="00295555"/>
    <w:rsid w:val="00295557"/>
    <w:rsid w:val="00295590"/>
    <w:rsid w:val="0029564F"/>
    <w:rsid w:val="0029568B"/>
    <w:rsid w:val="00295713"/>
    <w:rsid w:val="0029574C"/>
    <w:rsid w:val="00295819"/>
    <w:rsid w:val="0029584B"/>
    <w:rsid w:val="002958B8"/>
    <w:rsid w:val="002958F7"/>
    <w:rsid w:val="00295954"/>
    <w:rsid w:val="002959C3"/>
    <w:rsid w:val="002959E0"/>
    <w:rsid w:val="00295B0A"/>
    <w:rsid w:val="00295B3A"/>
    <w:rsid w:val="00295B4C"/>
    <w:rsid w:val="00295B5F"/>
    <w:rsid w:val="00295B63"/>
    <w:rsid w:val="00295BAF"/>
    <w:rsid w:val="00295BC5"/>
    <w:rsid w:val="00295C26"/>
    <w:rsid w:val="00295C84"/>
    <w:rsid w:val="00295CF9"/>
    <w:rsid w:val="00295D77"/>
    <w:rsid w:val="00295DFD"/>
    <w:rsid w:val="00295E1E"/>
    <w:rsid w:val="00295E1F"/>
    <w:rsid w:val="00295E31"/>
    <w:rsid w:val="00295EF3"/>
    <w:rsid w:val="00295F64"/>
    <w:rsid w:val="00295F7A"/>
    <w:rsid w:val="00295F86"/>
    <w:rsid w:val="00296027"/>
    <w:rsid w:val="0029604E"/>
    <w:rsid w:val="00296052"/>
    <w:rsid w:val="00296122"/>
    <w:rsid w:val="00296295"/>
    <w:rsid w:val="002962D9"/>
    <w:rsid w:val="00296311"/>
    <w:rsid w:val="002963D0"/>
    <w:rsid w:val="0029641B"/>
    <w:rsid w:val="00296473"/>
    <w:rsid w:val="0029648B"/>
    <w:rsid w:val="0029653E"/>
    <w:rsid w:val="00296558"/>
    <w:rsid w:val="002966CE"/>
    <w:rsid w:val="002969C5"/>
    <w:rsid w:val="002969E1"/>
    <w:rsid w:val="00296AE2"/>
    <w:rsid w:val="00296B2C"/>
    <w:rsid w:val="00296B51"/>
    <w:rsid w:val="00296B6D"/>
    <w:rsid w:val="00296BBB"/>
    <w:rsid w:val="00296C64"/>
    <w:rsid w:val="00296C66"/>
    <w:rsid w:val="00296C72"/>
    <w:rsid w:val="00296C76"/>
    <w:rsid w:val="00296C89"/>
    <w:rsid w:val="00296CB8"/>
    <w:rsid w:val="00296D39"/>
    <w:rsid w:val="00296D58"/>
    <w:rsid w:val="00296D5F"/>
    <w:rsid w:val="00296D7D"/>
    <w:rsid w:val="00296D97"/>
    <w:rsid w:val="00296E0A"/>
    <w:rsid w:val="00296E4C"/>
    <w:rsid w:val="00296F3D"/>
    <w:rsid w:val="00296F57"/>
    <w:rsid w:val="00296F66"/>
    <w:rsid w:val="00296FD3"/>
    <w:rsid w:val="00297163"/>
    <w:rsid w:val="00297199"/>
    <w:rsid w:val="002971D5"/>
    <w:rsid w:val="0029727A"/>
    <w:rsid w:val="002972A5"/>
    <w:rsid w:val="002973DC"/>
    <w:rsid w:val="00297422"/>
    <w:rsid w:val="00297517"/>
    <w:rsid w:val="002976DD"/>
    <w:rsid w:val="00297727"/>
    <w:rsid w:val="00297738"/>
    <w:rsid w:val="00297790"/>
    <w:rsid w:val="00297847"/>
    <w:rsid w:val="00297944"/>
    <w:rsid w:val="00297A21"/>
    <w:rsid w:val="00297B80"/>
    <w:rsid w:val="00297CB4"/>
    <w:rsid w:val="00297D62"/>
    <w:rsid w:val="00297D86"/>
    <w:rsid w:val="00297E50"/>
    <w:rsid w:val="00297E58"/>
    <w:rsid w:val="00297EB9"/>
    <w:rsid w:val="00297EBD"/>
    <w:rsid w:val="00297EEB"/>
    <w:rsid w:val="00297FF3"/>
    <w:rsid w:val="002A0021"/>
    <w:rsid w:val="002A0024"/>
    <w:rsid w:val="002A0048"/>
    <w:rsid w:val="002A0065"/>
    <w:rsid w:val="002A00BC"/>
    <w:rsid w:val="002A00E0"/>
    <w:rsid w:val="002A010C"/>
    <w:rsid w:val="002A0136"/>
    <w:rsid w:val="002A0138"/>
    <w:rsid w:val="002A016C"/>
    <w:rsid w:val="002A01B4"/>
    <w:rsid w:val="002A026E"/>
    <w:rsid w:val="002A0281"/>
    <w:rsid w:val="002A0398"/>
    <w:rsid w:val="002A03A3"/>
    <w:rsid w:val="002A03ED"/>
    <w:rsid w:val="002A04A4"/>
    <w:rsid w:val="002A04B8"/>
    <w:rsid w:val="002A0506"/>
    <w:rsid w:val="002A0532"/>
    <w:rsid w:val="002A059D"/>
    <w:rsid w:val="002A05AB"/>
    <w:rsid w:val="002A05AF"/>
    <w:rsid w:val="002A060C"/>
    <w:rsid w:val="002A068E"/>
    <w:rsid w:val="002A0756"/>
    <w:rsid w:val="002A0757"/>
    <w:rsid w:val="002A0764"/>
    <w:rsid w:val="002A0765"/>
    <w:rsid w:val="002A0782"/>
    <w:rsid w:val="002A07C5"/>
    <w:rsid w:val="002A0858"/>
    <w:rsid w:val="002A0859"/>
    <w:rsid w:val="002A086E"/>
    <w:rsid w:val="002A089F"/>
    <w:rsid w:val="002A08A0"/>
    <w:rsid w:val="002A08A6"/>
    <w:rsid w:val="002A08B7"/>
    <w:rsid w:val="002A097A"/>
    <w:rsid w:val="002A0AA4"/>
    <w:rsid w:val="002A0ACA"/>
    <w:rsid w:val="002A0AEB"/>
    <w:rsid w:val="002A0BAC"/>
    <w:rsid w:val="002A0BBF"/>
    <w:rsid w:val="002A0BD5"/>
    <w:rsid w:val="002A0C18"/>
    <w:rsid w:val="002A0C7B"/>
    <w:rsid w:val="002A0D1C"/>
    <w:rsid w:val="002A0D35"/>
    <w:rsid w:val="002A0D40"/>
    <w:rsid w:val="002A0D99"/>
    <w:rsid w:val="002A0E1B"/>
    <w:rsid w:val="002A0E5F"/>
    <w:rsid w:val="002A0E61"/>
    <w:rsid w:val="002A0EF1"/>
    <w:rsid w:val="002A0EFC"/>
    <w:rsid w:val="002A0F13"/>
    <w:rsid w:val="002A0F99"/>
    <w:rsid w:val="002A101B"/>
    <w:rsid w:val="002A102B"/>
    <w:rsid w:val="002A109D"/>
    <w:rsid w:val="002A109E"/>
    <w:rsid w:val="002A1125"/>
    <w:rsid w:val="002A1152"/>
    <w:rsid w:val="002A1240"/>
    <w:rsid w:val="002A12AC"/>
    <w:rsid w:val="002A12C2"/>
    <w:rsid w:val="002A13E2"/>
    <w:rsid w:val="002A1425"/>
    <w:rsid w:val="002A143D"/>
    <w:rsid w:val="002A147F"/>
    <w:rsid w:val="002A14B4"/>
    <w:rsid w:val="002A14E3"/>
    <w:rsid w:val="002A1517"/>
    <w:rsid w:val="002A1599"/>
    <w:rsid w:val="002A15E4"/>
    <w:rsid w:val="002A1618"/>
    <w:rsid w:val="002A1634"/>
    <w:rsid w:val="002A169E"/>
    <w:rsid w:val="002A1726"/>
    <w:rsid w:val="002A17C1"/>
    <w:rsid w:val="002A17DF"/>
    <w:rsid w:val="002A1852"/>
    <w:rsid w:val="002A1855"/>
    <w:rsid w:val="002A19E0"/>
    <w:rsid w:val="002A1A24"/>
    <w:rsid w:val="002A1A28"/>
    <w:rsid w:val="002A1A29"/>
    <w:rsid w:val="002A1AC0"/>
    <w:rsid w:val="002A1BA2"/>
    <w:rsid w:val="002A1C3F"/>
    <w:rsid w:val="002A1CA7"/>
    <w:rsid w:val="002A1D34"/>
    <w:rsid w:val="002A1E86"/>
    <w:rsid w:val="002A1EAE"/>
    <w:rsid w:val="002A1EE0"/>
    <w:rsid w:val="002A1EE8"/>
    <w:rsid w:val="002A1F97"/>
    <w:rsid w:val="002A1FA2"/>
    <w:rsid w:val="002A1FDB"/>
    <w:rsid w:val="002A2086"/>
    <w:rsid w:val="002A2094"/>
    <w:rsid w:val="002A20FC"/>
    <w:rsid w:val="002A2179"/>
    <w:rsid w:val="002A21A0"/>
    <w:rsid w:val="002A21ED"/>
    <w:rsid w:val="002A2230"/>
    <w:rsid w:val="002A2264"/>
    <w:rsid w:val="002A227E"/>
    <w:rsid w:val="002A22A0"/>
    <w:rsid w:val="002A2384"/>
    <w:rsid w:val="002A2401"/>
    <w:rsid w:val="002A2403"/>
    <w:rsid w:val="002A2470"/>
    <w:rsid w:val="002A24C5"/>
    <w:rsid w:val="002A2523"/>
    <w:rsid w:val="002A25AE"/>
    <w:rsid w:val="002A25C3"/>
    <w:rsid w:val="002A26B9"/>
    <w:rsid w:val="002A270A"/>
    <w:rsid w:val="002A276C"/>
    <w:rsid w:val="002A28BC"/>
    <w:rsid w:val="002A28BD"/>
    <w:rsid w:val="002A2997"/>
    <w:rsid w:val="002A29B8"/>
    <w:rsid w:val="002A29EC"/>
    <w:rsid w:val="002A2A5D"/>
    <w:rsid w:val="002A2AFB"/>
    <w:rsid w:val="002A2AFF"/>
    <w:rsid w:val="002A2B06"/>
    <w:rsid w:val="002A2B18"/>
    <w:rsid w:val="002A2B22"/>
    <w:rsid w:val="002A2B83"/>
    <w:rsid w:val="002A2C68"/>
    <w:rsid w:val="002A2C8B"/>
    <w:rsid w:val="002A2D0B"/>
    <w:rsid w:val="002A2E39"/>
    <w:rsid w:val="002A2F00"/>
    <w:rsid w:val="002A2F77"/>
    <w:rsid w:val="002A2F87"/>
    <w:rsid w:val="002A2FC5"/>
    <w:rsid w:val="002A3190"/>
    <w:rsid w:val="002A31A7"/>
    <w:rsid w:val="002A31A9"/>
    <w:rsid w:val="002A31EF"/>
    <w:rsid w:val="002A32CB"/>
    <w:rsid w:val="002A3302"/>
    <w:rsid w:val="002A33DC"/>
    <w:rsid w:val="002A33DE"/>
    <w:rsid w:val="002A33EC"/>
    <w:rsid w:val="002A3413"/>
    <w:rsid w:val="002A3416"/>
    <w:rsid w:val="002A3471"/>
    <w:rsid w:val="002A347B"/>
    <w:rsid w:val="002A34A5"/>
    <w:rsid w:val="002A34DC"/>
    <w:rsid w:val="002A3562"/>
    <w:rsid w:val="002A3628"/>
    <w:rsid w:val="002A36BE"/>
    <w:rsid w:val="002A36D9"/>
    <w:rsid w:val="002A3712"/>
    <w:rsid w:val="002A376B"/>
    <w:rsid w:val="002A37A0"/>
    <w:rsid w:val="002A37D2"/>
    <w:rsid w:val="002A382B"/>
    <w:rsid w:val="002A387B"/>
    <w:rsid w:val="002A39B6"/>
    <w:rsid w:val="002A39C1"/>
    <w:rsid w:val="002A39CA"/>
    <w:rsid w:val="002A39D9"/>
    <w:rsid w:val="002A3ADC"/>
    <w:rsid w:val="002A3BB2"/>
    <w:rsid w:val="002A3BBC"/>
    <w:rsid w:val="002A3BFC"/>
    <w:rsid w:val="002A3C0B"/>
    <w:rsid w:val="002A3C5A"/>
    <w:rsid w:val="002A3C6D"/>
    <w:rsid w:val="002A3C7B"/>
    <w:rsid w:val="002A3CB6"/>
    <w:rsid w:val="002A3CBA"/>
    <w:rsid w:val="002A3DF0"/>
    <w:rsid w:val="002A3E0F"/>
    <w:rsid w:val="002A3E25"/>
    <w:rsid w:val="002A3E3F"/>
    <w:rsid w:val="002A3EB1"/>
    <w:rsid w:val="002A404D"/>
    <w:rsid w:val="002A4081"/>
    <w:rsid w:val="002A410D"/>
    <w:rsid w:val="002A4110"/>
    <w:rsid w:val="002A416D"/>
    <w:rsid w:val="002A4177"/>
    <w:rsid w:val="002A41A1"/>
    <w:rsid w:val="002A41CC"/>
    <w:rsid w:val="002A41F3"/>
    <w:rsid w:val="002A4209"/>
    <w:rsid w:val="002A4211"/>
    <w:rsid w:val="002A4287"/>
    <w:rsid w:val="002A4293"/>
    <w:rsid w:val="002A42D1"/>
    <w:rsid w:val="002A4307"/>
    <w:rsid w:val="002A4363"/>
    <w:rsid w:val="002A4417"/>
    <w:rsid w:val="002A4440"/>
    <w:rsid w:val="002A4464"/>
    <w:rsid w:val="002A454E"/>
    <w:rsid w:val="002A456B"/>
    <w:rsid w:val="002A468E"/>
    <w:rsid w:val="002A46D3"/>
    <w:rsid w:val="002A47AE"/>
    <w:rsid w:val="002A47DB"/>
    <w:rsid w:val="002A488E"/>
    <w:rsid w:val="002A4941"/>
    <w:rsid w:val="002A4969"/>
    <w:rsid w:val="002A4A4E"/>
    <w:rsid w:val="002A4A59"/>
    <w:rsid w:val="002A4A64"/>
    <w:rsid w:val="002A4A73"/>
    <w:rsid w:val="002A4AF0"/>
    <w:rsid w:val="002A4C1B"/>
    <w:rsid w:val="002A4C59"/>
    <w:rsid w:val="002A4CD3"/>
    <w:rsid w:val="002A4D45"/>
    <w:rsid w:val="002A4D6A"/>
    <w:rsid w:val="002A4D85"/>
    <w:rsid w:val="002A4D8E"/>
    <w:rsid w:val="002A4DB3"/>
    <w:rsid w:val="002A4DCA"/>
    <w:rsid w:val="002A4E1B"/>
    <w:rsid w:val="002A4E4D"/>
    <w:rsid w:val="002A4E7E"/>
    <w:rsid w:val="002A4E9F"/>
    <w:rsid w:val="002A4EE3"/>
    <w:rsid w:val="002A4F1F"/>
    <w:rsid w:val="002A4F46"/>
    <w:rsid w:val="002A4FDA"/>
    <w:rsid w:val="002A5015"/>
    <w:rsid w:val="002A5070"/>
    <w:rsid w:val="002A5076"/>
    <w:rsid w:val="002A50B7"/>
    <w:rsid w:val="002A515C"/>
    <w:rsid w:val="002A517E"/>
    <w:rsid w:val="002A51F1"/>
    <w:rsid w:val="002A5251"/>
    <w:rsid w:val="002A52FC"/>
    <w:rsid w:val="002A5367"/>
    <w:rsid w:val="002A5370"/>
    <w:rsid w:val="002A5415"/>
    <w:rsid w:val="002A5427"/>
    <w:rsid w:val="002A547C"/>
    <w:rsid w:val="002A55E7"/>
    <w:rsid w:val="002A5628"/>
    <w:rsid w:val="002A5717"/>
    <w:rsid w:val="002A573C"/>
    <w:rsid w:val="002A5854"/>
    <w:rsid w:val="002A5978"/>
    <w:rsid w:val="002A5AEF"/>
    <w:rsid w:val="002A5AF3"/>
    <w:rsid w:val="002A5B0C"/>
    <w:rsid w:val="002A5B4C"/>
    <w:rsid w:val="002A5B6A"/>
    <w:rsid w:val="002A5B8D"/>
    <w:rsid w:val="002A5B8E"/>
    <w:rsid w:val="002A5BB5"/>
    <w:rsid w:val="002A5BDB"/>
    <w:rsid w:val="002A5BE9"/>
    <w:rsid w:val="002A5C1C"/>
    <w:rsid w:val="002A5D31"/>
    <w:rsid w:val="002A5D37"/>
    <w:rsid w:val="002A5D81"/>
    <w:rsid w:val="002A5EAC"/>
    <w:rsid w:val="002A5EB5"/>
    <w:rsid w:val="002A5F3F"/>
    <w:rsid w:val="002A5F42"/>
    <w:rsid w:val="002A5F8F"/>
    <w:rsid w:val="002A604F"/>
    <w:rsid w:val="002A6056"/>
    <w:rsid w:val="002A60F4"/>
    <w:rsid w:val="002A6233"/>
    <w:rsid w:val="002A6273"/>
    <w:rsid w:val="002A628D"/>
    <w:rsid w:val="002A6318"/>
    <w:rsid w:val="002A63D5"/>
    <w:rsid w:val="002A651E"/>
    <w:rsid w:val="002A652D"/>
    <w:rsid w:val="002A6536"/>
    <w:rsid w:val="002A6542"/>
    <w:rsid w:val="002A65BD"/>
    <w:rsid w:val="002A6602"/>
    <w:rsid w:val="002A6632"/>
    <w:rsid w:val="002A672C"/>
    <w:rsid w:val="002A6824"/>
    <w:rsid w:val="002A68C7"/>
    <w:rsid w:val="002A6996"/>
    <w:rsid w:val="002A69B4"/>
    <w:rsid w:val="002A6A0F"/>
    <w:rsid w:val="002A6A97"/>
    <w:rsid w:val="002A6AAB"/>
    <w:rsid w:val="002A6AC5"/>
    <w:rsid w:val="002A6AFA"/>
    <w:rsid w:val="002A6B01"/>
    <w:rsid w:val="002A6BB7"/>
    <w:rsid w:val="002A6BD3"/>
    <w:rsid w:val="002A6C78"/>
    <w:rsid w:val="002A6C92"/>
    <w:rsid w:val="002A6CA2"/>
    <w:rsid w:val="002A6CBB"/>
    <w:rsid w:val="002A6CF3"/>
    <w:rsid w:val="002A6DB8"/>
    <w:rsid w:val="002A6E22"/>
    <w:rsid w:val="002A6F66"/>
    <w:rsid w:val="002A6F70"/>
    <w:rsid w:val="002A6FA1"/>
    <w:rsid w:val="002A6FFB"/>
    <w:rsid w:val="002A700D"/>
    <w:rsid w:val="002A7085"/>
    <w:rsid w:val="002A70E9"/>
    <w:rsid w:val="002A7120"/>
    <w:rsid w:val="002A717E"/>
    <w:rsid w:val="002A7251"/>
    <w:rsid w:val="002A7268"/>
    <w:rsid w:val="002A72B0"/>
    <w:rsid w:val="002A730C"/>
    <w:rsid w:val="002A7314"/>
    <w:rsid w:val="002A7360"/>
    <w:rsid w:val="002A7369"/>
    <w:rsid w:val="002A73BA"/>
    <w:rsid w:val="002A73D2"/>
    <w:rsid w:val="002A75C8"/>
    <w:rsid w:val="002A7607"/>
    <w:rsid w:val="002A764B"/>
    <w:rsid w:val="002A76BA"/>
    <w:rsid w:val="002A7742"/>
    <w:rsid w:val="002A779E"/>
    <w:rsid w:val="002A77EE"/>
    <w:rsid w:val="002A790F"/>
    <w:rsid w:val="002A796B"/>
    <w:rsid w:val="002A7986"/>
    <w:rsid w:val="002A7994"/>
    <w:rsid w:val="002A7A7F"/>
    <w:rsid w:val="002A7A8E"/>
    <w:rsid w:val="002A7B20"/>
    <w:rsid w:val="002A7B31"/>
    <w:rsid w:val="002A7BDA"/>
    <w:rsid w:val="002A7CD1"/>
    <w:rsid w:val="002A7CD7"/>
    <w:rsid w:val="002A7DDF"/>
    <w:rsid w:val="002A7E05"/>
    <w:rsid w:val="002A7E4F"/>
    <w:rsid w:val="002A7E90"/>
    <w:rsid w:val="002A7EFB"/>
    <w:rsid w:val="002B0156"/>
    <w:rsid w:val="002B01E1"/>
    <w:rsid w:val="002B0225"/>
    <w:rsid w:val="002B02A5"/>
    <w:rsid w:val="002B02D1"/>
    <w:rsid w:val="002B0321"/>
    <w:rsid w:val="002B0399"/>
    <w:rsid w:val="002B03EB"/>
    <w:rsid w:val="002B0415"/>
    <w:rsid w:val="002B04B1"/>
    <w:rsid w:val="002B04E0"/>
    <w:rsid w:val="002B064E"/>
    <w:rsid w:val="002B06D5"/>
    <w:rsid w:val="002B070D"/>
    <w:rsid w:val="002B08E0"/>
    <w:rsid w:val="002B0A45"/>
    <w:rsid w:val="002B0A73"/>
    <w:rsid w:val="002B0AAA"/>
    <w:rsid w:val="002B0B8A"/>
    <w:rsid w:val="002B0BAF"/>
    <w:rsid w:val="002B0BCD"/>
    <w:rsid w:val="002B0C8D"/>
    <w:rsid w:val="002B0CE6"/>
    <w:rsid w:val="002B0D0F"/>
    <w:rsid w:val="002B0D2C"/>
    <w:rsid w:val="002B0D7F"/>
    <w:rsid w:val="002B0DB9"/>
    <w:rsid w:val="002B0DC8"/>
    <w:rsid w:val="002B0EF9"/>
    <w:rsid w:val="002B0FE4"/>
    <w:rsid w:val="002B105F"/>
    <w:rsid w:val="002B1085"/>
    <w:rsid w:val="002B10D6"/>
    <w:rsid w:val="002B10D8"/>
    <w:rsid w:val="002B1201"/>
    <w:rsid w:val="002B1228"/>
    <w:rsid w:val="002B1262"/>
    <w:rsid w:val="002B132E"/>
    <w:rsid w:val="002B1374"/>
    <w:rsid w:val="002B1428"/>
    <w:rsid w:val="002B147E"/>
    <w:rsid w:val="002B14C7"/>
    <w:rsid w:val="002B14ED"/>
    <w:rsid w:val="002B1533"/>
    <w:rsid w:val="002B1617"/>
    <w:rsid w:val="002B1667"/>
    <w:rsid w:val="002B16EA"/>
    <w:rsid w:val="002B1705"/>
    <w:rsid w:val="002B1724"/>
    <w:rsid w:val="002B173C"/>
    <w:rsid w:val="002B1759"/>
    <w:rsid w:val="002B1766"/>
    <w:rsid w:val="002B18A4"/>
    <w:rsid w:val="002B18AF"/>
    <w:rsid w:val="002B19B7"/>
    <w:rsid w:val="002B1A28"/>
    <w:rsid w:val="002B1A5E"/>
    <w:rsid w:val="002B1A6C"/>
    <w:rsid w:val="002B1AA7"/>
    <w:rsid w:val="002B1B6D"/>
    <w:rsid w:val="002B1BA5"/>
    <w:rsid w:val="002B1BD5"/>
    <w:rsid w:val="002B1C0E"/>
    <w:rsid w:val="002B1C36"/>
    <w:rsid w:val="002B1C89"/>
    <w:rsid w:val="002B1D7C"/>
    <w:rsid w:val="002B1E05"/>
    <w:rsid w:val="002B1E85"/>
    <w:rsid w:val="002B1EFA"/>
    <w:rsid w:val="002B1F90"/>
    <w:rsid w:val="002B1FC7"/>
    <w:rsid w:val="002B202D"/>
    <w:rsid w:val="002B2048"/>
    <w:rsid w:val="002B2083"/>
    <w:rsid w:val="002B20C3"/>
    <w:rsid w:val="002B214E"/>
    <w:rsid w:val="002B2153"/>
    <w:rsid w:val="002B218C"/>
    <w:rsid w:val="002B220B"/>
    <w:rsid w:val="002B2256"/>
    <w:rsid w:val="002B228F"/>
    <w:rsid w:val="002B22BC"/>
    <w:rsid w:val="002B22C9"/>
    <w:rsid w:val="002B22E9"/>
    <w:rsid w:val="002B22F1"/>
    <w:rsid w:val="002B2347"/>
    <w:rsid w:val="002B23C4"/>
    <w:rsid w:val="002B23E5"/>
    <w:rsid w:val="002B243D"/>
    <w:rsid w:val="002B2484"/>
    <w:rsid w:val="002B250D"/>
    <w:rsid w:val="002B2557"/>
    <w:rsid w:val="002B2580"/>
    <w:rsid w:val="002B2626"/>
    <w:rsid w:val="002B26CB"/>
    <w:rsid w:val="002B2720"/>
    <w:rsid w:val="002B27B1"/>
    <w:rsid w:val="002B27C3"/>
    <w:rsid w:val="002B27FE"/>
    <w:rsid w:val="002B2839"/>
    <w:rsid w:val="002B283F"/>
    <w:rsid w:val="002B28BE"/>
    <w:rsid w:val="002B2A00"/>
    <w:rsid w:val="002B2A8B"/>
    <w:rsid w:val="002B2B15"/>
    <w:rsid w:val="002B2B9F"/>
    <w:rsid w:val="002B2C1E"/>
    <w:rsid w:val="002B2C3E"/>
    <w:rsid w:val="002B2C5C"/>
    <w:rsid w:val="002B2C79"/>
    <w:rsid w:val="002B2CF0"/>
    <w:rsid w:val="002B2CF6"/>
    <w:rsid w:val="002B2CF9"/>
    <w:rsid w:val="002B2D15"/>
    <w:rsid w:val="002B2E86"/>
    <w:rsid w:val="002B2EC2"/>
    <w:rsid w:val="002B2F05"/>
    <w:rsid w:val="002B2F3C"/>
    <w:rsid w:val="002B2F9C"/>
    <w:rsid w:val="002B2FA7"/>
    <w:rsid w:val="002B2FC8"/>
    <w:rsid w:val="002B2FDD"/>
    <w:rsid w:val="002B30E2"/>
    <w:rsid w:val="002B3124"/>
    <w:rsid w:val="002B318D"/>
    <w:rsid w:val="002B319A"/>
    <w:rsid w:val="002B31E3"/>
    <w:rsid w:val="002B3222"/>
    <w:rsid w:val="002B33C5"/>
    <w:rsid w:val="002B3468"/>
    <w:rsid w:val="002B3474"/>
    <w:rsid w:val="002B35DE"/>
    <w:rsid w:val="002B3610"/>
    <w:rsid w:val="002B37CA"/>
    <w:rsid w:val="002B38E6"/>
    <w:rsid w:val="002B3AA2"/>
    <w:rsid w:val="002B3B18"/>
    <w:rsid w:val="002B3B83"/>
    <w:rsid w:val="002B3BE2"/>
    <w:rsid w:val="002B3BE3"/>
    <w:rsid w:val="002B3CD5"/>
    <w:rsid w:val="002B3CE5"/>
    <w:rsid w:val="002B3D37"/>
    <w:rsid w:val="002B3D58"/>
    <w:rsid w:val="002B3D90"/>
    <w:rsid w:val="002B3D9C"/>
    <w:rsid w:val="002B3DB3"/>
    <w:rsid w:val="002B3DE1"/>
    <w:rsid w:val="002B3E96"/>
    <w:rsid w:val="002B3E9B"/>
    <w:rsid w:val="002B3EB0"/>
    <w:rsid w:val="002B3F31"/>
    <w:rsid w:val="002B3F7C"/>
    <w:rsid w:val="002B3FB8"/>
    <w:rsid w:val="002B402C"/>
    <w:rsid w:val="002B4095"/>
    <w:rsid w:val="002B40A0"/>
    <w:rsid w:val="002B40DD"/>
    <w:rsid w:val="002B4139"/>
    <w:rsid w:val="002B4190"/>
    <w:rsid w:val="002B419B"/>
    <w:rsid w:val="002B41ED"/>
    <w:rsid w:val="002B4239"/>
    <w:rsid w:val="002B427D"/>
    <w:rsid w:val="002B44A9"/>
    <w:rsid w:val="002B4542"/>
    <w:rsid w:val="002B4570"/>
    <w:rsid w:val="002B4593"/>
    <w:rsid w:val="002B46C9"/>
    <w:rsid w:val="002B46D1"/>
    <w:rsid w:val="002B473C"/>
    <w:rsid w:val="002B47B9"/>
    <w:rsid w:val="002B489D"/>
    <w:rsid w:val="002B48B0"/>
    <w:rsid w:val="002B4953"/>
    <w:rsid w:val="002B4987"/>
    <w:rsid w:val="002B4A2B"/>
    <w:rsid w:val="002B4A5E"/>
    <w:rsid w:val="002B4AAC"/>
    <w:rsid w:val="002B4AF9"/>
    <w:rsid w:val="002B4B6D"/>
    <w:rsid w:val="002B4B8E"/>
    <w:rsid w:val="002B4BB5"/>
    <w:rsid w:val="002B4BFF"/>
    <w:rsid w:val="002B4C19"/>
    <w:rsid w:val="002B4C61"/>
    <w:rsid w:val="002B4CCF"/>
    <w:rsid w:val="002B4D32"/>
    <w:rsid w:val="002B4D46"/>
    <w:rsid w:val="002B4E3D"/>
    <w:rsid w:val="002B4F03"/>
    <w:rsid w:val="002B4FF1"/>
    <w:rsid w:val="002B50C3"/>
    <w:rsid w:val="002B5158"/>
    <w:rsid w:val="002B515E"/>
    <w:rsid w:val="002B5195"/>
    <w:rsid w:val="002B539F"/>
    <w:rsid w:val="002B53C8"/>
    <w:rsid w:val="002B53CE"/>
    <w:rsid w:val="002B53F6"/>
    <w:rsid w:val="002B5433"/>
    <w:rsid w:val="002B545C"/>
    <w:rsid w:val="002B54B0"/>
    <w:rsid w:val="002B54E1"/>
    <w:rsid w:val="002B5577"/>
    <w:rsid w:val="002B55A5"/>
    <w:rsid w:val="002B55AE"/>
    <w:rsid w:val="002B55E8"/>
    <w:rsid w:val="002B563D"/>
    <w:rsid w:val="002B56A7"/>
    <w:rsid w:val="002B580F"/>
    <w:rsid w:val="002B5817"/>
    <w:rsid w:val="002B5891"/>
    <w:rsid w:val="002B5898"/>
    <w:rsid w:val="002B58BE"/>
    <w:rsid w:val="002B5A00"/>
    <w:rsid w:val="002B5A38"/>
    <w:rsid w:val="002B5C08"/>
    <w:rsid w:val="002B5CF1"/>
    <w:rsid w:val="002B5D62"/>
    <w:rsid w:val="002B5E18"/>
    <w:rsid w:val="002B5E3A"/>
    <w:rsid w:val="002B5E63"/>
    <w:rsid w:val="002B5E79"/>
    <w:rsid w:val="002B5F1F"/>
    <w:rsid w:val="002B5F49"/>
    <w:rsid w:val="002B5FEA"/>
    <w:rsid w:val="002B5FF8"/>
    <w:rsid w:val="002B602A"/>
    <w:rsid w:val="002B6030"/>
    <w:rsid w:val="002B6129"/>
    <w:rsid w:val="002B6249"/>
    <w:rsid w:val="002B6260"/>
    <w:rsid w:val="002B6261"/>
    <w:rsid w:val="002B63AA"/>
    <w:rsid w:val="002B6416"/>
    <w:rsid w:val="002B643F"/>
    <w:rsid w:val="002B64B8"/>
    <w:rsid w:val="002B64CA"/>
    <w:rsid w:val="002B64F5"/>
    <w:rsid w:val="002B655A"/>
    <w:rsid w:val="002B6561"/>
    <w:rsid w:val="002B6570"/>
    <w:rsid w:val="002B65A4"/>
    <w:rsid w:val="002B6665"/>
    <w:rsid w:val="002B6679"/>
    <w:rsid w:val="002B6711"/>
    <w:rsid w:val="002B67C6"/>
    <w:rsid w:val="002B68C7"/>
    <w:rsid w:val="002B6901"/>
    <w:rsid w:val="002B6918"/>
    <w:rsid w:val="002B6A2C"/>
    <w:rsid w:val="002B6A76"/>
    <w:rsid w:val="002B6A88"/>
    <w:rsid w:val="002B6AD0"/>
    <w:rsid w:val="002B6B2E"/>
    <w:rsid w:val="002B6B37"/>
    <w:rsid w:val="002B6B8C"/>
    <w:rsid w:val="002B6BCA"/>
    <w:rsid w:val="002B6C68"/>
    <w:rsid w:val="002B6C8F"/>
    <w:rsid w:val="002B6D65"/>
    <w:rsid w:val="002B6DD8"/>
    <w:rsid w:val="002B6E08"/>
    <w:rsid w:val="002B6E2B"/>
    <w:rsid w:val="002B6E3F"/>
    <w:rsid w:val="002B6EB0"/>
    <w:rsid w:val="002B6F1F"/>
    <w:rsid w:val="002B6F5A"/>
    <w:rsid w:val="002B6FDE"/>
    <w:rsid w:val="002B7085"/>
    <w:rsid w:val="002B714A"/>
    <w:rsid w:val="002B7189"/>
    <w:rsid w:val="002B7270"/>
    <w:rsid w:val="002B7288"/>
    <w:rsid w:val="002B72F8"/>
    <w:rsid w:val="002B73EC"/>
    <w:rsid w:val="002B73F5"/>
    <w:rsid w:val="002B750C"/>
    <w:rsid w:val="002B7533"/>
    <w:rsid w:val="002B75C0"/>
    <w:rsid w:val="002B7672"/>
    <w:rsid w:val="002B7682"/>
    <w:rsid w:val="002B772D"/>
    <w:rsid w:val="002B778B"/>
    <w:rsid w:val="002B77D6"/>
    <w:rsid w:val="002B783F"/>
    <w:rsid w:val="002B78FE"/>
    <w:rsid w:val="002B7A6B"/>
    <w:rsid w:val="002B7A8E"/>
    <w:rsid w:val="002B7AEB"/>
    <w:rsid w:val="002B7B10"/>
    <w:rsid w:val="002B7B12"/>
    <w:rsid w:val="002B7B33"/>
    <w:rsid w:val="002B7B48"/>
    <w:rsid w:val="002B7C53"/>
    <w:rsid w:val="002B7CD2"/>
    <w:rsid w:val="002B7CF1"/>
    <w:rsid w:val="002B7D19"/>
    <w:rsid w:val="002B7D63"/>
    <w:rsid w:val="002B7D7A"/>
    <w:rsid w:val="002B7DA1"/>
    <w:rsid w:val="002B7EF4"/>
    <w:rsid w:val="002B7EF9"/>
    <w:rsid w:val="002B7F30"/>
    <w:rsid w:val="002B7F3D"/>
    <w:rsid w:val="002B7FC4"/>
    <w:rsid w:val="002C0034"/>
    <w:rsid w:val="002C003B"/>
    <w:rsid w:val="002C0056"/>
    <w:rsid w:val="002C0061"/>
    <w:rsid w:val="002C0063"/>
    <w:rsid w:val="002C00D1"/>
    <w:rsid w:val="002C0165"/>
    <w:rsid w:val="002C0167"/>
    <w:rsid w:val="002C01CF"/>
    <w:rsid w:val="002C01FB"/>
    <w:rsid w:val="002C026C"/>
    <w:rsid w:val="002C02E2"/>
    <w:rsid w:val="002C0326"/>
    <w:rsid w:val="002C032E"/>
    <w:rsid w:val="002C03F6"/>
    <w:rsid w:val="002C0407"/>
    <w:rsid w:val="002C0447"/>
    <w:rsid w:val="002C0464"/>
    <w:rsid w:val="002C0487"/>
    <w:rsid w:val="002C04B0"/>
    <w:rsid w:val="002C0521"/>
    <w:rsid w:val="002C0523"/>
    <w:rsid w:val="002C0527"/>
    <w:rsid w:val="002C0577"/>
    <w:rsid w:val="002C05EC"/>
    <w:rsid w:val="002C05F0"/>
    <w:rsid w:val="002C05F1"/>
    <w:rsid w:val="002C0654"/>
    <w:rsid w:val="002C066A"/>
    <w:rsid w:val="002C06C5"/>
    <w:rsid w:val="002C0722"/>
    <w:rsid w:val="002C07E6"/>
    <w:rsid w:val="002C07EB"/>
    <w:rsid w:val="002C0928"/>
    <w:rsid w:val="002C0983"/>
    <w:rsid w:val="002C09E9"/>
    <w:rsid w:val="002C09EE"/>
    <w:rsid w:val="002C0B10"/>
    <w:rsid w:val="002C0B7B"/>
    <w:rsid w:val="002C0C56"/>
    <w:rsid w:val="002C0C62"/>
    <w:rsid w:val="002C0C65"/>
    <w:rsid w:val="002C0C9E"/>
    <w:rsid w:val="002C0CD6"/>
    <w:rsid w:val="002C0ECF"/>
    <w:rsid w:val="002C0ED1"/>
    <w:rsid w:val="002C0F83"/>
    <w:rsid w:val="002C0F97"/>
    <w:rsid w:val="002C1084"/>
    <w:rsid w:val="002C10D3"/>
    <w:rsid w:val="002C110A"/>
    <w:rsid w:val="002C1233"/>
    <w:rsid w:val="002C125B"/>
    <w:rsid w:val="002C12E2"/>
    <w:rsid w:val="002C1358"/>
    <w:rsid w:val="002C13EC"/>
    <w:rsid w:val="002C1422"/>
    <w:rsid w:val="002C146B"/>
    <w:rsid w:val="002C1493"/>
    <w:rsid w:val="002C14A3"/>
    <w:rsid w:val="002C14D5"/>
    <w:rsid w:val="002C1580"/>
    <w:rsid w:val="002C1583"/>
    <w:rsid w:val="002C15B4"/>
    <w:rsid w:val="002C15D1"/>
    <w:rsid w:val="002C169A"/>
    <w:rsid w:val="002C16BE"/>
    <w:rsid w:val="002C17D9"/>
    <w:rsid w:val="002C1886"/>
    <w:rsid w:val="002C19D4"/>
    <w:rsid w:val="002C19FE"/>
    <w:rsid w:val="002C1A19"/>
    <w:rsid w:val="002C1A52"/>
    <w:rsid w:val="002C1A54"/>
    <w:rsid w:val="002C1AA5"/>
    <w:rsid w:val="002C1BD3"/>
    <w:rsid w:val="002C1C7D"/>
    <w:rsid w:val="002C1C93"/>
    <w:rsid w:val="002C1C9E"/>
    <w:rsid w:val="002C1CFC"/>
    <w:rsid w:val="002C1DAB"/>
    <w:rsid w:val="002C1DCF"/>
    <w:rsid w:val="002C1DED"/>
    <w:rsid w:val="002C1E21"/>
    <w:rsid w:val="002C1E29"/>
    <w:rsid w:val="002C1E48"/>
    <w:rsid w:val="002C1E8A"/>
    <w:rsid w:val="002C1EDA"/>
    <w:rsid w:val="002C1EEE"/>
    <w:rsid w:val="002C1EFD"/>
    <w:rsid w:val="002C1F22"/>
    <w:rsid w:val="002C1F39"/>
    <w:rsid w:val="002C1F8B"/>
    <w:rsid w:val="002C2115"/>
    <w:rsid w:val="002C21F5"/>
    <w:rsid w:val="002C2231"/>
    <w:rsid w:val="002C231A"/>
    <w:rsid w:val="002C23B5"/>
    <w:rsid w:val="002C23DB"/>
    <w:rsid w:val="002C2414"/>
    <w:rsid w:val="002C24B6"/>
    <w:rsid w:val="002C258B"/>
    <w:rsid w:val="002C25AC"/>
    <w:rsid w:val="002C25D4"/>
    <w:rsid w:val="002C2607"/>
    <w:rsid w:val="002C2647"/>
    <w:rsid w:val="002C2671"/>
    <w:rsid w:val="002C26C4"/>
    <w:rsid w:val="002C270B"/>
    <w:rsid w:val="002C2767"/>
    <w:rsid w:val="002C2777"/>
    <w:rsid w:val="002C2850"/>
    <w:rsid w:val="002C28E0"/>
    <w:rsid w:val="002C2944"/>
    <w:rsid w:val="002C2977"/>
    <w:rsid w:val="002C29D2"/>
    <w:rsid w:val="002C29DD"/>
    <w:rsid w:val="002C29F1"/>
    <w:rsid w:val="002C2AC5"/>
    <w:rsid w:val="002C2ACF"/>
    <w:rsid w:val="002C2AD0"/>
    <w:rsid w:val="002C2AD3"/>
    <w:rsid w:val="002C2ADF"/>
    <w:rsid w:val="002C2AF3"/>
    <w:rsid w:val="002C2B0D"/>
    <w:rsid w:val="002C2B51"/>
    <w:rsid w:val="002C2B5E"/>
    <w:rsid w:val="002C2B91"/>
    <w:rsid w:val="002C2BB2"/>
    <w:rsid w:val="002C2C41"/>
    <w:rsid w:val="002C2C4E"/>
    <w:rsid w:val="002C2C60"/>
    <w:rsid w:val="002C2C7D"/>
    <w:rsid w:val="002C2CA9"/>
    <w:rsid w:val="002C2CD0"/>
    <w:rsid w:val="002C2D04"/>
    <w:rsid w:val="002C2D26"/>
    <w:rsid w:val="002C2DEF"/>
    <w:rsid w:val="002C2E1B"/>
    <w:rsid w:val="002C2E5F"/>
    <w:rsid w:val="002C2EAF"/>
    <w:rsid w:val="002C2F3B"/>
    <w:rsid w:val="002C2FBF"/>
    <w:rsid w:val="002C3006"/>
    <w:rsid w:val="002C301E"/>
    <w:rsid w:val="002C3020"/>
    <w:rsid w:val="002C3071"/>
    <w:rsid w:val="002C308A"/>
    <w:rsid w:val="002C30BA"/>
    <w:rsid w:val="002C3109"/>
    <w:rsid w:val="002C3154"/>
    <w:rsid w:val="002C31A3"/>
    <w:rsid w:val="002C3230"/>
    <w:rsid w:val="002C330D"/>
    <w:rsid w:val="002C3311"/>
    <w:rsid w:val="002C335D"/>
    <w:rsid w:val="002C33A8"/>
    <w:rsid w:val="002C33D1"/>
    <w:rsid w:val="002C3462"/>
    <w:rsid w:val="002C346C"/>
    <w:rsid w:val="002C34A3"/>
    <w:rsid w:val="002C34A7"/>
    <w:rsid w:val="002C34E8"/>
    <w:rsid w:val="002C3680"/>
    <w:rsid w:val="002C36F2"/>
    <w:rsid w:val="002C371D"/>
    <w:rsid w:val="002C377C"/>
    <w:rsid w:val="002C3887"/>
    <w:rsid w:val="002C388C"/>
    <w:rsid w:val="002C3909"/>
    <w:rsid w:val="002C3A14"/>
    <w:rsid w:val="002C3A98"/>
    <w:rsid w:val="002C3B4A"/>
    <w:rsid w:val="002C3B71"/>
    <w:rsid w:val="002C3BDD"/>
    <w:rsid w:val="002C3C30"/>
    <w:rsid w:val="002C3C46"/>
    <w:rsid w:val="002C3C4E"/>
    <w:rsid w:val="002C3C97"/>
    <w:rsid w:val="002C3CA1"/>
    <w:rsid w:val="002C3CA8"/>
    <w:rsid w:val="002C3CB9"/>
    <w:rsid w:val="002C3CC6"/>
    <w:rsid w:val="002C3CE8"/>
    <w:rsid w:val="002C3D35"/>
    <w:rsid w:val="002C3E08"/>
    <w:rsid w:val="002C3E2E"/>
    <w:rsid w:val="002C3E86"/>
    <w:rsid w:val="002C3EF3"/>
    <w:rsid w:val="002C3F73"/>
    <w:rsid w:val="002C3FB3"/>
    <w:rsid w:val="002C3FC4"/>
    <w:rsid w:val="002C4040"/>
    <w:rsid w:val="002C4060"/>
    <w:rsid w:val="002C409C"/>
    <w:rsid w:val="002C40A4"/>
    <w:rsid w:val="002C40F7"/>
    <w:rsid w:val="002C4184"/>
    <w:rsid w:val="002C4199"/>
    <w:rsid w:val="002C41C8"/>
    <w:rsid w:val="002C4260"/>
    <w:rsid w:val="002C4269"/>
    <w:rsid w:val="002C4271"/>
    <w:rsid w:val="002C43AB"/>
    <w:rsid w:val="002C43CE"/>
    <w:rsid w:val="002C43E9"/>
    <w:rsid w:val="002C4464"/>
    <w:rsid w:val="002C44C1"/>
    <w:rsid w:val="002C44F3"/>
    <w:rsid w:val="002C4522"/>
    <w:rsid w:val="002C457B"/>
    <w:rsid w:val="002C457C"/>
    <w:rsid w:val="002C45F3"/>
    <w:rsid w:val="002C4640"/>
    <w:rsid w:val="002C46DB"/>
    <w:rsid w:val="002C4710"/>
    <w:rsid w:val="002C4782"/>
    <w:rsid w:val="002C479F"/>
    <w:rsid w:val="002C47A3"/>
    <w:rsid w:val="002C4927"/>
    <w:rsid w:val="002C4A30"/>
    <w:rsid w:val="002C4A7F"/>
    <w:rsid w:val="002C4BAD"/>
    <w:rsid w:val="002C4BB9"/>
    <w:rsid w:val="002C4BD2"/>
    <w:rsid w:val="002C4BED"/>
    <w:rsid w:val="002C4C26"/>
    <w:rsid w:val="002C4C96"/>
    <w:rsid w:val="002C4CCF"/>
    <w:rsid w:val="002C4CD1"/>
    <w:rsid w:val="002C4D70"/>
    <w:rsid w:val="002C4E43"/>
    <w:rsid w:val="002C4E4D"/>
    <w:rsid w:val="002C4E5C"/>
    <w:rsid w:val="002C4E61"/>
    <w:rsid w:val="002C4E76"/>
    <w:rsid w:val="002C4F4D"/>
    <w:rsid w:val="002C4F5A"/>
    <w:rsid w:val="002C4F62"/>
    <w:rsid w:val="002C4F96"/>
    <w:rsid w:val="002C4FB4"/>
    <w:rsid w:val="002C5000"/>
    <w:rsid w:val="002C50F1"/>
    <w:rsid w:val="002C5196"/>
    <w:rsid w:val="002C51A2"/>
    <w:rsid w:val="002C51BA"/>
    <w:rsid w:val="002C51D3"/>
    <w:rsid w:val="002C52B9"/>
    <w:rsid w:val="002C52CC"/>
    <w:rsid w:val="002C531E"/>
    <w:rsid w:val="002C532A"/>
    <w:rsid w:val="002C53DC"/>
    <w:rsid w:val="002C53F2"/>
    <w:rsid w:val="002C54AC"/>
    <w:rsid w:val="002C54F1"/>
    <w:rsid w:val="002C554F"/>
    <w:rsid w:val="002C5596"/>
    <w:rsid w:val="002C5709"/>
    <w:rsid w:val="002C5711"/>
    <w:rsid w:val="002C5722"/>
    <w:rsid w:val="002C572D"/>
    <w:rsid w:val="002C578B"/>
    <w:rsid w:val="002C57AA"/>
    <w:rsid w:val="002C57BD"/>
    <w:rsid w:val="002C5865"/>
    <w:rsid w:val="002C5871"/>
    <w:rsid w:val="002C5985"/>
    <w:rsid w:val="002C59A8"/>
    <w:rsid w:val="002C59C2"/>
    <w:rsid w:val="002C59EC"/>
    <w:rsid w:val="002C5A8F"/>
    <w:rsid w:val="002C5A97"/>
    <w:rsid w:val="002C5AED"/>
    <w:rsid w:val="002C5BE4"/>
    <w:rsid w:val="002C5DBE"/>
    <w:rsid w:val="002C5E14"/>
    <w:rsid w:val="002C5EE6"/>
    <w:rsid w:val="002C5F2D"/>
    <w:rsid w:val="002C5FF3"/>
    <w:rsid w:val="002C6011"/>
    <w:rsid w:val="002C60C8"/>
    <w:rsid w:val="002C60E7"/>
    <w:rsid w:val="002C6160"/>
    <w:rsid w:val="002C616B"/>
    <w:rsid w:val="002C616D"/>
    <w:rsid w:val="002C6183"/>
    <w:rsid w:val="002C61C6"/>
    <w:rsid w:val="002C627E"/>
    <w:rsid w:val="002C63C8"/>
    <w:rsid w:val="002C6476"/>
    <w:rsid w:val="002C64E0"/>
    <w:rsid w:val="002C657A"/>
    <w:rsid w:val="002C6582"/>
    <w:rsid w:val="002C65D5"/>
    <w:rsid w:val="002C6628"/>
    <w:rsid w:val="002C6677"/>
    <w:rsid w:val="002C673A"/>
    <w:rsid w:val="002C68A2"/>
    <w:rsid w:val="002C696D"/>
    <w:rsid w:val="002C6A7B"/>
    <w:rsid w:val="002C6A96"/>
    <w:rsid w:val="002C6AE4"/>
    <w:rsid w:val="002C6B86"/>
    <w:rsid w:val="002C6BFE"/>
    <w:rsid w:val="002C6CD5"/>
    <w:rsid w:val="002C6D2A"/>
    <w:rsid w:val="002C6D51"/>
    <w:rsid w:val="002C6DB9"/>
    <w:rsid w:val="002C6E01"/>
    <w:rsid w:val="002C6E78"/>
    <w:rsid w:val="002C6F63"/>
    <w:rsid w:val="002C6F73"/>
    <w:rsid w:val="002C7031"/>
    <w:rsid w:val="002C7121"/>
    <w:rsid w:val="002C712F"/>
    <w:rsid w:val="002C713A"/>
    <w:rsid w:val="002C71B6"/>
    <w:rsid w:val="002C7202"/>
    <w:rsid w:val="002C7225"/>
    <w:rsid w:val="002C723D"/>
    <w:rsid w:val="002C72E9"/>
    <w:rsid w:val="002C72F2"/>
    <w:rsid w:val="002C7304"/>
    <w:rsid w:val="002C7363"/>
    <w:rsid w:val="002C7392"/>
    <w:rsid w:val="002C7447"/>
    <w:rsid w:val="002C7459"/>
    <w:rsid w:val="002C746C"/>
    <w:rsid w:val="002C74A7"/>
    <w:rsid w:val="002C7590"/>
    <w:rsid w:val="002C75D1"/>
    <w:rsid w:val="002C760A"/>
    <w:rsid w:val="002C76C0"/>
    <w:rsid w:val="002C7753"/>
    <w:rsid w:val="002C7755"/>
    <w:rsid w:val="002C775A"/>
    <w:rsid w:val="002C777D"/>
    <w:rsid w:val="002C77DF"/>
    <w:rsid w:val="002C79B1"/>
    <w:rsid w:val="002C7AE0"/>
    <w:rsid w:val="002C7AEF"/>
    <w:rsid w:val="002C7B42"/>
    <w:rsid w:val="002C7BB4"/>
    <w:rsid w:val="002C7C27"/>
    <w:rsid w:val="002C7C60"/>
    <w:rsid w:val="002C7C7B"/>
    <w:rsid w:val="002C7E47"/>
    <w:rsid w:val="002C7E9D"/>
    <w:rsid w:val="002C7FD0"/>
    <w:rsid w:val="002C7FF0"/>
    <w:rsid w:val="002D0127"/>
    <w:rsid w:val="002D012E"/>
    <w:rsid w:val="002D01D7"/>
    <w:rsid w:val="002D0203"/>
    <w:rsid w:val="002D0290"/>
    <w:rsid w:val="002D02A5"/>
    <w:rsid w:val="002D02AF"/>
    <w:rsid w:val="002D02BD"/>
    <w:rsid w:val="002D02F7"/>
    <w:rsid w:val="002D0363"/>
    <w:rsid w:val="002D0364"/>
    <w:rsid w:val="002D0459"/>
    <w:rsid w:val="002D0461"/>
    <w:rsid w:val="002D049E"/>
    <w:rsid w:val="002D04B7"/>
    <w:rsid w:val="002D0568"/>
    <w:rsid w:val="002D0585"/>
    <w:rsid w:val="002D05F0"/>
    <w:rsid w:val="002D0618"/>
    <w:rsid w:val="002D0718"/>
    <w:rsid w:val="002D0720"/>
    <w:rsid w:val="002D07B3"/>
    <w:rsid w:val="002D07FA"/>
    <w:rsid w:val="002D0804"/>
    <w:rsid w:val="002D085A"/>
    <w:rsid w:val="002D0868"/>
    <w:rsid w:val="002D092B"/>
    <w:rsid w:val="002D09AF"/>
    <w:rsid w:val="002D09BD"/>
    <w:rsid w:val="002D09DE"/>
    <w:rsid w:val="002D0A1C"/>
    <w:rsid w:val="002D0ADC"/>
    <w:rsid w:val="002D0B13"/>
    <w:rsid w:val="002D0B8C"/>
    <w:rsid w:val="002D0BB4"/>
    <w:rsid w:val="002D0C79"/>
    <w:rsid w:val="002D0DA2"/>
    <w:rsid w:val="002D0E1D"/>
    <w:rsid w:val="002D0EA2"/>
    <w:rsid w:val="002D0F33"/>
    <w:rsid w:val="002D1008"/>
    <w:rsid w:val="002D1046"/>
    <w:rsid w:val="002D10B2"/>
    <w:rsid w:val="002D1147"/>
    <w:rsid w:val="002D11B9"/>
    <w:rsid w:val="002D1266"/>
    <w:rsid w:val="002D126A"/>
    <w:rsid w:val="002D12B4"/>
    <w:rsid w:val="002D132D"/>
    <w:rsid w:val="002D13CC"/>
    <w:rsid w:val="002D13ED"/>
    <w:rsid w:val="002D1463"/>
    <w:rsid w:val="002D1480"/>
    <w:rsid w:val="002D148E"/>
    <w:rsid w:val="002D14DC"/>
    <w:rsid w:val="002D150A"/>
    <w:rsid w:val="002D153D"/>
    <w:rsid w:val="002D153F"/>
    <w:rsid w:val="002D1564"/>
    <w:rsid w:val="002D158F"/>
    <w:rsid w:val="002D15F8"/>
    <w:rsid w:val="002D1678"/>
    <w:rsid w:val="002D17FF"/>
    <w:rsid w:val="002D18B8"/>
    <w:rsid w:val="002D1957"/>
    <w:rsid w:val="002D1978"/>
    <w:rsid w:val="002D19AD"/>
    <w:rsid w:val="002D19BC"/>
    <w:rsid w:val="002D19DB"/>
    <w:rsid w:val="002D1A43"/>
    <w:rsid w:val="002D1A6E"/>
    <w:rsid w:val="002D1A99"/>
    <w:rsid w:val="002D1AA4"/>
    <w:rsid w:val="002D1BC1"/>
    <w:rsid w:val="002D1CEA"/>
    <w:rsid w:val="002D1E94"/>
    <w:rsid w:val="002D1E97"/>
    <w:rsid w:val="002D1F29"/>
    <w:rsid w:val="002D1F2B"/>
    <w:rsid w:val="002D1F2C"/>
    <w:rsid w:val="002D1FC8"/>
    <w:rsid w:val="002D1FFF"/>
    <w:rsid w:val="002D20B7"/>
    <w:rsid w:val="002D20CB"/>
    <w:rsid w:val="002D20EF"/>
    <w:rsid w:val="002D212C"/>
    <w:rsid w:val="002D214E"/>
    <w:rsid w:val="002D215D"/>
    <w:rsid w:val="002D2183"/>
    <w:rsid w:val="002D21B4"/>
    <w:rsid w:val="002D21D0"/>
    <w:rsid w:val="002D2216"/>
    <w:rsid w:val="002D2276"/>
    <w:rsid w:val="002D22CB"/>
    <w:rsid w:val="002D22E3"/>
    <w:rsid w:val="002D2317"/>
    <w:rsid w:val="002D2332"/>
    <w:rsid w:val="002D23CB"/>
    <w:rsid w:val="002D2451"/>
    <w:rsid w:val="002D245C"/>
    <w:rsid w:val="002D249C"/>
    <w:rsid w:val="002D24B8"/>
    <w:rsid w:val="002D2522"/>
    <w:rsid w:val="002D2634"/>
    <w:rsid w:val="002D265B"/>
    <w:rsid w:val="002D26F7"/>
    <w:rsid w:val="002D283A"/>
    <w:rsid w:val="002D285A"/>
    <w:rsid w:val="002D289B"/>
    <w:rsid w:val="002D28E3"/>
    <w:rsid w:val="002D2936"/>
    <w:rsid w:val="002D29D3"/>
    <w:rsid w:val="002D2AF9"/>
    <w:rsid w:val="002D2B35"/>
    <w:rsid w:val="002D2BA5"/>
    <w:rsid w:val="002D2C84"/>
    <w:rsid w:val="002D2C87"/>
    <w:rsid w:val="002D2D24"/>
    <w:rsid w:val="002D2D3A"/>
    <w:rsid w:val="002D2D87"/>
    <w:rsid w:val="002D2D89"/>
    <w:rsid w:val="002D2EA2"/>
    <w:rsid w:val="002D2F0E"/>
    <w:rsid w:val="002D3015"/>
    <w:rsid w:val="002D302C"/>
    <w:rsid w:val="002D3084"/>
    <w:rsid w:val="002D30A9"/>
    <w:rsid w:val="002D31C0"/>
    <w:rsid w:val="002D3287"/>
    <w:rsid w:val="002D32A0"/>
    <w:rsid w:val="002D32DB"/>
    <w:rsid w:val="002D32DE"/>
    <w:rsid w:val="002D3342"/>
    <w:rsid w:val="002D3369"/>
    <w:rsid w:val="002D33DB"/>
    <w:rsid w:val="002D33DF"/>
    <w:rsid w:val="002D34D0"/>
    <w:rsid w:val="002D3618"/>
    <w:rsid w:val="002D3679"/>
    <w:rsid w:val="002D367D"/>
    <w:rsid w:val="002D36B4"/>
    <w:rsid w:val="002D3707"/>
    <w:rsid w:val="002D3751"/>
    <w:rsid w:val="002D3783"/>
    <w:rsid w:val="002D383B"/>
    <w:rsid w:val="002D3914"/>
    <w:rsid w:val="002D3930"/>
    <w:rsid w:val="002D39B6"/>
    <w:rsid w:val="002D3A03"/>
    <w:rsid w:val="002D3A11"/>
    <w:rsid w:val="002D3A1F"/>
    <w:rsid w:val="002D3AAE"/>
    <w:rsid w:val="002D3B02"/>
    <w:rsid w:val="002D3BAD"/>
    <w:rsid w:val="002D3BC2"/>
    <w:rsid w:val="002D3BF3"/>
    <w:rsid w:val="002D3CA5"/>
    <w:rsid w:val="002D3CF1"/>
    <w:rsid w:val="002D3DEE"/>
    <w:rsid w:val="002D3E3F"/>
    <w:rsid w:val="002D3E81"/>
    <w:rsid w:val="002D3ED4"/>
    <w:rsid w:val="002D3F2B"/>
    <w:rsid w:val="002D3FC8"/>
    <w:rsid w:val="002D4071"/>
    <w:rsid w:val="002D417F"/>
    <w:rsid w:val="002D4191"/>
    <w:rsid w:val="002D41C6"/>
    <w:rsid w:val="002D420C"/>
    <w:rsid w:val="002D4244"/>
    <w:rsid w:val="002D431C"/>
    <w:rsid w:val="002D4346"/>
    <w:rsid w:val="002D435D"/>
    <w:rsid w:val="002D437E"/>
    <w:rsid w:val="002D4389"/>
    <w:rsid w:val="002D43D0"/>
    <w:rsid w:val="002D43FC"/>
    <w:rsid w:val="002D4475"/>
    <w:rsid w:val="002D44E4"/>
    <w:rsid w:val="002D45E3"/>
    <w:rsid w:val="002D46BA"/>
    <w:rsid w:val="002D46BF"/>
    <w:rsid w:val="002D46C1"/>
    <w:rsid w:val="002D46FC"/>
    <w:rsid w:val="002D4715"/>
    <w:rsid w:val="002D4723"/>
    <w:rsid w:val="002D472F"/>
    <w:rsid w:val="002D47CA"/>
    <w:rsid w:val="002D4843"/>
    <w:rsid w:val="002D4857"/>
    <w:rsid w:val="002D4883"/>
    <w:rsid w:val="002D48A5"/>
    <w:rsid w:val="002D48AF"/>
    <w:rsid w:val="002D4954"/>
    <w:rsid w:val="002D49E3"/>
    <w:rsid w:val="002D4A7E"/>
    <w:rsid w:val="002D4AEE"/>
    <w:rsid w:val="002D4B02"/>
    <w:rsid w:val="002D4BA9"/>
    <w:rsid w:val="002D4BF4"/>
    <w:rsid w:val="002D4C1F"/>
    <w:rsid w:val="002D4C21"/>
    <w:rsid w:val="002D4CFB"/>
    <w:rsid w:val="002D4D30"/>
    <w:rsid w:val="002D4D38"/>
    <w:rsid w:val="002D4D5A"/>
    <w:rsid w:val="002D4E80"/>
    <w:rsid w:val="002D4E92"/>
    <w:rsid w:val="002D4F39"/>
    <w:rsid w:val="002D4F41"/>
    <w:rsid w:val="002D4F72"/>
    <w:rsid w:val="002D4F7A"/>
    <w:rsid w:val="002D4F91"/>
    <w:rsid w:val="002D4FBD"/>
    <w:rsid w:val="002D4FD5"/>
    <w:rsid w:val="002D4FD9"/>
    <w:rsid w:val="002D504E"/>
    <w:rsid w:val="002D5136"/>
    <w:rsid w:val="002D513F"/>
    <w:rsid w:val="002D516E"/>
    <w:rsid w:val="002D52B3"/>
    <w:rsid w:val="002D53A2"/>
    <w:rsid w:val="002D53AB"/>
    <w:rsid w:val="002D5411"/>
    <w:rsid w:val="002D5421"/>
    <w:rsid w:val="002D54C2"/>
    <w:rsid w:val="002D552B"/>
    <w:rsid w:val="002D5590"/>
    <w:rsid w:val="002D5592"/>
    <w:rsid w:val="002D5595"/>
    <w:rsid w:val="002D559C"/>
    <w:rsid w:val="002D55C9"/>
    <w:rsid w:val="002D5661"/>
    <w:rsid w:val="002D584D"/>
    <w:rsid w:val="002D5864"/>
    <w:rsid w:val="002D5898"/>
    <w:rsid w:val="002D58B1"/>
    <w:rsid w:val="002D58B2"/>
    <w:rsid w:val="002D599D"/>
    <w:rsid w:val="002D59B8"/>
    <w:rsid w:val="002D59EC"/>
    <w:rsid w:val="002D5AE0"/>
    <w:rsid w:val="002D5B28"/>
    <w:rsid w:val="002D5B42"/>
    <w:rsid w:val="002D5B46"/>
    <w:rsid w:val="002D5BBE"/>
    <w:rsid w:val="002D5BE1"/>
    <w:rsid w:val="002D5C27"/>
    <w:rsid w:val="002D5C61"/>
    <w:rsid w:val="002D5DED"/>
    <w:rsid w:val="002D5E53"/>
    <w:rsid w:val="002D5ED4"/>
    <w:rsid w:val="002D5FB2"/>
    <w:rsid w:val="002D5FE1"/>
    <w:rsid w:val="002D607E"/>
    <w:rsid w:val="002D6095"/>
    <w:rsid w:val="002D613B"/>
    <w:rsid w:val="002D61C9"/>
    <w:rsid w:val="002D61DE"/>
    <w:rsid w:val="002D6246"/>
    <w:rsid w:val="002D625A"/>
    <w:rsid w:val="002D62A5"/>
    <w:rsid w:val="002D6306"/>
    <w:rsid w:val="002D6357"/>
    <w:rsid w:val="002D6368"/>
    <w:rsid w:val="002D639A"/>
    <w:rsid w:val="002D63B8"/>
    <w:rsid w:val="002D6440"/>
    <w:rsid w:val="002D648F"/>
    <w:rsid w:val="002D64F0"/>
    <w:rsid w:val="002D658E"/>
    <w:rsid w:val="002D65BA"/>
    <w:rsid w:val="002D65E2"/>
    <w:rsid w:val="002D6631"/>
    <w:rsid w:val="002D671D"/>
    <w:rsid w:val="002D6755"/>
    <w:rsid w:val="002D6757"/>
    <w:rsid w:val="002D6793"/>
    <w:rsid w:val="002D682B"/>
    <w:rsid w:val="002D6837"/>
    <w:rsid w:val="002D68A1"/>
    <w:rsid w:val="002D6909"/>
    <w:rsid w:val="002D697D"/>
    <w:rsid w:val="002D698A"/>
    <w:rsid w:val="002D6A28"/>
    <w:rsid w:val="002D6A35"/>
    <w:rsid w:val="002D6A3E"/>
    <w:rsid w:val="002D6ACF"/>
    <w:rsid w:val="002D6B58"/>
    <w:rsid w:val="002D6BF3"/>
    <w:rsid w:val="002D6BFA"/>
    <w:rsid w:val="002D6C44"/>
    <w:rsid w:val="002D6C54"/>
    <w:rsid w:val="002D6CAB"/>
    <w:rsid w:val="002D6CBC"/>
    <w:rsid w:val="002D6D1D"/>
    <w:rsid w:val="002D6D65"/>
    <w:rsid w:val="002D6E2E"/>
    <w:rsid w:val="002D6E4A"/>
    <w:rsid w:val="002D6E53"/>
    <w:rsid w:val="002D6ECE"/>
    <w:rsid w:val="002D6F15"/>
    <w:rsid w:val="002D6F6F"/>
    <w:rsid w:val="002D6F91"/>
    <w:rsid w:val="002D7028"/>
    <w:rsid w:val="002D7056"/>
    <w:rsid w:val="002D70E9"/>
    <w:rsid w:val="002D7121"/>
    <w:rsid w:val="002D71F1"/>
    <w:rsid w:val="002D7356"/>
    <w:rsid w:val="002D73D9"/>
    <w:rsid w:val="002D73DF"/>
    <w:rsid w:val="002D747F"/>
    <w:rsid w:val="002D755E"/>
    <w:rsid w:val="002D7580"/>
    <w:rsid w:val="002D75A5"/>
    <w:rsid w:val="002D75F0"/>
    <w:rsid w:val="002D75F3"/>
    <w:rsid w:val="002D7612"/>
    <w:rsid w:val="002D7664"/>
    <w:rsid w:val="002D767F"/>
    <w:rsid w:val="002D7695"/>
    <w:rsid w:val="002D7721"/>
    <w:rsid w:val="002D78DF"/>
    <w:rsid w:val="002D7901"/>
    <w:rsid w:val="002D798F"/>
    <w:rsid w:val="002D7A6A"/>
    <w:rsid w:val="002D7AFC"/>
    <w:rsid w:val="002D7B1D"/>
    <w:rsid w:val="002D7BAC"/>
    <w:rsid w:val="002D7BBE"/>
    <w:rsid w:val="002D7C11"/>
    <w:rsid w:val="002D7C20"/>
    <w:rsid w:val="002D7C3E"/>
    <w:rsid w:val="002D7C68"/>
    <w:rsid w:val="002D7DF7"/>
    <w:rsid w:val="002D7E09"/>
    <w:rsid w:val="002D7E3F"/>
    <w:rsid w:val="002D7EA2"/>
    <w:rsid w:val="002D7EFF"/>
    <w:rsid w:val="002D7F43"/>
    <w:rsid w:val="002D7F46"/>
    <w:rsid w:val="002E004F"/>
    <w:rsid w:val="002E0112"/>
    <w:rsid w:val="002E014B"/>
    <w:rsid w:val="002E0176"/>
    <w:rsid w:val="002E017C"/>
    <w:rsid w:val="002E01A9"/>
    <w:rsid w:val="002E026E"/>
    <w:rsid w:val="002E02CC"/>
    <w:rsid w:val="002E034C"/>
    <w:rsid w:val="002E036A"/>
    <w:rsid w:val="002E03B8"/>
    <w:rsid w:val="002E03C4"/>
    <w:rsid w:val="002E03DD"/>
    <w:rsid w:val="002E04F6"/>
    <w:rsid w:val="002E053A"/>
    <w:rsid w:val="002E0597"/>
    <w:rsid w:val="002E05D9"/>
    <w:rsid w:val="002E0662"/>
    <w:rsid w:val="002E0665"/>
    <w:rsid w:val="002E06DE"/>
    <w:rsid w:val="002E0725"/>
    <w:rsid w:val="002E075E"/>
    <w:rsid w:val="002E07A1"/>
    <w:rsid w:val="002E07F0"/>
    <w:rsid w:val="002E07F1"/>
    <w:rsid w:val="002E07F6"/>
    <w:rsid w:val="002E081A"/>
    <w:rsid w:val="002E08AD"/>
    <w:rsid w:val="002E08C4"/>
    <w:rsid w:val="002E08E0"/>
    <w:rsid w:val="002E0912"/>
    <w:rsid w:val="002E0A3D"/>
    <w:rsid w:val="002E0A6A"/>
    <w:rsid w:val="002E0B20"/>
    <w:rsid w:val="002E0B27"/>
    <w:rsid w:val="002E0BA4"/>
    <w:rsid w:val="002E0C43"/>
    <w:rsid w:val="002E0C75"/>
    <w:rsid w:val="002E0CA1"/>
    <w:rsid w:val="002E0CF9"/>
    <w:rsid w:val="002E0D63"/>
    <w:rsid w:val="002E0DA4"/>
    <w:rsid w:val="002E0DB4"/>
    <w:rsid w:val="002E0DFF"/>
    <w:rsid w:val="002E0E85"/>
    <w:rsid w:val="002E0EA2"/>
    <w:rsid w:val="002E0ED4"/>
    <w:rsid w:val="002E0EE4"/>
    <w:rsid w:val="002E0FED"/>
    <w:rsid w:val="002E1010"/>
    <w:rsid w:val="002E1112"/>
    <w:rsid w:val="002E1127"/>
    <w:rsid w:val="002E1164"/>
    <w:rsid w:val="002E12AF"/>
    <w:rsid w:val="002E139B"/>
    <w:rsid w:val="002E13EB"/>
    <w:rsid w:val="002E142E"/>
    <w:rsid w:val="002E1486"/>
    <w:rsid w:val="002E1526"/>
    <w:rsid w:val="002E1528"/>
    <w:rsid w:val="002E1588"/>
    <w:rsid w:val="002E159D"/>
    <w:rsid w:val="002E1736"/>
    <w:rsid w:val="002E1775"/>
    <w:rsid w:val="002E17C7"/>
    <w:rsid w:val="002E191C"/>
    <w:rsid w:val="002E195C"/>
    <w:rsid w:val="002E19B0"/>
    <w:rsid w:val="002E19DC"/>
    <w:rsid w:val="002E19F1"/>
    <w:rsid w:val="002E1A48"/>
    <w:rsid w:val="002E1A52"/>
    <w:rsid w:val="002E1AAA"/>
    <w:rsid w:val="002E1C24"/>
    <w:rsid w:val="002E1C5C"/>
    <w:rsid w:val="002E1C9A"/>
    <w:rsid w:val="002E1CA5"/>
    <w:rsid w:val="002E1CBB"/>
    <w:rsid w:val="002E1D0C"/>
    <w:rsid w:val="002E1D3D"/>
    <w:rsid w:val="002E1DB1"/>
    <w:rsid w:val="002E1E1C"/>
    <w:rsid w:val="002E1E53"/>
    <w:rsid w:val="002E1EBA"/>
    <w:rsid w:val="002E1F6C"/>
    <w:rsid w:val="002E205B"/>
    <w:rsid w:val="002E2072"/>
    <w:rsid w:val="002E20C8"/>
    <w:rsid w:val="002E20DD"/>
    <w:rsid w:val="002E2179"/>
    <w:rsid w:val="002E2216"/>
    <w:rsid w:val="002E227F"/>
    <w:rsid w:val="002E228C"/>
    <w:rsid w:val="002E23FB"/>
    <w:rsid w:val="002E242A"/>
    <w:rsid w:val="002E2446"/>
    <w:rsid w:val="002E24B7"/>
    <w:rsid w:val="002E24CA"/>
    <w:rsid w:val="002E24DB"/>
    <w:rsid w:val="002E2500"/>
    <w:rsid w:val="002E2515"/>
    <w:rsid w:val="002E2577"/>
    <w:rsid w:val="002E2578"/>
    <w:rsid w:val="002E25AD"/>
    <w:rsid w:val="002E25F3"/>
    <w:rsid w:val="002E26DE"/>
    <w:rsid w:val="002E2796"/>
    <w:rsid w:val="002E27AC"/>
    <w:rsid w:val="002E280A"/>
    <w:rsid w:val="002E282F"/>
    <w:rsid w:val="002E2835"/>
    <w:rsid w:val="002E2846"/>
    <w:rsid w:val="002E284B"/>
    <w:rsid w:val="002E28A3"/>
    <w:rsid w:val="002E2936"/>
    <w:rsid w:val="002E29B8"/>
    <w:rsid w:val="002E2A64"/>
    <w:rsid w:val="002E2B11"/>
    <w:rsid w:val="002E2B59"/>
    <w:rsid w:val="002E2B5C"/>
    <w:rsid w:val="002E2BB9"/>
    <w:rsid w:val="002E2C61"/>
    <w:rsid w:val="002E2C7B"/>
    <w:rsid w:val="002E2D3C"/>
    <w:rsid w:val="002E2DE7"/>
    <w:rsid w:val="002E2DFD"/>
    <w:rsid w:val="002E2E8E"/>
    <w:rsid w:val="002E2F0D"/>
    <w:rsid w:val="002E3064"/>
    <w:rsid w:val="002E3080"/>
    <w:rsid w:val="002E3099"/>
    <w:rsid w:val="002E30F7"/>
    <w:rsid w:val="002E3121"/>
    <w:rsid w:val="002E31A3"/>
    <w:rsid w:val="002E31AA"/>
    <w:rsid w:val="002E31BD"/>
    <w:rsid w:val="002E323E"/>
    <w:rsid w:val="002E32BD"/>
    <w:rsid w:val="002E32C1"/>
    <w:rsid w:val="002E3436"/>
    <w:rsid w:val="002E34E1"/>
    <w:rsid w:val="002E3501"/>
    <w:rsid w:val="002E35BA"/>
    <w:rsid w:val="002E35CE"/>
    <w:rsid w:val="002E36EF"/>
    <w:rsid w:val="002E3716"/>
    <w:rsid w:val="002E3790"/>
    <w:rsid w:val="002E37D7"/>
    <w:rsid w:val="002E393B"/>
    <w:rsid w:val="002E393D"/>
    <w:rsid w:val="002E39E1"/>
    <w:rsid w:val="002E3A03"/>
    <w:rsid w:val="002E3A0C"/>
    <w:rsid w:val="002E3A21"/>
    <w:rsid w:val="002E3A55"/>
    <w:rsid w:val="002E3A8C"/>
    <w:rsid w:val="002E3B1A"/>
    <w:rsid w:val="002E3B5D"/>
    <w:rsid w:val="002E3B7A"/>
    <w:rsid w:val="002E3BB1"/>
    <w:rsid w:val="002E3CD2"/>
    <w:rsid w:val="002E3CD7"/>
    <w:rsid w:val="002E3CD8"/>
    <w:rsid w:val="002E3D4C"/>
    <w:rsid w:val="002E3D8E"/>
    <w:rsid w:val="002E3DA8"/>
    <w:rsid w:val="002E3E70"/>
    <w:rsid w:val="002E3E74"/>
    <w:rsid w:val="002E3E80"/>
    <w:rsid w:val="002E3EE4"/>
    <w:rsid w:val="002E3F1B"/>
    <w:rsid w:val="002E3FB9"/>
    <w:rsid w:val="002E3FF2"/>
    <w:rsid w:val="002E403D"/>
    <w:rsid w:val="002E4045"/>
    <w:rsid w:val="002E4080"/>
    <w:rsid w:val="002E4105"/>
    <w:rsid w:val="002E4133"/>
    <w:rsid w:val="002E41A7"/>
    <w:rsid w:val="002E41D4"/>
    <w:rsid w:val="002E41FF"/>
    <w:rsid w:val="002E439A"/>
    <w:rsid w:val="002E45BF"/>
    <w:rsid w:val="002E4605"/>
    <w:rsid w:val="002E4670"/>
    <w:rsid w:val="002E472C"/>
    <w:rsid w:val="002E4797"/>
    <w:rsid w:val="002E47C6"/>
    <w:rsid w:val="002E47DF"/>
    <w:rsid w:val="002E486A"/>
    <w:rsid w:val="002E489F"/>
    <w:rsid w:val="002E48AC"/>
    <w:rsid w:val="002E48C3"/>
    <w:rsid w:val="002E48C8"/>
    <w:rsid w:val="002E49C0"/>
    <w:rsid w:val="002E4A20"/>
    <w:rsid w:val="002E4A61"/>
    <w:rsid w:val="002E4A79"/>
    <w:rsid w:val="002E4A7B"/>
    <w:rsid w:val="002E4A86"/>
    <w:rsid w:val="002E4AB1"/>
    <w:rsid w:val="002E4ABB"/>
    <w:rsid w:val="002E4B09"/>
    <w:rsid w:val="002E4BD4"/>
    <w:rsid w:val="002E4C10"/>
    <w:rsid w:val="002E4C3D"/>
    <w:rsid w:val="002E4C81"/>
    <w:rsid w:val="002E4E15"/>
    <w:rsid w:val="002E4E8F"/>
    <w:rsid w:val="002E4F44"/>
    <w:rsid w:val="002E4F8C"/>
    <w:rsid w:val="002E4FB2"/>
    <w:rsid w:val="002E4FD7"/>
    <w:rsid w:val="002E5012"/>
    <w:rsid w:val="002E50A7"/>
    <w:rsid w:val="002E50C8"/>
    <w:rsid w:val="002E534A"/>
    <w:rsid w:val="002E5486"/>
    <w:rsid w:val="002E5530"/>
    <w:rsid w:val="002E554E"/>
    <w:rsid w:val="002E55AB"/>
    <w:rsid w:val="002E55D4"/>
    <w:rsid w:val="002E5613"/>
    <w:rsid w:val="002E5647"/>
    <w:rsid w:val="002E5675"/>
    <w:rsid w:val="002E56C5"/>
    <w:rsid w:val="002E56E2"/>
    <w:rsid w:val="002E571E"/>
    <w:rsid w:val="002E575F"/>
    <w:rsid w:val="002E5789"/>
    <w:rsid w:val="002E578B"/>
    <w:rsid w:val="002E57F3"/>
    <w:rsid w:val="002E5873"/>
    <w:rsid w:val="002E58A1"/>
    <w:rsid w:val="002E5943"/>
    <w:rsid w:val="002E594F"/>
    <w:rsid w:val="002E59B6"/>
    <w:rsid w:val="002E5A49"/>
    <w:rsid w:val="002E5A72"/>
    <w:rsid w:val="002E5A85"/>
    <w:rsid w:val="002E5ACC"/>
    <w:rsid w:val="002E5AD4"/>
    <w:rsid w:val="002E5BEB"/>
    <w:rsid w:val="002E5C23"/>
    <w:rsid w:val="002E5CAC"/>
    <w:rsid w:val="002E5D82"/>
    <w:rsid w:val="002E5D9E"/>
    <w:rsid w:val="002E5E61"/>
    <w:rsid w:val="002E5E9B"/>
    <w:rsid w:val="002E6079"/>
    <w:rsid w:val="002E6097"/>
    <w:rsid w:val="002E6098"/>
    <w:rsid w:val="002E6121"/>
    <w:rsid w:val="002E61CB"/>
    <w:rsid w:val="002E6367"/>
    <w:rsid w:val="002E63BB"/>
    <w:rsid w:val="002E6504"/>
    <w:rsid w:val="002E65C2"/>
    <w:rsid w:val="002E6746"/>
    <w:rsid w:val="002E67F9"/>
    <w:rsid w:val="002E6803"/>
    <w:rsid w:val="002E6815"/>
    <w:rsid w:val="002E685C"/>
    <w:rsid w:val="002E685F"/>
    <w:rsid w:val="002E691F"/>
    <w:rsid w:val="002E6945"/>
    <w:rsid w:val="002E6959"/>
    <w:rsid w:val="002E697D"/>
    <w:rsid w:val="002E69ED"/>
    <w:rsid w:val="002E6A14"/>
    <w:rsid w:val="002E6B11"/>
    <w:rsid w:val="002E6B5D"/>
    <w:rsid w:val="002E6C31"/>
    <w:rsid w:val="002E6C53"/>
    <w:rsid w:val="002E6CC2"/>
    <w:rsid w:val="002E6D6A"/>
    <w:rsid w:val="002E6DDE"/>
    <w:rsid w:val="002E6EB3"/>
    <w:rsid w:val="002E6EBC"/>
    <w:rsid w:val="002E6EE9"/>
    <w:rsid w:val="002E6F1C"/>
    <w:rsid w:val="002E6FA8"/>
    <w:rsid w:val="002E6FB6"/>
    <w:rsid w:val="002E6FE9"/>
    <w:rsid w:val="002E70A7"/>
    <w:rsid w:val="002E7109"/>
    <w:rsid w:val="002E7188"/>
    <w:rsid w:val="002E7194"/>
    <w:rsid w:val="002E71C8"/>
    <w:rsid w:val="002E71CE"/>
    <w:rsid w:val="002E71D1"/>
    <w:rsid w:val="002E722E"/>
    <w:rsid w:val="002E7299"/>
    <w:rsid w:val="002E7320"/>
    <w:rsid w:val="002E7385"/>
    <w:rsid w:val="002E7395"/>
    <w:rsid w:val="002E7422"/>
    <w:rsid w:val="002E74E9"/>
    <w:rsid w:val="002E7527"/>
    <w:rsid w:val="002E752A"/>
    <w:rsid w:val="002E7532"/>
    <w:rsid w:val="002E757A"/>
    <w:rsid w:val="002E75F8"/>
    <w:rsid w:val="002E76B4"/>
    <w:rsid w:val="002E76FD"/>
    <w:rsid w:val="002E7742"/>
    <w:rsid w:val="002E774C"/>
    <w:rsid w:val="002E7751"/>
    <w:rsid w:val="002E77D4"/>
    <w:rsid w:val="002E785E"/>
    <w:rsid w:val="002E78C1"/>
    <w:rsid w:val="002E7949"/>
    <w:rsid w:val="002E7967"/>
    <w:rsid w:val="002E7A45"/>
    <w:rsid w:val="002E7A59"/>
    <w:rsid w:val="002E7ACB"/>
    <w:rsid w:val="002E7B41"/>
    <w:rsid w:val="002E7C38"/>
    <w:rsid w:val="002E7C6E"/>
    <w:rsid w:val="002E7CC2"/>
    <w:rsid w:val="002E7DFB"/>
    <w:rsid w:val="002E7EAC"/>
    <w:rsid w:val="002E7EC8"/>
    <w:rsid w:val="002E7F2B"/>
    <w:rsid w:val="002E7FA4"/>
    <w:rsid w:val="002F0051"/>
    <w:rsid w:val="002F0070"/>
    <w:rsid w:val="002F00C2"/>
    <w:rsid w:val="002F0139"/>
    <w:rsid w:val="002F01B8"/>
    <w:rsid w:val="002F01B9"/>
    <w:rsid w:val="002F0203"/>
    <w:rsid w:val="002F0254"/>
    <w:rsid w:val="002F02AC"/>
    <w:rsid w:val="002F0519"/>
    <w:rsid w:val="002F0523"/>
    <w:rsid w:val="002F05A5"/>
    <w:rsid w:val="002F05D7"/>
    <w:rsid w:val="002F060C"/>
    <w:rsid w:val="002F0616"/>
    <w:rsid w:val="002F06A6"/>
    <w:rsid w:val="002F0789"/>
    <w:rsid w:val="002F0795"/>
    <w:rsid w:val="002F07FA"/>
    <w:rsid w:val="002F0823"/>
    <w:rsid w:val="002F0856"/>
    <w:rsid w:val="002F086A"/>
    <w:rsid w:val="002F08FC"/>
    <w:rsid w:val="002F09BF"/>
    <w:rsid w:val="002F0ACE"/>
    <w:rsid w:val="002F0BAA"/>
    <w:rsid w:val="002F0CBC"/>
    <w:rsid w:val="002F0CE0"/>
    <w:rsid w:val="002F0D0B"/>
    <w:rsid w:val="002F0D98"/>
    <w:rsid w:val="002F0DA7"/>
    <w:rsid w:val="002F0DD5"/>
    <w:rsid w:val="002F0EA8"/>
    <w:rsid w:val="002F0F2A"/>
    <w:rsid w:val="002F0F6D"/>
    <w:rsid w:val="002F0F9E"/>
    <w:rsid w:val="002F0FE9"/>
    <w:rsid w:val="002F1181"/>
    <w:rsid w:val="002F11AF"/>
    <w:rsid w:val="002F11BA"/>
    <w:rsid w:val="002F11CD"/>
    <w:rsid w:val="002F1285"/>
    <w:rsid w:val="002F12AB"/>
    <w:rsid w:val="002F12CF"/>
    <w:rsid w:val="002F137E"/>
    <w:rsid w:val="002F13C6"/>
    <w:rsid w:val="002F15AD"/>
    <w:rsid w:val="002F15D3"/>
    <w:rsid w:val="002F16EE"/>
    <w:rsid w:val="002F1713"/>
    <w:rsid w:val="002F1826"/>
    <w:rsid w:val="002F183F"/>
    <w:rsid w:val="002F1879"/>
    <w:rsid w:val="002F18FA"/>
    <w:rsid w:val="002F1926"/>
    <w:rsid w:val="002F1A8A"/>
    <w:rsid w:val="002F1AC0"/>
    <w:rsid w:val="002F1AC6"/>
    <w:rsid w:val="002F1B54"/>
    <w:rsid w:val="002F1BCB"/>
    <w:rsid w:val="002F1C45"/>
    <w:rsid w:val="002F1C8B"/>
    <w:rsid w:val="002F1CA3"/>
    <w:rsid w:val="002F1CE5"/>
    <w:rsid w:val="002F1CE9"/>
    <w:rsid w:val="002F1D5A"/>
    <w:rsid w:val="002F1D71"/>
    <w:rsid w:val="002F1D7A"/>
    <w:rsid w:val="002F1DC3"/>
    <w:rsid w:val="002F1DCF"/>
    <w:rsid w:val="002F1E11"/>
    <w:rsid w:val="002F1E1E"/>
    <w:rsid w:val="002F1E31"/>
    <w:rsid w:val="002F1E5F"/>
    <w:rsid w:val="002F1E67"/>
    <w:rsid w:val="002F1E75"/>
    <w:rsid w:val="002F1F28"/>
    <w:rsid w:val="002F1F9B"/>
    <w:rsid w:val="002F201E"/>
    <w:rsid w:val="002F2030"/>
    <w:rsid w:val="002F2039"/>
    <w:rsid w:val="002F2045"/>
    <w:rsid w:val="002F2058"/>
    <w:rsid w:val="002F2128"/>
    <w:rsid w:val="002F215F"/>
    <w:rsid w:val="002F2178"/>
    <w:rsid w:val="002F21F1"/>
    <w:rsid w:val="002F2207"/>
    <w:rsid w:val="002F2272"/>
    <w:rsid w:val="002F22A9"/>
    <w:rsid w:val="002F234F"/>
    <w:rsid w:val="002F23D4"/>
    <w:rsid w:val="002F245D"/>
    <w:rsid w:val="002F24D6"/>
    <w:rsid w:val="002F2511"/>
    <w:rsid w:val="002F2548"/>
    <w:rsid w:val="002F25E7"/>
    <w:rsid w:val="002F2650"/>
    <w:rsid w:val="002F267F"/>
    <w:rsid w:val="002F26AB"/>
    <w:rsid w:val="002F26E1"/>
    <w:rsid w:val="002F26FE"/>
    <w:rsid w:val="002F273F"/>
    <w:rsid w:val="002F2757"/>
    <w:rsid w:val="002F27DE"/>
    <w:rsid w:val="002F299E"/>
    <w:rsid w:val="002F29CA"/>
    <w:rsid w:val="002F2A65"/>
    <w:rsid w:val="002F2B02"/>
    <w:rsid w:val="002F2B9E"/>
    <w:rsid w:val="002F2BB1"/>
    <w:rsid w:val="002F2BFD"/>
    <w:rsid w:val="002F2C39"/>
    <w:rsid w:val="002F2C53"/>
    <w:rsid w:val="002F2CED"/>
    <w:rsid w:val="002F2D03"/>
    <w:rsid w:val="002F2D19"/>
    <w:rsid w:val="002F2D54"/>
    <w:rsid w:val="002F2D95"/>
    <w:rsid w:val="002F2DAD"/>
    <w:rsid w:val="002F2DEC"/>
    <w:rsid w:val="002F2DEF"/>
    <w:rsid w:val="002F2F0B"/>
    <w:rsid w:val="002F2F20"/>
    <w:rsid w:val="002F2FC0"/>
    <w:rsid w:val="002F3013"/>
    <w:rsid w:val="002F3078"/>
    <w:rsid w:val="002F31AC"/>
    <w:rsid w:val="002F3246"/>
    <w:rsid w:val="002F3344"/>
    <w:rsid w:val="002F33A2"/>
    <w:rsid w:val="002F3411"/>
    <w:rsid w:val="002F342E"/>
    <w:rsid w:val="002F343F"/>
    <w:rsid w:val="002F34A1"/>
    <w:rsid w:val="002F34B8"/>
    <w:rsid w:val="002F3683"/>
    <w:rsid w:val="002F36FF"/>
    <w:rsid w:val="002F3748"/>
    <w:rsid w:val="002F3799"/>
    <w:rsid w:val="002F37A6"/>
    <w:rsid w:val="002F37AD"/>
    <w:rsid w:val="002F37D1"/>
    <w:rsid w:val="002F3819"/>
    <w:rsid w:val="002F383F"/>
    <w:rsid w:val="002F3849"/>
    <w:rsid w:val="002F38E5"/>
    <w:rsid w:val="002F392C"/>
    <w:rsid w:val="002F3986"/>
    <w:rsid w:val="002F3997"/>
    <w:rsid w:val="002F3A44"/>
    <w:rsid w:val="002F3A4E"/>
    <w:rsid w:val="002F3B16"/>
    <w:rsid w:val="002F3B7C"/>
    <w:rsid w:val="002F3B85"/>
    <w:rsid w:val="002F3BFA"/>
    <w:rsid w:val="002F3CCE"/>
    <w:rsid w:val="002F3CE8"/>
    <w:rsid w:val="002F3D11"/>
    <w:rsid w:val="002F3FC8"/>
    <w:rsid w:val="002F4005"/>
    <w:rsid w:val="002F40D9"/>
    <w:rsid w:val="002F40F6"/>
    <w:rsid w:val="002F40FF"/>
    <w:rsid w:val="002F4141"/>
    <w:rsid w:val="002F41CE"/>
    <w:rsid w:val="002F41F9"/>
    <w:rsid w:val="002F4282"/>
    <w:rsid w:val="002F42AB"/>
    <w:rsid w:val="002F43B5"/>
    <w:rsid w:val="002F43BE"/>
    <w:rsid w:val="002F43D4"/>
    <w:rsid w:val="002F4545"/>
    <w:rsid w:val="002F46FD"/>
    <w:rsid w:val="002F473C"/>
    <w:rsid w:val="002F477E"/>
    <w:rsid w:val="002F47B1"/>
    <w:rsid w:val="002F47B9"/>
    <w:rsid w:val="002F4979"/>
    <w:rsid w:val="002F49D8"/>
    <w:rsid w:val="002F4A00"/>
    <w:rsid w:val="002F4A1D"/>
    <w:rsid w:val="002F4A46"/>
    <w:rsid w:val="002F4B00"/>
    <w:rsid w:val="002F4B4A"/>
    <w:rsid w:val="002F4BC2"/>
    <w:rsid w:val="002F4BE5"/>
    <w:rsid w:val="002F4C76"/>
    <w:rsid w:val="002F4C97"/>
    <w:rsid w:val="002F4D44"/>
    <w:rsid w:val="002F4D71"/>
    <w:rsid w:val="002F4DE4"/>
    <w:rsid w:val="002F4E7F"/>
    <w:rsid w:val="002F4ED1"/>
    <w:rsid w:val="002F4EE9"/>
    <w:rsid w:val="002F4F01"/>
    <w:rsid w:val="002F51A4"/>
    <w:rsid w:val="002F51B5"/>
    <w:rsid w:val="002F51EB"/>
    <w:rsid w:val="002F523F"/>
    <w:rsid w:val="002F526A"/>
    <w:rsid w:val="002F527A"/>
    <w:rsid w:val="002F5286"/>
    <w:rsid w:val="002F52E1"/>
    <w:rsid w:val="002F52F4"/>
    <w:rsid w:val="002F5335"/>
    <w:rsid w:val="002F5428"/>
    <w:rsid w:val="002F5442"/>
    <w:rsid w:val="002F5467"/>
    <w:rsid w:val="002F5481"/>
    <w:rsid w:val="002F5485"/>
    <w:rsid w:val="002F5487"/>
    <w:rsid w:val="002F548A"/>
    <w:rsid w:val="002F54C0"/>
    <w:rsid w:val="002F54C5"/>
    <w:rsid w:val="002F5511"/>
    <w:rsid w:val="002F556B"/>
    <w:rsid w:val="002F56A2"/>
    <w:rsid w:val="002F578E"/>
    <w:rsid w:val="002F57C1"/>
    <w:rsid w:val="002F5823"/>
    <w:rsid w:val="002F584D"/>
    <w:rsid w:val="002F59D5"/>
    <w:rsid w:val="002F5A65"/>
    <w:rsid w:val="002F5A67"/>
    <w:rsid w:val="002F5B49"/>
    <w:rsid w:val="002F5B8C"/>
    <w:rsid w:val="002F5CA4"/>
    <w:rsid w:val="002F5CA5"/>
    <w:rsid w:val="002F5D20"/>
    <w:rsid w:val="002F5DBB"/>
    <w:rsid w:val="002F5DD1"/>
    <w:rsid w:val="002F5E1E"/>
    <w:rsid w:val="002F5E50"/>
    <w:rsid w:val="002F5F33"/>
    <w:rsid w:val="002F5F41"/>
    <w:rsid w:val="002F5F53"/>
    <w:rsid w:val="002F5F73"/>
    <w:rsid w:val="002F5FC3"/>
    <w:rsid w:val="002F5FE8"/>
    <w:rsid w:val="002F6079"/>
    <w:rsid w:val="002F607D"/>
    <w:rsid w:val="002F611A"/>
    <w:rsid w:val="002F614E"/>
    <w:rsid w:val="002F61FD"/>
    <w:rsid w:val="002F624E"/>
    <w:rsid w:val="002F632A"/>
    <w:rsid w:val="002F6366"/>
    <w:rsid w:val="002F6429"/>
    <w:rsid w:val="002F646C"/>
    <w:rsid w:val="002F64A3"/>
    <w:rsid w:val="002F64F7"/>
    <w:rsid w:val="002F6558"/>
    <w:rsid w:val="002F6579"/>
    <w:rsid w:val="002F65E5"/>
    <w:rsid w:val="002F66DA"/>
    <w:rsid w:val="002F672B"/>
    <w:rsid w:val="002F6762"/>
    <w:rsid w:val="002F6790"/>
    <w:rsid w:val="002F679A"/>
    <w:rsid w:val="002F67DC"/>
    <w:rsid w:val="002F687B"/>
    <w:rsid w:val="002F688F"/>
    <w:rsid w:val="002F68A6"/>
    <w:rsid w:val="002F68F6"/>
    <w:rsid w:val="002F6902"/>
    <w:rsid w:val="002F6920"/>
    <w:rsid w:val="002F695C"/>
    <w:rsid w:val="002F6AF0"/>
    <w:rsid w:val="002F6AFD"/>
    <w:rsid w:val="002F6B38"/>
    <w:rsid w:val="002F6B70"/>
    <w:rsid w:val="002F6BD4"/>
    <w:rsid w:val="002F6BEB"/>
    <w:rsid w:val="002F6D18"/>
    <w:rsid w:val="002F6D4E"/>
    <w:rsid w:val="002F6DB0"/>
    <w:rsid w:val="002F6E26"/>
    <w:rsid w:val="002F6E40"/>
    <w:rsid w:val="002F6F4A"/>
    <w:rsid w:val="002F6F73"/>
    <w:rsid w:val="002F7004"/>
    <w:rsid w:val="002F7005"/>
    <w:rsid w:val="002F704D"/>
    <w:rsid w:val="002F7051"/>
    <w:rsid w:val="002F7057"/>
    <w:rsid w:val="002F7126"/>
    <w:rsid w:val="002F7174"/>
    <w:rsid w:val="002F717A"/>
    <w:rsid w:val="002F7272"/>
    <w:rsid w:val="002F7377"/>
    <w:rsid w:val="002F73D6"/>
    <w:rsid w:val="002F7426"/>
    <w:rsid w:val="002F7519"/>
    <w:rsid w:val="002F75AE"/>
    <w:rsid w:val="002F75F9"/>
    <w:rsid w:val="002F763A"/>
    <w:rsid w:val="002F7689"/>
    <w:rsid w:val="002F7700"/>
    <w:rsid w:val="002F7867"/>
    <w:rsid w:val="002F787B"/>
    <w:rsid w:val="002F789F"/>
    <w:rsid w:val="002F78A0"/>
    <w:rsid w:val="002F78AA"/>
    <w:rsid w:val="002F7933"/>
    <w:rsid w:val="002F7952"/>
    <w:rsid w:val="002F798D"/>
    <w:rsid w:val="002F79C9"/>
    <w:rsid w:val="002F7A11"/>
    <w:rsid w:val="002F7A53"/>
    <w:rsid w:val="002F7A6D"/>
    <w:rsid w:val="002F7A71"/>
    <w:rsid w:val="002F7BB8"/>
    <w:rsid w:val="002F7BD5"/>
    <w:rsid w:val="002F7BD7"/>
    <w:rsid w:val="002F7C25"/>
    <w:rsid w:val="002F7CA1"/>
    <w:rsid w:val="002F7CB7"/>
    <w:rsid w:val="002F7CBE"/>
    <w:rsid w:val="002F7CF5"/>
    <w:rsid w:val="002F7D08"/>
    <w:rsid w:val="002F7D0C"/>
    <w:rsid w:val="002F7D54"/>
    <w:rsid w:val="002F7D6E"/>
    <w:rsid w:val="002F7D76"/>
    <w:rsid w:val="002F7DB4"/>
    <w:rsid w:val="002F7DB5"/>
    <w:rsid w:val="002F7E5E"/>
    <w:rsid w:val="002F7E91"/>
    <w:rsid w:val="002F7F6E"/>
    <w:rsid w:val="002F7FDA"/>
    <w:rsid w:val="00300002"/>
    <w:rsid w:val="00300065"/>
    <w:rsid w:val="003000AE"/>
    <w:rsid w:val="00300130"/>
    <w:rsid w:val="00300165"/>
    <w:rsid w:val="00300168"/>
    <w:rsid w:val="003001BF"/>
    <w:rsid w:val="003001EF"/>
    <w:rsid w:val="0030020A"/>
    <w:rsid w:val="00300232"/>
    <w:rsid w:val="0030025C"/>
    <w:rsid w:val="0030026B"/>
    <w:rsid w:val="003002BF"/>
    <w:rsid w:val="0030038A"/>
    <w:rsid w:val="003003C8"/>
    <w:rsid w:val="003003D2"/>
    <w:rsid w:val="00300421"/>
    <w:rsid w:val="00300437"/>
    <w:rsid w:val="0030055D"/>
    <w:rsid w:val="003005F4"/>
    <w:rsid w:val="00300630"/>
    <w:rsid w:val="0030063C"/>
    <w:rsid w:val="00300645"/>
    <w:rsid w:val="00300750"/>
    <w:rsid w:val="00300778"/>
    <w:rsid w:val="003007F4"/>
    <w:rsid w:val="003008D9"/>
    <w:rsid w:val="00300947"/>
    <w:rsid w:val="00300964"/>
    <w:rsid w:val="0030097E"/>
    <w:rsid w:val="003009A2"/>
    <w:rsid w:val="00300A01"/>
    <w:rsid w:val="00300A48"/>
    <w:rsid w:val="00300A60"/>
    <w:rsid w:val="00300AC1"/>
    <w:rsid w:val="00300AC4"/>
    <w:rsid w:val="00300B41"/>
    <w:rsid w:val="00300C5B"/>
    <w:rsid w:val="00300D89"/>
    <w:rsid w:val="00300DAC"/>
    <w:rsid w:val="00300DB7"/>
    <w:rsid w:val="00300E07"/>
    <w:rsid w:val="00300E21"/>
    <w:rsid w:val="00300FA6"/>
    <w:rsid w:val="00301082"/>
    <w:rsid w:val="00301089"/>
    <w:rsid w:val="00301148"/>
    <w:rsid w:val="003011A0"/>
    <w:rsid w:val="003011F3"/>
    <w:rsid w:val="00301235"/>
    <w:rsid w:val="00301273"/>
    <w:rsid w:val="0030134C"/>
    <w:rsid w:val="003013C9"/>
    <w:rsid w:val="00301460"/>
    <w:rsid w:val="0030146C"/>
    <w:rsid w:val="003014D5"/>
    <w:rsid w:val="00301523"/>
    <w:rsid w:val="0030154D"/>
    <w:rsid w:val="00301600"/>
    <w:rsid w:val="00301697"/>
    <w:rsid w:val="003016AE"/>
    <w:rsid w:val="00301725"/>
    <w:rsid w:val="00301764"/>
    <w:rsid w:val="00301781"/>
    <w:rsid w:val="003018E5"/>
    <w:rsid w:val="00301A35"/>
    <w:rsid w:val="00301A37"/>
    <w:rsid w:val="00301A5F"/>
    <w:rsid w:val="00301A7B"/>
    <w:rsid w:val="00301AB4"/>
    <w:rsid w:val="00301B06"/>
    <w:rsid w:val="00301CA1"/>
    <w:rsid w:val="00301CCB"/>
    <w:rsid w:val="00301D11"/>
    <w:rsid w:val="00301D2F"/>
    <w:rsid w:val="00301D41"/>
    <w:rsid w:val="00301D58"/>
    <w:rsid w:val="00301D62"/>
    <w:rsid w:val="00301D8C"/>
    <w:rsid w:val="00301DA3"/>
    <w:rsid w:val="00301DF6"/>
    <w:rsid w:val="00301E0D"/>
    <w:rsid w:val="00301EDE"/>
    <w:rsid w:val="00302049"/>
    <w:rsid w:val="00302097"/>
    <w:rsid w:val="003020C1"/>
    <w:rsid w:val="003020EB"/>
    <w:rsid w:val="003020FC"/>
    <w:rsid w:val="0030214C"/>
    <w:rsid w:val="003022E2"/>
    <w:rsid w:val="003022FF"/>
    <w:rsid w:val="00302316"/>
    <w:rsid w:val="003023A8"/>
    <w:rsid w:val="003023B0"/>
    <w:rsid w:val="003023ED"/>
    <w:rsid w:val="00302504"/>
    <w:rsid w:val="00302549"/>
    <w:rsid w:val="00302557"/>
    <w:rsid w:val="00302574"/>
    <w:rsid w:val="003026E4"/>
    <w:rsid w:val="00302813"/>
    <w:rsid w:val="0030289C"/>
    <w:rsid w:val="003028C1"/>
    <w:rsid w:val="003028E1"/>
    <w:rsid w:val="003029C6"/>
    <w:rsid w:val="00302AA5"/>
    <w:rsid w:val="00302ADB"/>
    <w:rsid w:val="00302C15"/>
    <w:rsid w:val="00302C4C"/>
    <w:rsid w:val="00302C5C"/>
    <w:rsid w:val="00302C7F"/>
    <w:rsid w:val="00302C9D"/>
    <w:rsid w:val="00302CD9"/>
    <w:rsid w:val="00302D73"/>
    <w:rsid w:val="00302D77"/>
    <w:rsid w:val="00302D81"/>
    <w:rsid w:val="00302DBE"/>
    <w:rsid w:val="00302E46"/>
    <w:rsid w:val="00302EF6"/>
    <w:rsid w:val="00302F91"/>
    <w:rsid w:val="0030300B"/>
    <w:rsid w:val="0030319A"/>
    <w:rsid w:val="003031AB"/>
    <w:rsid w:val="0030320D"/>
    <w:rsid w:val="00303255"/>
    <w:rsid w:val="00303277"/>
    <w:rsid w:val="0030328A"/>
    <w:rsid w:val="003032F9"/>
    <w:rsid w:val="00303377"/>
    <w:rsid w:val="003033E6"/>
    <w:rsid w:val="003033EC"/>
    <w:rsid w:val="003034E1"/>
    <w:rsid w:val="00303540"/>
    <w:rsid w:val="0030354D"/>
    <w:rsid w:val="003035BB"/>
    <w:rsid w:val="00303600"/>
    <w:rsid w:val="0030366A"/>
    <w:rsid w:val="00303713"/>
    <w:rsid w:val="00303727"/>
    <w:rsid w:val="0030379A"/>
    <w:rsid w:val="003037B5"/>
    <w:rsid w:val="003037D2"/>
    <w:rsid w:val="003038AA"/>
    <w:rsid w:val="00303918"/>
    <w:rsid w:val="0030395C"/>
    <w:rsid w:val="00303A10"/>
    <w:rsid w:val="00303A36"/>
    <w:rsid w:val="00303AA1"/>
    <w:rsid w:val="00303B38"/>
    <w:rsid w:val="00303B40"/>
    <w:rsid w:val="00303BCF"/>
    <w:rsid w:val="00303C20"/>
    <w:rsid w:val="00303C97"/>
    <w:rsid w:val="00303CA0"/>
    <w:rsid w:val="00303CB9"/>
    <w:rsid w:val="00303CCF"/>
    <w:rsid w:val="00303D25"/>
    <w:rsid w:val="00303D37"/>
    <w:rsid w:val="00303D65"/>
    <w:rsid w:val="00303E02"/>
    <w:rsid w:val="00303E1B"/>
    <w:rsid w:val="00303E37"/>
    <w:rsid w:val="00303E42"/>
    <w:rsid w:val="00303E63"/>
    <w:rsid w:val="00303EE5"/>
    <w:rsid w:val="00303F50"/>
    <w:rsid w:val="00303FBC"/>
    <w:rsid w:val="00303FE1"/>
    <w:rsid w:val="003040EE"/>
    <w:rsid w:val="0030412E"/>
    <w:rsid w:val="00304190"/>
    <w:rsid w:val="00304219"/>
    <w:rsid w:val="003042C0"/>
    <w:rsid w:val="0030439A"/>
    <w:rsid w:val="00304406"/>
    <w:rsid w:val="0030448D"/>
    <w:rsid w:val="003044E4"/>
    <w:rsid w:val="003044FD"/>
    <w:rsid w:val="0030450F"/>
    <w:rsid w:val="00304581"/>
    <w:rsid w:val="0030460A"/>
    <w:rsid w:val="00304742"/>
    <w:rsid w:val="0030474A"/>
    <w:rsid w:val="0030477E"/>
    <w:rsid w:val="003047DF"/>
    <w:rsid w:val="00304825"/>
    <w:rsid w:val="00304894"/>
    <w:rsid w:val="0030492D"/>
    <w:rsid w:val="00304AA5"/>
    <w:rsid w:val="00304ABD"/>
    <w:rsid w:val="00304AC5"/>
    <w:rsid w:val="00304BE7"/>
    <w:rsid w:val="00304C20"/>
    <w:rsid w:val="00304C40"/>
    <w:rsid w:val="00304CAD"/>
    <w:rsid w:val="00304D50"/>
    <w:rsid w:val="00304D5F"/>
    <w:rsid w:val="00304DDA"/>
    <w:rsid w:val="00304E1F"/>
    <w:rsid w:val="00304E83"/>
    <w:rsid w:val="00304EF2"/>
    <w:rsid w:val="00304F2B"/>
    <w:rsid w:val="00304F98"/>
    <w:rsid w:val="00304FCE"/>
    <w:rsid w:val="0030502C"/>
    <w:rsid w:val="00305155"/>
    <w:rsid w:val="003051CA"/>
    <w:rsid w:val="003051EB"/>
    <w:rsid w:val="0030520F"/>
    <w:rsid w:val="00305252"/>
    <w:rsid w:val="003052CC"/>
    <w:rsid w:val="003052E8"/>
    <w:rsid w:val="0030531A"/>
    <w:rsid w:val="0030533E"/>
    <w:rsid w:val="0030535E"/>
    <w:rsid w:val="003053CD"/>
    <w:rsid w:val="003053EC"/>
    <w:rsid w:val="003053F4"/>
    <w:rsid w:val="003053F9"/>
    <w:rsid w:val="00305401"/>
    <w:rsid w:val="00305498"/>
    <w:rsid w:val="003054C0"/>
    <w:rsid w:val="0030550D"/>
    <w:rsid w:val="0030551F"/>
    <w:rsid w:val="0030552E"/>
    <w:rsid w:val="00305581"/>
    <w:rsid w:val="003055BF"/>
    <w:rsid w:val="0030585B"/>
    <w:rsid w:val="003058CF"/>
    <w:rsid w:val="00305AA4"/>
    <w:rsid w:val="00305AE3"/>
    <w:rsid w:val="00305AE4"/>
    <w:rsid w:val="00305AF5"/>
    <w:rsid w:val="00305B0F"/>
    <w:rsid w:val="00305B5A"/>
    <w:rsid w:val="00305B60"/>
    <w:rsid w:val="00305C80"/>
    <w:rsid w:val="00305D62"/>
    <w:rsid w:val="00305D66"/>
    <w:rsid w:val="00305D80"/>
    <w:rsid w:val="00305D8A"/>
    <w:rsid w:val="00305E66"/>
    <w:rsid w:val="00305E6C"/>
    <w:rsid w:val="00305EC0"/>
    <w:rsid w:val="00305F31"/>
    <w:rsid w:val="00305F65"/>
    <w:rsid w:val="00305FA4"/>
    <w:rsid w:val="00305FAE"/>
    <w:rsid w:val="00305FB4"/>
    <w:rsid w:val="00306004"/>
    <w:rsid w:val="00306036"/>
    <w:rsid w:val="00306045"/>
    <w:rsid w:val="003060BE"/>
    <w:rsid w:val="003060DC"/>
    <w:rsid w:val="0030617B"/>
    <w:rsid w:val="0030622A"/>
    <w:rsid w:val="0030628C"/>
    <w:rsid w:val="003062AE"/>
    <w:rsid w:val="003062DB"/>
    <w:rsid w:val="003062F7"/>
    <w:rsid w:val="0030643F"/>
    <w:rsid w:val="003064DB"/>
    <w:rsid w:val="0030654F"/>
    <w:rsid w:val="0030655A"/>
    <w:rsid w:val="003065A0"/>
    <w:rsid w:val="00306677"/>
    <w:rsid w:val="00306702"/>
    <w:rsid w:val="00306824"/>
    <w:rsid w:val="0030683A"/>
    <w:rsid w:val="00306896"/>
    <w:rsid w:val="003068A3"/>
    <w:rsid w:val="0030690D"/>
    <w:rsid w:val="0030694F"/>
    <w:rsid w:val="0030695C"/>
    <w:rsid w:val="00306986"/>
    <w:rsid w:val="003069C1"/>
    <w:rsid w:val="00306B09"/>
    <w:rsid w:val="00306B3C"/>
    <w:rsid w:val="00306B7C"/>
    <w:rsid w:val="00306BE1"/>
    <w:rsid w:val="00306C33"/>
    <w:rsid w:val="00306C79"/>
    <w:rsid w:val="00306C96"/>
    <w:rsid w:val="00306CD0"/>
    <w:rsid w:val="00306D10"/>
    <w:rsid w:val="00306D33"/>
    <w:rsid w:val="00306D43"/>
    <w:rsid w:val="00306D78"/>
    <w:rsid w:val="00306DA2"/>
    <w:rsid w:val="00306E39"/>
    <w:rsid w:val="00306E74"/>
    <w:rsid w:val="00306EA2"/>
    <w:rsid w:val="00306EE4"/>
    <w:rsid w:val="00306F1A"/>
    <w:rsid w:val="00306F21"/>
    <w:rsid w:val="00306F88"/>
    <w:rsid w:val="00306FE4"/>
    <w:rsid w:val="00307065"/>
    <w:rsid w:val="003070B1"/>
    <w:rsid w:val="00307122"/>
    <w:rsid w:val="003071D5"/>
    <w:rsid w:val="00307214"/>
    <w:rsid w:val="00307264"/>
    <w:rsid w:val="00307274"/>
    <w:rsid w:val="00307288"/>
    <w:rsid w:val="00307298"/>
    <w:rsid w:val="003072F7"/>
    <w:rsid w:val="00307384"/>
    <w:rsid w:val="00307554"/>
    <w:rsid w:val="00307611"/>
    <w:rsid w:val="00307638"/>
    <w:rsid w:val="00307695"/>
    <w:rsid w:val="00307766"/>
    <w:rsid w:val="0030776F"/>
    <w:rsid w:val="00307771"/>
    <w:rsid w:val="00307789"/>
    <w:rsid w:val="003077B3"/>
    <w:rsid w:val="003077F4"/>
    <w:rsid w:val="0030780E"/>
    <w:rsid w:val="00307834"/>
    <w:rsid w:val="0030787A"/>
    <w:rsid w:val="003078C2"/>
    <w:rsid w:val="00307930"/>
    <w:rsid w:val="0030793E"/>
    <w:rsid w:val="0030795B"/>
    <w:rsid w:val="003079D0"/>
    <w:rsid w:val="00307AE5"/>
    <w:rsid w:val="00307B29"/>
    <w:rsid w:val="00307B56"/>
    <w:rsid w:val="00307B9A"/>
    <w:rsid w:val="00307BA2"/>
    <w:rsid w:val="00307BD3"/>
    <w:rsid w:val="00307C3E"/>
    <w:rsid w:val="00307C89"/>
    <w:rsid w:val="00307CC0"/>
    <w:rsid w:val="00307D1D"/>
    <w:rsid w:val="00307EB5"/>
    <w:rsid w:val="00307F0D"/>
    <w:rsid w:val="00307F2D"/>
    <w:rsid w:val="0031000D"/>
    <w:rsid w:val="0031005F"/>
    <w:rsid w:val="00310138"/>
    <w:rsid w:val="00310214"/>
    <w:rsid w:val="003102CE"/>
    <w:rsid w:val="003102F0"/>
    <w:rsid w:val="003103D2"/>
    <w:rsid w:val="003103F8"/>
    <w:rsid w:val="0031043D"/>
    <w:rsid w:val="003104A6"/>
    <w:rsid w:val="003104BA"/>
    <w:rsid w:val="0031055B"/>
    <w:rsid w:val="0031064D"/>
    <w:rsid w:val="0031069A"/>
    <w:rsid w:val="00310741"/>
    <w:rsid w:val="00310762"/>
    <w:rsid w:val="003107FA"/>
    <w:rsid w:val="003107FD"/>
    <w:rsid w:val="0031080A"/>
    <w:rsid w:val="0031085B"/>
    <w:rsid w:val="00310883"/>
    <w:rsid w:val="00310924"/>
    <w:rsid w:val="00310946"/>
    <w:rsid w:val="00310991"/>
    <w:rsid w:val="003109B7"/>
    <w:rsid w:val="003109CE"/>
    <w:rsid w:val="00310A49"/>
    <w:rsid w:val="00310A5E"/>
    <w:rsid w:val="00310AC7"/>
    <w:rsid w:val="00310B27"/>
    <w:rsid w:val="00310B60"/>
    <w:rsid w:val="00310D65"/>
    <w:rsid w:val="00310D89"/>
    <w:rsid w:val="00310DBA"/>
    <w:rsid w:val="00310DBC"/>
    <w:rsid w:val="00310DDC"/>
    <w:rsid w:val="00310DFD"/>
    <w:rsid w:val="00310E2D"/>
    <w:rsid w:val="00310E4A"/>
    <w:rsid w:val="00310E9B"/>
    <w:rsid w:val="00310EEE"/>
    <w:rsid w:val="00310F23"/>
    <w:rsid w:val="00310F4C"/>
    <w:rsid w:val="00310F64"/>
    <w:rsid w:val="00310F85"/>
    <w:rsid w:val="00310F8F"/>
    <w:rsid w:val="00310FBA"/>
    <w:rsid w:val="00310FC9"/>
    <w:rsid w:val="00310FE4"/>
    <w:rsid w:val="00311012"/>
    <w:rsid w:val="00311028"/>
    <w:rsid w:val="0031103F"/>
    <w:rsid w:val="00311054"/>
    <w:rsid w:val="00311128"/>
    <w:rsid w:val="0031119E"/>
    <w:rsid w:val="003111D9"/>
    <w:rsid w:val="003111EF"/>
    <w:rsid w:val="00311274"/>
    <w:rsid w:val="003112DE"/>
    <w:rsid w:val="00311385"/>
    <w:rsid w:val="003113B0"/>
    <w:rsid w:val="003113DE"/>
    <w:rsid w:val="00311479"/>
    <w:rsid w:val="003114C8"/>
    <w:rsid w:val="0031157E"/>
    <w:rsid w:val="003115F4"/>
    <w:rsid w:val="00311638"/>
    <w:rsid w:val="0031167E"/>
    <w:rsid w:val="00311688"/>
    <w:rsid w:val="003116DE"/>
    <w:rsid w:val="003116FB"/>
    <w:rsid w:val="00311705"/>
    <w:rsid w:val="0031173C"/>
    <w:rsid w:val="00311838"/>
    <w:rsid w:val="0031184D"/>
    <w:rsid w:val="0031189F"/>
    <w:rsid w:val="003118F1"/>
    <w:rsid w:val="00311A0A"/>
    <w:rsid w:val="00311A73"/>
    <w:rsid w:val="00311A9D"/>
    <w:rsid w:val="00311AB9"/>
    <w:rsid w:val="00311B23"/>
    <w:rsid w:val="00311B7A"/>
    <w:rsid w:val="00311C86"/>
    <w:rsid w:val="00311CB5"/>
    <w:rsid w:val="00311CD9"/>
    <w:rsid w:val="00311D15"/>
    <w:rsid w:val="00311D6B"/>
    <w:rsid w:val="00311D92"/>
    <w:rsid w:val="00311D9C"/>
    <w:rsid w:val="00311E2D"/>
    <w:rsid w:val="00311E8F"/>
    <w:rsid w:val="00311E93"/>
    <w:rsid w:val="00311EAA"/>
    <w:rsid w:val="00311F35"/>
    <w:rsid w:val="00311F64"/>
    <w:rsid w:val="00311F88"/>
    <w:rsid w:val="00311FDA"/>
    <w:rsid w:val="00311FDB"/>
    <w:rsid w:val="00312096"/>
    <w:rsid w:val="00312117"/>
    <w:rsid w:val="00312152"/>
    <w:rsid w:val="003121D5"/>
    <w:rsid w:val="00312259"/>
    <w:rsid w:val="00312262"/>
    <w:rsid w:val="003122E3"/>
    <w:rsid w:val="003122F2"/>
    <w:rsid w:val="003125D2"/>
    <w:rsid w:val="00312614"/>
    <w:rsid w:val="00312660"/>
    <w:rsid w:val="003127AD"/>
    <w:rsid w:val="003127D1"/>
    <w:rsid w:val="00312820"/>
    <w:rsid w:val="0031289D"/>
    <w:rsid w:val="00312920"/>
    <w:rsid w:val="00312962"/>
    <w:rsid w:val="0031298B"/>
    <w:rsid w:val="00312B44"/>
    <w:rsid w:val="00312C25"/>
    <w:rsid w:val="00312C3B"/>
    <w:rsid w:val="00312CA6"/>
    <w:rsid w:val="00312D84"/>
    <w:rsid w:val="00312E21"/>
    <w:rsid w:val="00312E7A"/>
    <w:rsid w:val="00312EAF"/>
    <w:rsid w:val="00312EB2"/>
    <w:rsid w:val="00312EC3"/>
    <w:rsid w:val="00312FEB"/>
    <w:rsid w:val="00313004"/>
    <w:rsid w:val="0031305A"/>
    <w:rsid w:val="00313094"/>
    <w:rsid w:val="003130AB"/>
    <w:rsid w:val="0031312A"/>
    <w:rsid w:val="00313194"/>
    <w:rsid w:val="003131A7"/>
    <w:rsid w:val="00313217"/>
    <w:rsid w:val="00313225"/>
    <w:rsid w:val="00313241"/>
    <w:rsid w:val="003132CE"/>
    <w:rsid w:val="00313331"/>
    <w:rsid w:val="003133F2"/>
    <w:rsid w:val="003133FE"/>
    <w:rsid w:val="00313475"/>
    <w:rsid w:val="00313490"/>
    <w:rsid w:val="003134FB"/>
    <w:rsid w:val="00313508"/>
    <w:rsid w:val="0031368E"/>
    <w:rsid w:val="003136A4"/>
    <w:rsid w:val="003136A8"/>
    <w:rsid w:val="00313808"/>
    <w:rsid w:val="00313821"/>
    <w:rsid w:val="00313846"/>
    <w:rsid w:val="003138A4"/>
    <w:rsid w:val="003138AF"/>
    <w:rsid w:val="003138B6"/>
    <w:rsid w:val="00313910"/>
    <w:rsid w:val="0031396B"/>
    <w:rsid w:val="00313A1D"/>
    <w:rsid w:val="00313AB2"/>
    <w:rsid w:val="00313AF3"/>
    <w:rsid w:val="00313C0C"/>
    <w:rsid w:val="00313C2E"/>
    <w:rsid w:val="00313D2F"/>
    <w:rsid w:val="00313D84"/>
    <w:rsid w:val="00313DC2"/>
    <w:rsid w:val="00313E07"/>
    <w:rsid w:val="00313E97"/>
    <w:rsid w:val="00313E9F"/>
    <w:rsid w:val="00313EA2"/>
    <w:rsid w:val="00314020"/>
    <w:rsid w:val="00314059"/>
    <w:rsid w:val="00314060"/>
    <w:rsid w:val="00314079"/>
    <w:rsid w:val="0031415D"/>
    <w:rsid w:val="0031417C"/>
    <w:rsid w:val="003141B5"/>
    <w:rsid w:val="00314211"/>
    <w:rsid w:val="0031428B"/>
    <w:rsid w:val="00314294"/>
    <w:rsid w:val="003142C5"/>
    <w:rsid w:val="0031439C"/>
    <w:rsid w:val="003143D8"/>
    <w:rsid w:val="003143DE"/>
    <w:rsid w:val="00314486"/>
    <w:rsid w:val="00314568"/>
    <w:rsid w:val="003145F7"/>
    <w:rsid w:val="00314638"/>
    <w:rsid w:val="003146D8"/>
    <w:rsid w:val="00314753"/>
    <w:rsid w:val="00314827"/>
    <w:rsid w:val="00314828"/>
    <w:rsid w:val="00314834"/>
    <w:rsid w:val="00314912"/>
    <w:rsid w:val="003149AA"/>
    <w:rsid w:val="00314A0E"/>
    <w:rsid w:val="00314A31"/>
    <w:rsid w:val="00314A6F"/>
    <w:rsid w:val="00314A9D"/>
    <w:rsid w:val="00314AC7"/>
    <w:rsid w:val="00314C2B"/>
    <w:rsid w:val="00314C96"/>
    <w:rsid w:val="00314CB0"/>
    <w:rsid w:val="00314D1D"/>
    <w:rsid w:val="00314DAB"/>
    <w:rsid w:val="00314EE2"/>
    <w:rsid w:val="00314F63"/>
    <w:rsid w:val="00314FCF"/>
    <w:rsid w:val="00315017"/>
    <w:rsid w:val="0031503E"/>
    <w:rsid w:val="003150AB"/>
    <w:rsid w:val="003150D0"/>
    <w:rsid w:val="0031516A"/>
    <w:rsid w:val="00315268"/>
    <w:rsid w:val="003152BC"/>
    <w:rsid w:val="00315354"/>
    <w:rsid w:val="003153FC"/>
    <w:rsid w:val="00315438"/>
    <w:rsid w:val="00315475"/>
    <w:rsid w:val="003154DF"/>
    <w:rsid w:val="003154F3"/>
    <w:rsid w:val="0031552E"/>
    <w:rsid w:val="00315541"/>
    <w:rsid w:val="0031554B"/>
    <w:rsid w:val="003155E9"/>
    <w:rsid w:val="00315696"/>
    <w:rsid w:val="00315723"/>
    <w:rsid w:val="00315869"/>
    <w:rsid w:val="00315890"/>
    <w:rsid w:val="003158E8"/>
    <w:rsid w:val="003158F5"/>
    <w:rsid w:val="0031591A"/>
    <w:rsid w:val="0031592A"/>
    <w:rsid w:val="0031593A"/>
    <w:rsid w:val="003159CE"/>
    <w:rsid w:val="00315B3B"/>
    <w:rsid w:val="00315B8C"/>
    <w:rsid w:val="00315BF1"/>
    <w:rsid w:val="00315C53"/>
    <w:rsid w:val="00315D18"/>
    <w:rsid w:val="00315D33"/>
    <w:rsid w:val="00315D6C"/>
    <w:rsid w:val="00315D6E"/>
    <w:rsid w:val="00315DE0"/>
    <w:rsid w:val="00315E97"/>
    <w:rsid w:val="00315EDB"/>
    <w:rsid w:val="00315EE0"/>
    <w:rsid w:val="00315F29"/>
    <w:rsid w:val="00316032"/>
    <w:rsid w:val="00316068"/>
    <w:rsid w:val="00316084"/>
    <w:rsid w:val="00316098"/>
    <w:rsid w:val="003160A1"/>
    <w:rsid w:val="003160C3"/>
    <w:rsid w:val="003161AE"/>
    <w:rsid w:val="00316253"/>
    <w:rsid w:val="0031626F"/>
    <w:rsid w:val="003162B6"/>
    <w:rsid w:val="003162D7"/>
    <w:rsid w:val="0031633C"/>
    <w:rsid w:val="00316360"/>
    <w:rsid w:val="003163DF"/>
    <w:rsid w:val="003163E3"/>
    <w:rsid w:val="00316457"/>
    <w:rsid w:val="003164B4"/>
    <w:rsid w:val="003164D2"/>
    <w:rsid w:val="00316561"/>
    <w:rsid w:val="00316593"/>
    <w:rsid w:val="003165A2"/>
    <w:rsid w:val="003165FB"/>
    <w:rsid w:val="00316605"/>
    <w:rsid w:val="0031666E"/>
    <w:rsid w:val="0031668D"/>
    <w:rsid w:val="003166EE"/>
    <w:rsid w:val="00316774"/>
    <w:rsid w:val="00316842"/>
    <w:rsid w:val="00316892"/>
    <w:rsid w:val="003168A9"/>
    <w:rsid w:val="003169E8"/>
    <w:rsid w:val="00316A0C"/>
    <w:rsid w:val="00316A62"/>
    <w:rsid w:val="00316AF0"/>
    <w:rsid w:val="00316C30"/>
    <w:rsid w:val="00316C3F"/>
    <w:rsid w:val="00316C4B"/>
    <w:rsid w:val="00316CBC"/>
    <w:rsid w:val="00316DF0"/>
    <w:rsid w:val="00317030"/>
    <w:rsid w:val="00317044"/>
    <w:rsid w:val="003171B3"/>
    <w:rsid w:val="0031722C"/>
    <w:rsid w:val="0031726C"/>
    <w:rsid w:val="003173A7"/>
    <w:rsid w:val="003173DE"/>
    <w:rsid w:val="0031740E"/>
    <w:rsid w:val="00317414"/>
    <w:rsid w:val="00317416"/>
    <w:rsid w:val="0031742C"/>
    <w:rsid w:val="003174B7"/>
    <w:rsid w:val="003174B9"/>
    <w:rsid w:val="003175FE"/>
    <w:rsid w:val="00317631"/>
    <w:rsid w:val="0031764E"/>
    <w:rsid w:val="003176AB"/>
    <w:rsid w:val="0031779F"/>
    <w:rsid w:val="00317860"/>
    <w:rsid w:val="00317904"/>
    <w:rsid w:val="00317915"/>
    <w:rsid w:val="00317986"/>
    <w:rsid w:val="00317992"/>
    <w:rsid w:val="00317A35"/>
    <w:rsid w:val="00317A76"/>
    <w:rsid w:val="00317AC6"/>
    <w:rsid w:val="00317AE2"/>
    <w:rsid w:val="00317B89"/>
    <w:rsid w:val="00317BCA"/>
    <w:rsid w:val="00317BD6"/>
    <w:rsid w:val="00317C27"/>
    <w:rsid w:val="00317C67"/>
    <w:rsid w:val="00317D10"/>
    <w:rsid w:val="00317D87"/>
    <w:rsid w:val="00317DDB"/>
    <w:rsid w:val="00317EB1"/>
    <w:rsid w:val="00317F4F"/>
    <w:rsid w:val="00320054"/>
    <w:rsid w:val="003200E3"/>
    <w:rsid w:val="003201C3"/>
    <w:rsid w:val="003201CD"/>
    <w:rsid w:val="00320232"/>
    <w:rsid w:val="00320239"/>
    <w:rsid w:val="003202C3"/>
    <w:rsid w:val="0032032B"/>
    <w:rsid w:val="00320360"/>
    <w:rsid w:val="003203AA"/>
    <w:rsid w:val="003203B6"/>
    <w:rsid w:val="003203E2"/>
    <w:rsid w:val="00320423"/>
    <w:rsid w:val="00320493"/>
    <w:rsid w:val="003204BA"/>
    <w:rsid w:val="003204C6"/>
    <w:rsid w:val="003204D3"/>
    <w:rsid w:val="003204DD"/>
    <w:rsid w:val="00320575"/>
    <w:rsid w:val="003205E4"/>
    <w:rsid w:val="00320634"/>
    <w:rsid w:val="00320651"/>
    <w:rsid w:val="003206DA"/>
    <w:rsid w:val="003206F4"/>
    <w:rsid w:val="00320758"/>
    <w:rsid w:val="00320789"/>
    <w:rsid w:val="00320802"/>
    <w:rsid w:val="00320854"/>
    <w:rsid w:val="00320864"/>
    <w:rsid w:val="003208D8"/>
    <w:rsid w:val="003208EA"/>
    <w:rsid w:val="003208F5"/>
    <w:rsid w:val="00320A47"/>
    <w:rsid w:val="00320AE7"/>
    <w:rsid w:val="00320AF0"/>
    <w:rsid w:val="00320B47"/>
    <w:rsid w:val="00320C96"/>
    <w:rsid w:val="00320D02"/>
    <w:rsid w:val="00320D33"/>
    <w:rsid w:val="00320D65"/>
    <w:rsid w:val="00320E1B"/>
    <w:rsid w:val="00320F17"/>
    <w:rsid w:val="00320F9E"/>
    <w:rsid w:val="00320FE0"/>
    <w:rsid w:val="003210C0"/>
    <w:rsid w:val="0032110A"/>
    <w:rsid w:val="00321123"/>
    <w:rsid w:val="0032116E"/>
    <w:rsid w:val="00321184"/>
    <w:rsid w:val="003211C5"/>
    <w:rsid w:val="003212A5"/>
    <w:rsid w:val="003212C0"/>
    <w:rsid w:val="003212FC"/>
    <w:rsid w:val="00321310"/>
    <w:rsid w:val="0032132C"/>
    <w:rsid w:val="00321354"/>
    <w:rsid w:val="0032135F"/>
    <w:rsid w:val="0032137E"/>
    <w:rsid w:val="003213D7"/>
    <w:rsid w:val="00321425"/>
    <w:rsid w:val="0032143F"/>
    <w:rsid w:val="00321453"/>
    <w:rsid w:val="003214D5"/>
    <w:rsid w:val="003214E7"/>
    <w:rsid w:val="0032167E"/>
    <w:rsid w:val="00321738"/>
    <w:rsid w:val="00321773"/>
    <w:rsid w:val="00321816"/>
    <w:rsid w:val="00321842"/>
    <w:rsid w:val="00321851"/>
    <w:rsid w:val="0032191E"/>
    <w:rsid w:val="00321971"/>
    <w:rsid w:val="003219C5"/>
    <w:rsid w:val="00321A1F"/>
    <w:rsid w:val="00321B27"/>
    <w:rsid w:val="00321B39"/>
    <w:rsid w:val="00321B42"/>
    <w:rsid w:val="00321C0F"/>
    <w:rsid w:val="00321C28"/>
    <w:rsid w:val="00321CD9"/>
    <w:rsid w:val="00321CFF"/>
    <w:rsid w:val="00321D45"/>
    <w:rsid w:val="00321E45"/>
    <w:rsid w:val="00321E95"/>
    <w:rsid w:val="00321EFC"/>
    <w:rsid w:val="00321F17"/>
    <w:rsid w:val="00321F29"/>
    <w:rsid w:val="00321F7A"/>
    <w:rsid w:val="00321F89"/>
    <w:rsid w:val="003220F2"/>
    <w:rsid w:val="0032212C"/>
    <w:rsid w:val="00322133"/>
    <w:rsid w:val="0032213D"/>
    <w:rsid w:val="0032216A"/>
    <w:rsid w:val="00322175"/>
    <w:rsid w:val="00322184"/>
    <w:rsid w:val="003221AC"/>
    <w:rsid w:val="0032229A"/>
    <w:rsid w:val="003222C8"/>
    <w:rsid w:val="0032234D"/>
    <w:rsid w:val="00322355"/>
    <w:rsid w:val="00322421"/>
    <w:rsid w:val="00322446"/>
    <w:rsid w:val="00322454"/>
    <w:rsid w:val="0032248E"/>
    <w:rsid w:val="00322500"/>
    <w:rsid w:val="00322534"/>
    <w:rsid w:val="0032253E"/>
    <w:rsid w:val="0032257D"/>
    <w:rsid w:val="003225C8"/>
    <w:rsid w:val="003225E3"/>
    <w:rsid w:val="0032263C"/>
    <w:rsid w:val="00322694"/>
    <w:rsid w:val="003227A2"/>
    <w:rsid w:val="003227B7"/>
    <w:rsid w:val="003227ED"/>
    <w:rsid w:val="00322817"/>
    <w:rsid w:val="003228AE"/>
    <w:rsid w:val="003228D2"/>
    <w:rsid w:val="00322977"/>
    <w:rsid w:val="00322AE9"/>
    <w:rsid w:val="00322B4E"/>
    <w:rsid w:val="00322B69"/>
    <w:rsid w:val="00322BA6"/>
    <w:rsid w:val="00322C06"/>
    <w:rsid w:val="00322CE2"/>
    <w:rsid w:val="00322CE4"/>
    <w:rsid w:val="00322CFF"/>
    <w:rsid w:val="00322D2B"/>
    <w:rsid w:val="00322EA6"/>
    <w:rsid w:val="00322F0D"/>
    <w:rsid w:val="00322F1F"/>
    <w:rsid w:val="00322F6A"/>
    <w:rsid w:val="00322FBC"/>
    <w:rsid w:val="00322FC2"/>
    <w:rsid w:val="00322FE4"/>
    <w:rsid w:val="0032300C"/>
    <w:rsid w:val="0032301D"/>
    <w:rsid w:val="0032309A"/>
    <w:rsid w:val="00323160"/>
    <w:rsid w:val="00323226"/>
    <w:rsid w:val="00323244"/>
    <w:rsid w:val="00323296"/>
    <w:rsid w:val="003232AC"/>
    <w:rsid w:val="00323333"/>
    <w:rsid w:val="00323358"/>
    <w:rsid w:val="00323422"/>
    <w:rsid w:val="00323483"/>
    <w:rsid w:val="00323498"/>
    <w:rsid w:val="0032351B"/>
    <w:rsid w:val="00323538"/>
    <w:rsid w:val="0032353B"/>
    <w:rsid w:val="003235A9"/>
    <w:rsid w:val="003235C3"/>
    <w:rsid w:val="00323605"/>
    <w:rsid w:val="00323684"/>
    <w:rsid w:val="0032371F"/>
    <w:rsid w:val="00323790"/>
    <w:rsid w:val="00323792"/>
    <w:rsid w:val="003237EA"/>
    <w:rsid w:val="003239C3"/>
    <w:rsid w:val="00323A31"/>
    <w:rsid w:val="00323A74"/>
    <w:rsid w:val="00323AE1"/>
    <w:rsid w:val="00323AE6"/>
    <w:rsid w:val="00323B01"/>
    <w:rsid w:val="00323B5F"/>
    <w:rsid w:val="00323B8A"/>
    <w:rsid w:val="00323C9A"/>
    <w:rsid w:val="00323CCE"/>
    <w:rsid w:val="00323D1D"/>
    <w:rsid w:val="00323D55"/>
    <w:rsid w:val="00323D56"/>
    <w:rsid w:val="00323E02"/>
    <w:rsid w:val="00323E12"/>
    <w:rsid w:val="00323E5D"/>
    <w:rsid w:val="00323EB2"/>
    <w:rsid w:val="00323EBF"/>
    <w:rsid w:val="00323ED3"/>
    <w:rsid w:val="00323EE4"/>
    <w:rsid w:val="00323EF6"/>
    <w:rsid w:val="00323F29"/>
    <w:rsid w:val="00323F89"/>
    <w:rsid w:val="00323F98"/>
    <w:rsid w:val="00323FFD"/>
    <w:rsid w:val="00324102"/>
    <w:rsid w:val="0032416B"/>
    <w:rsid w:val="003241B3"/>
    <w:rsid w:val="003241DB"/>
    <w:rsid w:val="00324206"/>
    <w:rsid w:val="0032425E"/>
    <w:rsid w:val="003242BC"/>
    <w:rsid w:val="003242F1"/>
    <w:rsid w:val="003242F5"/>
    <w:rsid w:val="00324336"/>
    <w:rsid w:val="0032436E"/>
    <w:rsid w:val="003243F9"/>
    <w:rsid w:val="00324413"/>
    <w:rsid w:val="0032447E"/>
    <w:rsid w:val="00324488"/>
    <w:rsid w:val="003244AB"/>
    <w:rsid w:val="003244C1"/>
    <w:rsid w:val="00324564"/>
    <w:rsid w:val="003245FC"/>
    <w:rsid w:val="0032478A"/>
    <w:rsid w:val="0032495F"/>
    <w:rsid w:val="003249B1"/>
    <w:rsid w:val="00324A13"/>
    <w:rsid w:val="00324A54"/>
    <w:rsid w:val="00324B03"/>
    <w:rsid w:val="00324B47"/>
    <w:rsid w:val="00324B79"/>
    <w:rsid w:val="00324BA7"/>
    <w:rsid w:val="00324BEA"/>
    <w:rsid w:val="00324BFD"/>
    <w:rsid w:val="00324BFF"/>
    <w:rsid w:val="00324C5E"/>
    <w:rsid w:val="00324CA2"/>
    <w:rsid w:val="00324D40"/>
    <w:rsid w:val="00324D7D"/>
    <w:rsid w:val="00324DEE"/>
    <w:rsid w:val="00324E10"/>
    <w:rsid w:val="00324E17"/>
    <w:rsid w:val="00324E7A"/>
    <w:rsid w:val="00324F4A"/>
    <w:rsid w:val="00324F54"/>
    <w:rsid w:val="0032500B"/>
    <w:rsid w:val="003250DA"/>
    <w:rsid w:val="003250E6"/>
    <w:rsid w:val="00325140"/>
    <w:rsid w:val="003251B2"/>
    <w:rsid w:val="003251E0"/>
    <w:rsid w:val="0032521C"/>
    <w:rsid w:val="00325227"/>
    <w:rsid w:val="00325235"/>
    <w:rsid w:val="00325276"/>
    <w:rsid w:val="003252D5"/>
    <w:rsid w:val="003253A8"/>
    <w:rsid w:val="003253AF"/>
    <w:rsid w:val="003253E2"/>
    <w:rsid w:val="003253F7"/>
    <w:rsid w:val="00325417"/>
    <w:rsid w:val="003254BC"/>
    <w:rsid w:val="00325526"/>
    <w:rsid w:val="00325549"/>
    <w:rsid w:val="0032564F"/>
    <w:rsid w:val="003256D1"/>
    <w:rsid w:val="0032576E"/>
    <w:rsid w:val="00325793"/>
    <w:rsid w:val="003258F1"/>
    <w:rsid w:val="003258FA"/>
    <w:rsid w:val="00325911"/>
    <w:rsid w:val="00325A09"/>
    <w:rsid w:val="00325A36"/>
    <w:rsid w:val="00325A9F"/>
    <w:rsid w:val="00325AC8"/>
    <w:rsid w:val="00325B72"/>
    <w:rsid w:val="00325BBE"/>
    <w:rsid w:val="00325C28"/>
    <w:rsid w:val="00325C75"/>
    <w:rsid w:val="00325D01"/>
    <w:rsid w:val="00325D34"/>
    <w:rsid w:val="00325D41"/>
    <w:rsid w:val="00325D69"/>
    <w:rsid w:val="00325D7A"/>
    <w:rsid w:val="00325D91"/>
    <w:rsid w:val="00325DEF"/>
    <w:rsid w:val="00325E30"/>
    <w:rsid w:val="00325E76"/>
    <w:rsid w:val="00325EAF"/>
    <w:rsid w:val="00325EC9"/>
    <w:rsid w:val="00325FD7"/>
    <w:rsid w:val="00325FF0"/>
    <w:rsid w:val="0032600E"/>
    <w:rsid w:val="00326047"/>
    <w:rsid w:val="003261B0"/>
    <w:rsid w:val="0032620B"/>
    <w:rsid w:val="0032624B"/>
    <w:rsid w:val="0032624F"/>
    <w:rsid w:val="0032635C"/>
    <w:rsid w:val="003263CC"/>
    <w:rsid w:val="00326428"/>
    <w:rsid w:val="003264B7"/>
    <w:rsid w:val="00326502"/>
    <w:rsid w:val="00326523"/>
    <w:rsid w:val="003265AD"/>
    <w:rsid w:val="003265DD"/>
    <w:rsid w:val="003266CE"/>
    <w:rsid w:val="00326776"/>
    <w:rsid w:val="003267CA"/>
    <w:rsid w:val="003267E5"/>
    <w:rsid w:val="003267EC"/>
    <w:rsid w:val="00326820"/>
    <w:rsid w:val="00326837"/>
    <w:rsid w:val="00326885"/>
    <w:rsid w:val="003268C1"/>
    <w:rsid w:val="0032697C"/>
    <w:rsid w:val="003269A0"/>
    <w:rsid w:val="003269D0"/>
    <w:rsid w:val="00326A67"/>
    <w:rsid w:val="00326A71"/>
    <w:rsid w:val="00326ADC"/>
    <w:rsid w:val="00326B63"/>
    <w:rsid w:val="00326CEE"/>
    <w:rsid w:val="00326D00"/>
    <w:rsid w:val="00326E05"/>
    <w:rsid w:val="00326E34"/>
    <w:rsid w:val="00326EB8"/>
    <w:rsid w:val="00326F24"/>
    <w:rsid w:val="00326FEA"/>
    <w:rsid w:val="0032703C"/>
    <w:rsid w:val="0032709F"/>
    <w:rsid w:val="00327137"/>
    <w:rsid w:val="003271D0"/>
    <w:rsid w:val="00327204"/>
    <w:rsid w:val="00327206"/>
    <w:rsid w:val="0032722F"/>
    <w:rsid w:val="003272D4"/>
    <w:rsid w:val="00327302"/>
    <w:rsid w:val="0032731C"/>
    <w:rsid w:val="00327385"/>
    <w:rsid w:val="003273D6"/>
    <w:rsid w:val="003273FE"/>
    <w:rsid w:val="0032740D"/>
    <w:rsid w:val="00327435"/>
    <w:rsid w:val="0032746E"/>
    <w:rsid w:val="00327499"/>
    <w:rsid w:val="0032766A"/>
    <w:rsid w:val="003276AB"/>
    <w:rsid w:val="003276C9"/>
    <w:rsid w:val="00327757"/>
    <w:rsid w:val="00327772"/>
    <w:rsid w:val="0032778B"/>
    <w:rsid w:val="0032778D"/>
    <w:rsid w:val="00327825"/>
    <w:rsid w:val="00327856"/>
    <w:rsid w:val="003278CE"/>
    <w:rsid w:val="003278E7"/>
    <w:rsid w:val="0032793B"/>
    <w:rsid w:val="00327957"/>
    <w:rsid w:val="0032796B"/>
    <w:rsid w:val="003279A5"/>
    <w:rsid w:val="003279BB"/>
    <w:rsid w:val="00327ADC"/>
    <w:rsid w:val="00327C1A"/>
    <w:rsid w:val="00327C67"/>
    <w:rsid w:val="00327C9C"/>
    <w:rsid w:val="00327CEE"/>
    <w:rsid w:val="00327DCF"/>
    <w:rsid w:val="00327E3E"/>
    <w:rsid w:val="00327F22"/>
    <w:rsid w:val="00327FF9"/>
    <w:rsid w:val="003300B9"/>
    <w:rsid w:val="003300FE"/>
    <w:rsid w:val="0033016F"/>
    <w:rsid w:val="003301CA"/>
    <w:rsid w:val="00330240"/>
    <w:rsid w:val="00330266"/>
    <w:rsid w:val="00330295"/>
    <w:rsid w:val="0033031F"/>
    <w:rsid w:val="0033034A"/>
    <w:rsid w:val="0033039B"/>
    <w:rsid w:val="00330401"/>
    <w:rsid w:val="003304C2"/>
    <w:rsid w:val="003304EF"/>
    <w:rsid w:val="0033050F"/>
    <w:rsid w:val="003305AA"/>
    <w:rsid w:val="003305E9"/>
    <w:rsid w:val="003306A1"/>
    <w:rsid w:val="003306AC"/>
    <w:rsid w:val="0033076D"/>
    <w:rsid w:val="0033078C"/>
    <w:rsid w:val="00330855"/>
    <w:rsid w:val="00330987"/>
    <w:rsid w:val="00330A52"/>
    <w:rsid w:val="00330AC1"/>
    <w:rsid w:val="00330ACA"/>
    <w:rsid w:val="00330B14"/>
    <w:rsid w:val="00330B35"/>
    <w:rsid w:val="00330B75"/>
    <w:rsid w:val="00330C20"/>
    <w:rsid w:val="00330C53"/>
    <w:rsid w:val="00330C59"/>
    <w:rsid w:val="00330D08"/>
    <w:rsid w:val="00330D0A"/>
    <w:rsid w:val="00330D35"/>
    <w:rsid w:val="00330ED0"/>
    <w:rsid w:val="00330ED8"/>
    <w:rsid w:val="00330EED"/>
    <w:rsid w:val="00330F2D"/>
    <w:rsid w:val="00330F5D"/>
    <w:rsid w:val="00330F80"/>
    <w:rsid w:val="00330FAD"/>
    <w:rsid w:val="003310B7"/>
    <w:rsid w:val="003310E8"/>
    <w:rsid w:val="003310F7"/>
    <w:rsid w:val="00331170"/>
    <w:rsid w:val="0033120E"/>
    <w:rsid w:val="00331242"/>
    <w:rsid w:val="00331271"/>
    <w:rsid w:val="0033130D"/>
    <w:rsid w:val="0033133D"/>
    <w:rsid w:val="00331349"/>
    <w:rsid w:val="003313A8"/>
    <w:rsid w:val="00331457"/>
    <w:rsid w:val="00331471"/>
    <w:rsid w:val="003314A7"/>
    <w:rsid w:val="00331583"/>
    <w:rsid w:val="0033159A"/>
    <w:rsid w:val="00331624"/>
    <w:rsid w:val="00331635"/>
    <w:rsid w:val="00331698"/>
    <w:rsid w:val="003316D5"/>
    <w:rsid w:val="003316F1"/>
    <w:rsid w:val="0033170A"/>
    <w:rsid w:val="00331792"/>
    <w:rsid w:val="00331794"/>
    <w:rsid w:val="003317F6"/>
    <w:rsid w:val="0033189C"/>
    <w:rsid w:val="00331A4C"/>
    <w:rsid w:val="00331A79"/>
    <w:rsid w:val="00331AAB"/>
    <w:rsid w:val="00331AC9"/>
    <w:rsid w:val="00331ACB"/>
    <w:rsid w:val="00331AF0"/>
    <w:rsid w:val="00331AF1"/>
    <w:rsid w:val="00331B91"/>
    <w:rsid w:val="00331BF1"/>
    <w:rsid w:val="00331C50"/>
    <w:rsid w:val="00331C99"/>
    <w:rsid w:val="00331CA4"/>
    <w:rsid w:val="00331D0C"/>
    <w:rsid w:val="00331D7E"/>
    <w:rsid w:val="00331DB6"/>
    <w:rsid w:val="00331DFB"/>
    <w:rsid w:val="00331ED9"/>
    <w:rsid w:val="00331EF9"/>
    <w:rsid w:val="00331F28"/>
    <w:rsid w:val="00331F56"/>
    <w:rsid w:val="00332045"/>
    <w:rsid w:val="0033205B"/>
    <w:rsid w:val="00332080"/>
    <w:rsid w:val="003320A5"/>
    <w:rsid w:val="003321BC"/>
    <w:rsid w:val="003321FD"/>
    <w:rsid w:val="0033229D"/>
    <w:rsid w:val="003322F3"/>
    <w:rsid w:val="003323D1"/>
    <w:rsid w:val="00332410"/>
    <w:rsid w:val="00332469"/>
    <w:rsid w:val="003324FA"/>
    <w:rsid w:val="00332541"/>
    <w:rsid w:val="0033255B"/>
    <w:rsid w:val="0033257C"/>
    <w:rsid w:val="00332623"/>
    <w:rsid w:val="0033263D"/>
    <w:rsid w:val="0033276C"/>
    <w:rsid w:val="0033276E"/>
    <w:rsid w:val="003328BB"/>
    <w:rsid w:val="00332975"/>
    <w:rsid w:val="003329AA"/>
    <w:rsid w:val="00332A18"/>
    <w:rsid w:val="00332A50"/>
    <w:rsid w:val="00332A86"/>
    <w:rsid w:val="00332B06"/>
    <w:rsid w:val="00332B2E"/>
    <w:rsid w:val="00332B93"/>
    <w:rsid w:val="00332BF0"/>
    <w:rsid w:val="00332C38"/>
    <w:rsid w:val="00332C7C"/>
    <w:rsid w:val="00332D3C"/>
    <w:rsid w:val="00332D59"/>
    <w:rsid w:val="00332D6B"/>
    <w:rsid w:val="00332DE7"/>
    <w:rsid w:val="00332E51"/>
    <w:rsid w:val="00332E6B"/>
    <w:rsid w:val="00332E73"/>
    <w:rsid w:val="00332EFB"/>
    <w:rsid w:val="00332FA5"/>
    <w:rsid w:val="00332FD5"/>
    <w:rsid w:val="00333019"/>
    <w:rsid w:val="00333063"/>
    <w:rsid w:val="00333070"/>
    <w:rsid w:val="00333080"/>
    <w:rsid w:val="003330CA"/>
    <w:rsid w:val="003330CB"/>
    <w:rsid w:val="003330F0"/>
    <w:rsid w:val="003330F3"/>
    <w:rsid w:val="003330F5"/>
    <w:rsid w:val="0033315F"/>
    <w:rsid w:val="00333171"/>
    <w:rsid w:val="003331AF"/>
    <w:rsid w:val="00333229"/>
    <w:rsid w:val="00333260"/>
    <w:rsid w:val="0033327D"/>
    <w:rsid w:val="003332A7"/>
    <w:rsid w:val="003332E3"/>
    <w:rsid w:val="0033331F"/>
    <w:rsid w:val="00333362"/>
    <w:rsid w:val="00333375"/>
    <w:rsid w:val="0033337D"/>
    <w:rsid w:val="003333F8"/>
    <w:rsid w:val="0033348A"/>
    <w:rsid w:val="0033349D"/>
    <w:rsid w:val="0033351D"/>
    <w:rsid w:val="0033359A"/>
    <w:rsid w:val="00333630"/>
    <w:rsid w:val="0033368A"/>
    <w:rsid w:val="0033369D"/>
    <w:rsid w:val="003336E5"/>
    <w:rsid w:val="003336F4"/>
    <w:rsid w:val="0033378A"/>
    <w:rsid w:val="00333865"/>
    <w:rsid w:val="003338DB"/>
    <w:rsid w:val="0033398D"/>
    <w:rsid w:val="003339A1"/>
    <w:rsid w:val="003339C7"/>
    <w:rsid w:val="003339D5"/>
    <w:rsid w:val="00333A3E"/>
    <w:rsid w:val="00333A63"/>
    <w:rsid w:val="00333A6B"/>
    <w:rsid w:val="00333AF9"/>
    <w:rsid w:val="00333B2D"/>
    <w:rsid w:val="00333B3A"/>
    <w:rsid w:val="00333B91"/>
    <w:rsid w:val="00333C0C"/>
    <w:rsid w:val="00333C6F"/>
    <w:rsid w:val="00333D07"/>
    <w:rsid w:val="00333EBA"/>
    <w:rsid w:val="00333F0D"/>
    <w:rsid w:val="00333F3B"/>
    <w:rsid w:val="00333F5B"/>
    <w:rsid w:val="003340D8"/>
    <w:rsid w:val="00334158"/>
    <w:rsid w:val="00334189"/>
    <w:rsid w:val="0033419B"/>
    <w:rsid w:val="003341B6"/>
    <w:rsid w:val="003341D0"/>
    <w:rsid w:val="003341D9"/>
    <w:rsid w:val="003341F3"/>
    <w:rsid w:val="00334233"/>
    <w:rsid w:val="003342D1"/>
    <w:rsid w:val="003342D7"/>
    <w:rsid w:val="00334303"/>
    <w:rsid w:val="0033436D"/>
    <w:rsid w:val="003343CD"/>
    <w:rsid w:val="003343D3"/>
    <w:rsid w:val="003343D9"/>
    <w:rsid w:val="0033445C"/>
    <w:rsid w:val="00334473"/>
    <w:rsid w:val="00334521"/>
    <w:rsid w:val="0033452B"/>
    <w:rsid w:val="00334577"/>
    <w:rsid w:val="003345F1"/>
    <w:rsid w:val="003346E0"/>
    <w:rsid w:val="003346FA"/>
    <w:rsid w:val="00334750"/>
    <w:rsid w:val="0033478D"/>
    <w:rsid w:val="0033483C"/>
    <w:rsid w:val="0033484F"/>
    <w:rsid w:val="00334898"/>
    <w:rsid w:val="0033489C"/>
    <w:rsid w:val="00334913"/>
    <w:rsid w:val="0033491C"/>
    <w:rsid w:val="00334925"/>
    <w:rsid w:val="0033495B"/>
    <w:rsid w:val="0033498B"/>
    <w:rsid w:val="00334A61"/>
    <w:rsid w:val="00334A6A"/>
    <w:rsid w:val="00334A8A"/>
    <w:rsid w:val="00334ACE"/>
    <w:rsid w:val="00334AE2"/>
    <w:rsid w:val="00334B9E"/>
    <w:rsid w:val="00334C88"/>
    <w:rsid w:val="00334C91"/>
    <w:rsid w:val="00334CCF"/>
    <w:rsid w:val="00334D09"/>
    <w:rsid w:val="00334D7F"/>
    <w:rsid w:val="00334DC0"/>
    <w:rsid w:val="00334DD7"/>
    <w:rsid w:val="00334E7C"/>
    <w:rsid w:val="00334EA6"/>
    <w:rsid w:val="00334F49"/>
    <w:rsid w:val="00334F6A"/>
    <w:rsid w:val="00334FB3"/>
    <w:rsid w:val="0033507B"/>
    <w:rsid w:val="00335085"/>
    <w:rsid w:val="00335207"/>
    <w:rsid w:val="00335234"/>
    <w:rsid w:val="00335265"/>
    <w:rsid w:val="003352CF"/>
    <w:rsid w:val="003352F4"/>
    <w:rsid w:val="0033538C"/>
    <w:rsid w:val="00335406"/>
    <w:rsid w:val="00335427"/>
    <w:rsid w:val="003355C0"/>
    <w:rsid w:val="003355F6"/>
    <w:rsid w:val="00335603"/>
    <w:rsid w:val="003357A1"/>
    <w:rsid w:val="00335804"/>
    <w:rsid w:val="00335809"/>
    <w:rsid w:val="0033591B"/>
    <w:rsid w:val="003359CE"/>
    <w:rsid w:val="003359DD"/>
    <w:rsid w:val="003359EA"/>
    <w:rsid w:val="00335A2A"/>
    <w:rsid w:val="00335A8D"/>
    <w:rsid w:val="00335AEB"/>
    <w:rsid w:val="00335B0B"/>
    <w:rsid w:val="00335C4E"/>
    <w:rsid w:val="00335C77"/>
    <w:rsid w:val="00335C8A"/>
    <w:rsid w:val="00335D57"/>
    <w:rsid w:val="00335DD1"/>
    <w:rsid w:val="00335DE8"/>
    <w:rsid w:val="00335DF0"/>
    <w:rsid w:val="00335EC5"/>
    <w:rsid w:val="00335FCB"/>
    <w:rsid w:val="00335FF1"/>
    <w:rsid w:val="00336036"/>
    <w:rsid w:val="0033604D"/>
    <w:rsid w:val="0033604E"/>
    <w:rsid w:val="0033620B"/>
    <w:rsid w:val="00336242"/>
    <w:rsid w:val="00336270"/>
    <w:rsid w:val="0033628B"/>
    <w:rsid w:val="0033628F"/>
    <w:rsid w:val="0033631C"/>
    <w:rsid w:val="00336342"/>
    <w:rsid w:val="00336348"/>
    <w:rsid w:val="003363AC"/>
    <w:rsid w:val="003363CB"/>
    <w:rsid w:val="00336484"/>
    <w:rsid w:val="003364BA"/>
    <w:rsid w:val="00336509"/>
    <w:rsid w:val="00336584"/>
    <w:rsid w:val="003367EB"/>
    <w:rsid w:val="00336823"/>
    <w:rsid w:val="003368E0"/>
    <w:rsid w:val="00336925"/>
    <w:rsid w:val="003369EA"/>
    <w:rsid w:val="00336A40"/>
    <w:rsid w:val="00336A65"/>
    <w:rsid w:val="00336A98"/>
    <w:rsid w:val="00336AA1"/>
    <w:rsid w:val="00336B33"/>
    <w:rsid w:val="00336C2F"/>
    <w:rsid w:val="00336CCD"/>
    <w:rsid w:val="00336D2C"/>
    <w:rsid w:val="00336DE5"/>
    <w:rsid w:val="00336E43"/>
    <w:rsid w:val="00336E53"/>
    <w:rsid w:val="00336E9F"/>
    <w:rsid w:val="00336FDC"/>
    <w:rsid w:val="00336FF8"/>
    <w:rsid w:val="003370C8"/>
    <w:rsid w:val="003370CD"/>
    <w:rsid w:val="003370E4"/>
    <w:rsid w:val="0033710A"/>
    <w:rsid w:val="0033711E"/>
    <w:rsid w:val="00337138"/>
    <w:rsid w:val="0033722A"/>
    <w:rsid w:val="00337367"/>
    <w:rsid w:val="00337377"/>
    <w:rsid w:val="00337456"/>
    <w:rsid w:val="003374A4"/>
    <w:rsid w:val="003374F6"/>
    <w:rsid w:val="00337531"/>
    <w:rsid w:val="003375BA"/>
    <w:rsid w:val="0033760F"/>
    <w:rsid w:val="0033764E"/>
    <w:rsid w:val="003376FB"/>
    <w:rsid w:val="0033771C"/>
    <w:rsid w:val="0033771D"/>
    <w:rsid w:val="0033775B"/>
    <w:rsid w:val="0033775D"/>
    <w:rsid w:val="00337764"/>
    <w:rsid w:val="003378D5"/>
    <w:rsid w:val="00337944"/>
    <w:rsid w:val="00337948"/>
    <w:rsid w:val="00337960"/>
    <w:rsid w:val="003379CC"/>
    <w:rsid w:val="00337A0B"/>
    <w:rsid w:val="00337A76"/>
    <w:rsid w:val="00337A83"/>
    <w:rsid w:val="00337AC3"/>
    <w:rsid w:val="00337AE2"/>
    <w:rsid w:val="00337C36"/>
    <w:rsid w:val="00337CAC"/>
    <w:rsid w:val="00337D4F"/>
    <w:rsid w:val="00337D88"/>
    <w:rsid w:val="00337D9D"/>
    <w:rsid w:val="00337DAA"/>
    <w:rsid w:val="00337DDF"/>
    <w:rsid w:val="00337E11"/>
    <w:rsid w:val="00337E1F"/>
    <w:rsid w:val="00337EB9"/>
    <w:rsid w:val="00337EF0"/>
    <w:rsid w:val="00337F3C"/>
    <w:rsid w:val="00340019"/>
    <w:rsid w:val="00340072"/>
    <w:rsid w:val="0034008E"/>
    <w:rsid w:val="003400A1"/>
    <w:rsid w:val="003400A4"/>
    <w:rsid w:val="00340177"/>
    <w:rsid w:val="00340242"/>
    <w:rsid w:val="003402AF"/>
    <w:rsid w:val="003403FF"/>
    <w:rsid w:val="003404EA"/>
    <w:rsid w:val="00340533"/>
    <w:rsid w:val="0034056D"/>
    <w:rsid w:val="003405AD"/>
    <w:rsid w:val="00340605"/>
    <w:rsid w:val="00340668"/>
    <w:rsid w:val="0034075A"/>
    <w:rsid w:val="00340770"/>
    <w:rsid w:val="00340795"/>
    <w:rsid w:val="003407BA"/>
    <w:rsid w:val="003407E9"/>
    <w:rsid w:val="003407EA"/>
    <w:rsid w:val="00340854"/>
    <w:rsid w:val="00340896"/>
    <w:rsid w:val="00340897"/>
    <w:rsid w:val="003408A8"/>
    <w:rsid w:val="003408CB"/>
    <w:rsid w:val="003409A9"/>
    <w:rsid w:val="00340A54"/>
    <w:rsid w:val="00340AE3"/>
    <w:rsid w:val="00340B0D"/>
    <w:rsid w:val="00340B3D"/>
    <w:rsid w:val="00340B9B"/>
    <w:rsid w:val="00340C1D"/>
    <w:rsid w:val="00340CA1"/>
    <w:rsid w:val="00340CB2"/>
    <w:rsid w:val="00340CE1"/>
    <w:rsid w:val="00340CF1"/>
    <w:rsid w:val="00340D07"/>
    <w:rsid w:val="00340DA2"/>
    <w:rsid w:val="00340E1B"/>
    <w:rsid w:val="00340E2E"/>
    <w:rsid w:val="00340EBB"/>
    <w:rsid w:val="00340EE5"/>
    <w:rsid w:val="003410CD"/>
    <w:rsid w:val="003410CE"/>
    <w:rsid w:val="0034116C"/>
    <w:rsid w:val="0034118D"/>
    <w:rsid w:val="003411A6"/>
    <w:rsid w:val="0034125F"/>
    <w:rsid w:val="0034126A"/>
    <w:rsid w:val="003412C0"/>
    <w:rsid w:val="00341400"/>
    <w:rsid w:val="003414AE"/>
    <w:rsid w:val="00341511"/>
    <w:rsid w:val="00341571"/>
    <w:rsid w:val="003415D3"/>
    <w:rsid w:val="003415DE"/>
    <w:rsid w:val="0034162D"/>
    <w:rsid w:val="003416F7"/>
    <w:rsid w:val="0034173F"/>
    <w:rsid w:val="00341743"/>
    <w:rsid w:val="003417F6"/>
    <w:rsid w:val="00341840"/>
    <w:rsid w:val="00341842"/>
    <w:rsid w:val="00341854"/>
    <w:rsid w:val="00341905"/>
    <w:rsid w:val="0034190F"/>
    <w:rsid w:val="003419C3"/>
    <w:rsid w:val="003419F2"/>
    <w:rsid w:val="00341A18"/>
    <w:rsid w:val="00341B9E"/>
    <w:rsid w:val="00341BD1"/>
    <w:rsid w:val="00341BDB"/>
    <w:rsid w:val="00341C55"/>
    <w:rsid w:val="00341CB3"/>
    <w:rsid w:val="00341D00"/>
    <w:rsid w:val="00341D7C"/>
    <w:rsid w:val="00341DEA"/>
    <w:rsid w:val="00341E0B"/>
    <w:rsid w:val="00341E37"/>
    <w:rsid w:val="00341E3B"/>
    <w:rsid w:val="00341E4A"/>
    <w:rsid w:val="00341EC5"/>
    <w:rsid w:val="00342037"/>
    <w:rsid w:val="0034207D"/>
    <w:rsid w:val="003420EC"/>
    <w:rsid w:val="003420F5"/>
    <w:rsid w:val="00342100"/>
    <w:rsid w:val="0034213B"/>
    <w:rsid w:val="00342190"/>
    <w:rsid w:val="003421AE"/>
    <w:rsid w:val="003421B3"/>
    <w:rsid w:val="003421CF"/>
    <w:rsid w:val="003421D1"/>
    <w:rsid w:val="0034223B"/>
    <w:rsid w:val="00342260"/>
    <w:rsid w:val="0034227D"/>
    <w:rsid w:val="003422A2"/>
    <w:rsid w:val="003422C5"/>
    <w:rsid w:val="003422E2"/>
    <w:rsid w:val="00342336"/>
    <w:rsid w:val="0034241A"/>
    <w:rsid w:val="0034243E"/>
    <w:rsid w:val="003424B9"/>
    <w:rsid w:val="003425A0"/>
    <w:rsid w:val="00342607"/>
    <w:rsid w:val="00342686"/>
    <w:rsid w:val="00342814"/>
    <w:rsid w:val="00342831"/>
    <w:rsid w:val="0034285F"/>
    <w:rsid w:val="003429A3"/>
    <w:rsid w:val="003429DA"/>
    <w:rsid w:val="00342AB9"/>
    <w:rsid w:val="00342AD4"/>
    <w:rsid w:val="00342AE8"/>
    <w:rsid w:val="00342B35"/>
    <w:rsid w:val="00342C8B"/>
    <w:rsid w:val="00342CB8"/>
    <w:rsid w:val="00342CEE"/>
    <w:rsid w:val="00342D10"/>
    <w:rsid w:val="00342D11"/>
    <w:rsid w:val="00342E01"/>
    <w:rsid w:val="00342F70"/>
    <w:rsid w:val="00342FAF"/>
    <w:rsid w:val="0034311D"/>
    <w:rsid w:val="0034312D"/>
    <w:rsid w:val="0034313E"/>
    <w:rsid w:val="00343152"/>
    <w:rsid w:val="003431E2"/>
    <w:rsid w:val="0034323F"/>
    <w:rsid w:val="0034325D"/>
    <w:rsid w:val="003432C5"/>
    <w:rsid w:val="00343324"/>
    <w:rsid w:val="003433A0"/>
    <w:rsid w:val="003433EA"/>
    <w:rsid w:val="0034342B"/>
    <w:rsid w:val="00343541"/>
    <w:rsid w:val="003435C4"/>
    <w:rsid w:val="00343611"/>
    <w:rsid w:val="00343622"/>
    <w:rsid w:val="0034366D"/>
    <w:rsid w:val="003436E4"/>
    <w:rsid w:val="00343783"/>
    <w:rsid w:val="00343797"/>
    <w:rsid w:val="003437E9"/>
    <w:rsid w:val="00343808"/>
    <w:rsid w:val="003438E9"/>
    <w:rsid w:val="003439F8"/>
    <w:rsid w:val="00343A09"/>
    <w:rsid w:val="00343A1F"/>
    <w:rsid w:val="00343A4A"/>
    <w:rsid w:val="00343AEE"/>
    <w:rsid w:val="00343B31"/>
    <w:rsid w:val="00343B52"/>
    <w:rsid w:val="00343B60"/>
    <w:rsid w:val="00343B90"/>
    <w:rsid w:val="00343C64"/>
    <w:rsid w:val="00343C68"/>
    <w:rsid w:val="00343D2C"/>
    <w:rsid w:val="00343E1B"/>
    <w:rsid w:val="00343E26"/>
    <w:rsid w:val="00343E4D"/>
    <w:rsid w:val="00343E6F"/>
    <w:rsid w:val="00343EE4"/>
    <w:rsid w:val="00343F87"/>
    <w:rsid w:val="00343FDE"/>
    <w:rsid w:val="00343FF2"/>
    <w:rsid w:val="00344060"/>
    <w:rsid w:val="00344114"/>
    <w:rsid w:val="003442F7"/>
    <w:rsid w:val="00344387"/>
    <w:rsid w:val="00344418"/>
    <w:rsid w:val="00344492"/>
    <w:rsid w:val="003444E6"/>
    <w:rsid w:val="00344539"/>
    <w:rsid w:val="00344587"/>
    <w:rsid w:val="003445B4"/>
    <w:rsid w:val="003445DA"/>
    <w:rsid w:val="00344626"/>
    <w:rsid w:val="00344632"/>
    <w:rsid w:val="00344634"/>
    <w:rsid w:val="003446D2"/>
    <w:rsid w:val="003447DB"/>
    <w:rsid w:val="003447E1"/>
    <w:rsid w:val="003447F4"/>
    <w:rsid w:val="00344854"/>
    <w:rsid w:val="003448DA"/>
    <w:rsid w:val="0034492E"/>
    <w:rsid w:val="0034498A"/>
    <w:rsid w:val="003449D1"/>
    <w:rsid w:val="003449EB"/>
    <w:rsid w:val="00344A25"/>
    <w:rsid w:val="00344A34"/>
    <w:rsid w:val="00344B32"/>
    <w:rsid w:val="00344B88"/>
    <w:rsid w:val="00344BE8"/>
    <w:rsid w:val="00344C18"/>
    <w:rsid w:val="00344C4E"/>
    <w:rsid w:val="00344CBC"/>
    <w:rsid w:val="00344D24"/>
    <w:rsid w:val="00344D56"/>
    <w:rsid w:val="00344E0A"/>
    <w:rsid w:val="00344E80"/>
    <w:rsid w:val="00344F80"/>
    <w:rsid w:val="00345053"/>
    <w:rsid w:val="003450C0"/>
    <w:rsid w:val="003451BE"/>
    <w:rsid w:val="00345221"/>
    <w:rsid w:val="00345235"/>
    <w:rsid w:val="003452E3"/>
    <w:rsid w:val="003452FB"/>
    <w:rsid w:val="003453E4"/>
    <w:rsid w:val="0034545B"/>
    <w:rsid w:val="003454B3"/>
    <w:rsid w:val="003455AD"/>
    <w:rsid w:val="003455CC"/>
    <w:rsid w:val="0034561B"/>
    <w:rsid w:val="00345655"/>
    <w:rsid w:val="003456A9"/>
    <w:rsid w:val="00345716"/>
    <w:rsid w:val="003457AB"/>
    <w:rsid w:val="00345807"/>
    <w:rsid w:val="00345832"/>
    <w:rsid w:val="0034586E"/>
    <w:rsid w:val="003459C3"/>
    <w:rsid w:val="00345AA0"/>
    <w:rsid w:val="00345AAD"/>
    <w:rsid w:val="00345AB0"/>
    <w:rsid w:val="00345ABF"/>
    <w:rsid w:val="00345ADD"/>
    <w:rsid w:val="00345BA8"/>
    <w:rsid w:val="00345BFC"/>
    <w:rsid w:val="00345C0A"/>
    <w:rsid w:val="00345C33"/>
    <w:rsid w:val="00345D3D"/>
    <w:rsid w:val="00345D4B"/>
    <w:rsid w:val="00345E13"/>
    <w:rsid w:val="00345E1B"/>
    <w:rsid w:val="00345EB4"/>
    <w:rsid w:val="00345FFA"/>
    <w:rsid w:val="00346025"/>
    <w:rsid w:val="003460D4"/>
    <w:rsid w:val="003461EC"/>
    <w:rsid w:val="0034622B"/>
    <w:rsid w:val="0034623E"/>
    <w:rsid w:val="00346267"/>
    <w:rsid w:val="0034627A"/>
    <w:rsid w:val="0034634E"/>
    <w:rsid w:val="00346395"/>
    <w:rsid w:val="003463C4"/>
    <w:rsid w:val="003463EF"/>
    <w:rsid w:val="003463FD"/>
    <w:rsid w:val="00346408"/>
    <w:rsid w:val="00346729"/>
    <w:rsid w:val="00346742"/>
    <w:rsid w:val="0034674D"/>
    <w:rsid w:val="0034676C"/>
    <w:rsid w:val="003467B1"/>
    <w:rsid w:val="00346829"/>
    <w:rsid w:val="003468E2"/>
    <w:rsid w:val="00346926"/>
    <w:rsid w:val="00346960"/>
    <w:rsid w:val="003469EB"/>
    <w:rsid w:val="003469EC"/>
    <w:rsid w:val="00346A44"/>
    <w:rsid w:val="00346A5C"/>
    <w:rsid w:val="00346A83"/>
    <w:rsid w:val="00346ACE"/>
    <w:rsid w:val="00346BA1"/>
    <w:rsid w:val="00346BDA"/>
    <w:rsid w:val="00346C60"/>
    <w:rsid w:val="00346C65"/>
    <w:rsid w:val="00346C83"/>
    <w:rsid w:val="00346E02"/>
    <w:rsid w:val="00346EA8"/>
    <w:rsid w:val="00346F8B"/>
    <w:rsid w:val="00346F95"/>
    <w:rsid w:val="00346FB2"/>
    <w:rsid w:val="00346FC1"/>
    <w:rsid w:val="00347007"/>
    <w:rsid w:val="003470B6"/>
    <w:rsid w:val="00347157"/>
    <w:rsid w:val="0034716A"/>
    <w:rsid w:val="003471F9"/>
    <w:rsid w:val="0034721A"/>
    <w:rsid w:val="00347233"/>
    <w:rsid w:val="00347243"/>
    <w:rsid w:val="0034724B"/>
    <w:rsid w:val="0034729B"/>
    <w:rsid w:val="003472BA"/>
    <w:rsid w:val="00347374"/>
    <w:rsid w:val="003473F8"/>
    <w:rsid w:val="00347400"/>
    <w:rsid w:val="00347402"/>
    <w:rsid w:val="00347420"/>
    <w:rsid w:val="00347497"/>
    <w:rsid w:val="00347617"/>
    <w:rsid w:val="0034766E"/>
    <w:rsid w:val="0034767C"/>
    <w:rsid w:val="003478FA"/>
    <w:rsid w:val="00347974"/>
    <w:rsid w:val="00347A51"/>
    <w:rsid w:val="00347A95"/>
    <w:rsid w:val="00347AB0"/>
    <w:rsid w:val="00347AEA"/>
    <w:rsid w:val="00347B75"/>
    <w:rsid w:val="00347BE8"/>
    <w:rsid w:val="00347C2D"/>
    <w:rsid w:val="00347C67"/>
    <w:rsid w:val="00347C7F"/>
    <w:rsid w:val="00347CF7"/>
    <w:rsid w:val="00347D45"/>
    <w:rsid w:val="00347D67"/>
    <w:rsid w:val="00347DAB"/>
    <w:rsid w:val="00347DBB"/>
    <w:rsid w:val="00347E3F"/>
    <w:rsid w:val="00347EA4"/>
    <w:rsid w:val="00347F06"/>
    <w:rsid w:val="00347FE2"/>
    <w:rsid w:val="0035002E"/>
    <w:rsid w:val="0035006B"/>
    <w:rsid w:val="003500E9"/>
    <w:rsid w:val="00350100"/>
    <w:rsid w:val="00350195"/>
    <w:rsid w:val="00350217"/>
    <w:rsid w:val="003502B3"/>
    <w:rsid w:val="00350327"/>
    <w:rsid w:val="00350336"/>
    <w:rsid w:val="0035034A"/>
    <w:rsid w:val="00350359"/>
    <w:rsid w:val="00350381"/>
    <w:rsid w:val="0035038F"/>
    <w:rsid w:val="003503B5"/>
    <w:rsid w:val="0035043A"/>
    <w:rsid w:val="0035044A"/>
    <w:rsid w:val="003504BB"/>
    <w:rsid w:val="00350517"/>
    <w:rsid w:val="00350537"/>
    <w:rsid w:val="00350560"/>
    <w:rsid w:val="00350630"/>
    <w:rsid w:val="00350650"/>
    <w:rsid w:val="00350663"/>
    <w:rsid w:val="00350686"/>
    <w:rsid w:val="0035068E"/>
    <w:rsid w:val="003506F6"/>
    <w:rsid w:val="0035070C"/>
    <w:rsid w:val="0035072F"/>
    <w:rsid w:val="00350749"/>
    <w:rsid w:val="00350774"/>
    <w:rsid w:val="00350787"/>
    <w:rsid w:val="00350828"/>
    <w:rsid w:val="00350856"/>
    <w:rsid w:val="00350866"/>
    <w:rsid w:val="00350898"/>
    <w:rsid w:val="003508AD"/>
    <w:rsid w:val="00350928"/>
    <w:rsid w:val="00350A70"/>
    <w:rsid w:val="00350B5E"/>
    <w:rsid w:val="00350BC2"/>
    <w:rsid w:val="00350C6B"/>
    <w:rsid w:val="00350D6A"/>
    <w:rsid w:val="00350D73"/>
    <w:rsid w:val="00350DCC"/>
    <w:rsid w:val="00350DF5"/>
    <w:rsid w:val="00350EA4"/>
    <w:rsid w:val="00350EBF"/>
    <w:rsid w:val="00350EFB"/>
    <w:rsid w:val="00350F2B"/>
    <w:rsid w:val="00350F30"/>
    <w:rsid w:val="00350FAB"/>
    <w:rsid w:val="00351003"/>
    <w:rsid w:val="0035103C"/>
    <w:rsid w:val="0035110E"/>
    <w:rsid w:val="003511A0"/>
    <w:rsid w:val="00351225"/>
    <w:rsid w:val="00351250"/>
    <w:rsid w:val="0035128C"/>
    <w:rsid w:val="003512DD"/>
    <w:rsid w:val="003512E8"/>
    <w:rsid w:val="0035146B"/>
    <w:rsid w:val="00351470"/>
    <w:rsid w:val="0035149E"/>
    <w:rsid w:val="003514E9"/>
    <w:rsid w:val="003514EA"/>
    <w:rsid w:val="003515CA"/>
    <w:rsid w:val="003515ED"/>
    <w:rsid w:val="003515F8"/>
    <w:rsid w:val="00351643"/>
    <w:rsid w:val="0035165D"/>
    <w:rsid w:val="00351698"/>
    <w:rsid w:val="00351812"/>
    <w:rsid w:val="003518B1"/>
    <w:rsid w:val="0035194E"/>
    <w:rsid w:val="00351979"/>
    <w:rsid w:val="00351990"/>
    <w:rsid w:val="003519F5"/>
    <w:rsid w:val="00351AB3"/>
    <w:rsid w:val="00351B1A"/>
    <w:rsid w:val="00351BFD"/>
    <w:rsid w:val="00351C12"/>
    <w:rsid w:val="00351C76"/>
    <w:rsid w:val="00351C92"/>
    <w:rsid w:val="00351D06"/>
    <w:rsid w:val="00351E13"/>
    <w:rsid w:val="00351E33"/>
    <w:rsid w:val="00351E83"/>
    <w:rsid w:val="00351EC5"/>
    <w:rsid w:val="00351ED3"/>
    <w:rsid w:val="00351EE0"/>
    <w:rsid w:val="00351F2C"/>
    <w:rsid w:val="00351F7F"/>
    <w:rsid w:val="00351F94"/>
    <w:rsid w:val="00352007"/>
    <w:rsid w:val="0035200D"/>
    <w:rsid w:val="00352044"/>
    <w:rsid w:val="0035208F"/>
    <w:rsid w:val="003521AB"/>
    <w:rsid w:val="003521EF"/>
    <w:rsid w:val="0035221B"/>
    <w:rsid w:val="00352265"/>
    <w:rsid w:val="00352356"/>
    <w:rsid w:val="00352430"/>
    <w:rsid w:val="00352457"/>
    <w:rsid w:val="00352492"/>
    <w:rsid w:val="0035254B"/>
    <w:rsid w:val="00352581"/>
    <w:rsid w:val="003525A0"/>
    <w:rsid w:val="003526C1"/>
    <w:rsid w:val="003526E8"/>
    <w:rsid w:val="00352774"/>
    <w:rsid w:val="003527C0"/>
    <w:rsid w:val="003527C4"/>
    <w:rsid w:val="003527CB"/>
    <w:rsid w:val="00352890"/>
    <w:rsid w:val="00352899"/>
    <w:rsid w:val="0035291C"/>
    <w:rsid w:val="0035299B"/>
    <w:rsid w:val="003529AC"/>
    <w:rsid w:val="00352A0B"/>
    <w:rsid w:val="00352AED"/>
    <w:rsid w:val="00352B3C"/>
    <w:rsid w:val="00352B6E"/>
    <w:rsid w:val="00352BAB"/>
    <w:rsid w:val="00352BDC"/>
    <w:rsid w:val="00352BE0"/>
    <w:rsid w:val="00352C6B"/>
    <w:rsid w:val="00352C95"/>
    <w:rsid w:val="00352D7B"/>
    <w:rsid w:val="00352EE7"/>
    <w:rsid w:val="00352EEB"/>
    <w:rsid w:val="00352F31"/>
    <w:rsid w:val="00352F3F"/>
    <w:rsid w:val="00353052"/>
    <w:rsid w:val="00353060"/>
    <w:rsid w:val="00353066"/>
    <w:rsid w:val="00353130"/>
    <w:rsid w:val="00353132"/>
    <w:rsid w:val="0035316E"/>
    <w:rsid w:val="003531B7"/>
    <w:rsid w:val="003531F3"/>
    <w:rsid w:val="00353518"/>
    <w:rsid w:val="0035352C"/>
    <w:rsid w:val="0035357B"/>
    <w:rsid w:val="0035362F"/>
    <w:rsid w:val="0035365A"/>
    <w:rsid w:val="00353663"/>
    <w:rsid w:val="00353680"/>
    <w:rsid w:val="003536E3"/>
    <w:rsid w:val="003537A3"/>
    <w:rsid w:val="003537DB"/>
    <w:rsid w:val="003538D0"/>
    <w:rsid w:val="00353925"/>
    <w:rsid w:val="00353955"/>
    <w:rsid w:val="00353969"/>
    <w:rsid w:val="003539EF"/>
    <w:rsid w:val="00353A75"/>
    <w:rsid w:val="00353AA0"/>
    <w:rsid w:val="00353AA4"/>
    <w:rsid w:val="00353B0B"/>
    <w:rsid w:val="00353B53"/>
    <w:rsid w:val="00353B8C"/>
    <w:rsid w:val="00353C46"/>
    <w:rsid w:val="00353D46"/>
    <w:rsid w:val="00353DA4"/>
    <w:rsid w:val="00353DA7"/>
    <w:rsid w:val="00353E52"/>
    <w:rsid w:val="00353E6B"/>
    <w:rsid w:val="00353E9E"/>
    <w:rsid w:val="00353EA2"/>
    <w:rsid w:val="00353ED4"/>
    <w:rsid w:val="00353EDA"/>
    <w:rsid w:val="00354009"/>
    <w:rsid w:val="00354059"/>
    <w:rsid w:val="003540B3"/>
    <w:rsid w:val="003540DF"/>
    <w:rsid w:val="0035410A"/>
    <w:rsid w:val="003541BA"/>
    <w:rsid w:val="003541D2"/>
    <w:rsid w:val="003541FB"/>
    <w:rsid w:val="00354202"/>
    <w:rsid w:val="00354228"/>
    <w:rsid w:val="0035422F"/>
    <w:rsid w:val="0035423F"/>
    <w:rsid w:val="0035427E"/>
    <w:rsid w:val="003542E4"/>
    <w:rsid w:val="003542FF"/>
    <w:rsid w:val="0035435B"/>
    <w:rsid w:val="00354369"/>
    <w:rsid w:val="0035446A"/>
    <w:rsid w:val="003544D1"/>
    <w:rsid w:val="0035450C"/>
    <w:rsid w:val="003545B6"/>
    <w:rsid w:val="003545E5"/>
    <w:rsid w:val="003545FB"/>
    <w:rsid w:val="00354649"/>
    <w:rsid w:val="003546B0"/>
    <w:rsid w:val="003546CD"/>
    <w:rsid w:val="003546D8"/>
    <w:rsid w:val="003546EA"/>
    <w:rsid w:val="003546ED"/>
    <w:rsid w:val="003546EF"/>
    <w:rsid w:val="0035477C"/>
    <w:rsid w:val="00354902"/>
    <w:rsid w:val="00354925"/>
    <w:rsid w:val="00354927"/>
    <w:rsid w:val="00354968"/>
    <w:rsid w:val="0035496A"/>
    <w:rsid w:val="00354973"/>
    <w:rsid w:val="003549A5"/>
    <w:rsid w:val="00354A16"/>
    <w:rsid w:val="00354AC0"/>
    <w:rsid w:val="00354B2C"/>
    <w:rsid w:val="00354BAB"/>
    <w:rsid w:val="00354BC0"/>
    <w:rsid w:val="00354C39"/>
    <w:rsid w:val="00354C7B"/>
    <w:rsid w:val="00354CD6"/>
    <w:rsid w:val="00354D87"/>
    <w:rsid w:val="00354E2F"/>
    <w:rsid w:val="00354E4D"/>
    <w:rsid w:val="00354E74"/>
    <w:rsid w:val="00354EA9"/>
    <w:rsid w:val="00354F73"/>
    <w:rsid w:val="00354FA9"/>
    <w:rsid w:val="00354FC6"/>
    <w:rsid w:val="00355016"/>
    <w:rsid w:val="00355061"/>
    <w:rsid w:val="00355145"/>
    <w:rsid w:val="00355152"/>
    <w:rsid w:val="00355153"/>
    <w:rsid w:val="00355211"/>
    <w:rsid w:val="0035537D"/>
    <w:rsid w:val="0035538B"/>
    <w:rsid w:val="003553A4"/>
    <w:rsid w:val="003553C1"/>
    <w:rsid w:val="003553C2"/>
    <w:rsid w:val="003553E3"/>
    <w:rsid w:val="003553FD"/>
    <w:rsid w:val="0035545C"/>
    <w:rsid w:val="003554CB"/>
    <w:rsid w:val="00355525"/>
    <w:rsid w:val="003555BA"/>
    <w:rsid w:val="00355634"/>
    <w:rsid w:val="003556F4"/>
    <w:rsid w:val="00355709"/>
    <w:rsid w:val="00355722"/>
    <w:rsid w:val="00355777"/>
    <w:rsid w:val="00355815"/>
    <w:rsid w:val="0035582C"/>
    <w:rsid w:val="0035583D"/>
    <w:rsid w:val="00355875"/>
    <w:rsid w:val="0035596C"/>
    <w:rsid w:val="003559CE"/>
    <w:rsid w:val="00355A00"/>
    <w:rsid w:val="00355A2D"/>
    <w:rsid w:val="00355A5B"/>
    <w:rsid w:val="00355A81"/>
    <w:rsid w:val="00355AFD"/>
    <w:rsid w:val="00355B6D"/>
    <w:rsid w:val="00355B78"/>
    <w:rsid w:val="00355B9A"/>
    <w:rsid w:val="00355BB3"/>
    <w:rsid w:val="00355BFE"/>
    <w:rsid w:val="00355C19"/>
    <w:rsid w:val="00355DF0"/>
    <w:rsid w:val="00355E65"/>
    <w:rsid w:val="00355EE3"/>
    <w:rsid w:val="00355F2F"/>
    <w:rsid w:val="00355F37"/>
    <w:rsid w:val="00355F9D"/>
    <w:rsid w:val="00356117"/>
    <w:rsid w:val="003561A5"/>
    <w:rsid w:val="00356235"/>
    <w:rsid w:val="0035624F"/>
    <w:rsid w:val="00356266"/>
    <w:rsid w:val="003562F2"/>
    <w:rsid w:val="0035640F"/>
    <w:rsid w:val="00356468"/>
    <w:rsid w:val="003564AD"/>
    <w:rsid w:val="003564C7"/>
    <w:rsid w:val="00356569"/>
    <w:rsid w:val="003565C2"/>
    <w:rsid w:val="0035660B"/>
    <w:rsid w:val="0035672E"/>
    <w:rsid w:val="00356776"/>
    <w:rsid w:val="00356799"/>
    <w:rsid w:val="003567A4"/>
    <w:rsid w:val="00356876"/>
    <w:rsid w:val="0035687B"/>
    <w:rsid w:val="00356883"/>
    <w:rsid w:val="003568D7"/>
    <w:rsid w:val="00356968"/>
    <w:rsid w:val="003569BA"/>
    <w:rsid w:val="003569CF"/>
    <w:rsid w:val="003569D4"/>
    <w:rsid w:val="003569E7"/>
    <w:rsid w:val="00356A7E"/>
    <w:rsid w:val="00356AE0"/>
    <w:rsid w:val="00356AF2"/>
    <w:rsid w:val="00356B19"/>
    <w:rsid w:val="00356B2A"/>
    <w:rsid w:val="00356B72"/>
    <w:rsid w:val="00356B94"/>
    <w:rsid w:val="00356BEC"/>
    <w:rsid w:val="00356C5E"/>
    <w:rsid w:val="00356CA8"/>
    <w:rsid w:val="00356CC7"/>
    <w:rsid w:val="00356D6B"/>
    <w:rsid w:val="00356D98"/>
    <w:rsid w:val="00356DA8"/>
    <w:rsid w:val="00356E95"/>
    <w:rsid w:val="00356F67"/>
    <w:rsid w:val="0035700C"/>
    <w:rsid w:val="003570AE"/>
    <w:rsid w:val="003570DD"/>
    <w:rsid w:val="00357155"/>
    <w:rsid w:val="0035716F"/>
    <w:rsid w:val="003571A3"/>
    <w:rsid w:val="003571DB"/>
    <w:rsid w:val="003571F4"/>
    <w:rsid w:val="00357255"/>
    <w:rsid w:val="00357260"/>
    <w:rsid w:val="003572C2"/>
    <w:rsid w:val="003573E8"/>
    <w:rsid w:val="00357476"/>
    <w:rsid w:val="003574BA"/>
    <w:rsid w:val="00357523"/>
    <w:rsid w:val="00357526"/>
    <w:rsid w:val="00357544"/>
    <w:rsid w:val="00357575"/>
    <w:rsid w:val="0035762F"/>
    <w:rsid w:val="00357686"/>
    <w:rsid w:val="003576E8"/>
    <w:rsid w:val="00357735"/>
    <w:rsid w:val="00357744"/>
    <w:rsid w:val="00357754"/>
    <w:rsid w:val="0035775B"/>
    <w:rsid w:val="0035776B"/>
    <w:rsid w:val="003577B7"/>
    <w:rsid w:val="003577CE"/>
    <w:rsid w:val="003577FD"/>
    <w:rsid w:val="00357821"/>
    <w:rsid w:val="00357994"/>
    <w:rsid w:val="00357A04"/>
    <w:rsid w:val="00357A5A"/>
    <w:rsid w:val="00357A6D"/>
    <w:rsid w:val="00357AEC"/>
    <w:rsid w:val="00357B19"/>
    <w:rsid w:val="00357B1A"/>
    <w:rsid w:val="00357C12"/>
    <w:rsid w:val="00357C22"/>
    <w:rsid w:val="00357C83"/>
    <w:rsid w:val="00357C99"/>
    <w:rsid w:val="00357CA9"/>
    <w:rsid w:val="00357E5B"/>
    <w:rsid w:val="00357E77"/>
    <w:rsid w:val="00357EB8"/>
    <w:rsid w:val="00357EF3"/>
    <w:rsid w:val="00357F00"/>
    <w:rsid w:val="00357F09"/>
    <w:rsid w:val="00357F0A"/>
    <w:rsid w:val="00357F5A"/>
    <w:rsid w:val="00357FD0"/>
    <w:rsid w:val="0036007E"/>
    <w:rsid w:val="003600E8"/>
    <w:rsid w:val="0036014F"/>
    <w:rsid w:val="00360172"/>
    <w:rsid w:val="003601FA"/>
    <w:rsid w:val="00360219"/>
    <w:rsid w:val="0036030B"/>
    <w:rsid w:val="00360320"/>
    <w:rsid w:val="00360366"/>
    <w:rsid w:val="003603AD"/>
    <w:rsid w:val="003603D7"/>
    <w:rsid w:val="0036043F"/>
    <w:rsid w:val="00360518"/>
    <w:rsid w:val="0036055E"/>
    <w:rsid w:val="0036059E"/>
    <w:rsid w:val="003605AE"/>
    <w:rsid w:val="003605E5"/>
    <w:rsid w:val="00360652"/>
    <w:rsid w:val="0036067A"/>
    <w:rsid w:val="003606F1"/>
    <w:rsid w:val="00360763"/>
    <w:rsid w:val="003607CE"/>
    <w:rsid w:val="0036084C"/>
    <w:rsid w:val="0036091C"/>
    <w:rsid w:val="003609AB"/>
    <w:rsid w:val="003609CC"/>
    <w:rsid w:val="003609EE"/>
    <w:rsid w:val="00360A1B"/>
    <w:rsid w:val="00360A71"/>
    <w:rsid w:val="00360AEA"/>
    <w:rsid w:val="00360B83"/>
    <w:rsid w:val="00360B90"/>
    <w:rsid w:val="00360BB2"/>
    <w:rsid w:val="00360C98"/>
    <w:rsid w:val="00360D1D"/>
    <w:rsid w:val="00360D48"/>
    <w:rsid w:val="00360D4F"/>
    <w:rsid w:val="00360DED"/>
    <w:rsid w:val="00360E6C"/>
    <w:rsid w:val="00360F93"/>
    <w:rsid w:val="00360FAC"/>
    <w:rsid w:val="00360FBB"/>
    <w:rsid w:val="00361013"/>
    <w:rsid w:val="00361097"/>
    <w:rsid w:val="0036119C"/>
    <w:rsid w:val="003611D3"/>
    <w:rsid w:val="003612AC"/>
    <w:rsid w:val="0036132A"/>
    <w:rsid w:val="00361336"/>
    <w:rsid w:val="00361431"/>
    <w:rsid w:val="00361442"/>
    <w:rsid w:val="00361507"/>
    <w:rsid w:val="0036158A"/>
    <w:rsid w:val="003615E1"/>
    <w:rsid w:val="0036162F"/>
    <w:rsid w:val="00361670"/>
    <w:rsid w:val="003616F3"/>
    <w:rsid w:val="003617F7"/>
    <w:rsid w:val="00361861"/>
    <w:rsid w:val="00361A49"/>
    <w:rsid w:val="00361B18"/>
    <w:rsid w:val="00361BE8"/>
    <w:rsid w:val="00361D2F"/>
    <w:rsid w:val="00361D73"/>
    <w:rsid w:val="00361D7D"/>
    <w:rsid w:val="00361E08"/>
    <w:rsid w:val="00361E14"/>
    <w:rsid w:val="00361E40"/>
    <w:rsid w:val="00361E4C"/>
    <w:rsid w:val="00361E85"/>
    <w:rsid w:val="00361EBF"/>
    <w:rsid w:val="00361F15"/>
    <w:rsid w:val="00361F5C"/>
    <w:rsid w:val="00361F9B"/>
    <w:rsid w:val="00361FF3"/>
    <w:rsid w:val="00362043"/>
    <w:rsid w:val="00362070"/>
    <w:rsid w:val="003620D4"/>
    <w:rsid w:val="003620E0"/>
    <w:rsid w:val="00362104"/>
    <w:rsid w:val="00362156"/>
    <w:rsid w:val="0036237C"/>
    <w:rsid w:val="003623C3"/>
    <w:rsid w:val="00362461"/>
    <w:rsid w:val="00362472"/>
    <w:rsid w:val="003624F3"/>
    <w:rsid w:val="00362563"/>
    <w:rsid w:val="0036256B"/>
    <w:rsid w:val="00362591"/>
    <w:rsid w:val="003625AC"/>
    <w:rsid w:val="003625F4"/>
    <w:rsid w:val="00362634"/>
    <w:rsid w:val="00362677"/>
    <w:rsid w:val="0036268C"/>
    <w:rsid w:val="003626F0"/>
    <w:rsid w:val="00362770"/>
    <w:rsid w:val="003627A1"/>
    <w:rsid w:val="003627E2"/>
    <w:rsid w:val="00362815"/>
    <w:rsid w:val="0036284A"/>
    <w:rsid w:val="00362893"/>
    <w:rsid w:val="00362A25"/>
    <w:rsid w:val="00362A78"/>
    <w:rsid w:val="00362A7C"/>
    <w:rsid w:val="00362AF3"/>
    <w:rsid w:val="00362B37"/>
    <w:rsid w:val="00362B69"/>
    <w:rsid w:val="00362BC9"/>
    <w:rsid w:val="00362D29"/>
    <w:rsid w:val="00362D5E"/>
    <w:rsid w:val="00362DEA"/>
    <w:rsid w:val="00362DEC"/>
    <w:rsid w:val="00362E2D"/>
    <w:rsid w:val="00362E4E"/>
    <w:rsid w:val="00362EE3"/>
    <w:rsid w:val="00362F33"/>
    <w:rsid w:val="00362F50"/>
    <w:rsid w:val="00362FDD"/>
    <w:rsid w:val="00363069"/>
    <w:rsid w:val="0036316F"/>
    <w:rsid w:val="00363200"/>
    <w:rsid w:val="003632AD"/>
    <w:rsid w:val="00363311"/>
    <w:rsid w:val="0036333A"/>
    <w:rsid w:val="0036339F"/>
    <w:rsid w:val="003633AE"/>
    <w:rsid w:val="003633E7"/>
    <w:rsid w:val="003633F6"/>
    <w:rsid w:val="0036340D"/>
    <w:rsid w:val="00363432"/>
    <w:rsid w:val="00363437"/>
    <w:rsid w:val="0036356E"/>
    <w:rsid w:val="00363775"/>
    <w:rsid w:val="003637B7"/>
    <w:rsid w:val="003637D4"/>
    <w:rsid w:val="00363824"/>
    <w:rsid w:val="00363853"/>
    <w:rsid w:val="00363869"/>
    <w:rsid w:val="0036386C"/>
    <w:rsid w:val="00363983"/>
    <w:rsid w:val="003639FC"/>
    <w:rsid w:val="00363AF1"/>
    <w:rsid w:val="00363B04"/>
    <w:rsid w:val="00363B43"/>
    <w:rsid w:val="00363B78"/>
    <w:rsid w:val="00363B8C"/>
    <w:rsid w:val="00363C37"/>
    <w:rsid w:val="00363C62"/>
    <w:rsid w:val="00363D2A"/>
    <w:rsid w:val="00363D91"/>
    <w:rsid w:val="00363D96"/>
    <w:rsid w:val="00363DC0"/>
    <w:rsid w:val="00363E43"/>
    <w:rsid w:val="00363E4A"/>
    <w:rsid w:val="00363EEA"/>
    <w:rsid w:val="00363F16"/>
    <w:rsid w:val="00363F6C"/>
    <w:rsid w:val="00364052"/>
    <w:rsid w:val="00364074"/>
    <w:rsid w:val="003640AE"/>
    <w:rsid w:val="003640EF"/>
    <w:rsid w:val="003640FD"/>
    <w:rsid w:val="0036413F"/>
    <w:rsid w:val="003641B2"/>
    <w:rsid w:val="003641B5"/>
    <w:rsid w:val="00364309"/>
    <w:rsid w:val="00364313"/>
    <w:rsid w:val="0036434F"/>
    <w:rsid w:val="00364407"/>
    <w:rsid w:val="003644F4"/>
    <w:rsid w:val="0036450C"/>
    <w:rsid w:val="003645B4"/>
    <w:rsid w:val="003645CA"/>
    <w:rsid w:val="003645D8"/>
    <w:rsid w:val="0036462B"/>
    <w:rsid w:val="00364668"/>
    <w:rsid w:val="003647D1"/>
    <w:rsid w:val="00364823"/>
    <w:rsid w:val="0036482C"/>
    <w:rsid w:val="00364862"/>
    <w:rsid w:val="0036488F"/>
    <w:rsid w:val="003648AC"/>
    <w:rsid w:val="003648DF"/>
    <w:rsid w:val="003648F4"/>
    <w:rsid w:val="00364978"/>
    <w:rsid w:val="0036499D"/>
    <w:rsid w:val="00364A06"/>
    <w:rsid w:val="00364A12"/>
    <w:rsid w:val="00364A7B"/>
    <w:rsid w:val="00364AD8"/>
    <w:rsid w:val="00364B1C"/>
    <w:rsid w:val="00364B78"/>
    <w:rsid w:val="00364C46"/>
    <w:rsid w:val="00364C71"/>
    <w:rsid w:val="00364C74"/>
    <w:rsid w:val="00364CB5"/>
    <w:rsid w:val="00364DC1"/>
    <w:rsid w:val="00364E4C"/>
    <w:rsid w:val="00364E70"/>
    <w:rsid w:val="00364E98"/>
    <w:rsid w:val="00364F07"/>
    <w:rsid w:val="00364F98"/>
    <w:rsid w:val="00364FC7"/>
    <w:rsid w:val="0036503C"/>
    <w:rsid w:val="003650AA"/>
    <w:rsid w:val="003650B2"/>
    <w:rsid w:val="003650E0"/>
    <w:rsid w:val="003650E3"/>
    <w:rsid w:val="003650E8"/>
    <w:rsid w:val="0036518E"/>
    <w:rsid w:val="003651D1"/>
    <w:rsid w:val="00365240"/>
    <w:rsid w:val="003652EC"/>
    <w:rsid w:val="00365381"/>
    <w:rsid w:val="0036542C"/>
    <w:rsid w:val="00365432"/>
    <w:rsid w:val="00365454"/>
    <w:rsid w:val="0036545B"/>
    <w:rsid w:val="003654B0"/>
    <w:rsid w:val="00365544"/>
    <w:rsid w:val="00365559"/>
    <w:rsid w:val="00365658"/>
    <w:rsid w:val="0036565B"/>
    <w:rsid w:val="003656B4"/>
    <w:rsid w:val="00365780"/>
    <w:rsid w:val="00365784"/>
    <w:rsid w:val="00365809"/>
    <w:rsid w:val="00365987"/>
    <w:rsid w:val="003659EC"/>
    <w:rsid w:val="00365A04"/>
    <w:rsid w:val="00365A5B"/>
    <w:rsid w:val="00365B62"/>
    <w:rsid w:val="00365CC5"/>
    <w:rsid w:val="00365CD6"/>
    <w:rsid w:val="00365CD7"/>
    <w:rsid w:val="00365DC9"/>
    <w:rsid w:val="00365EED"/>
    <w:rsid w:val="00365F07"/>
    <w:rsid w:val="00365F0F"/>
    <w:rsid w:val="00365FB1"/>
    <w:rsid w:val="003660AB"/>
    <w:rsid w:val="00366121"/>
    <w:rsid w:val="003661FA"/>
    <w:rsid w:val="0036626D"/>
    <w:rsid w:val="003662CB"/>
    <w:rsid w:val="003663A4"/>
    <w:rsid w:val="003663BF"/>
    <w:rsid w:val="00366496"/>
    <w:rsid w:val="0036650D"/>
    <w:rsid w:val="0036653F"/>
    <w:rsid w:val="003665AB"/>
    <w:rsid w:val="003665C0"/>
    <w:rsid w:val="003665E6"/>
    <w:rsid w:val="00366707"/>
    <w:rsid w:val="0036670A"/>
    <w:rsid w:val="00366746"/>
    <w:rsid w:val="00366755"/>
    <w:rsid w:val="00366763"/>
    <w:rsid w:val="00366889"/>
    <w:rsid w:val="003668DA"/>
    <w:rsid w:val="00366959"/>
    <w:rsid w:val="00366989"/>
    <w:rsid w:val="00366993"/>
    <w:rsid w:val="003669AC"/>
    <w:rsid w:val="003669D7"/>
    <w:rsid w:val="00366A1F"/>
    <w:rsid w:val="00366A62"/>
    <w:rsid w:val="00366AF2"/>
    <w:rsid w:val="00366CA7"/>
    <w:rsid w:val="00366DFB"/>
    <w:rsid w:val="00366E02"/>
    <w:rsid w:val="00366E62"/>
    <w:rsid w:val="00366F03"/>
    <w:rsid w:val="00366F19"/>
    <w:rsid w:val="00366FBF"/>
    <w:rsid w:val="00367069"/>
    <w:rsid w:val="00367103"/>
    <w:rsid w:val="0036716C"/>
    <w:rsid w:val="0036717C"/>
    <w:rsid w:val="00367236"/>
    <w:rsid w:val="0036732B"/>
    <w:rsid w:val="00367332"/>
    <w:rsid w:val="003673B4"/>
    <w:rsid w:val="0036743D"/>
    <w:rsid w:val="0036744F"/>
    <w:rsid w:val="0036751C"/>
    <w:rsid w:val="0036753F"/>
    <w:rsid w:val="00367558"/>
    <w:rsid w:val="0036765D"/>
    <w:rsid w:val="003676D1"/>
    <w:rsid w:val="003676DB"/>
    <w:rsid w:val="003676DD"/>
    <w:rsid w:val="00367730"/>
    <w:rsid w:val="00367742"/>
    <w:rsid w:val="00367748"/>
    <w:rsid w:val="0036776F"/>
    <w:rsid w:val="00367797"/>
    <w:rsid w:val="003677B9"/>
    <w:rsid w:val="003677D4"/>
    <w:rsid w:val="003678D0"/>
    <w:rsid w:val="003678EC"/>
    <w:rsid w:val="003679E8"/>
    <w:rsid w:val="003679EA"/>
    <w:rsid w:val="00367A07"/>
    <w:rsid w:val="00367A0C"/>
    <w:rsid w:val="00367A12"/>
    <w:rsid w:val="00367A9B"/>
    <w:rsid w:val="00367B60"/>
    <w:rsid w:val="00367B62"/>
    <w:rsid w:val="00367BBD"/>
    <w:rsid w:val="00367BCA"/>
    <w:rsid w:val="00367BDE"/>
    <w:rsid w:val="00367BE8"/>
    <w:rsid w:val="00367D35"/>
    <w:rsid w:val="00367E8D"/>
    <w:rsid w:val="00367E9D"/>
    <w:rsid w:val="00367EE1"/>
    <w:rsid w:val="00367F46"/>
    <w:rsid w:val="00367F48"/>
    <w:rsid w:val="00367F77"/>
    <w:rsid w:val="00367FCC"/>
    <w:rsid w:val="00367FFA"/>
    <w:rsid w:val="0037004A"/>
    <w:rsid w:val="00370055"/>
    <w:rsid w:val="00370120"/>
    <w:rsid w:val="00370151"/>
    <w:rsid w:val="00370206"/>
    <w:rsid w:val="0037021B"/>
    <w:rsid w:val="003702D3"/>
    <w:rsid w:val="00370323"/>
    <w:rsid w:val="00370324"/>
    <w:rsid w:val="00370354"/>
    <w:rsid w:val="003703AB"/>
    <w:rsid w:val="0037042A"/>
    <w:rsid w:val="00370477"/>
    <w:rsid w:val="0037047A"/>
    <w:rsid w:val="0037047E"/>
    <w:rsid w:val="003704AF"/>
    <w:rsid w:val="003704DB"/>
    <w:rsid w:val="003704DF"/>
    <w:rsid w:val="003704F1"/>
    <w:rsid w:val="00370533"/>
    <w:rsid w:val="003706C0"/>
    <w:rsid w:val="00370713"/>
    <w:rsid w:val="00370782"/>
    <w:rsid w:val="003707D7"/>
    <w:rsid w:val="00370807"/>
    <w:rsid w:val="0037082F"/>
    <w:rsid w:val="00370A83"/>
    <w:rsid w:val="00370AC1"/>
    <w:rsid w:val="00370B3F"/>
    <w:rsid w:val="00370B57"/>
    <w:rsid w:val="00370B66"/>
    <w:rsid w:val="00370BF9"/>
    <w:rsid w:val="00370BFC"/>
    <w:rsid w:val="00370C37"/>
    <w:rsid w:val="00370C45"/>
    <w:rsid w:val="00370DD5"/>
    <w:rsid w:val="00370DF5"/>
    <w:rsid w:val="00370E8E"/>
    <w:rsid w:val="00370ED7"/>
    <w:rsid w:val="00370EE4"/>
    <w:rsid w:val="00370FE5"/>
    <w:rsid w:val="00371010"/>
    <w:rsid w:val="00371038"/>
    <w:rsid w:val="0037106B"/>
    <w:rsid w:val="003710D9"/>
    <w:rsid w:val="003710E9"/>
    <w:rsid w:val="00371153"/>
    <w:rsid w:val="00371158"/>
    <w:rsid w:val="003711AB"/>
    <w:rsid w:val="003712BE"/>
    <w:rsid w:val="00371306"/>
    <w:rsid w:val="00371482"/>
    <w:rsid w:val="00371492"/>
    <w:rsid w:val="003714DD"/>
    <w:rsid w:val="00371514"/>
    <w:rsid w:val="0037151E"/>
    <w:rsid w:val="00371523"/>
    <w:rsid w:val="0037156F"/>
    <w:rsid w:val="003715BA"/>
    <w:rsid w:val="003715E3"/>
    <w:rsid w:val="00371666"/>
    <w:rsid w:val="00371699"/>
    <w:rsid w:val="003717BD"/>
    <w:rsid w:val="003717F8"/>
    <w:rsid w:val="00371838"/>
    <w:rsid w:val="0037198A"/>
    <w:rsid w:val="003719C4"/>
    <w:rsid w:val="003719DB"/>
    <w:rsid w:val="00371A66"/>
    <w:rsid w:val="00371B15"/>
    <w:rsid w:val="00371B39"/>
    <w:rsid w:val="00371BA2"/>
    <w:rsid w:val="00371BB1"/>
    <w:rsid w:val="00371BC4"/>
    <w:rsid w:val="00371C6B"/>
    <w:rsid w:val="00371EC2"/>
    <w:rsid w:val="00371F37"/>
    <w:rsid w:val="00371F94"/>
    <w:rsid w:val="00371F9D"/>
    <w:rsid w:val="00371FDE"/>
    <w:rsid w:val="00371FF8"/>
    <w:rsid w:val="003720A6"/>
    <w:rsid w:val="003720E1"/>
    <w:rsid w:val="003720E6"/>
    <w:rsid w:val="0037212E"/>
    <w:rsid w:val="003721E7"/>
    <w:rsid w:val="00372270"/>
    <w:rsid w:val="003722A4"/>
    <w:rsid w:val="003722A5"/>
    <w:rsid w:val="0037232F"/>
    <w:rsid w:val="0037234B"/>
    <w:rsid w:val="00372351"/>
    <w:rsid w:val="00372359"/>
    <w:rsid w:val="003723C5"/>
    <w:rsid w:val="0037241C"/>
    <w:rsid w:val="00372476"/>
    <w:rsid w:val="00372477"/>
    <w:rsid w:val="0037249D"/>
    <w:rsid w:val="003724D5"/>
    <w:rsid w:val="003724E7"/>
    <w:rsid w:val="0037252D"/>
    <w:rsid w:val="003725EB"/>
    <w:rsid w:val="0037263B"/>
    <w:rsid w:val="0037268C"/>
    <w:rsid w:val="00372759"/>
    <w:rsid w:val="003727A7"/>
    <w:rsid w:val="0037283B"/>
    <w:rsid w:val="003728C8"/>
    <w:rsid w:val="00372933"/>
    <w:rsid w:val="0037295C"/>
    <w:rsid w:val="003729A4"/>
    <w:rsid w:val="00372A48"/>
    <w:rsid w:val="00372B1F"/>
    <w:rsid w:val="00372B30"/>
    <w:rsid w:val="00372BA8"/>
    <w:rsid w:val="00372BE4"/>
    <w:rsid w:val="00372BF9"/>
    <w:rsid w:val="00372C16"/>
    <w:rsid w:val="00372C66"/>
    <w:rsid w:val="00372DF9"/>
    <w:rsid w:val="00372E1E"/>
    <w:rsid w:val="00372E21"/>
    <w:rsid w:val="00372E54"/>
    <w:rsid w:val="00372E5E"/>
    <w:rsid w:val="00372E8D"/>
    <w:rsid w:val="00372ED0"/>
    <w:rsid w:val="00372EE5"/>
    <w:rsid w:val="00372EEC"/>
    <w:rsid w:val="00372F1A"/>
    <w:rsid w:val="00372F38"/>
    <w:rsid w:val="00372F50"/>
    <w:rsid w:val="00372FC2"/>
    <w:rsid w:val="00372FC4"/>
    <w:rsid w:val="00372FC9"/>
    <w:rsid w:val="00372FD0"/>
    <w:rsid w:val="00373008"/>
    <w:rsid w:val="00373072"/>
    <w:rsid w:val="003730A1"/>
    <w:rsid w:val="003730AC"/>
    <w:rsid w:val="003730D9"/>
    <w:rsid w:val="0037318F"/>
    <w:rsid w:val="003731C8"/>
    <w:rsid w:val="00373230"/>
    <w:rsid w:val="00373303"/>
    <w:rsid w:val="0037332C"/>
    <w:rsid w:val="00373362"/>
    <w:rsid w:val="00373382"/>
    <w:rsid w:val="003733DB"/>
    <w:rsid w:val="00373456"/>
    <w:rsid w:val="0037345F"/>
    <w:rsid w:val="003734C9"/>
    <w:rsid w:val="00373577"/>
    <w:rsid w:val="00373654"/>
    <w:rsid w:val="0037369B"/>
    <w:rsid w:val="003736DE"/>
    <w:rsid w:val="0037378E"/>
    <w:rsid w:val="0037384D"/>
    <w:rsid w:val="00373851"/>
    <w:rsid w:val="003738F0"/>
    <w:rsid w:val="003738F2"/>
    <w:rsid w:val="00373A2F"/>
    <w:rsid w:val="00373A94"/>
    <w:rsid w:val="00373AA1"/>
    <w:rsid w:val="00373B14"/>
    <w:rsid w:val="00373BC9"/>
    <w:rsid w:val="00373C6C"/>
    <w:rsid w:val="00373C71"/>
    <w:rsid w:val="00373CB6"/>
    <w:rsid w:val="00373D38"/>
    <w:rsid w:val="00373D7D"/>
    <w:rsid w:val="00373E52"/>
    <w:rsid w:val="00373EAF"/>
    <w:rsid w:val="00373EE3"/>
    <w:rsid w:val="00373EE8"/>
    <w:rsid w:val="00373F62"/>
    <w:rsid w:val="00373F6F"/>
    <w:rsid w:val="00373F7B"/>
    <w:rsid w:val="00373F86"/>
    <w:rsid w:val="00373F8F"/>
    <w:rsid w:val="00373FCB"/>
    <w:rsid w:val="00374072"/>
    <w:rsid w:val="0037408A"/>
    <w:rsid w:val="00374106"/>
    <w:rsid w:val="0037411A"/>
    <w:rsid w:val="0037414F"/>
    <w:rsid w:val="003741CA"/>
    <w:rsid w:val="00374244"/>
    <w:rsid w:val="003742CD"/>
    <w:rsid w:val="003742D3"/>
    <w:rsid w:val="003742F9"/>
    <w:rsid w:val="00374374"/>
    <w:rsid w:val="003743C6"/>
    <w:rsid w:val="003744BF"/>
    <w:rsid w:val="003744CD"/>
    <w:rsid w:val="00374630"/>
    <w:rsid w:val="0037467E"/>
    <w:rsid w:val="003746E0"/>
    <w:rsid w:val="003746F2"/>
    <w:rsid w:val="00374784"/>
    <w:rsid w:val="003747C8"/>
    <w:rsid w:val="00374808"/>
    <w:rsid w:val="0037480E"/>
    <w:rsid w:val="003749BA"/>
    <w:rsid w:val="00374A50"/>
    <w:rsid w:val="00374A6A"/>
    <w:rsid w:val="00374A95"/>
    <w:rsid w:val="00374ABF"/>
    <w:rsid w:val="00374AE8"/>
    <w:rsid w:val="00374B72"/>
    <w:rsid w:val="00374BC2"/>
    <w:rsid w:val="00374BD8"/>
    <w:rsid w:val="00374BEE"/>
    <w:rsid w:val="00374BF8"/>
    <w:rsid w:val="00374C53"/>
    <w:rsid w:val="00374D5F"/>
    <w:rsid w:val="00374DB8"/>
    <w:rsid w:val="00374DCE"/>
    <w:rsid w:val="00374DE7"/>
    <w:rsid w:val="00374DFB"/>
    <w:rsid w:val="00374F30"/>
    <w:rsid w:val="0037503C"/>
    <w:rsid w:val="00375090"/>
    <w:rsid w:val="003750F4"/>
    <w:rsid w:val="00375145"/>
    <w:rsid w:val="003751AD"/>
    <w:rsid w:val="003751C1"/>
    <w:rsid w:val="00375239"/>
    <w:rsid w:val="0037528B"/>
    <w:rsid w:val="003752A7"/>
    <w:rsid w:val="003752CA"/>
    <w:rsid w:val="003752FB"/>
    <w:rsid w:val="0037532D"/>
    <w:rsid w:val="0037537F"/>
    <w:rsid w:val="00375422"/>
    <w:rsid w:val="0037547A"/>
    <w:rsid w:val="00375542"/>
    <w:rsid w:val="003755CF"/>
    <w:rsid w:val="003755FB"/>
    <w:rsid w:val="0037563B"/>
    <w:rsid w:val="0037565A"/>
    <w:rsid w:val="003757DC"/>
    <w:rsid w:val="003757EA"/>
    <w:rsid w:val="0037588D"/>
    <w:rsid w:val="00375898"/>
    <w:rsid w:val="00375955"/>
    <w:rsid w:val="00375959"/>
    <w:rsid w:val="00375962"/>
    <w:rsid w:val="0037598D"/>
    <w:rsid w:val="0037598E"/>
    <w:rsid w:val="0037599C"/>
    <w:rsid w:val="003759AF"/>
    <w:rsid w:val="003759CF"/>
    <w:rsid w:val="00375A0D"/>
    <w:rsid w:val="00375A22"/>
    <w:rsid w:val="00375A2A"/>
    <w:rsid w:val="00375A31"/>
    <w:rsid w:val="00375A5F"/>
    <w:rsid w:val="00375AAA"/>
    <w:rsid w:val="00375AF2"/>
    <w:rsid w:val="00375B23"/>
    <w:rsid w:val="00375B43"/>
    <w:rsid w:val="00375B71"/>
    <w:rsid w:val="00375C5B"/>
    <w:rsid w:val="00375C81"/>
    <w:rsid w:val="00375C8C"/>
    <w:rsid w:val="00375CA5"/>
    <w:rsid w:val="00375CBF"/>
    <w:rsid w:val="00375D86"/>
    <w:rsid w:val="00375E48"/>
    <w:rsid w:val="00375E4D"/>
    <w:rsid w:val="00375EA5"/>
    <w:rsid w:val="00375EAF"/>
    <w:rsid w:val="00375EE8"/>
    <w:rsid w:val="00375EF7"/>
    <w:rsid w:val="00375EFC"/>
    <w:rsid w:val="00375F12"/>
    <w:rsid w:val="00375F6C"/>
    <w:rsid w:val="00375F9D"/>
    <w:rsid w:val="003760CB"/>
    <w:rsid w:val="0037610A"/>
    <w:rsid w:val="00376152"/>
    <w:rsid w:val="00376154"/>
    <w:rsid w:val="0037615A"/>
    <w:rsid w:val="00376185"/>
    <w:rsid w:val="00376188"/>
    <w:rsid w:val="003761B7"/>
    <w:rsid w:val="00376288"/>
    <w:rsid w:val="00376293"/>
    <w:rsid w:val="00376331"/>
    <w:rsid w:val="0037633A"/>
    <w:rsid w:val="003763D9"/>
    <w:rsid w:val="00376405"/>
    <w:rsid w:val="00376442"/>
    <w:rsid w:val="003765E9"/>
    <w:rsid w:val="0037661A"/>
    <w:rsid w:val="0037666B"/>
    <w:rsid w:val="00376730"/>
    <w:rsid w:val="0037675E"/>
    <w:rsid w:val="00376766"/>
    <w:rsid w:val="00376774"/>
    <w:rsid w:val="003767F6"/>
    <w:rsid w:val="003768DB"/>
    <w:rsid w:val="003769F8"/>
    <w:rsid w:val="00376A85"/>
    <w:rsid w:val="00376A8B"/>
    <w:rsid w:val="00376B76"/>
    <w:rsid w:val="00376BBF"/>
    <w:rsid w:val="00376C50"/>
    <w:rsid w:val="00376C64"/>
    <w:rsid w:val="00376E17"/>
    <w:rsid w:val="00376E23"/>
    <w:rsid w:val="00376EBE"/>
    <w:rsid w:val="00376F18"/>
    <w:rsid w:val="00376FE8"/>
    <w:rsid w:val="00376FF3"/>
    <w:rsid w:val="0037712F"/>
    <w:rsid w:val="003771BF"/>
    <w:rsid w:val="00377219"/>
    <w:rsid w:val="00377236"/>
    <w:rsid w:val="0037723D"/>
    <w:rsid w:val="00377387"/>
    <w:rsid w:val="003773B3"/>
    <w:rsid w:val="0037740D"/>
    <w:rsid w:val="00377450"/>
    <w:rsid w:val="0037746E"/>
    <w:rsid w:val="00377483"/>
    <w:rsid w:val="0037749F"/>
    <w:rsid w:val="0037758C"/>
    <w:rsid w:val="00377673"/>
    <w:rsid w:val="00377684"/>
    <w:rsid w:val="0037770D"/>
    <w:rsid w:val="0037773C"/>
    <w:rsid w:val="0037776A"/>
    <w:rsid w:val="003778BB"/>
    <w:rsid w:val="003778D1"/>
    <w:rsid w:val="003778E2"/>
    <w:rsid w:val="00377910"/>
    <w:rsid w:val="00377985"/>
    <w:rsid w:val="003779DB"/>
    <w:rsid w:val="003779E6"/>
    <w:rsid w:val="00377A64"/>
    <w:rsid w:val="00377AD3"/>
    <w:rsid w:val="00377ADB"/>
    <w:rsid w:val="00377BA9"/>
    <w:rsid w:val="00377BC7"/>
    <w:rsid w:val="00377C16"/>
    <w:rsid w:val="00377C5E"/>
    <w:rsid w:val="00377C87"/>
    <w:rsid w:val="00377CCC"/>
    <w:rsid w:val="00377CD2"/>
    <w:rsid w:val="00377D5B"/>
    <w:rsid w:val="00377DEC"/>
    <w:rsid w:val="00377E0A"/>
    <w:rsid w:val="00377E62"/>
    <w:rsid w:val="00377EA6"/>
    <w:rsid w:val="00377EEE"/>
    <w:rsid w:val="00377F12"/>
    <w:rsid w:val="00377F39"/>
    <w:rsid w:val="00380058"/>
    <w:rsid w:val="003800B0"/>
    <w:rsid w:val="003800F9"/>
    <w:rsid w:val="00380109"/>
    <w:rsid w:val="00380169"/>
    <w:rsid w:val="003801AB"/>
    <w:rsid w:val="003802CE"/>
    <w:rsid w:val="00380313"/>
    <w:rsid w:val="00380335"/>
    <w:rsid w:val="0038035D"/>
    <w:rsid w:val="003803AE"/>
    <w:rsid w:val="003803FC"/>
    <w:rsid w:val="00380463"/>
    <w:rsid w:val="00380466"/>
    <w:rsid w:val="00380684"/>
    <w:rsid w:val="00380695"/>
    <w:rsid w:val="003806A0"/>
    <w:rsid w:val="003806E7"/>
    <w:rsid w:val="0038079F"/>
    <w:rsid w:val="003807A0"/>
    <w:rsid w:val="0038081E"/>
    <w:rsid w:val="00380867"/>
    <w:rsid w:val="003808B0"/>
    <w:rsid w:val="003808EA"/>
    <w:rsid w:val="0038091F"/>
    <w:rsid w:val="003809A7"/>
    <w:rsid w:val="003809D9"/>
    <w:rsid w:val="003809F1"/>
    <w:rsid w:val="00380A3F"/>
    <w:rsid w:val="00380B2A"/>
    <w:rsid w:val="00380B67"/>
    <w:rsid w:val="00380BA5"/>
    <w:rsid w:val="00380BB1"/>
    <w:rsid w:val="00380CBB"/>
    <w:rsid w:val="00380D57"/>
    <w:rsid w:val="00380DBF"/>
    <w:rsid w:val="00380E27"/>
    <w:rsid w:val="00380EA2"/>
    <w:rsid w:val="00380F10"/>
    <w:rsid w:val="00380F44"/>
    <w:rsid w:val="00381089"/>
    <w:rsid w:val="003810B1"/>
    <w:rsid w:val="00381170"/>
    <w:rsid w:val="00381225"/>
    <w:rsid w:val="00381357"/>
    <w:rsid w:val="00381379"/>
    <w:rsid w:val="003813C9"/>
    <w:rsid w:val="003813EC"/>
    <w:rsid w:val="00381403"/>
    <w:rsid w:val="0038146F"/>
    <w:rsid w:val="0038147F"/>
    <w:rsid w:val="003814AC"/>
    <w:rsid w:val="003814BA"/>
    <w:rsid w:val="00381543"/>
    <w:rsid w:val="00381564"/>
    <w:rsid w:val="003816CF"/>
    <w:rsid w:val="0038171C"/>
    <w:rsid w:val="00381802"/>
    <w:rsid w:val="0038188B"/>
    <w:rsid w:val="003818A1"/>
    <w:rsid w:val="00381965"/>
    <w:rsid w:val="003819E3"/>
    <w:rsid w:val="00381B69"/>
    <w:rsid w:val="00381C8A"/>
    <w:rsid w:val="00381D3A"/>
    <w:rsid w:val="00381D93"/>
    <w:rsid w:val="00381EA0"/>
    <w:rsid w:val="00381F46"/>
    <w:rsid w:val="00381F47"/>
    <w:rsid w:val="00381F75"/>
    <w:rsid w:val="00381F88"/>
    <w:rsid w:val="00381F90"/>
    <w:rsid w:val="00381FB7"/>
    <w:rsid w:val="00381FC1"/>
    <w:rsid w:val="003820A4"/>
    <w:rsid w:val="003820A9"/>
    <w:rsid w:val="003820E3"/>
    <w:rsid w:val="003820E4"/>
    <w:rsid w:val="00382129"/>
    <w:rsid w:val="00382148"/>
    <w:rsid w:val="003821AC"/>
    <w:rsid w:val="003821BF"/>
    <w:rsid w:val="003821E4"/>
    <w:rsid w:val="00382290"/>
    <w:rsid w:val="003822A1"/>
    <w:rsid w:val="003822CA"/>
    <w:rsid w:val="003822E4"/>
    <w:rsid w:val="003823FF"/>
    <w:rsid w:val="00382435"/>
    <w:rsid w:val="00382459"/>
    <w:rsid w:val="0038249E"/>
    <w:rsid w:val="003824BC"/>
    <w:rsid w:val="003824FC"/>
    <w:rsid w:val="0038258E"/>
    <w:rsid w:val="003825A3"/>
    <w:rsid w:val="003825BC"/>
    <w:rsid w:val="003825F3"/>
    <w:rsid w:val="003827BB"/>
    <w:rsid w:val="003827C0"/>
    <w:rsid w:val="00382837"/>
    <w:rsid w:val="003828FB"/>
    <w:rsid w:val="00382920"/>
    <w:rsid w:val="00382924"/>
    <w:rsid w:val="00382928"/>
    <w:rsid w:val="0038294D"/>
    <w:rsid w:val="0038295C"/>
    <w:rsid w:val="0038296E"/>
    <w:rsid w:val="00382981"/>
    <w:rsid w:val="0038298E"/>
    <w:rsid w:val="00382A11"/>
    <w:rsid w:val="00382A1D"/>
    <w:rsid w:val="00382A71"/>
    <w:rsid w:val="00382A74"/>
    <w:rsid w:val="00382A93"/>
    <w:rsid w:val="00382AEC"/>
    <w:rsid w:val="00382B05"/>
    <w:rsid w:val="00382C34"/>
    <w:rsid w:val="00382C91"/>
    <w:rsid w:val="00382CE8"/>
    <w:rsid w:val="00382DCB"/>
    <w:rsid w:val="00382DD2"/>
    <w:rsid w:val="00382DF6"/>
    <w:rsid w:val="00382E18"/>
    <w:rsid w:val="00382E8A"/>
    <w:rsid w:val="00382F80"/>
    <w:rsid w:val="00382FAF"/>
    <w:rsid w:val="00382FE5"/>
    <w:rsid w:val="00383004"/>
    <w:rsid w:val="003830FD"/>
    <w:rsid w:val="00383198"/>
    <w:rsid w:val="0038319D"/>
    <w:rsid w:val="003831C0"/>
    <w:rsid w:val="003831CA"/>
    <w:rsid w:val="003831F6"/>
    <w:rsid w:val="003832A9"/>
    <w:rsid w:val="00383326"/>
    <w:rsid w:val="0038332C"/>
    <w:rsid w:val="00383352"/>
    <w:rsid w:val="00383465"/>
    <w:rsid w:val="003834CA"/>
    <w:rsid w:val="003836A3"/>
    <w:rsid w:val="003836B1"/>
    <w:rsid w:val="003837CC"/>
    <w:rsid w:val="0038388D"/>
    <w:rsid w:val="003838B2"/>
    <w:rsid w:val="003838C5"/>
    <w:rsid w:val="003838EF"/>
    <w:rsid w:val="00383930"/>
    <w:rsid w:val="0038393B"/>
    <w:rsid w:val="003839EA"/>
    <w:rsid w:val="00383A11"/>
    <w:rsid w:val="00383A32"/>
    <w:rsid w:val="00383ABA"/>
    <w:rsid w:val="00383AD9"/>
    <w:rsid w:val="00383B73"/>
    <w:rsid w:val="00383B7D"/>
    <w:rsid w:val="00383BA6"/>
    <w:rsid w:val="00383BB0"/>
    <w:rsid w:val="00383BD2"/>
    <w:rsid w:val="00383C92"/>
    <w:rsid w:val="00383CCC"/>
    <w:rsid w:val="00383CDE"/>
    <w:rsid w:val="00383D3D"/>
    <w:rsid w:val="00383F1D"/>
    <w:rsid w:val="00383F4B"/>
    <w:rsid w:val="00383F61"/>
    <w:rsid w:val="00383F73"/>
    <w:rsid w:val="00383FCE"/>
    <w:rsid w:val="00383FDC"/>
    <w:rsid w:val="0038406B"/>
    <w:rsid w:val="003840E2"/>
    <w:rsid w:val="003841BA"/>
    <w:rsid w:val="003841E8"/>
    <w:rsid w:val="0038428B"/>
    <w:rsid w:val="00384486"/>
    <w:rsid w:val="003844B9"/>
    <w:rsid w:val="00384503"/>
    <w:rsid w:val="00384517"/>
    <w:rsid w:val="00384524"/>
    <w:rsid w:val="00384555"/>
    <w:rsid w:val="0038455B"/>
    <w:rsid w:val="0038455C"/>
    <w:rsid w:val="00384602"/>
    <w:rsid w:val="00384637"/>
    <w:rsid w:val="00384690"/>
    <w:rsid w:val="003846A6"/>
    <w:rsid w:val="00384746"/>
    <w:rsid w:val="003847B4"/>
    <w:rsid w:val="003847EA"/>
    <w:rsid w:val="003848E7"/>
    <w:rsid w:val="003848ED"/>
    <w:rsid w:val="00384934"/>
    <w:rsid w:val="0038494A"/>
    <w:rsid w:val="003849F5"/>
    <w:rsid w:val="00384A23"/>
    <w:rsid w:val="00384AA2"/>
    <w:rsid w:val="00384AAC"/>
    <w:rsid w:val="00384AFB"/>
    <w:rsid w:val="00384C63"/>
    <w:rsid w:val="00384CA4"/>
    <w:rsid w:val="00384CBE"/>
    <w:rsid w:val="00384D2A"/>
    <w:rsid w:val="00384DD8"/>
    <w:rsid w:val="00384DF3"/>
    <w:rsid w:val="00384EED"/>
    <w:rsid w:val="00384F52"/>
    <w:rsid w:val="00384F5C"/>
    <w:rsid w:val="00384F92"/>
    <w:rsid w:val="00384FE6"/>
    <w:rsid w:val="00385027"/>
    <w:rsid w:val="00385028"/>
    <w:rsid w:val="00385045"/>
    <w:rsid w:val="003850E3"/>
    <w:rsid w:val="00385103"/>
    <w:rsid w:val="003851CC"/>
    <w:rsid w:val="003851DC"/>
    <w:rsid w:val="00385264"/>
    <w:rsid w:val="00385277"/>
    <w:rsid w:val="0038528C"/>
    <w:rsid w:val="003852B3"/>
    <w:rsid w:val="00385304"/>
    <w:rsid w:val="0038531E"/>
    <w:rsid w:val="00385397"/>
    <w:rsid w:val="003853BB"/>
    <w:rsid w:val="0038546B"/>
    <w:rsid w:val="003854BB"/>
    <w:rsid w:val="003854D8"/>
    <w:rsid w:val="00385517"/>
    <w:rsid w:val="0038558A"/>
    <w:rsid w:val="00385778"/>
    <w:rsid w:val="003857BC"/>
    <w:rsid w:val="003857F9"/>
    <w:rsid w:val="003857FE"/>
    <w:rsid w:val="0038581D"/>
    <w:rsid w:val="0038597F"/>
    <w:rsid w:val="003859A3"/>
    <w:rsid w:val="00385A41"/>
    <w:rsid w:val="00385A7E"/>
    <w:rsid w:val="00385AF2"/>
    <w:rsid w:val="00385B16"/>
    <w:rsid w:val="00385B2B"/>
    <w:rsid w:val="00385B89"/>
    <w:rsid w:val="00385BAB"/>
    <w:rsid w:val="00385BC2"/>
    <w:rsid w:val="00385BF7"/>
    <w:rsid w:val="00385C4C"/>
    <w:rsid w:val="00385C81"/>
    <w:rsid w:val="00385D11"/>
    <w:rsid w:val="00385D3F"/>
    <w:rsid w:val="00385E1F"/>
    <w:rsid w:val="00385E2D"/>
    <w:rsid w:val="00385E49"/>
    <w:rsid w:val="00385ECB"/>
    <w:rsid w:val="00385F2D"/>
    <w:rsid w:val="00385F6F"/>
    <w:rsid w:val="00385FDE"/>
    <w:rsid w:val="00385FE0"/>
    <w:rsid w:val="00386092"/>
    <w:rsid w:val="003860D2"/>
    <w:rsid w:val="003860D5"/>
    <w:rsid w:val="00386173"/>
    <w:rsid w:val="003861CF"/>
    <w:rsid w:val="003861F2"/>
    <w:rsid w:val="00386204"/>
    <w:rsid w:val="003863E4"/>
    <w:rsid w:val="0038640F"/>
    <w:rsid w:val="0038645C"/>
    <w:rsid w:val="00386492"/>
    <w:rsid w:val="003864D8"/>
    <w:rsid w:val="003864F2"/>
    <w:rsid w:val="0038650A"/>
    <w:rsid w:val="00386559"/>
    <w:rsid w:val="00386565"/>
    <w:rsid w:val="003865D8"/>
    <w:rsid w:val="003865E8"/>
    <w:rsid w:val="003865EA"/>
    <w:rsid w:val="00386617"/>
    <w:rsid w:val="00386639"/>
    <w:rsid w:val="00386685"/>
    <w:rsid w:val="003866B8"/>
    <w:rsid w:val="0038672C"/>
    <w:rsid w:val="00386732"/>
    <w:rsid w:val="003867F8"/>
    <w:rsid w:val="0038683C"/>
    <w:rsid w:val="003868BD"/>
    <w:rsid w:val="0038698B"/>
    <w:rsid w:val="003869E7"/>
    <w:rsid w:val="00386A03"/>
    <w:rsid w:val="00386A1F"/>
    <w:rsid w:val="00386A21"/>
    <w:rsid w:val="00386AC6"/>
    <w:rsid w:val="00386B73"/>
    <w:rsid w:val="00386B9D"/>
    <w:rsid w:val="00386BAD"/>
    <w:rsid w:val="00386BAF"/>
    <w:rsid w:val="00386BB8"/>
    <w:rsid w:val="00386BD6"/>
    <w:rsid w:val="00386CE7"/>
    <w:rsid w:val="00386DA7"/>
    <w:rsid w:val="00386E3F"/>
    <w:rsid w:val="00386ED1"/>
    <w:rsid w:val="00386F14"/>
    <w:rsid w:val="00386F1B"/>
    <w:rsid w:val="00386F9A"/>
    <w:rsid w:val="00386FAA"/>
    <w:rsid w:val="00386FB9"/>
    <w:rsid w:val="00386FBB"/>
    <w:rsid w:val="00386FE2"/>
    <w:rsid w:val="0038703F"/>
    <w:rsid w:val="003870FF"/>
    <w:rsid w:val="003871C1"/>
    <w:rsid w:val="003871C9"/>
    <w:rsid w:val="00387202"/>
    <w:rsid w:val="0038722D"/>
    <w:rsid w:val="0038722E"/>
    <w:rsid w:val="003872B5"/>
    <w:rsid w:val="003874F1"/>
    <w:rsid w:val="00387504"/>
    <w:rsid w:val="00387520"/>
    <w:rsid w:val="0038755C"/>
    <w:rsid w:val="0038777E"/>
    <w:rsid w:val="003877D5"/>
    <w:rsid w:val="003878B7"/>
    <w:rsid w:val="003878D3"/>
    <w:rsid w:val="003878F6"/>
    <w:rsid w:val="00387961"/>
    <w:rsid w:val="003879AA"/>
    <w:rsid w:val="003879D2"/>
    <w:rsid w:val="00387A44"/>
    <w:rsid w:val="00387B47"/>
    <w:rsid w:val="00387B5B"/>
    <w:rsid w:val="00387B81"/>
    <w:rsid w:val="00387BD1"/>
    <w:rsid w:val="00387BFD"/>
    <w:rsid w:val="00387C2B"/>
    <w:rsid w:val="00387C6B"/>
    <w:rsid w:val="00387C8C"/>
    <w:rsid w:val="00387CF7"/>
    <w:rsid w:val="00387D3D"/>
    <w:rsid w:val="00387E78"/>
    <w:rsid w:val="00387E9C"/>
    <w:rsid w:val="00387EEC"/>
    <w:rsid w:val="00387F51"/>
    <w:rsid w:val="00387FAF"/>
    <w:rsid w:val="0039005F"/>
    <w:rsid w:val="003900D4"/>
    <w:rsid w:val="00390207"/>
    <w:rsid w:val="0039030E"/>
    <w:rsid w:val="00390329"/>
    <w:rsid w:val="00390370"/>
    <w:rsid w:val="00390382"/>
    <w:rsid w:val="003903C5"/>
    <w:rsid w:val="00390407"/>
    <w:rsid w:val="00390415"/>
    <w:rsid w:val="003904B9"/>
    <w:rsid w:val="00390514"/>
    <w:rsid w:val="00390563"/>
    <w:rsid w:val="003905AA"/>
    <w:rsid w:val="003906C6"/>
    <w:rsid w:val="003906FE"/>
    <w:rsid w:val="003907B9"/>
    <w:rsid w:val="003907FB"/>
    <w:rsid w:val="00390800"/>
    <w:rsid w:val="0039080D"/>
    <w:rsid w:val="00390905"/>
    <w:rsid w:val="00390908"/>
    <w:rsid w:val="0039096E"/>
    <w:rsid w:val="0039098E"/>
    <w:rsid w:val="0039099A"/>
    <w:rsid w:val="003909C2"/>
    <w:rsid w:val="003909F8"/>
    <w:rsid w:val="00390A89"/>
    <w:rsid w:val="00390A98"/>
    <w:rsid w:val="00390AE6"/>
    <w:rsid w:val="00390B3F"/>
    <w:rsid w:val="00390BA5"/>
    <w:rsid w:val="00390BFD"/>
    <w:rsid w:val="00390D35"/>
    <w:rsid w:val="00390EBC"/>
    <w:rsid w:val="00390EF9"/>
    <w:rsid w:val="00390F65"/>
    <w:rsid w:val="00390F69"/>
    <w:rsid w:val="00390F78"/>
    <w:rsid w:val="00390F7E"/>
    <w:rsid w:val="00391092"/>
    <w:rsid w:val="00391107"/>
    <w:rsid w:val="0039120D"/>
    <w:rsid w:val="00391342"/>
    <w:rsid w:val="0039136F"/>
    <w:rsid w:val="003913EE"/>
    <w:rsid w:val="00391410"/>
    <w:rsid w:val="003915C1"/>
    <w:rsid w:val="00391656"/>
    <w:rsid w:val="003917B4"/>
    <w:rsid w:val="003917BC"/>
    <w:rsid w:val="003917CF"/>
    <w:rsid w:val="00391863"/>
    <w:rsid w:val="003918F0"/>
    <w:rsid w:val="0039198C"/>
    <w:rsid w:val="003919AA"/>
    <w:rsid w:val="003919B3"/>
    <w:rsid w:val="00391A7B"/>
    <w:rsid w:val="00391AFC"/>
    <w:rsid w:val="00391B3B"/>
    <w:rsid w:val="00391BB3"/>
    <w:rsid w:val="00391C1D"/>
    <w:rsid w:val="00391C9C"/>
    <w:rsid w:val="00391D1D"/>
    <w:rsid w:val="00391D38"/>
    <w:rsid w:val="00391D52"/>
    <w:rsid w:val="00391D61"/>
    <w:rsid w:val="00391D90"/>
    <w:rsid w:val="00391E7B"/>
    <w:rsid w:val="00391ECE"/>
    <w:rsid w:val="00391F3A"/>
    <w:rsid w:val="003920D9"/>
    <w:rsid w:val="0039210D"/>
    <w:rsid w:val="00392126"/>
    <w:rsid w:val="003921BE"/>
    <w:rsid w:val="00392223"/>
    <w:rsid w:val="00392254"/>
    <w:rsid w:val="003923B6"/>
    <w:rsid w:val="0039244C"/>
    <w:rsid w:val="0039244D"/>
    <w:rsid w:val="00392466"/>
    <w:rsid w:val="003924B8"/>
    <w:rsid w:val="00392551"/>
    <w:rsid w:val="003925A3"/>
    <w:rsid w:val="003925FF"/>
    <w:rsid w:val="0039260F"/>
    <w:rsid w:val="00392615"/>
    <w:rsid w:val="003926C1"/>
    <w:rsid w:val="003926F1"/>
    <w:rsid w:val="0039275C"/>
    <w:rsid w:val="0039276A"/>
    <w:rsid w:val="003927AF"/>
    <w:rsid w:val="003927BC"/>
    <w:rsid w:val="0039288B"/>
    <w:rsid w:val="003928DC"/>
    <w:rsid w:val="003928E9"/>
    <w:rsid w:val="00392965"/>
    <w:rsid w:val="0039298C"/>
    <w:rsid w:val="003929B1"/>
    <w:rsid w:val="00392AB9"/>
    <w:rsid w:val="00392B9D"/>
    <w:rsid w:val="00392BAF"/>
    <w:rsid w:val="00392C75"/>
    <w:rsid w:val="00392C95"/>
    <w:rsid w:val="00392E28"/>
    <w:rsid w:val="00392E50"/>
    <w:rsid w:val="00392F3C"/>
    <w:rsid w:val="00392F98"/>
    <w:rsid w:val="00392FD6"/>
    <w:rsid w:val="00393032"/>
    <w:rsid w:val="00393073"/>
    <w:rsid w:val="0039308F"/>
    <w:rsid w:val="003930D2"/>
    <w:rsid w:val="003930ED"/>
    <w:rsid w:val="00393139"/>
    <w:rsid w:val="00393156"/>
    <w:rsid w:val="00393261"/>
    <w:rsid w:val="00393282"/>
    <w:rsid w:val="0039329C"/>
    <w:rsid w:val="003932AD"/>
    <w:rsid w:val="003932B5"/>
    <w:rsid w:val="003932BB"/>
    <w:rsid w:val="0039330A"/>
    <w:rsid w:val="0039334B"/>
    <w:rsid w:val="0039335A"/>
    <w:rsid w:val="00393473"/>
    <w:rsid w:val="00393482"/>
    <w:rsid w:val="0039350C"/>
    <w:rsid w:val="00393532"/>
    <w:rsid w:val="00393536"/>
    <w:rsid w:val="003935C0"/>
    <w:rsid w:val="00393773"/>
    <w:rsid w:val="00393776"/>
    <w:rsid w:val="0039379A"/>
    <w:rsid w:val="0039381A"/>
    <w:rsid w:val="00393822"/>
    <w:rsid w:val="00393880"/>
    <w:rsid w:val="003938C9"/>
    <w:rsid w:val="003938F3"/>
    <w:rsid w:val="00393980"/>
    <w:rsid w:val="00393987"/>
    <w:rsid w:val="003939A5"/>
    <w:rsid w:val="003939BA"/>
    <w:rsid w:val="003939CD"/>
    <w:rsid w:val="003939E0"/>
    <w:rsid w:val="00393A49"/>
    <w:rsid w:val="00393A84"/>
    <w:rsid w:val="00393AE5"/>
    <w:rsid w:val="00393AF8"/>
    <w:rsid w:val="00393B6F"/>
    <w:rsid w:val="00393BF1"/>
    <w:rsid w:val="00393BF3"/>
    <w:rsid w:val="00393C07"/>
    <w:rsid w:val="00393C0C"/>
    <w:rsid w:val="00393DE0"/>
    <w:rsid w:val="00393E79"/>
    <w:rsid w:val="00394018"/>
    <w:rsid w:val="0039404D"/>
    <w:rsid w:val="00394072"/>
    <w:rsid w:val="00394085"/>
    <w:rsid w:val="00394187"/>
    <w:rsid w:val="00394188"/>
    <w:rsid w:val="003941B9"/>
    <w:rsid w:val="003942D5"/>
    <w:rsid w:val="00394323"/>
    <w:rsid w:val="00394324"/>
    <w:rsid w:val="0039434A"/>
    <w:rsid w:val="003943C2"/>
    <w:rsid w:val="00394410"/>
    <w:rsid w:val="00394422"/>
    <w:rsid w:val="00394496"/>
    <w:rsid w:val="003944AF"/>
    <w:rsid w:val="003945A2"/>
    <w:rsid w:val="0039465F"/>
    <w:rsid w:val="003946EE"/>
    <w:rsid w:val="00394711"/>
    <w:rsid w:val="0039475E"/>
    <w:rsid w:val="0039476E"/>
    <w:rsid w:val="00394781"/>
    <w:rsid w:val="003947BA"/>
    <w:rsid w:val="0039483B"/>
    <w:rsid w:val="00394956"/>
    <w:rsid w:val="003949A4"/>
    <w:rsid w:val="00394A01"/>
    <w:rsid w:val="00394A10"/>
    <w:rsid w:val="00394A27"/>
    <w:rsid w:val="00394AB9"/>
    <w:rsid w:val="00394AE8"/>
    <w:rsid w:val="00394AF9"/>
    <w:rsid w:val="00394B1A"/>
    <w:rsid w:val="00394B2F"/>
    <w:rsid w:val="00394B30"/>
    <w:rsid w:val="00394C11"/>
    <w:rsid w:val="00394C4A"/>
    <w:rsid w:val="00394C63"/>
    <w:rsid w:val="00394C91"/>
    <w:rsid w:val="00394D61"/>
    <w:rsid w:val="00394DB1"/>
    <w:rsid w:val="00394DEB"/>
    <w:rsid w:val="00394E1A"/>
    <w:rsid w:val="00394E67"/>
    <w:rsid w:val="00394E84"/>
    <w:rsid w:val="00394E95"/>
    <w:rsid w:val="00394EB8"/>
    <w:rsid w:val="00394F01"/>
    <w:rsid w:val="00394F89"/>
    <w:rsid w:val="00395088"/>
    <w:rsid w:val="003950BB"/>
    <w:rsid w:val="00395280"/>
    <w:rsid w:val="003952D6"/>
    <w:rsid w:val="00395331"/>
    <w:rsid w:val="00395365"/>
    <w:rsid w:val="003953A5"/>
    <w:rsid w:val="00395421"/>
    <w:rsid w:val="00395485"/>
    <w:rsid w:val="00395499"/>
    <w:rsid w:val="003954AB"/>
    <w:rsid w:val="003954DA"/>
    <w:rsid w:val="003954FB"/>
    <w:rsid w:val="00395528"/>
    <w:rsid w:val="003955A5"/>
    <w:rsid w:val="003955B4"/>
    <w:rsid w:val="003955DB"/>
    <w:rsid w:val="0039560A"/>
    <w:rsid w:val="00395883"/>
    <w:rsid w:val="0039590F"/>
    <w:rsid w:val="00395936"/>
    <w:rsid w:val="003959A4"/>
    <w:rsid w:val="00395AE3"/>
    <w:rsid w:val="00395B4C"/>
    <w:rsid w:val="00395BD8"/>
    <w:rsid w:val="00395BFD"/>
    <w:rsid w:val="00395C62"/>
    <w:rsid w:val="00395CFE"/>
    <w:rsid w:val="00395D63"/>
    <w:rsid w:val="00395E1C"/>
    <w:rsid w:val="00395E1E"/>
    <w:rsid w:val="00395E36"/>
    <w:rsid w:val="00395EA0"/>
    <w:rsid w:val="00395EA9"/>
    <w:rsid w:val="00395EBC"/>
    <w:rsid w:val="00395F35"/>
    <w:rsid w:val="00395F63"/>
    <w:rsid w:val="00395F90"/>
    <w:rsid w:val="003960AA"/>
    <w:rsid w:val="0039611D"/>
    <w:rsid w:val="00396191"/>
    <w:rsid w:val="003963C9"/>
    <w:rsid w:val="00396410"/>
    <w:rsid w:val="0039643F"/>
    <w:rsid w:val="0039646C"/>
    <w:rsid w:val="00396476"/>
    <w:rsid w:val="003964B8"/>
    <w:rsid w:val="0039658C"/>
    <w:rsid w:val="0039660C"/>
    <w:rsid w:val="0039662B"/>
    <w:rsid w:val="00396658"/>
    <w:rsid w:val="00396680"/>
    <w:rsid w:val="003966D2"/>
    <w:rsid w:val="00396700"/>
    <w:rsid w:val="003967A8"/>
    <w:rsid w:val="00396818"/>
    <w:rsid w:val="00396840"/>
    <w:rsid w:val="00396859"/>
    <w:rsid w:val="003968AD"/>
    <w:rsid w:val="003968C7"/>
    <w:rsid w:val="00396954"/>
    <w:rsid w:val="0039697D"/>
    <w:rsid w:val="0039698A"/>
    <w:rsid w:val="00396AFB"/>
    <w:rsid w:val="00396B31"/>
    <w:rsid w:val="00396B5E"/>
    <w:rsid w:val="00396C04"/>
    <w:rsid w:val="00396C98"/>
    <w:rsid w:val="00396CA7"/>
    <w:rsid w:val="00396CB7"/>
    <w:rsid w:val="00396CE8"/>
    <w:rsid w:val="00396CEB"/>
    <w:rsid w:val="00396CFF"/>
    <w:rsid w:val="00396D60"/>
    <w:rsid w:val="00396E07"/>
    <w:rsid w:val="00396E6E"/>
    <w:rsid w:val="00396E89"/>
    <w:rsid w:val="00396E93"/>
    <w:rsid w:val="00396F04"/>
    <w:rsid w:val="00397041"/>
    <w:rsid w:val="0039707F"/>
    <w:rsid w:val="00397085"/>
    <w:rsid w:val="003970B1"/>
    <w:rsid w:val="003971A4"/>
    <w:rsid w:val="003971BE"/>
    <w:rsid w:val="003971F5"/>
    <w:rsid w:val="00397207"/>
    <w:rsid w:val="0039721C"/>
    <w:rsid w:val="0039725B"/>
    <w:rsid w:val="003972D8"/>
    <w:rsid w:val="00397318"/>
    <w:rsid w:val="00397361"/>
    <w:rsid w:val="003973AB"/>
    <w:rsid w:val="003973B8"/>
    <w:rsid w:val="0039740F"/>
    <w:rsid w:val="0039741E"/>
    <w:rsid w:val="0039745A"/>
    <w:rsid w:val="003974B2"/>
    <w:rsid w:val="0039751C"/>
    <w:rsid w:val="003975EA"/>
    <w:rsid w:val="003975F8"/>
    <w:rsid w:val="003976C4"/>
    <w:rsid w:val="0039777B"/>
    <w:rsid w:val="00397783"/>
    <w:rsid w:val="0039778B"/>
    <w:rsid w:val="003977A7"/>
    <w:rsid w:val="003977D1"/>
    <w:rsid w:val="003977F6"/>
    <w:rsid w:val="003977FD"/>
    <w:rsid w:val="0039788C"/>
    <w:rsid w:val="0039790E"/>
    <w:rsid w:val="00397983"/>
    <w:rsid w:val="00397984"/>
    <w:rsid w:val="00397986"/>
    <w:rsid w:val="00397A87"/>
    <w:rsid w:val="00397B3A"/>
    <w:rsid w:val="00397B5F"/>
    <w:rsid w:val="00397B8C"/>
    <w:rsid w:val="00397B9B"/>
    <w:rsid w:val="00397C2B"/>
    <w:rsid w:val="00397D1B"/>
    <w:rsid w:val="00397D49"/>
    <w:rsid w:val="00397DDF"/>
    <w:rsid w:val="00397E4E"/>
    <w:rsid w:val="00397EF4"/>
    <w:rsid w:val="00397FC3"/>
    <w:rsid w:val="00397FFA"/>
    <w:rsid w:val="003A000F"/>
    <w:rsid w:val="003A0024"/>
    <w:rsid w:val="003A004F"/>
    <w:rsid w:val="003A0062"/>
    <w:rsid w:val="003A0069"/>
    <w:rsid w:val="003A0082"/>
    <w:rsid w:val="003A008C"/>
    <w:rsid w:val="003A0212"/>
    <w:rsid w:val="003A023E"/>
    <w:rsid w:val="003A02AB"/>
    <w:rsid w:val="003A02C9"/>
    <w:rsid w:val="003A030B"/>
    <w:rsid w:val="003A03CE"/>
    <w:rsid w:val="003A0454"/>
    <w:rsid w:val="003A04D1"/>
    <w:rsid w:val="003A051B"/>
    <w:rsid w:val="003A0541"/>
    <w:rsid w:val="003A05CB"/>
    <w:rsid w:val="003A0622"/>
    <w:rsid w:val="003A067C"/>
    <w:rsid w:val="003A0697"/>
    <w:rsid w:val="003A07B7"/>
    <w:rsid w:val="003A07CB"/>
    <w:rsid w:val="003A07D6"/>
    <w:rsid w:val="003A0875"/>
    <w:rsid w:val="003A0878"/>
    <w:rsid w:val="003A08AC"/>
    <w:rsid w:val="003A08FD"/>
    <w:rsid w:val="003A0934"/>
    <w:rsid w:val="003A0A2A"/>
    <w:rsid w:val="003A0A47"/>
    <w:rsid w:val="003A0A5C"/>
    <w:rsid w:val="003A0ACB"/>
    <w:rsid w:val="003A0AEE"/>
    <w:rsid w:val="003A0B06"/>
    <w:rsid w:val="003A0B3A"/>
    <w:rsid w:val="003A0C18"/>
    <w:rsid w:val="003A0C1C"/>
    <w:rsid w:val="003A0C47"/>
    <w:rsid w:val="003A0C6E"/>
    <w:rsid w:val="003A0CF3"/>
    <w:rsid w:val="003A0E6C"/>
    <w:rsid w:val="003A0F11"/>
    <w:rsid w:val="003A0F34"/>
    <w:rsid w:val="003A0F3B"/>
    <w:rsid w:val="003A0F43"/>
    <w:rsid w:val="003A0F9B"/>
    <w:rsid w:val="003A1046"/>
    <w:rsid w:val="003A108F"/>
    <w:rsid w:val="003A10A0"/>
    <w:rsid w:val="003A1112"/>
    <w:rsid w:val="003A11FD"/>
    <w:rsid w:val="003A125A"/>
    <w:rsid w:val="003A1272"/>
    <w:rsid w:val="003A127C"/>
    <w:rsid w:val="003A12B3"/>
    <w:rsid w:val="003A12FD"/>
    <w:rsid w:val="003A1307"/>
    <w:rsid w:val="003A13A1"/>
    <w:rsid w:val="003A13C1"/>
    <w:rsid w:val="003A146A"/>
    <w:rsid w:val="003A14AC"/>
    <w:rsid w:val="003A14B2"/>
    <w:rsid w:val="003A1503"/>
    <w:rsid w:val="003A150C"/>
    <w:rsid w:val="003A1515"/>
    <w:rsid w:val="003A1608"/>
    <w:rsid w:val="003A1698"/>
    <w:rsid w:val="003A16E1"/>
    <w:rsid w:val="003A174B"/>
    <w:rsid w:val="003A1774"/>
    <w:rsid w:val="003A17AD"/>
    <w:rsid w:val="003A17F2"/>
    <w:rsid w:val="003A186B"/>
    <w:rsid w:val="003A18A9"/>
    <w:rsid w:val="003A1982"/>
    <w:rsid w:val="003A19EB"/>
    <w:rsid w:val="003A19F7"/>
    <w:rsid w:val="003A1A06"/>
    <w:rsid w:val="003A1A16"/>
    <w:rsid w:val="003A1AB0"/>
    <w:rsid w:val="003A1AB9"/>
    <w:rsid w:val="003A1B07"/>
    <w:rsid w:val="003A1E4E"/>
    <w:rsid w:val="003A1EDB"/>
    <w:rsid w:val="003A1F48"/>
    <w:rsid w:val="003A1FAB"/>
    <w:rsid w:val="003A1FE6"/>
    <w:rsid w:val="003A201D"/>
    <w:rsid w:val="003A2076"/>
    <w:rsid w:val="003A207E"/>
    <w:rsid w:val="003A2086"/>
    <w:rsid w:val="003A20AD"/>
    <w:rsid w:val="003A20D0"/>
    <w:rsid w:val="003A2166"/>
    <w:rsid w:val="003A21E0"/>
    <w:rsid w:val="003A2218"/>
    <w:rsid w:val="003A2301"/>
    <w:rsid w:val="003A23C2"/>
    <w:rsid w:val="003A2419"/>
    <w:rsid w:val="003A245C"/>
    <w:rsid w:val="003A24A5"/>
    <w:rsid w:val="003A24CA"/>
    <w:rsid w:val="003A2624"/>
    <w:rsid w:val="003A26A1"/>
    <w:rsid w:val="003A26CA"/>
    <w:rsid w:val="003A2748"/>
    <w:rsid w:val="003A2753"/>
    <w:rsid w:val="003A279B"/>
    <w:rsid w:val="003A27CC"/>
    <w:rsid w:val="003A2976"/>
    <w:rsid w:val="003A29EE"/>
    <w:rsid w:val="003A2A04"/>
    <w:rsid w:val="003A2A11"/>
    <w:rsid w:val="003A2A8B"/>
    <w:rsid w:val="003A2AE4"/>
    <w:rsid w:val="003A2B3C"/>
    <w:rsid w:val="003A2CC2"/>
    <w:rsid w:val="003A2CC3"/>
    <w:rsid w:val="003A2DC6"/>
    <w:rsid w:val="003A2DC7"/>
    <w:rsid w:val="003A2FA9"/>
    <w:rsid w:val="003A2FFE"/>
    <w:rsid w:val="003A3025"/>
    <w:rsid w:val="003A3051"/>
    <w:rsid w:val="003A30F3"/>
    <w:rsid w:val="003A30FD"/>
    <w:rsid w:val="003A3148"/>
    <w:rsid w:val="003A3168"/>
    <w:rsid w:val="003A3194"/>
    <w:rsid w:val="003A31AA"/>
    <w:rsid w:val="003A31B2"/>
    <w:rsid w:val="003A3261"/>
    <w:rsid w:val="003A3267"/>
    <w:rsid w:val="003A32B7"/>
    <w:rsid w:val="003A33F3"/>
    <w:rsid w:val="003A340F"/>
    <w:rsid w:val="003A3411"/>
    <w:rsid w:val="003A3554"/>
    <w:rsid w:val="003A358D"/>
    <w:rsid w:val="003A3605"/>
    <w:rsid w:val="003A36B0"/>
    <w:rsid w:val="003A373B"/>
    <w:rsid w:val="003A37A1"/>
    <w:rsid w:val="003A37D2"/>
    <w:rsid w:val="003A37FB"/>
    <w:rsid w:val="003A381E"/>
    <w:rsid w:val="003A3834"/>
    <w:rsid w:val="003A3839"/>
    <w:rsid w:val="003A388A"/>
    <w:rsid w:val="003A38A2"/>
    <w:rsid w:val="003A3918"/>
    <w:rsid w:val="003A3995"/>
    <w:rsid w:val="003A3999"/>
    <w:rsid w:val="003A39A7"/>
    <w:rsid w:val="003A3A72"/>
    <w:rsid w:val="003A3B21"/>
    <w:rsid w:val="003A3B3C"/>
    <w:rsid w:val="003A3BDB"/>
    <w:rsid w:val="003A3C59"/>
    <w:rsid w:val="003A3C92"/>
    <w:rsid w:val="003A3CB6"/>
    <w:rsid w:val="003A3E95"/>
    <w:rsid w:val="003A3EAB"/>
    <w:rsid w:val="003A3ECA"/>
    <w:rsid w:val="003A3EEA"/>
    <w:rsid w:val="003A3F7F"/>
    <w:rsid w:val="003A3FA4"/>
    <w:rsid w:val="003A3FE8"/>
    <w:rsid w:val="003A40BD"/>
    <w:rsid w:val="003A40C7"/>
    <w:rsid w:val="003A40D5"/>
    <w:rsid w:val="003A411A"/>
    <w:rsid w:val="003A4262"/>
    <w:rsid w:val="003A4273"/>
    <w:rsid w:val="003A42AB"/>
    <w:rsid w:val="003A42CF"/>
    <w:rsid w:val="003A42EB"/>
    <w:rsid w:val="003A431D"/>
    <w:rsid w:val="003A4398"/>
    <w:rsid w:val="003A43FF"/>
    <w:rsid w:val="003A4400"/>
    <w:rsid w:val="003A4413"/>
    <w:rsid w:val="003A44E1"/>
    <w:rsid w:val="003A453C"/>
    <w:rsid w:val="003A45BE"/>
    <w:rsid w:val="003A45C0"/>
    <w:rsid w:val="003A4735"/>
    <w:rsid w:val="003A47A7"/>
    <w:rsid w:val="003A47BD"/>
    <w:rsid w:val="003A4875"/>
    <w:rsid w:val="003A489A"/>
    <w:rsid w:val="003A48A9"/>
    <w:rsid w:val="003A4934"/>
    <w:rsid w:val="003A4950"/>
    <w:rsid w:val="003A49AB"/>
    <w:rsid w:val="003A49F5"/>
    <w:rsid w:val="003A4A20"/>
    <w:rsid w:val="003A4A64"/>
    <w:rsid w:val="003A4A8D"/>
    <w:rsid w:val="003A4B05"/>
    <w:rsid w:val="003A4BBE"/>
    <w:rsid w:val="003A4BC5"/>
    <w:rsid w:val="003A4C9B"/>
    <w:rsid w:val="003A4D5A"/>
    <w:rsid w:val="003A4D7B"/>
    <w:rsid w:val="003A4D82"/>
    <w:rsid w:val="003A4DAC"/>
    <w:rsid w:val="003A4E17"/>
    <w:rsid w:val="003A4E27"/>
    <w:rsid w:val="003A4E29"/>
    <w:rsid w:val="003A4EB5"/>
    <w:rsid w:val="003A4F9A"/>
    <w:rsid w:val="003A4FA6"/>
    <w:rsid w:val="003A4FAF"/>
    <w:rsid w:val="003A4FC1"/>
    <w:rsid w:val="003A4FDD"/>
    <w:rsid w:val="003A502B"/>
    <w:rsid w:val="003A5051"/>
    <w:rsid w:val="003A523F"/>
    <w:rsid w:val="003A5241"/>
    <w:rsid w:val="003A5266"/>
    <w:rsid w:val="003A538A"/>
    <w:rsid w:val="003A5396"/>
    <w:rsid w:val="003A53C4"/>
    <w:rsid w:val="003A53EB"/>
    <w:rsid w:val="003A5455"/>
    <w:rsid w:val="003A54A1"/>
    <w:rsid w:val="003A54C6"/>
    <w:rsid w:val="003A54D8"/>
    <w:rsid w:val="003A55C9"/>
    <w:rsid w:val="003A5634"/>
    <w:rsid w:val="003A5675"/>
    <w:rsid w:val="003A57C7"/>
    <w:rsid w:val="003A57CA"/>
    <w:rsid w:val="003A58B0"/>
    <w:rsid w:val="003A5958"/>
    <w:rsid w:val="003A5998"/>
    <w:rsid w:val="003A59E3"/>
    <w:rsid w:val="003A59F5"/>
    <w:rsid w:val="003A5ACA"/>
    <w:rsid w:val="003A5B03"/>
    <w:rsid w:val="003A5B26"/>
    <w:rsid w:val="003A5BA0"/>
    <w:rsid w:val="003A5C33"/>
    <w:rsid w:val="003A5C38"/>
    <w:rsid w:val="003A5C68"/>
    <w:rsid w:val="003A5D06"/>
    <w:rsid w:val="003A5D27"/>
    <w:rsid w:val="003A5DE4"/>
    <w:rsid w:val="003A5E57"/>
    <w:rsid w:val="003A5F49"/>
    <w:rsid w:val="003A5F51"/>
    <w:rsid w:val="003A5F7E"/>
    <w:rsid w:val="003A5FB6"/>
    <w:rsid w:val="003A60B6"/>
    <w:rsid w:val="003A615C"/>
    <w:rsid w:val="003A61F3"/>
    <w:rsid w:val="003A622D"/>
    <w:rsid w:val="003A6281"/>
    <w:rsid w:val="003A6297"/>
    <w:rsid w:val="003A62B6"/>
    <w:rsid w:val="003A62BC"/>
    <w:rsid w:val="003A62E7"/>
    <w:rsid w:val="003A62FF"/>
    <w:rsid w:val="003A6358"/>
    <w:rsid w:val="003A636E"/>
    <w:rsid w:val="003A6377"/>
    <w:rsid w:val="003A638E"/>
    <w:rsid w:val="003A63DA"/>
    <w:rsid w:val="003A64B2"/>
    <w:rsid w:val="003A650F"/>
    <w:rsid w:val="003A6524"/>
    <w:rsid w:val="003A654B"/>
    <w:rsid w:val="003A6566"/>
    <w:rsid w:val="003A6590"/>
    <w:rsid w:val="003A65C8"/>
    <w:rsid w:val="003A6634"/>
    <w:rsid w:val="003A66E5"/>
    <w:rsid w:val="003A6703"/>
    <w:rsid w:val="003A6769"/>
    <w:rsid w:val="003A67EE"/>
    <w:rsid w:val="003A6832"/>
    <w:rsid w:val="003A6838"/>
    <w:rsid w:val="003A688F"/>
    <w:rsid w:val="003A68A2"/>
    <w:rsid w:val="003A6949"/>
    <w:rsid w:val="003A6953"/>
    <w:rsid w:val="003A6989"/>
    <w:rsid w:val="003A6B11"/>
    <w:rsid w:val="003A6C83"/>
    <w:rsid w:val="003A6D11"/>
    <w:rsid w:val="003A6D64"/>
    <w:rsid w:val="003A6D9E"/>
    <w:rsid w:val="003A6DA0"/>
    <w:rsid w:val="003A6E06"/>
    <w:rsid w:val="003A6E53"/>
    <w:rsid w:val="003A6F68"/>
    <w:rsid w:val="003A6F6B"/>
    <w:rsid w:val="003A6FDD"/>
    <w:rsid w:val="003A7065"/>
    <w:rsid w:val="003A706C"/>
    <w:rsid w:val="003A70A5"/>
    <w:rsid w:val="003A70AB"/>
    <w:rsid w:val="003A70BF"/>
    <w:rsid w:val="003A7150"/>
    <w:rsid w:val="003A71CD"/>
    <w:rsid w:val="003A723F"/>
    <w:rsid w:val="003A724F"/>
    <w:rsid w:val="003A7289"/>
    <w:rsid w:val="003A728A"/>
    <w:rsid w:val="003A7401"/>
    <w:rsid w:val="003A7589"/>
    <w:rsid w:val="003A75CA"/>
    <w:rsid w:val="003A75D0"/>
    <w:rsid w:val="003A75D9"/>
    <w:rsid w:val="003A7656"/>
    <w:rsid w:val="003A7662"/>
    <w:rsid w:val="003A766C"/>
    <w:rsid w:val="003A769C"/>
    <w:rsid w:val="003A771D"/>
    <w:rsid w:val="003A786A"/>
    <w:rsid w:val="003A7918"/>
    <w:rsid w:val="003A792A"/>
    <w:rsid w:val="003A794E"/>
    <w:rsid w:val="003A794F"/>
    <w:rsid w:val="003A799F"/>
    <w:rsid w:val="003A79D2"/>
    <w:rsid w:val="003A7A0E"/>
    <w:rsid w:val="003A7A67"/>
    <w:rsid w:val="003A7B10"/>
    <w:rsid w:val="003A7B1C"/>
    <w:rsid w:val="003A7B35"/>
    <w:rsid w:val="003A7B78"/>
    <w:rsid w:val="003A7BAC"/>
    <w:rsid w:val="003A7BCF"/>
    <w:rsid w:val="003A7C49"/>
    <w:rsid w:val="003A7C4A"/>
    <w:rsid w:val="003A7D26"/>
    <w:rsid w:val="003A7D78"/>
    <w:rsid w:val="003A7D7B"/>
    <w:rsid w:val="003A7D94"/>
    <w:rsid w:val="003A7D9A"/>
    <w:rsid w:val="003A7DD0"/>
    <w:rsid w:val="003A7E40"/>
    <w:rsid w:val="003A7EE5"/>
    <w:rsid w:val="003A7F2E"/>
    <w:rsid w:val="003A7F5D"/>
    <w:rsid w:val="003B008B"/>
    <w:rsid w:val="003B00C3"/>
    <w:rsid w:val="003B00F8"/>
    <w:rsid w:val="003B0126"/>
    <w:rsid w:val="003B013B"/>
    <w:rsid w:val="003B015C"/>
    <w:rsid w:val="003B01A6"/>
    <w:rsid w:val="003B0267"/>
    <w:rsid w:val="003B02E6"/>
    <w:rsid w:val="003B02FD"/>
    <w:rsid w:val="003B0386"/>
    <w:rsid w:val="003B0390"/>
    <w:rsid w:val="003B03D4"/>
    <w:rsid w:val="003B03F3"/>
    <w:rsid w:val="003B03FD"/>
    <w:rsid w:val="003B04B9"/>
    <w:rsid w:val="003B04C0"/>
    <w:rsid w:val="003B04FC"/>
    <w:rsid w:val="003B050C"/>
    <w:rsid w:val="003B0558"/>
    <w:rsid w:val="003B05FE"/>
    <w:rsid w:val="003B0678"/>
    <w:rsid w:val="003B06A2"/>
    <w:rsid w:val="003B073E"/>
    <w:rsid w:val="003B0811"/>
    <w:rsid w:val="003B0848"/>
    <w:rsid w:val="003B085E"/>
    <w:rsid w:val="003B08BB"/>
    <w:rsid w:val="003B090D"/>
    <w:rsid w:val="003B0933"/>
    <w:rsid w:val="003B0A23"/>
    <w:rsid w:val="003B0A4E"/>
    <w:rsid w:val="003B0A5F"/>
    <w:rsid w:val="003B0AC7"/>
    <w:rsid w:val="003B0B0E"/>
    <w:rsid w:val="003B0B43"/>
    <w:rsid w:val="003B0C1A"/>
    <w:rsid w:val="003B0C55"/>
    <w:rsid w:val="003B0CBA"/>
    <w:rsid w:val="003B0CC2"/>
    <w:rsid w:val="003B0CED"/>
    <w:rsid w:val="003B0CFB"/>
    <w:rsid w:val="003B0CFE"/>
    <w:rsid w:val="003B0D27"/>
    <w:rsid w:val="003B0D73"/>
    <w:rsid w:val="003B0DF9"/>
    <w:rsid w:val="003B0E2D"/>
    <w:rsid w:val="003B0E8E"/>
    <w:rsid w:val="003B0EA6"/>
    <w:rsid w:val="003B0EC7"/>
    <w:rsid w:val="003B0F28"/>
    <w:rsid w:val="003B10A4"/>
    <w:rsid w:val="003B10C1"/>
    <w:rsid w:val="003B110C"/>
    <w:rsid w:val="003B119D"/>
    <w:rsid w:val="003B11A5"/>
    <w:rsid w:val="003B122A"/>
    <w:rsid w:val="003B122E"/>
    <w:rsid w:val="003B123E"/>
    <w:rsid w:val="003B12C1"/>
    <w:rsid w:val="003B13E6"/>
    <w:rsid w:val="003B14E3"/>
    <w:rsid w:val="003B1510"/>
    <w:rsid w:val="003B1511"/>
    <w:rsid w:val="003B1591"/>
    <w:rsid w:val="003B15AF"/>
    <w:rsid w:val="003B1690"/>
    <w:rsid w:val="003B16A8"/>
    <w:rsid w:val="003B1751"/>
    <w:rsid w:val="003B176A"/>
    <w:rsid w:val="003B17FE"/>
    <w:rsid w:val="003B1814"/>
    <w:rsid w:val="003B1846"/>
    <w:rsid w:val="003B1852"/>
    <w:rsid w:val="003B1921"/>
    <w:rsid w:val="003B19C0"/>
    <w:rsid w:val="003B1A06"/>
    <w:rsid w:val="003B1A20"/>
    <w:rsid w:val="003B1A39"/>
    <w:rsid w:val="003B1A48"/>
    <w:rsid w:val="003B1A8C"/>
    <w:rsid w:val="003B1AC4"/>
    <w:rsid w:val="003B1B14"/>
    <w:rsid w:val="003B1B64"/>
    <w:rsid w:val="003B1B7F"/>
    <w:rsid w:val="003B1C2D"/>
    <w:rsid w:val="003B1C9B"/>
    <w:rsid w:val="003B1D38"/>
    <w:rsid w:val="003B1D3C"/>
    <w:rsid w:val="003B1E6A"/>
    <w:rsid w:val="003B1E7E"/>
    <w:rsid w:val="003B1EB7"/>
    <w:rsid w:val="003B1EDE"/>
    <w:rsid w:val="003B202E"/>
    <w:rsid w:val="003B20B2"/>
    <w:rsid w:val="003B2117"/>
    <w:rsid w:val="003B2198"/>
    <w:rsid w:val="003B21E7"/>
    <w:rsid w:val="003B21F0"/>
    <w:rsid w:val="003B2271"/>
    <w:rsid w:val="003B2336"/>
    <w:rsid w:val="003B2348"/>
    <w:rsid w:val="003B2392"/>
    <w:rsid w:val="003B23AD"/>
    <w:rsid w:val="003B23AF"/>
    <w:rsid w:val="003B246E"/>
    <w:rsid w:val="003B24AB"/>
    <w:rsid w:val="003B24DB"/>
    <w:rsid w:val="003B24E9"/>
    <w:rsid w:val="003B25BA"/>
    <w:rsid w:val="003B2646"/>
    <w:rsid w:val="003B2798"/>
    <w:rsid w:val="003B27B0"/>
    <w:rsid w:val="003B27CC"/>
    <w:rsid w:val="003B27D4"/>
    <w:rsid w:val="003B27DE"/>
    <w:rsid w:val="003B2830"/>
    <w:rsid w:val="003B2854"/>
    <w:rsid w:val="003B288C"/>
    <w:rsid w:val="003B2995"/>
    <w:rsid w:val="003B2A84"/>
    <w:rsid w:val="003B2BB1"/>
    <w:rsid w:val="003B2BE4"/>
    <w:rsid w:val="003B2BF7"/>
    <w:rsid w:val="003B2C25"/>
    <w:rsid w:val="003B2DBA"/>
    <w:rsid w:val="003B2E2F"/>
    <w:rsid w:val="003B2EA8"/>
    <w:rsid w:val="003B2ECD"/>
    <w:rsid w:val="003B2EE4"/>
    <w:rsid w:val="003B2EF1"/>
    <w:rsid w:val="003B2FA0"/>
    <w:rsid w:val="003B2FD5"/>
    <w:rsid w:val="003B2FDA"/>
    <w:rsid w:val="003B309F"/>
    <w:rsid w:val="003B317C"/>
    <w:rsid w:val="003B3185"/>
    <w:rsid w:val="003B32C9"/>
    <w:rsid w:val="003B32ED"/>
    <w:rsid w:val="003B33D7"/>
    <w:rsid w:val="003B35C2"/>
    <w:rsid w:val="003B35D2"/>
    <w:rsid w:val="003B35EF"/>
    <w:rsid w:val="003B364B"/>
    <w:rsid w:val="003B369B"/>
    <w:rsid w:val="003B36E9"/>
    <w:rsid w:val="003B3734"/>
    <w:rsid w:val="003B3747"/>
    <w:rsid w:val="003B3871"/>
    <w:rsid w:val="003B389F"/>
    <w:rsid w:val="003B38B1"/>
    <w:rsid w:val="003B3912"/>
    <w:rsid w:val="003B39A8"/>
    <w:rsid w:val="003B39BD"/>
    <w:rsid w:val="003B39DE"/>
    <w:rsid w:val="003B3A18"/>
    <w:rsid w:val="003B3A73"/>
    <w:rsid w:val="003B3A81"/>
    <w:rsid w:val="003B3AA9"/>
    <w:rsid w:val="003B3AFF"/>
    <w:rsid w:val="003B3B19"/>
    <w:rsid w:val="003B3B27"/>
    <w:rsid w:val="003B3B2C"/>
    <w:rsid w:val="003B3BF5"/>
    <w:rsid w:val="003B3C44"/>
    <w:rsid w:val="003B3C93"/>
    <w:rsid w:val="003B3CC1"/>
    <w:rsid w:val="003B3CCE"/>
    <w:rsid w:val="003B3D91"/>
    <w:rsid w:val="003B3DB9"/>
    <w:rsid w:val="003B3DDC"/>
    <w:rsid w:val="003B3E11"/>
    <w:rsid w:val="003B3E25"/>
    <w:rsid w:val="003B3E73"/>
    <w:rsid w:val="003B3EA8"/>
    <w:rsid w:val="003B3ECE"/>
    <w:rsid w:val="003B3EE5"/>
    <w:rsid w:val="003B40A0"/>
    <w:rsid w:val="003B4140"/>
    <w:rsid w:val="003B418E"/>
    <w:rsid w:val="003B41AA"/>
    <w:rsid w:val="003B420D"/>
    <w:rsid w:val="003B4298"/>
    <w:rsid w:val="003B42D8"/>
    <w:rsid w:val="003B42F6"/>
    <w:rsid w:val="003B4317"/>
    <w:rsid w:val="003B4367"/>
    <w:rsid w:val="003B4388"/>
    <w:rsid w:val="003B4449"/>
    <w:rsid w:val="003B444E"/>
    <w:rsid w:val="003B44BD"/>
    <w:rsid w:val="003B4597"/>
    <w:rsid w:val="003B46CE"/>
    <w:rsid w:val="003B474D"/>
    <w:rsid w:val="003B4788"/>
    <w:rsid w:val="003B4876"/>
    <w:rsid w:val="003B4912"/>
    <w:rsid w:val="003B4926"/>
    <w:rsid w:val="003B4970"/>
    <w:rsid w:val="003B4988"/>
    <w:rsid w:val="003B49FC"/>
    <w:rsid w:val="003B4A2C"/>
    <w:rsid w:val="003B4A69"/>
    <w:rsid w:val="003B4A85"/>
    <w:rsid w:val="003B4A97"/>
    <w:rsid w:val="003B4ABA"/>
    <w:rsid w:val="003B4B12"/>
    <w:rsid w:val="003B4BB7"/>
    <w:rsid w:val="003B4BEA"/>
    <w:rsid w:val="003B4BFC"/>
    <w:rsid w:val="003B4C29"/>
    <w:rsid w:val="003B4C80"/>
    <w:rsid w:val="003B4D55"/>
    <w:rsid w:val="003B4F0E"/>
    <w:rsid w:val="003B4F90"/>
    <w:rsid w:val="003B4FD3"/>
    <w:rsid w:val="003B50DC"/>
    <w:rsid w:val="003B50DD"/>
    <w:rsid w:val="003B5223"/>
    <w:rsid w:val="003B52D9"/>
    <w:rsid w:val="003B52FE"/>
    <w:rsid w:val="003B5313"/>
    <w:rsid w:val="003B53E0"/>
    <w:rsid w:val="003B540A"/>
    <w:rsid w:val="003B545C"/>
    <w:rsid w:val="003B549A"/>
    <w:rsid w:val="003B54B4"/>
    <w:rsid w:val="003B54D9"/>
    <w:rsid w:val="003B54E1"/>
    <w:rsid w:val="003B553D"/>
    <w:rsid w:val="003B5558"/>
    <w:rsid w:val="003B5580"/>
    <w:rsid w:val="003B55D0"/>
    <w:rsid w:val="003B55EC"/>
    <w:rsid w:val="003B5656"/>
    <w:rsid w:val="003B5703"/>
    <w:rsid w:val="003B5720"/>
    <w:rsid w:val="003B57DE"/>
    <w:rsid w:val="003B57E2"/>
    <w:rsid w:val="003B5880"/>
    <w:rsid w:val="003B58D8"/>
    <w:rsid w:val="003B5A1A"/>
    <w:rsid w:val="003B5A42"/>
    <w:rsid w:val="003B5A55"/>
    <w:rsid w:val="003B5A5F"/>
    <w:rsid w:val="003B5AB1"/>
    <w:rsid w:val="003B5AE8"/>
    <w:rsid w:val="003B5AF4"/>
    <w:rsid w:val="003B5B78"/>
    <w:rsid w:val="003B5C65"/>
    <w:rsid w:val="003B5CA8"/>
    <w:rsid w:val="003B5D2B"/>
    <w:rsid w:val="003B5D4E"/>
    <w:rsid w:val="003B5ED6"/>
    <w:rsid w:val="003B5F65"/>
    <w:rsid w:val="003B5FD1"/>
    <w:rsid w:val="003B5FD2"/>
    <w:rsid w:val="003B6064"/>
    <w:rsid w:val="003B608A"/>
    <w:rsid w:val="003B6156"/>
    <w:rsid w:val="003B61C0"/>
    <w:rsid w:val="003B625A"/>
    <w:rsid w:val="003B626C"/>
    <w:rsid w:val="003B62DC"/>
    <w:rsid w:val="003B6302"/>
    <w:rsid w:val="003B6319"/>
    <w:rsid w:val="003B631D"/>
    <w:rsid w:val="003B64E2"/>
    <w:rsid w:val="003B64F5"/>
    <w:rsid w:val="003B65B1"/>
    <w:rsid w:val="003B65CA"/>
    <w:rsid w:val="003B66E0"/>
    <w:rsid w:val="003B6794"/>
    <w:rsid w:val="003B6892"/>
    <w:rsid w:val="003B68BC"/>
    <w:rsid w:val="003B69B5"/>
    <w:rsid w:val="003B6A3E"/>
    <w:rsid w:val="003B6A4D"/>
    <w:rsid w:val="003B6A7C"/>
    <w:rsid w:val="003B6A9C"/>
    <w:rsid w:val="003B6B33"/>
    <w:rsid w:val="003B6B6D"/>
    <w:rsid w:val="003B6BE9"/>
    <w:rsid w:val="003B6C2D"/>
    <w:rsid w:val="003B6C84"/>
    <w:rsid w:val="003B6C90"/>
    <w:rsid w:val="003B6D0B"/>
    <w:rsid w:val="003B6D24"/>
    <w:rsid w:val="003B6D2E"/>
    <w:rsid w:val="003B6DD2"/>
    <w:rsid w:val="003B6FAE"/>
    <w:rsid w:val="003B6FE5"/>
    <w:rsid w:val="003B70D9"/>
    <w:rsid w:val="003B7162"/>
    <w:rsid w:val="003B7223"/>
    <w:rsid w:val="003B7244"/>
    <w:rsid w:val="003B7260"/>
    <w:rsid w:val="003B7264"/>
    <w:rsid w:val="003B7279"/>
    <w:rsid w:val="003B72AE"/>
    <w:rsid w:val="003B72B2"/>
    <w:rsid w:val="003B733D"/>
    <w:rsid w:val="003B7449"/>
    <w:rsid w:val="003B746E"/>
    <w:rsid w:val="003B74D2"/>
    <w:rsid w:val="003B7538"/>
    <w:rsid w:val="003B7607"/>
    <w:rsid w:val="003B763D"/>
    <w:rsid w:val="003B769A"/>
    <w:rsid w:val="003B7741"/>
    <w:rsid w:val="003B7755"/>
    <w:rsid w:val="003B77DA"/>
    <w:rsid w:val="003B7863"/>
    <w:rsid w:val="003B7915"/>
    <w:rsid w:val="003B7952"/>
    <w:rsid w:val="003B7960"/>
    <w:rsid w:val="003B79B8"/>
    <w:rsid w:val="003B79F5"/>
    <w:rsid w:val="003B7A09"/>
    <w:rsid w:val="003B7A1A"/>
    <w:rsid w:val="003B7A92"/>
    <w:rsid w:val="003B7BF5"/>
    <w:rsid w:val="003B7CF9"/>
    <w:rsid w:val="003B7CFE"/>
    <w:rsid w:val="003B7DC5"/>
    <w:rsid w:val="003B7E7D"/>
    <w:rsid w:val="003B7E94"/>
    <w:rsid w:val="003B7F2A"/>
    <w:rsid w:val="003B7F8B"/>
    <w:rsid w:val="003B7FC4"/>
    <w:rsid w:val="003B7FEA"/>
    <w:rsid w:val="003C00ED"/>
    <w:rsid w:val="003C00FA"/>
    <w:rsid w:val="003C013E"/>
    <w:rsid w:val="003C01CE"/>
    <w:rsid w:val="003C0236"/>
    <w:rsid w:val="003C0325"/>
    <w:rsid w:val="003C0366"/>
    <w:rsid w:val="003C039C"/>
    <w:rsid w:val="003C03E1"/>
    <w:rsid w:val="003C0419"/>
    <w:rsid w:val="003C0453"/>
    <w:rsid w:val="003C04D1"/>
    <w:rsid w:val="003C050D"/>
    <w:rsid w:val="003C054D"/>
    <w:rsid w:val="003C0552"/>
    <w:rsid w:val="003C0620"/>
    <w:rsid w:val="003C0628"/>
    <w:rsid w:val="003C06C7"/>
    <w:rsid w:val="003C06E6"/>
    <w:rsid w:val="003C0724"/>
    <w:rsid w:val="003C078C"/>
    <w:rsid w:val="003C0802"/>
    <w:rsid w:val="003C089E"/>
    <w:rsid w:val="003C08A6"/>
    <w:rsid w:val="003C0923"/>
    <w:rsid w:val="003C09FB"/>
    <w:rsid w:val="003C0A0E"/>
    <w:rsid w:val="003C0A50"/>
    <w:rsid w:val="003C0A72"/>
    <w:rsid w:val="003C0A9B"/>
    <w:rsid w:val="003C0C42"/>
    <w:rsid w:val="003C0CA2"/>
    <w:rsid w:val="003C0D06"/>
    <w:rsid w:val="003C0D1C"/>
    <w:rsid w:val="003C0D30"/>
    <w:rsid w:val="003C0D6E"/>
    <w:rsid w:val="003C0D88"/>
    <w:rsid w:val="003C0E2D"/>
    <w:rsid w:val="003C0E73"/>
    <w:rsid w:val="003C0E7D"/>
    <w:rsid w:val="003C0ECF"/>
    <w:rsid w:val="003C0EEF"/>
    <w:rsid w:val="003C0EF8"/>
    <w:rsid w:val="003C0F05"/>
    <w:rsid w:val="003C0F20"/>
    <w:rsid w:val="003C0F3D"/>
    <w:rsid w:val="003C0FC2"/>
    <w:rsid w:val="003C0FEC"/>
    <w:rsid w:val="003C106E"/>
    <w:rsid w:val="003C10B7"/>
    <w:rsid w:val="003C119B"/>
    <w:rsid w:val="003C12DF"/>
    <w:rsid w:val="003C133F"/>
    <w:rsid w:val="003C1341"/>
    <w:rsid w:val="003C1351"/>
    <w:rsid w:val="003C1388"/>
    <w:rsid w:val="003C13D7"/>
    <w:rsid w:val="003C13E4"/>
    <w:rsid w:val="003C13F2"/>
    <w:rsid w:val="003C1413"/>
    <w:rsid w:val="003C1439"/>
    <w:rsid w:val="003C14B6"/>
    <w:rsid w:val="003C14F7"/>
    <w:rsid w:val="003C150C"/>
    <w:rsid w:val="003C15B7"/>
    <w:rsid w:val="003C15F3"/>
    <w:rsid w:val="003C176B"/>
    <w:rsid w:val="003C17AA"/>
    <w:rsid w:val="003C1804"/>
    <w:rsid w:val="003C1889"/>
    <w:rsid w:val="003C18A6"/>
    <w:rsid w:val="003C1911"/>
    <w:rsid w:val="003C1990"/>
    <w:rsid w:val="003C19FF"/>
    <w:rsid w:val="003C1A15"/>
    <w:rsid w:val="003C1A97"/>
    <w:rsid w:val="003C1BF4"/>
    <w:rsid w:val="003C1C67"/>
    <w:rsid w:val="003C1C74"/>
    <w:rsid w:val="003C1C93"/>
    <w:rsid w:val="003C1CBD"/>
    <w:rsid w:val="003C1CE4"/>
    <w:rsid w:val="003C1DA2"/>
    <w:rsid w:val="003C1DFC"/>
    <w:rsid w:val="003C1E2A"/>
    <w:rsid w:val="003C1F07"/>
    <w:rsid w:val="003C1F7E"/>
    <w:rsid w:val="003C2080"/>
    <w:rsid w:val="003C20CA"/>
    <w:rsid w:val="003C20D7"/>
    <w:rsid w:val="003C2341"/>
    <w:rsid w:val="003C234B"/>
    <w:rsid w:val="003C23D9"/>
    <w:rsid w:val="003C23EF"/>
    <w:rsid w:val="003C240F"/>
    <w:rsid w:val="003C2411"/>
    <w:rsid w:val="003C2417"/>
    <w:rsid w:val="003C2464"/>
    <w:rsid w:val="003C2495"/>
    <w:rsid w:val="003C2540"/>
    <w:rsid w:val="003C2549"/>
    <w:rsid w:val="003C2604"/>
    <w:rsid w:val="003C2633"/>
    <w:rsid w:val="003C267F"/>
    <w:rsid w:val="003C26CF"/>
    <w:rsid w:val="003C272C"/>
    <w:rsid w:val="003C2731"/>
    <w:rsid w:val="003C2854"/>
    <w:rsid w:val="003C28C0"/>
    <w:rsid w:val="003C297B"/>
    <w:rsid w:val="003C29DC"/>
    <w:rsid w:val="003C2A09"/>
    <w:rsid w:val="003C2A72"/>
    <w:rsid w:val="003C2AA8"/>
    <w:rsid w:val="003C2AC2"/>
    <w:rsid w:val="003C2AD2"/>
    <w:rsid w:val="003C2B70"/>
    <w:rsid w:val="003C2BB4"/>
    <w:rsid w:val="003C2BDE"/>
    <w:rsid w:val="003C2C0B"/>
    <w:rsid w:val="003C2CA4"/>
    <w:rsid w:val="003C2D4D"/>
    <w:rsid w:val="003C2DB5"/>
    <w:rsid w:val="003C2DB6"/>
    <w:rsid w:val="003C2DD5"/>
    <w:rsid w:val="003C2E4D"/>
    <w:rsid w:val="003C2E6F"/>
    <w:rsid w:val="003C2E7D"/>
    <w:rsid w:val="003C2F9D"/>
    <w:rsid w:val="003C2FD6"/>
    <w:rsid w:val="003C302C"/>
    <w:rsid w:val="003C3075"/>
    <w:rsid w:val="003C30B0"/>
    <w:rsid w:val="003C30F9"/>
    <w:rsid w:val="003C3150"/>
    <w:rsid w:val="003C31EB"/>
    <w:rsid w:val="003C3232"/>
    <w:rsid w:val="003C3241"/>
    <w:rsid w:val="003C327B"/>
    <w:rsid w:val="003C329A"/>
    <w:rsid w:val="003C32A8"/>
    <w:rsid w:val="003C32B7"/>
    <w:rsid w:val="003C330E"/>
    <w:rsid w:val="003C33F3"/>
    <w:rsid w:val="003C34E3"/>
    <w:rsid w:val="003C34EB"/>
    <w:rsid w:val="003C3546"/>
    <w:rsid w:val="003C35A7"/>
    <w:rsid w:val="003C35F3"/>
    <w:rsid w:val="003C3620"/>
    <w:rsid w:val="003C370B"/>
    <w:rsid w:val="003C379D"/>
    <w:rsid w:val="003C37D2"/>
    <w:rsid w:val="003C3830"/>
    <w:rsid w:val="003C38A7"/>
    <w:rsid w:val="003C38AD"/>
    <w:rsid w:val="003C38BC"/>
    <w:rsid w:val="003C38C5"/>
    <w:rsid w:val="003C3910"/>
    <w:rsid w:val="003C39F4"/>
    <w:rsid w:val="003C3A47"/>
    <w:rsid w:val="003C3ACF"/>
    <w:rsid w:val="003C3B44"/>
    <w:rsid w:val="003C3B63"/>
    <w:rsid w:val="003C3BA1"/>
    <w:rsid w:val="003C3BDB"/>
    <w:rsid w:val="003C3BEA"/>
    <w:rsid w:val="003C3BF8"/>
    <w:rsid w:val="003C3C02"/>
    <w:rsid w:val="003C3C05"/>
    <w:rsid w:val="003C3D29"/>
    <w:rsid w:val="003C3D40"/>
    <w:rsid w:val="003C3D47"/>
    <w:rsid w:val="003C3D54"/>
    <w:rsid w:val="003C3DDC"/>
    <w:rsid w:val="003C3DED"/>
    <w:rsid w:val="003C3E23"/>
    <w:rsid w:val="003C3F06"/>
    <w:rsid w:val="003C3F2B"/>
    <w:rsid w:val="003C3F98"/>
    <w:rsid w:val="003C40F8"/>
    <w:rsid w:val="003C4105"/>
    <w:rsid w:val="003C420C"/>
    <w:rsid w:val="003C438D"/>
    <w:rsid w:val="003C4466"/>
    <w:rsid w:val="003C4498"/>
    <w:rsid w:val="003C44C6"/>
    <w:rsid w:val="003C44EE"/>
    <w:rsid w:val="003C4549"/>
    <w:rsid w:val="003C457C"/>
    <w:rsid w:val="003C4723"/>
    <w:rsid w:val="003C4771"/>
    <w:rsid w:val="003C477E"/>
    <w:rsid w:val="003C47AC"/>
    <w:rsid w:val="003C48C8"/>
    <w:rsid w:val="003C48D6"/>
    <w:rsid w:val="003C4906"/>
    <w:rsid w:val="003C4967"/>
    <w:rsid w:val="003C4A3A"/>
    <w:rsid w:val="003C4A59"/>
    <w:rsid w:val="003C4ABF"/>
    <w:rsid w:val="003C4B47"/>
    <w:rsid w:val="003C4C76"/>
    <w:rsid w:val="003C4D64"/>
    <w:rsid w:val="003C4D65"/>
    <w:rsid w:val="003C4D98"/>
    <w:rsid w:val="003C4E21"/>
    <w:rsid w:val="003C4F0C"/>
    <w:rsid w:val="003C4F70"/>
    <w:rsid w:val="003C4FA5"/>
    <w:rsid w:val="003C4FFA"/>
    <w:rsid w:val="003C504E"/>
    <w:rsid w:val="003C50FD"/>
    <w:rsid w:val="003C515A"/>
    <w:rsid w:val="003C515D"/>
    <w:rsid w:val="003C519A"/>
    <w:rsid w:val="003C51DA"/>
    <w:rsid w:val="003C51EC"/>
    <w:rsid w:val="003C5309"/>
    <w:rsid w:val="003C538C"/>
    <w:rsid w:val="003C53B2"/>
    <w:rsid w:val="003C53C6"/>
    <w:rsid w:val="003C5412"/>
    <w:rsid w:val="003C5415"/>
    <w:rsid w:val="003C54AB"/>
    <w:rsid w:val="003C550C"/>
    <w:rsid w:val="003C551B"/>
    <w:rsid w:val="003C564F"/>
    <w:rsid w:val="003C5657"/>
    <w:rsid w:val="003C5683"/>
    <w:rsid w:val="003C56D1"/>
    <w:rsid w:val="003C571D"/>
    <w:rsid w:val="003C5789"/>
    <w:rsid w:val="003C57A5"/>
    <w:rsid w:val="003C5853"/>
    <w:rsid w:val="003C5929"/>
    <w:rsid w:val="003C5A82"/>
    <w:rsid w:val="003C5B16"/>
    <w:rsid w:val="003C5B1E"/>
    <w:rsid w:val="003C5B20"/>
    <w:rsid w:val="003C5B6D"/>
    <w:rsid w:val="003C5BF4"/>
    <w:rsid w:val="003C5C0B"/>
    <w:rsid w:val="003C5C11"/>
    <w:rsid w:val="003C5C46"/>
    <w:rsid w:val="003C5D16"/>
    <w:rsid w:val="003C5D2A"/>
    <w:rsid w:val="003C5D5D"/>
    <w:rsid w:val="003C5D66"/>
    <w:rsid w:val="003C5DE6"/>
    <w:rsid w:val="003C5EE8"/>
    <w:rsid w:val="003C5F0A"/>
    <w:rsid w:val="003C6058"/>
    <w:rsid w:val="003C608B"/>
    <w:rsid w:val="003C608F"/>
    <w:rsid w:val="003C6111"/>
    <w:rsid w:val="003C612C"/>
    <w:rsid w:val="003C6150"/>
    <w:rsid w:val="003C62E0"/>
    <w:rsid w:val="003C62F8"/>
    <w:rsid w:val="003C6432"/>
    <w:rsid w:val="003C650A"/>
    <w:rsid w:val="003C65A2"/>
    <w:rsid w:val="003C660B"/>
    <w:rsid w:val="003C6631"/>
    <w:rsid w:val="003C669A"/>
    <w:rsid w:val="003C66DD"/>
    <w:rsid w:val="003C6771"/>
    <w:rsid w:val="003C679B"/>
    <w:rsid w:val="003C680D"/>
    <w:rsid w:val="003C68F4"/>
    <w:rsid w:val="003C6A10"/>
    <w:rsid w:val="003C6A25"/>
    <w:rsid w:val="003C6A4B"/>
    <w:rsid w:val="003C6AFE"/>
    <w:rsid w:val="003C6B4D"/>
    <w:rsid w:val="003C6B8C"/>
    <w:rsid w:val="003C6BC7"/>
    <w:rsid w:val="003C6BDF"/>
    <w:rsid w:val="003C6C70"/>
    <w:rsid w:val="003C6CF4"/>
    <w:rsid w:val="003C6D33"/>
    <w:rsid w:val="003C6DA1"/>
    <w:rsid w:val="003C6DA5"/>
    <w:rsid w:val="003C6DB1"/>
    <w:rsid w:val="003C6E29"/>
    <w:rsid w:val="003C6E2E"/>
    <w:rsid w:val="003C6F30"/>
    <w:rsid w:val="003C6F4A"/>
    <w:rsid w:val="003C6F77"/>
    <w:rsid w:val="003C6FB6"/>
    <w:rsid w:val="003C7030"/>
    <w:rsid w:val="003C70FB"/>
    <w:rsid w:val="003C71F8"/>
    <w:rsid w:val="003C729E"/>
    <w:rsid w:val="003C72D7"/>
    <w:rsid w:val="003C72EF"/>
    <w:rsid w:val="003C7322"/>
    <w:rsid w:val="003C73DA"/>
    <w:rsid w:val="003C7436"/>
    <w:rsid w:val="003C745C"/>
    <w:rsid w:val="003C74A2"/>
    <w:rsid w:val="003C7522"/>
    <w:rsid w:val="003C752C"/>
    <w:rsid w:val="003C755A"/>
    <w:rsid w:val="003C7582"/>
    <w:rsid w:val="003C76A1"/>
    <w:rsid w:val="003C76CA"/>
    <w:rsid w:val="003C7703"/>
    <w:rsid w:val="003C7740"/>
    <w:rsid w:val="003C78ED"/>
    <w:rsid w:val="003C790E"/>
    <w:rsid w:val="003C793E"/>
    <w:rsid w:val="003C79C2"/>
    <w:rsid w:val="003C79C3"/>
    <w:rsid w:val="003C79E9"/>
    <w:rsid w:val="003C7A42"/>
    <w:rsid w:val="003C7AB9"/>
    <w:rsid w:val="003C7B89"/>
    <w:rsid w:val="003C7BDF"/>
    <w:rsid w:val="003C7BEA"/>
    <w:rsid w:val="003C7C2C"/>
    <w:rsid w:val="003C7D4F"/>
    <w:rsid w:val="003C7D5B"/>
    <w:rsid w:val="003C7DA4"/>
    <w:rsid w:val="003C7EA8"/>
    <w:rsid w:val="003C7EAF"/>
    <w:rsid w:val="003C7EC2"/>
    <w:rsid w:val="003C7ED0"/>
    <w:rsid w:val="003C7F37"/>
    <w:rsid w:val="003D00E3"/>
    <w:rsid w:val="003D0165"/>
    <w:rsid w:val="003D0180"/>
    <w:rsid w:val="003D01D0"/>
    <w:rsid w:val="003D02D5"/>
    <w:rsid w:val="003D02E3"/>
    <w:rsid w:val="003D02F1"/>
    <w:rsid w:val="003D03AB"/>
    <w:rsid w:val="003D03B9"/>
    <w:rsid w:val="003D03F1"/>
    <w:rsid w:val="003D047E"/>
    <w:rsid w:val="003D050A"/>
    <w:rsid w:val="003D05F6"/>
    <w:rsid w:val="003D05FC"/>
    <w:rsid w:val="003D0626"/>
    <w:rsid w:val="003D063E"/>
    <w:rsid w:val="003D0750"/>
    <w:rsid w:val="003D075F"/>
    <w:rsid w:val="003D079B"/>
    <w:rsid w:val="003D07A3"/>
    <w:rsid w:val="003D07BF"/>
    <w:rsid w:val="003D07C4"/>
    <w:rsid w:val="003D07FF"/>
    <w:rsid w:val="003D082D"/>
    <w:rsid w:val="003D09A3"/>
    <w:rsid w:val="003D0A07"/>
    <w:rsid w:val="003D0A3A"/>
    <w:rsid w:val="003D0A49"/>
    <w:rsid w:val="003D0A7A"/>
    <w:rsid w:val="003D0A89"/>
    <w:rsid w:val="003D0B08"/>
    <w:rsid w:val="003D0B4D"/>
    <w:rsid w:val="003D0B6F"/>
    <w:rsid w:val="003D0BD0"/>
    <w:rsid w:val="003D0C36"/>
    <w:rsid w:val="003D0C70"/>
    <w:rsid w:val="003D0D48"/>
    <w:rsid w:val="003D0DA2"/>
    <w:rsid w:val="003D0DC1"/>
    <w:rsid w:val="003D0DC5"/>
    <w:rsid w:val="003D0DD0"/>
    <w:rsid w:val="003D0DE7"/>
    <w:rsid w:val="003D0DE9"/>
    <w:rsid w:val="003D0EA3"/>
    <w:rsid w:val="003D0EC1"/>
    <w:rsid w:val="003D0ECE"/>
    <w:rsid w:val="003D0F0F"/>
    <w:rsid w:val="003D0F25"/>
    <w:rsid w:val="003D100E"/>
    <w:rsid w:val="003D1030"/>
    <w:rsid w:val="003D1037"/>
    <w:rsid w:val="003D1054"/>
    <w:rsid w:val="003D1098"/>
    <w:rsid w:val="003D10A7"/>
    <w:rsid w:val="003D10B4"/>
    <w:rsid w:val="003D10D5"/>
    <w:rsid w:val="003D1118"/>
    <w:rsid w:val="003D1154"/>
    <w:rsid w:val="003D1183"/>
    <w:rsid w:val="003D11B5"/>
    <w:rsid w:val="003D1227"/>
    <w:rsid w:val="003D1308"/>
    <w:rsid w:val="003D1339"/>
    <w:rsid w:val="003D13A3"/>
    <w:rsid w:val="003D1416"/>
    <w:rsid w:val="003D141D"/>
    <w:rsid w:val="003D1570"/>
    <w:rsid w:val="003D1632"/>
    <w:rsid w:val="003D1765"/>
    <w:rsid w:val="003D17B6"/>
    <w:rsid w:val="003D17D5"/>
    <w:rsid w:val="003D1840"/>
    <w:rsid w:val="003D1854"/>
    <w:rsid w:val="003D1982"/>
    <w:rsid w:val="003D198C"/>
    <w:rsid w:val="003D19B0"/>
    <w:rsid w:val="003D1A1F"/>
    <w:rsid w:val="003D1A84"/>
    <w:rsid w:val="003D1AA4"/>
    <w:rsid w:val="003D1ABC"/>
    <w:rsid w:val="003D1ADC"/>
    <w:rsid w:val="003D1B01"/>
    <w:rsid w:val="003D1C44"/>
    <w:rsid w:val="003D1C46"/>
    <w:rsid w:val="003D1C8B"/>
    <w:rsid w:val="003D1C9D"/>
    <w:rsid w:val="003D1D43"/>
    <w:rsid w:val="003D1DFB"/>
    <w:rsid w:val="003D1E1E"/>
    <w:rsid w:val="003D1E6A"/>
    <w:rsid w:val="003D1EB4"/>
    <w:rsid w:val="003D1F87"/>
    <w:rsid w:val="003D1FA9"/>
    <w:rsid w:val="003D1FC9"/>
    <w:rsid w:val="003D2055"/>
    <w:rsid w:val="003D21D5"/>
    <w:rsid w:val="003D21FD"/>
    <w:rsid w:val="003D22AD"/>
    <w:rsid w:val="003D2312"/>
    <w:rsid w:val="003D2354"/>
    <w:rsid w:val="003D2456"/>
    <w:rsid w:val="003D24AE"/>
    <w:rsid w:val="003D24B9"/>
    <w:rsid w:val="003D24C2"/>
    <w:rsid w:val="003D24CB"/>
    <w:rsid w:val="003D259D"/>
    <w:rsid w:val="003D26AA"/>
    <w:rsid w:val="003D2710"/>
    <w:rsid w:val="003D2775"/>
    <w:rsid w:val="003D27E2"/>
    <w:rsid w:val="003D27EA"/>
    <w:rsid w:val="003D282B"/>
    <w:rsid w:val="003D28DA"/>
    <w:rsid w:val="003D2921"/>
    <w:rsid w:val="003D2928"/>
    <w:rsid w:val="003D2965"/>
    <w:rsid w:val="003D29F3"/>
    <w:rsid w:val="003D2A0E"/>
    <w:rsid w:val="003D2AAA"/>
    <w:rsid w:val="003D2ABF"/>
    <w:rsid w:val="003D2B0B"/>
    <w:rsid w:val="003D2B1A"/>
    <w:rsid w:val="003D2B22"/>
    <w:rsid w:val="003D2C09"/>
    <w:rsid w:val="003D2C24"/>
    <w:rsid w:val="003D2C7D"/>
    <w:rsid w:val="003D2CCE"/>
    <w:rsid w:val="003D2D08"/>
    <w:rsid w:val="003D2D50"/>
    <w:rsid w:val="003D2DC2"/>
    <w:rsid w:val="003D2DEB"/>
    <w:rsid w:val="003D2E36"/>
    <w:rsid w:val="003D2E4D"/>
    <w:rsid w:val="003D2EAF"/>
    <w:rsid w:val="003D2EDC"/>
    <w:rsid w:val="003D2EE0"/>
    <w:rsid w:val="003D301B"/>
    <w:rsid w:val="003D31E0"/>
    <w:rsid w:val="003D3203"/>
    <w:rsid w:val="003D32C9"/>
    <w:rsid w:val="003D335A"/>
    <w:rsid w:val="003D3383"/>
    <w:rsid w:val="003D345E"/>
    <w:rsid w:val="003D3518"/>
    <w:rsid w:val="003D35D3"/>
    <w:rsid w:val="003D361A"/>
    <w:rsid w:val="003D3676"/>
    <w:rsid w:val="003D3694"/>
    <w:rsid w:val="003D36F5"/>
    <w:rsid w:val="003D372B"/>
    <w:rsid w:val="003D38E9"/>
    <w:rsid w:val="003D397E"/>
    <w:rsid w:val="003D39A2"/>
    <w:rsid w:val="003D39BC"/>
    <w:rsid w:val="003D3B0E"/>
    <w:rsid w:val="003D3BB0"/>
    <w:rsid w:val="003D3C15"/>
    <w:rsid w:val="003D3C50"/>
    <w:rsid w:val="003D3C52"/>
    <w:rsid w:val="003D3C79"/>
    <w:rsid w:val="003D3D62"/>
    <w:rsid w:val="003D3D7E"/>
    <w:rsid w:val="003D3DE3"/>
    <w:rsid w:val="003D3E44"/>
    <w:rsid w:val="003D3E68"/>
    <w:rsid w:val="003D3E9E"/>
    <w:rsid w:val="003D3EB5"/>
    <w:rsid w:val="003D403F"/>
    <w:rsid w:val="003D4124"/>
    <w:rsid w:val="003D41A8"/>
    <w:rsid w:val="003D41FC"/>
    <w:rsid w:val="003D4202"/>
    <w:rsid w:val="003D4234"/>
    <w:rsid w:val="003D42EC"/>
    <w:rsid w:val="003D431B"/>
    <w:rsid w:val="003D436B"/>
    <w:rsid w:val="003D44D7"/>
    <w:rsid w:val="003D44EB"/>
    <w:rsid w:val="003D4556"/>
    <w:rsid w:val="003D455A"/>
    <w:rsid w:val="003D46E2"/>
    <w:rsid w:val="003D47AB"/>
    <w:rsid w:val="003D487C"/>
    <w:rsid w:val="003D48C7"/>
    <w:rsid w:val="003D4965"/>
    <w:rsid w:val="003D4A7F"/>
    <w:rsid w:val="003D4ADD"/>
    <w:rsid w:val="003D4B0A"/>
    <w:rsid w:val="003D4C04"/>
    <w:rsid w:val="003D4C3D"/>
    <w:rsid w:val="003D4C69"/>
    <w:rsid w:val="003D4C82"/>
    <w:rsid w:val="003D4CF3"/>
    <w:rsid w:val="003D4CFF"/>
    <w:rsid w:val="003D4D7E"/>
    <w:rsid w:val="003D4DB8"/>
    <w:rsid w:val="003D4DC5"/>
    <w:rsid w:val="003D5021"/>
    <w:rsid w:val="003D5045"/>
    <w:rsid w:val="003D5063"/>
    <w:rsid w:val="003D5079"/>
    <w:rsid w:val="003D50B5"/>
    <w:rsid w:val="003D50C3"/>
    <w:rsid w:val="003D50E4"/>
    <w:rsid w:val="003D512B"/>
    <w:rsid w:val="003D5169"/>
    <w:rsid w:val="003D5211"/>
    <w:rsid w:val="003D527A"/>
    <w:rsid w:val="003D52BA"/>
    <w:rsid w:val="003D52F8"/>
    <w:rsid w:val="003D5389"/>
    <w:rsid w:val="003D53AB"/>
    <w:rsid w:val="003D53B1"/>
    <w:rsid w:val="003D5412"/>
    <w:rsid w:val="003D5429"/>
    <w:rsid w:val="003D5456"/>
    <w:rsid w:val="003D54A1"/>
    <w:rsid w:val="003D55E8"/>
    <w:rsid w:val="003D566F"/>
    <w:rsid w:val="003D581A"/>
    <w:rsid w:val="003D594A"/>
    <w:rsid w:val="003D5954"/>
    <w:rsid w:val="003D59E3"/>
    <w:rsid w:val="003D5A1C"/>
    <w:rsid w:val="003D5A3C"/>
    <w:rsid w:val="003D5A71"/>
    <w:rsid w:val="003D5A7A"/>
    <w:rsid w:val="003D5AB3"/>
    <w:rsid w:val="003D5AC6"/>
    <w:rsid w:val="003D5B11"/>
    <w:rsid w:val="003D5BA4"/>
    <w:rsid w:val="003D5C90"/>
    <w:rsid w:val="003D5C94"/>
    <w:rsid w:val="003D5CD2"/>
    <w:rsid w:val="003D5CEC"/>
    <w:rsid w:val="003D5D45"/>
    <w:rsid w:val="003D5D72"/>
    <w:rsid w:val="003D5E05"/>
    <w:rsid w:val="003D5E0C"/>
    <w:rsid w:val="003D5E75"/>
    <w:rsid w:val="003D5E7A"/>
    <w:rsid w:val="003D5ED7"/>
    <w:rsid w:val="003D5F90"/>
    <w:rsid w:val="003D5FB3"/>
    <w:rsid w:val="003D5FD6"/>
    <w:rsid w:val="003D5FE5"/>
    <w:rsid w:val="003D6019"/>
    <w:rsid w:val="003D6055"/>
    <w:rsid w:val="003D6168"/>
    <w:rsid w:val="003D619F"/>
    <w:rsid w:val="003D61D5"/>
    <w:rsid w:val="003D61F6"/>
    <w:rsid w:val="003D6347"/>
    <w:rsid w:val="003D6378"/>
    <w:rsid w:val="003D63DE"/>
    <w:rsid w:val="003D63E3"/>
    <w:rsid w:val="003D63E9"/>
    <w:rsid w:val="003D6426"/>
    <w:rsid w:val="003D6428"/>
    <w:rsid w:val="003D644F"/>
    <w:rsid w:val="003D6468"/>
    <w:rsid w:val="003D66A0"/>
    <w:rsid w:val="003D66B8"/>
    <w:rsid w:val="003D66F3"/>
    <w:rsid w:val="003D670C"/>
    <w:rsid w:val="003D6710"/>
    <w:rsid w:val="003D677A"/>
    <w:rsid w:val="003D679A"/>
    <w:rsid w:val="003D67BA"/>
    <w:rsid w:val="003D68FB"/>
    <w:rsid w:val="003D691E"/>
    <w:rsid w:val="003D69E0"/>
    <w:rsid w:val="003D69EC"/>
    <w:rsid w:val="003D6A0C"/>
    <w:rsid w:val="003D6BB8"/>
    <w:rsid w:val="003D6C02"/>
    <w:rsid w:val="003D6C66"/>
    <w:rsid w:val="003D6C9C"/>
    <w:rsid w:val="003D6CBC"/>
    <w:rsid w:val="003D6CE2"/>
    <w:rsid w:val="003D6D50"/>
    <w:rsid w:val="003D6D94"/>
    <w:rsid w:val="003D6DCD"/>
    <w:rsid w:val="003D6E36"/>
    <w:rsid w:val="003D6E38"/>
    <w:rsid w:val="003D6EB5"/>
    <w:rsid w:val="003D6EE6"/>
    <w:rsid w:val="003D6F22"/>
    <w:rsid w:val="003D6F49"/>
    <w:rsid w:val="003D6F65"/>
    <w:rsid w:val="003D6F77"/>
    <w:rsid w:val="003D6FCB"/>
    <w:rsid w:val="003D6FF1"/>
    <w:rsid w:val="003D6FF8"/>
    <w:rsid w:val="003D7001"/>
    <w:rsid w:val="003D703A"/>
    <w:rsid w:val="003D7092"/>
    <w:rsid w:val="003D71A6"/>
    <w:rsid w:val="003D71BC"/>
    <w:rsid w:val="003D7280"/>
    <w:rsid w:val="003D72DA"/>
    <w:rsid w:val="003D73AD"/>
    <w:rsid w:val="003D743A"/>
    <w:rsid w:val="003D744B"/>
    <w:rsid w:val="003D74F2"/>
    <w:rsid w:val="003D75C7"/>
    <w:rsid w:val="003D75D1"/>
    <w:rsid w:val="003D7625"/>
    <w:rsid w:val="003D773B"/>
    <w:rsid w:val="003D77D1"/>
    <w:rsid w:val="003D77D5"/>
    <w:rsid w:val="003D77FD"/>
    <w:rsid w:val="003D7803"/>
    <w:rsid w:val="003D782D"/>
    <w:rsid w:val="003D7834"/>
    <w:rsid w:val="003D7897"/>
    <w:rsid w:val="003D78A8"/>
    <w:rsid w:val="003D7901"/>
    <w:rsid w:val="003D790E"/>
    <w:rsid w:val="003D799D"/>
    <w:rsid w:val="003D7A18"/>
    <w:rsid w:val="003D7A2B"/>
    <w:rsid w:val="003D7A30"/>
    <w:rsid w:val="003D7A9D"/>
    <w:rsid w:val="003D7AEB"/>
    <w:rsid w:val="003D7B4F"/>
    <w:rsid w:val="003D7B80"/>
    <w:rsid w:val="003D7BA6"/>
    <w:rsid w:val="003D7BA8"/>
    <w:rsid w:val="003D7BD1"/>
    <w:rsid w:val="003D7C2C"/>
    <w:rsid w:val="003D7CA5"/>
    <w:rsid w:val="003D7CC8"/>
    <w:rsid w:val="003D7CCD"/>
    <w:rsid w:val="003D7D21"/>
    <w:rsid w:val="003D7D64"/>
    <w:rsid w:val="003D7EFE"/>
    <w:rsid w:val="003D7F2D"/>
    <w:rsid w:val="003D7F98"/>
    <w:rsid w:val="003D7F9E"/>
    <w:rsid w:val="003D7FD6"/>
    <w:rsid w:val="003E000A"/>
    <w:rsid w:val="003E0082"/>
    <w:rsid w:val="003E01F7"/>
    <w:rsid w:val="003E020F"/>
    <w:rsid w:val="003E022B"/>
    <w:rsid w:val="003E0238"/>
    <w:rsid w:val="003E02B4"/>
    <w:rsid w:val="003E02EA"/>
    <w:rsid w:val="003E037B"/>
    <w:rsid w:val="003E039E"/>
    <w:rsid w:val="003E03B2"/>
    <w:rsid w:val="003E045E"/>
    <w:rsid w:val="003E0479"/>
    <w:rsid w:val="003E0494"/>
    <w:rsid w:val="003E067C"/>
    <w:rsid w:val="003E0682"/>
    <w:rsid w:val="003E068D"/>
    <w:rsid w:val="003E06CD"/>
    <w:rsid w:val="003E06E9"/>
    <w:rsid w:val="003E07F3"/>
    <w:rsid w:val="003E083D"/>
    <w:rsid w:val="003E089F"/>
    <w:rsid w:val="003E08BF"/>
    <w:rsid w:val="003E0949"/>
    <w:rsid w:val="003E0988"/>
    <w:rsid w:val="003E099E"/>
    <w:rsid w:val="003E0A15"/>
    <w:rsid w:val="003E0A5B"/>
    <w:rsid w:val="003E0A99"/>
    <w:rsid w:val="003E0AC9"/>
    <w:rsid w:val="003E0B43"/>
    <w:rsid w:val="003E0B48"/>
    <w:rsid w:val="003E0B5C"/>
    <w:rsid w:val="003E0B67"/>
    <w:rsid w:val="003E0BE1"/>
    <w:rsid w:val="003E0C34"/>
    <w:rsid w:val="003E0C90"/>
    <w:rsid w:val="003E0CC5"/>
    <w:rsid w:val="003E0EAD"/>
    <w:rsid w:val="003E0ECA"/>
    <w:rsid w:val="003E0EFA"/>
    <w:rsid w:val="003E0F3B"/>
    <w:rsid w:val="003E0FF1"/>
    <w:rsid w:val="003E0FF9"/>
    <w:rsid w:val="003E10A8"/>
    <w:rsid w:val="003E112C"/>
    <w:rsid w:val="003E1265"/>
    <w:rsid w:val="003E1270"/>
    <w:rsid w:val="003E12E1"/>
    <w:rsid w:val="003E140B"/>
    <w:rsid w:val="003E146D"/>
    <w:rsid w:val="003E148F"/>
    <w:rsid w:val="003E14AD"/>
    <w:rsid w:val="003E14F9"/>
    <w:rsid w:val="003E150D"/>
    <w:rsid w:val="003E15E9"/>
    <w:rsid w:val="003E169C"/>
    <w:rsid w:val="003E16AB"/>
    <w:rsid w:val="003E16BC"/>
    <w:rsid w:val="003E17FF"/>
    <w:rsid w:val="003E181A"/>
    <w:rsid w:val="003E191E"/>
    <w:rsid w:val="003E1964"/>
    <w:rsid w:val="003E1A86"/>
    <w:rsid w:val="003E1A99"/>
    <w:rsid w:val="003E1B3E"/>
    <w:rsid w:val="003E1B52"/>
    <w:rsid w:val="003E1B62"/>
    <w:rsid w:val="003E1B80"/>
    <w:rsid w:val="003E1BEC"/>
    <w:rsid w:val="003E1C67"/>
    <w:rsid w:val="003E1D06"/>
    <w:rsid w:val="003E1E15"/>
    <w:rsid w:val="003E1EC9"/>
    <w:rsid w:val="003E1F21"/>
    <w:rsid w:val="003E1F38"/>
    <w:rsid w:val="003E1F61"/>
    <w:rsid w:val="003E1FB6"/>
    <w:rsid w:val="003E1FBE"/>
    <w:rsid w:val="003E1FF1"/>
    <w:rsid w:val="003E2001"/>
    <w:rsid w:val="003E20A5"/>
    <w:rsid w:val="003E21E1"/>
    <w:rsid w:val="003E21F1"/>
    <w:rsid w:val="003E2223"/>
    <w:rsid w:val="003E2251"/>
    <w:rsid w:val="003E22AA"/>
    <w:rsid w:val="003E22DC"/>
    <w:rsid w:val="003E2301"/>
    <w:rsid w:val="003E2350"/>
    <w:rsid w:val="003E23E0"/>
    <w:rsid w:val="003E23E3"/>
    <w:rsid w:val="003E23F2"/>
    <w:rsid w:val="003E2414"/>
    <w:rsid w:val="003E244B"/>
    <w:rsid w:val="003E2464"/>
    <w:rsid w:val="003E247F"/>
    <w:rsid w:val="003E2523"/>
    <w:rsid w:val="003E2607"/>
    <w:rsid w:val="003E2682"/>
    <w:rsid w:val="003E278B"/>
    <w:rsid w:val="003E279B"/>
    <w:rsid w:val="003E27C7"/>
    <w:rsid w:val="003E280C"/>
    <w:rsid w:val="003E2842"/>
    <w:rsid w:val="003E28B8"/>
    <w:rsid w:val="003E290A"/>
    <w:rsid w:val="003E293B"/>
    <w:rsid w:val="003E298E"/>
    <w:rsid w:val="003E2A23"/>
    <w:rsid w:val="003E2A59"/>
    <w:rsid w:val="003E2A79"/>
    <w:rsid w:val="003E2ABE"/>
    <w:rsid w:val="003E2AED"/>
    <w:rsid w:val="003E2BAB"/>
    <w:rsid w:val="003E2C2A"/>
    <w:rsid w:val="003E2C55"/>
    <w:rsid w:val="003E2C9B"/>
    <w:rsid w:val="003E2CBE"/>
    <w:rsid w:val="003E2D7E"/>
    <w:rsid w:val="003E2E10"/>
    <w:rsid w:val="003E2E43"/>
    <w:rsid w:val="003E2E72"/>
    <w:rsid w:val="003E2EA8"/>
    <w:rsid w:val="003E2EE8"/>
    <w:rsid w:val="003E2F5B"/>
    <w:rsid w:val="003E2FB7"/>
    <w:rsid w:val="003E2FBE"/>
    <w:rsid w:val="003E31C9"/>
    <w:rsid w:val="003E32E5"/>
    <w:rsid w:val="003E3374"/>
    <w:rsid w:val="003E33C7"/>
    <w:rsid w:val="003E3419"/>
    <w:rsid w:val="003E346B"/>
    <w:rsid w:val="003E346D"/>
    <w:rsid w:val="003E3493"/>
    <w:rsid w:val="003E34F4"/>
    <w:rsid w:val="003E35B4"/>
    <w:rsid w:val="003E369B"/>
    <w:rsid w:val="003E376A"/>
    <w:rsid w:val="003E37D3"/>
    <w:rsid w:val="003E37F7"/>
    <w:rsid w:val="003E3854"/>
    <w:rsid w:val="003E38D3"/>
    <w:rsid w:val="003E38F5"/>
    <w:rsid w:val="003E38FA"/>
    <w:rsid w:val="003E3939"/>
    <w:rsid w:val="003E394A"/>
    <w:rsid w:val="003E39E0"/>
    <w:rsid w:val="003E39E4"/>
    <w:rsid w:val="003E3A0C"/>
    <w:rsid w:val="003E3AE7"/>
    <w:rsid w:val="003E3AE9"/>
    <w:rsid w:val="003E3B68"/>
    <w:rsid w:val="003E3B86"/>
    <w:rsid w:val="003E3BA3"/>
    <w:rsid w:val="003E3BC7"/>
    <w:rsid w:val="003E3BDC"/>
    <w:rsid w:val="003E3BE5"/>
    <w:rsid w:val="003E3C57"/>
    <w:rsid w:val="003E3CF6"/>
    <w:rsid w:val="003E3D4B"/>
    <w:rsid w:val="003E3D81"/>
    <w:rsid w:val="003E3DBC"/>
    <w:rsid w:val="003E3E06"/>
    <w:rsid w:val="003E3F53"/>
    <w:rsid w:val="003E3FEC"/>
    <w:rsid w:val="003E4066"/>
    <w:rsid w:val="003E412F"/>
    <w:rsid w:val="003E4174"/>
    <w:rsid w:val="003E419D"/>
    <w:rsid w:val="003E420D"/>
    <w:rsid w:val="003E421D"/>
    <w:rsid w:val="003E4354"/>
    <w:rsid w:val="003E43D3"/>
    <w:rsid w:val="003E442F"/>
    <w:rsid w:val="003E4438"/>
    <w:rsid w:val="003E4448"/>
    <w:rsid w:val="003E44C7"/>
    <w:rsid w:val="003E4672"/>
    <w:rsid w:val="003E46A0"/>
    <w:rsid w:val="003E46B6"/>
    <w:rsid w:val="003E473F"/>
    <w:rsid w:val="003E4786"/>
    <w:rsid w:val="003E47B4"/>
    <w:rsid w:val="003E47F9"/>
    <w:rsid w:val="003E4A14"/>
    <w:rsid w:val="003E4A3F"/>
    <w:rsid w:val="003E4A47"/>
    <w:rsid w:val="003E4AB3"/>
    <w:rsid w:val="003E4B20"/>
    <w:rsid w:val="003E4B68"/>
    <w:rsid w:val="003E4B97"/>
    <w:rsid w:val="003E4C14"/>
    <w:rsid w:val="003E4C24"/>
    <w:rsid w:val="003E4C40"/>
    <w:rsid w:val="003E4C88"/>
    <w:rsid w:val="003E4C8E"/>
    <w:rsid w:val="003E4CC5"/>
    <w:rsid w:val="003E4CED"/>
    <w:rsid w:val="003E4DA4"/>
    <w:rsid w:val="003E4DE5"/>
    <w:rsid w:val="003E4DF9"/>
    <w:rsid w:val="003E4E66"/>
    <w:rsid w:val="003E4E9D"/>
    <w:rsid w:val="003E4ECF"/>
    <w:rsid w:val="003E4F45"/>
    <w:rsid w:val="003E4F68"/>
    <w:rsid w:val="003E5038"/>
    <w:rsid w:val="003E504A"/>
    <w:rsid w:val="003E50AB"/>
    <w:rsid w:val="003E51CA"/>
    <w:rsid w:val="003E5239"/>
    <w:rsid w:val="003E523B"/>
    <w:rsid w:val="003E523F"/>
    <w:rsid w:val="003E53AC"/>
    <w:rsid w:val="003E53D3"/>
    <w:rsid w:val="003E53EF"/>
    <w:rsid w:val="003E53F5"/>
    <w:rsid w:val="003E540F"/>
    <w:rsid w:val="003E542B"/>
    <w:rsid w:val="003E5472"/>
    <w:rsid w:val="003E54A3"/>
    <w:rsid w:val="003E54C4"/>
    <w:rsid w:val="003E54DC"/>
    <w:rsid w:val="003E5508"/>
    <w:rsid w:val="003E5509"/>
    <w:rsid w:val="003E550B"/>
    <w:rsid w:val="003E5644"/>
    <w:rsid w:val="003E566F"/>
    <w:rsid w:val="003E56D0"/>
    <w:rsid w:val="003E58F4"/>
    <w:rsid w:val="003E592D"/>
    <w:rsid w:val="003E595C"/>
    <w:rsid w:val="003E5999"/>
    <w:rsid w:val="003E5A31"/>
    <w:rsid w:val="003E5CDA"/>
    <w:rsid w:val="003E5D63"/>
    <w:rsid w:val="003E5D80"/>
    <w:rsid w:val="003E5D85"/>
    <w:rsid w:val="003E5DA4"/>
    <w:rsid w:val="003E5E47"/>
    <w:rsid w:val="003E5FC0"/>
    <w:rsid w:val="003E6061"/>
    <w:rsid w:val="003E612C"/>
    <w:rsid w:val="003E6183"/>
    <w:rsid w:val="003E61A6"/>
    <w:rsid w:val="003E61B3"/>
    <w:rsid w:val="003E6271"/>
    <w:rsid w:val="003E62A6"/>
    <w:rsid w:val="003E62B0"/>
    <w:rsid w:val="003E62CC"/>
    <w:rsid w:val="003E639F"/>
    <w:rsid w:val="003E6402"/>
    <w:rsid w:val="003E64BC"/>
    <w:rsid w:val="003E6506"/>
    <w:rsid w:val="003E6543"/>
    <w:rsid w:val="003E65E3"/>
    <w:rsid w:val="003E66A6"/>
    <w:rsid w:val="003E66B6"/>
    <w:rsid w:val="003E66D3"/>
    <w:rsid w:val="003E66EC"/>
    <w:rsid w:val="003E66FB"/>
    <w:rsid w:val="003E6775"/>
    <w:rsid w:val="003E682C"/>
    <w:rsid w:val="003E6839"/>
    <w:rsid w:val="003E68C1"/>
    <w:rsid w:val="003E68DE"/>
    <w:rsid w:val="003E68F2"/>
    <w:rsid w:val="003E697B"/>
    <w:rsid w:val="003E69CE"/>
    <w:rsid w:val="003E6A70"/>
    <w:rsid w:val="003E6B8E"/>
    <w:rsid w:val="003E6C16"/>
    <w:rsid w:val="003E6C65"/>
    <w:rsid w:val="003E6CAB"/>
    <w:rsid w:val="003E6D0E"/>
    <w:rsid w:val="003E6DAB"/>
    <w:rsid w:val="003E6DF7"/>
    <w:rsid w:val="003E6E11"/>
    <w:rsid w:val="003E6E57"/>
    <w:rsid w:val="003E6E92"/>
    <w:rsid w:val="003E6E98"/>
    <w:rsid w:val="003E6F39"/>
    <w:rsid w:val="003E6F9A"/>
    <w:rsid w:val="003E6FBC"/>
    <w:rsid w:val="003E7075"/>
    <w:rsid w:val="003E707A"/>
    <w:rsid w:val="003E709D"/>
    <w:rsid w:val="003E70A1"/>
    <w:rsid w:val="003E70B8"/>
    <w:rsid w:val="003E713F"/>
    <w:rsid w:val="003E7223"/>
    <w:rsid w:val="003E7329"/>
    <w:rsid w:val="003E736B"/>
    <w:rsid w:val="003E7370"/>
    <w:rsid w:val="003E7407"/>
    <w:rsid w:val="003E747F"/>
    <w:rsid w:val="003E74E6"/>
    <w:rsid w:val="003E7528"/>
    <w:rsid w:val="003E7575"/>
    <w:rsid w:val="003E75B0"/>
    <w:rsid w:val="003E7611"/>
    <w:rsid w:val="003E76CA"/>
    <w:rsid w:val="003E775B"/>
    <w:rsid w:val="003E778B"/>
    <w:rsid w:val="003E786C"/>
    <w:rsid w:val="003E7896"/>
    <w:rsid w:val="003E7913"/>
    <w:rsid w:val="003E7927"/>
    <w:rsid w:val="003E79C2"/>
    <w:rsid w:val="003E79EF"/>
    <w:rsid w:val="003E7A07"/>
    <w:rsid w:val="003E7A1B"/>
    <w:rsid w:val="003E7A1F"/>
    <w:rsid w:val="003E7A38"/>
    <w:rsid w:val="003E7A3D"/>
    <w:rsid w:val="003E7A58"/>
    <w:rsid w:val="003E7A60"/>
    <w:rsid w:val="003E7A7C"/>
    <w:rsid w:val="003E7B4B"/>
    <w:rsid w:val="003E7B84"/>
    <w:rsid w:val="003E7C26"/>
    <w:rsid w:val="003E7C89"/>
    <w:rsid w:val="003E7C94"/>
    <w:rsid w:val="003E7D0D"/>
    <w:rsid w:val="003E7E67"/>
    <w:rsid w:val="003E7E7E"/>
    <w:rsid w:val="003E7E96"/>
    <w:rsid w:val="003E7F1C"/>
    <w:rsid w:val="003E7F47"/>
    <w:rsid w:val="003E7FEB"/>
    <w:rsid w:val="003F0041"/>
    <w:rsid w:val="003F0051"/>
    <w:rsid w:val="003F0070"/>
    <w:rsid w:val="003F00B4"/>
    <w:rsid w:val="003F0100"/>
    <w:rsid w:val="003F0108"/>
    <w:rsid w:val="003F0186"/>
    <w:rsid w:val="003F01DD"/>
    <w:rsid w:val="003F02FB"/>
    <w:rsid w:val="003F03F6"/>
    <w:rsid w:val="003F051A"/>
    <w:rsid w:val="003F052B"/>
    <w:rsid w:val="003F057B"/>
    <w:rsid w:val="003F059A"/>
    <w:rsid w:val="003F05EF"/>
    <w:rsid w:val="003F05F8"/>
    <w:rsid w:val="003F06BA"/>
    <w:rsid w:val="003F0717"/>
    <w:rsid w:val="003F07A6"/>
    <w:rsid w:val="003F0847"/>
    <w:rsid w:val="003F0874"/>
    <w:rsid w:val="003F08A7"/>
    <w:rsid w:val="003F0914"/>
    <w:rsid w:val="003F0925"/>
    <w:rsid w:val="003F0959"/>
    <w:rsid w:val="003F095A"/>
    <w:rsid w:val="003F0A21"/>
    <w:rsid w:val="003F0A49"/>
    <w:rsid w:val="003F0A63"/>
    <w:rsid w:val="003F0A7F"/>
    <w:rsid w:val="003F0AD9"/>
    <w:rsid w:val="003F0B09"/>
    <w:rsid w:val="003F0B7D"/>
    <w:rsid w:val="003F0B90"/>
    <w:rsid w:val="003F0BFE"/>
    <w:rsid w:val="003F0C61"/>
    <w:rsid w:val="003F0CDF"/>
    <w:rsid w:val="003F0CF8"/>
    <w:rsid w:val="003F0D1B"/>
    <w:rsid w:val="003F0D2E"/>
    <w:rsid w:val="003F0D9D"/>
    <w:rsid w:val="003F0DF0"/>
    <w:rsid w:val="003F0E0B"/>
    <w:rsid w:val="003F0E4B"/>
    <w:rsid w:val="003F0F0E"/>
    <w:rsid w:val="003F0FF3"/>
    <w:rsid w:val="003F1093"/>
    <w:rsid w:val="003F1106"/>
    <w:rsid w:val="003F1120"/>
    <w:rsid w:val="003F11F4"/>
    <w:rsid w:val="003F11FF"/>
    <w:rsid w:val="003F1239"/>
    <w:rsid w:val="003F1245"/>
    <w:rsid w:val="003F13E0"/>
    <w:rsid w:val="003F1406"/>
    <w:rsid w:val="003F14D1"/>
    <w:rsid w:val="003F14F2"/>
    <w:rsid w:val="003F1552"/>
    <w:rsid w:val="003F15D9"/>
    <w:rsid w:val="003F161A"/>
    <w:rsid w:val="003F164B"/>
    <w:rsid w:val="003F1688"/>
    <w:rsid w:val="003F16F5"/>
    <w:rsid w:val="003F171B"/>
    <w:rsid w:val="003F174D"/>
    <w:rsid w:val="003F17DE"/>
    <w:rsid w:val="003F17F6"/>
    <w:rsid w:val="003F18DB"/>
    <w:rsid w:val="003F1961"/>
    <w:rsid w:val="003F1A4F"/>
    <w:rsid w:val="003F1AE0"/>
    <w:rsid w:val="003F1B21"/>
    <w:rsid w:val="003F1B7A"/>
    <w:rsid w:val="003F1C4C"/>
    <w:rsid w:val="003F1C86"/>
    <w:rsid w:val="003F1D98"/>
    <w:rsid w:val="003F1DA4"/>
    <w:rsid w:val="003F1DAE"/>
    <w:rsid w:val="003F1E33"/>
    <w:rsid w:val="003F1E8F"/>
    <w:rsid w:val="003F1EBF"/>
    <w:rsid w:val="003F1ED9"/>
    <w:rsid w:val="003F1EEF"/>
    <w:rsid w:val="003F1F28"/>
    <w:rsid w:val="003F1F2D"/>
    <w:rsid w:val="003F1F84"/>
    <w:rsid w:val="003F1F8F"/>
    <w:rsid w:val="003F1FDD"/>
    <w:rsid w:val="003F1FF5"/>
    <w:rsid w:val="003F202E"/>
    <w:rsid w:val="003F20F9"/>
    <w:rsid w:val="003F213F"/>
    <w:rsid w:val="003F2215"/>
    <w:rsid w:val="003F2294"/>
    <w:rsid w:val="003F22A3"/>
    <w:rsid w:val="003F22AC"/>
    <w:rsid w:val="003F22B9"/>
    <w:rsid w:val="003F2313"/>
    <w:rsid w:val="003F23B5"/>
    <w:rsid w:val="003F23BE"/>
    <w:rsid w:val="003F23C4"/>
    <w:rsid w:val="003F23E5"/>
    <w:rsid w:val="003F249A"/>
    <w:rsid w:val="003F24C7"/>
    <w:rsid w:val="003F276D"/>
    <w:rsid w:val="003F27B8"/>
    <w:rsid w:val="003F27CC"/>
    <w:rsid w:val="003F2825"/>
    <w:rsid w:val="003F2888"/>
    <w:rsid w:val="003F28CD"/>
    <w:rsid w:val="003F28F6"/>
    <w:rsid w:val="003F28F7"/>
    <w:rsid w:val="003F2B3B"/>
    <w:rsid w:val="003F2B97"/>
    <w:rsid w:val="003F2D6E"/>
    <w:rsid w:val="003F2D71"/>
    <w:rsid w:val="003F2DFA"/>
    <w:rsid w:val="003F2E09"/>
    <w:rsid w:val="003F2E3A"/>
    <w:rsid w:val="003F2E7C"/>
    <w:rsid w:val="003F2E7D"/>
    <w:rsid w:val="003F2E91"/>
    <w:rsid w:val="003F2E9F"/>
    <w:rsid w:val="003F2EB7"/>
    <w:rsid w:val="003F2EDD"/>
    <w:rsid w:val="003F2EE0"/>
    <w:rsid w:val="003F2FCD"/>
    <w:rsid w:val="003F2FDE"/>
    <w:rsid w:val="003F30E0"/>
    <w:rsid w:val="003F3166"/>
    <w:rsid w:val="003F31A6"/>
    <w:rsid w:val="003F327F"/>
    <w:rsid w:val="003F3360"/>
    <w:rsid w:val="003F33B6"/>
    <w:rsid w:val="003F33EE"/>
    <w:rsid w:val="003F350E"/>
    <w:rsid w:val="003F3539"/>
    <w:rsid w:val="003F3567"/>
    <w:rsid w:val="003F35E2"/>
    <w:rsid w:val="003F361B"/>
    <w:rsid w:val="003F3638"/>
    <w:rsid w:val="003F364C"/>
    <w:rsid w:val="003F3660"/>
    <w:rsid w:val="003F368F"/>
    <w:rsid w:val="003F3759"/>
    <w:rsid w:val="003F3799"/>
    <w:rsid w:val="003F37C7"/>
    <w:rsid w:val="003F387B"/>
    <w:rsid w:val="003F38AD"/>
    <w:rsid w:val="003F38AF"/>
    <w:rsid w:val="003F38BD"/>
    <w:rsid w:val="003F38E8"/>
    <w:rsid w:val="003F39F1"/>
    <w:rsid w:val="003F3A47"/>
    <w:rsid w:val="003F3A66"/>
    <w:rsid w:val="003F3AD8"/>
    <w:rsid w:val="003F3B82"/>
    <w:rsid w:val="003F3BAB"/>
    <w:rsid w:val="003F3C16"/>
    <w:rsid w:val="003F3C5C"/>
    <w:rsid w:val="003F3CA9"/>
    <w:rsid w:val="003F3CB6"/>
    <w:rsid w:val="003F3D93"/>
    <w:rsid w:val="003F3E17"/>
    <w:rsid w:val="003F3E26"/>
    <w:rsid w:val="003F3E9E"/>
    <w:rsid w:val="003F3EAD"/>
    <w:rsid w:val="003F40F8"/>
    <w:rsid w:val="003F418F"/>
    <w:rsid w:val="003F41EE"/>
    <w:rsid w:val="003F4230"/>
    <w:rsid w:val="003F4234"/>
    <w:rsid w:val="003F430B"/>
    <w:rsid w:val="003F43AE"/>
    <w:rsid w:val="003F4410"/>
    <w:rsid w:val="003F4456"/>
    <w:rsid w:val="003F44D0"/>
    <w:rsid w:val="003F454B"/>
    <w:rsid w:val="003F45FB"/>
    <w:rsid w:val="003F4604"/>
    <w:rsid w:val="003F4632"/>
    <w:rsid w:val="003F4696"/>
    <w:rsid w:val="003F46D7"/>
    <w:rsid w:val="003F46FD"/>
    <w:rsid w:val="003F47CE"/>
    <w:rsid w:val="003F47E6"/>
    <w:rsid w:val="003F48C0"/>
    <w:rsid w:val="003F4947"/>
    <w:rsid w:val="003F49C3"/>
    <w:rsid w:val="003F4A12"/>
    <w:rsid w:val="003F4A3E"/>
    <w:rsid w:val="003F4A59"/>
    <w:rsid w:val="003F4A97"/>
    <w:rsid w:val="003F4ABC"/>
    <w:rsid w:val="003F4AC8"/>
    <w:rsid w:val="003F4AED"/>
    <w:rsid w:val="003F4B04"/>
    <w:rsid w:val="003F4CB4"/>
    <w:rsid w:val="003F4CFD"/>
    <w:rsid w:val="003F4D11"/>
    <w:rsid w:val="003F4DF1"/>
    <w:rsid w:val="003F4E41"/>
    <w:rsid w:val="003F4E9D"/>
    <w:rsid w:val="003F4F75"/>
    <w:rsid w:val="003F4FA5"/>
    <w:rsid w:val="003F4FF4"/>
    <w:rsid w:val="003F5049"/>
    <w:rsid w:val="003F50AA"/>
    <w:rsid w:val="003F511B"/>
    <w:rsid w:val="003F5162"/>
    <w:rsid w:val="003F5169"/>
    <w:rsid w:val="003F51A8"/>
    <w:rsid w:val="003F51B0"/>
    <w:rsid w:val="003F51F8"/>
    <w:rsid w:val="003F5238"/>
    <w:rsid w:val="003F5243"/>
    <w:rsid w:val="003F52A4"/>
    <w:rsid w:val="003F5336"/>
    <w:rsid w:val="003F5387"/>
    <w:rsid w:val="003F54BC"/>
    <w:rsid w:val="003F5590"/>
    <w:rsid w:val="003F55B4"/>
    <w:rsid w:val="003F55CB"/>
    <w:rsid w:val="003F55F0"/>
    <w:rsid w:val="003F5644"/>
    <w:rsid w:val="003F56AC"/>
    <w:rsid w:val="003F571A"/>
    <w:rsid w:val="003F578C"/>
    <w:rsid w:val="003F57DD"/>
    <w:rsid w:val="003F58A2"/>
    <w:rsid w:val="003F58BE"/>
    <w:rsid w:val="003F58C7"/>
    <w:rsid w:val="003F58CA"/>
    <w:rsid w:val="003F5929"/>
    <w:rsid w:val="003F596A"/>
    <w:rsid w:val="003F597C"/>
    <w:rsid w:val="003F59AE"/>
    <w:rsid w:val="003F5A4C"/>
    <w:rsid w:val="003F5A7D"/>
    <w:rsid w:val="003F5AF7"/>
    <w:rsid w:val="003F5B23"/>
    <w:rsid w:val="003F5B89"/>
    <w:rsid w:val="003F5BC2"/>
    <w:rsid w:val="003F5C90"/>
    <w:rsid w:val="003F5CD4"/>
    <w:rsid w:val="003F5D04"/>
    <w:rsid w:val="003F5D2E"/>
    <w:rsid w:val="003F5D8C"/>
    <w:rsid w:val="003F5DA2"/>
    <w:rsid w:val="003F5DED"/>
    <w:rsid w:val="003F5DFB"/>
    <w:rsid w:val="003F5E13"/>
    <w:rsid w:val="003F5E40"/>
    <w:rsid w:val="003F5E4A"/>
    <w:rsid w:val="003F5FA1"/>
    <w:rsid w:val="003F5FBC"/>
    <w:rsid w:val="003F5FEE"/>
    <w:rsid w:val="003F60C7"/>
    <w:rsid w:val="003F61EF"/>
    <w:rsid w:val="003F6241"/>
    <w:rsid w:val="003F6252"/>
    <w:rsid w:val="003F6280"/>
    <w:rsid w:val="003F62DB"/>
    <w:rsid w:val="003F632D"/>
    <w:rsid w:val="003F644F"/>
    <w:rsid w:val="003F64EB"/>
    <w:rsid w:val="003F654E"/>
    <w:rsid w:val="003F6557"/>
    <w:rsid w:val="003F6575"/>
    <w:rsid w:val="003F657C"/>
    <w:rsid w:val="003F670B"/>
    <w:rsid w:val="003F6745"/>
    <w:rsid w:val="003F67C9"/>
    <w:rsid w:val="003F68D8"/>
    <w:rsid w:val="003F690B"/>
    <w:rsid w:val="003F69B7"/>
    <w:rsid w:val="003F6A15"/>
    <w:rsid w:val="003F6A86"/>
    <w:rsid w:val="003F6AF6"/>
    <w:rsid w:val="003F6BA0"/>
    <w:rsid w:val="003F6BC2"/>
    <w:rsid w:val="003F6C4F"/>
    <w:rsid w:val="003F6CA3"/>
    <w:rsid w:val="003F6CFA"/>
    <w:rsid w:val="003F6D9A"/>
    <w:rsid w:val="003F6E42"/>
    <w:rsid w:val="003F6F73"/>
    <w:rsid w:val="003F6FD5"/>
    <w:rsid w:val="003F704E"/>
    <w:rsid w:val="003F7086"/>
    <w:rsid w:val="003F708C"/>
    <w:rsid w:val="003F70B4"/>
    <w:rsid w:val="003F70BA"/>
    <w:rsid w:val="003F7132"/>
    <w:rsid w:val="003F7228"/>
    <w:rsid w:val="003F7267"/>
    <w:rsid w:val="003F7394"/>
    <w:rsid w:val="003F742E"/>
    <w:rsid w:val="003F7479"/>
    <w:rsid w:val="003F7525"/>
    <w:rsid w:val="003F75CB"/>
    <w:rsid w:val="003F75EA"/>
    <w:rsid w:val="003F76D6"/>
    <w:rsid w:val="003F76EC"/>
    <w:rsid w:val="003F7839"/>
    <w:rsid w:val="003F7956"/>
    <w:rsid w:val="003F799A"/>
    <w:rsid w:val="003F79A1"/>
    <w:rsid w:val="003F79C7"/>
    <w:rsid w:val="003F7AE6"/>
    <w:rsid w:val="003F7B9A"/>
    <w:rsid w:val="003F7C7E"/>
    <w:rsid w:val="003F7D41"/>
    <w:rsid w:val="003F7D5D"/>
    <w:rsid w:val="003F7D8B"/>
    <w:rsid w:val="003F7DC0"/>
    <w:rsid w:val="003F7E0E"/>
    <w:rsid w:val="003F7E92"/>
    <w:rsid w:val="003F7EEA"/>
    <w:rsid w:val="003F7F40"/>
    <w:rsid w:val="003F7FB9"/>
    <w:rsid w:val="003F7FD7"/>
    <w:rsid w:val="003F7FF3"/>
    <w:rsid w:val="00400005"/>
    <w:rsid w:val="00400008"/>
    <w:rsid w:val="00400041"/>
    <w:rsid w:val="00400042"/>
    <w:rsid w:val="0040007E"/>
    <w:rsid w:val="00400150"/>
    <w:rsid w:val="00400206"/>
    <w:rsid w:val="00400227"/>
    <w:rsid w:val="004002A2"/>
    <w:rsid w:val="004002FE"/>
    <w:rsid w:val="004003DD"/>
    <w:rsid w:val="00400459"/>
    <w:rsid w:val="0040046B"/>
    <w:rsid w:val="00400485"/>
    <w:rsid w:val="004004A3"/>
    <w:rsid w:val="004004B0"/>
    <w:rsid w:val="0040057E"/>
    <w:rsid w:val="00400588"/>
    <w:rsid w:val="00400648"/>
    <w:rsid w:val="00400676"/>
    <w:rsid w:val="004007E6"/>
    <w:rsid w:val="00400828"/>
    <w:rsid w:val="0040084C"/>
    <w:rsid w:val="004008FE"/>
    <w:rsid w:val="00400922"/>
    <w:rsid w:val="00400938"/>
    <w:rsid w:val="00400965"/>
    <w:rsid w:val="00400A1B"/>
    <w:rsid w:val="00400AC1"/>
    <w:rsid w:val="00400B0A"/>
    <w:rsid w:val="00400B17"/>
    <w:rsid w:val="00400B3A"/>
    <w:rsid w:val="00400B9C"/>
    <w:rsid w:val="00400BB6"/>
    <w:rsid w:val="00400C73"/>
    <w:rsid w:val="00400CB1"/>
    <w:rsid w:val="00400CD4"/>
    <w:rsid w:val="00400D84"/>
    <w:rsid w:val="00400D91"/>
    <w:rsid w:val="00400E7E"/>
    <w:rsid w:val="00400E8B"/>
    <w:rsid w:val="00400ED0"/>
    <w:rsid w:val="00400EE9"/>
    <w:rsid w:val="00400F04"/>
    <w:rsid w:val="00400F28"/>
    <w:rsid w:val="00400FA3"/>
    <w:rsid w:val="00400FB2"/>
    <w:rsid w:val="00400FCE"/>
    <w:rsid w:val="00401043"/>
    <w:rsid w:val="00401057"/>
    <w:rsid w:val="0040108B"/>
    <w:rsid w:val="00401118"/>
    <w:rsid w:val="0040115F"/>
    <w:rsid w:val="004011C1"/>
    <w:rsid w:val="004011CF"/>
    <w:rsid w:val="00401227"/>
    <w:rsid w:val="0040127C"/>
    <w:rsid w:val="0040142A"/>
    <w:rsid w:val="0040151C"/>
    <w:rsid w:val="00401550"/>
    <w:rsid w:val="00401557"/>
    <w:rsid w:val="00401583"/>
    <w:rsid w:val="00401597"/>
    <w:rsid w:val="004015B1"/>
    <w:rsid w:val="00401685"/>
    <w:rsid w:val="0040175F"/>
    <w:rsid w:val="004018DB"/>
    <w:rsid w:val="0040197B"/>
    <w:rsid w:val="0040197F"/>
    <w:rsid w:val="004019A1"/>
    <w:rsid w:val="004019D0"/>
    <w:rsid w:val="004019D4"/>
    <w:rsid w:val="00401A1B"/>
    <w:rsid w:val="00401A90"/>
    <w:rsid w:val="00401B50"/>
    <w:rsid w:val="00401B59"/>
    <w:rsid w:val="00401B7B"/>
    <w:rsid w:val="00401BA7"/>
    <w:rsid w:val="00401BA9"/>
    <w:rsid w:val="00401BB6"/>
    <w:rsid w:val="00401BCF"/>
    <w:rsid w:val="00401C0B"/>
    <w:rsid w:val="00401CC7"/>
    <w:rsid w:val="00401CD9"/>
    <w:rsid w:val="00401D1C"/>
    <w:rsid w:val="00401D3B"/>
    <w:rsid w:val="00401D56"/>
    <w:rsid w:val="00401D57"/>
    <w:rsid w:val="00401D5F"/>
    <w:rsid w:val="00401E08"/>
    <w:rsid w:val="00401E99"/>
    <w:rsid w:val="00401EBE"/>
    <w:rsid w:val="00401EC8"/>
    <w:rsid w:val="00401F01"/>
    <w:rsid w:val="00401F59"/>
    <w:rsid w:val="00401F80"/>
    <w:rsid w:val="00401FE4"/>
    <w:rsid w:val="00401FE9"/>
    <w:rsid w:val="00402136"/>
    <w:rsid w:val="004021D9"/>
    <w:rsid w:val="0040220A"/>
    <w:rsid w:val="004022CF"/>
    <w:rsid w:val="004022E1"/>
    <w:rsid w:val="00402332"/>
    <w:rsid w:val="00402351"/>
    <w:rsid w:val="0040235E"/>
    <w:rsid w:val="004023A0"/>
    <w:rsid w:val="004023CD"/>
    <w:rsid w:val="004023EF"/>
    <w:rsid w:val="0040249E"/>
    <w:rsid w:val="004024F0"/>
    <w:rsid w:val="00402533"/>
    <w:rsid w:val="00402615"/>
    <w:rsid w:val="0040262E"/>
    <w:rsid w:val="004026E0"/>
    <w:rsid w:val="0040275C"/>
    <w:rsid w:val="00402835"/>
    <w:rsid w:val="0040290D"/>
    <w:rsid w:val="00402928"/>
    <w:rsid w:val="004029E4"/>
    <w:rsid w:val="004029F7"/>
    <w:rsid w:val="00402A08"/>
    <w:rsid w:val="00402A7F"/>
    <w:rsid w:val="00402AE6"/>
    <w:rsid w:val="00402B0C"/>
    <w:rsid w:val="00402BB5"/>
    <w:rsid w:val="00402BD2"/>
    <w:rsid w:val="00402C03"/>
    <w:rsid w:val="00402D5C"/>
    <w:rsid w:val="00402E19"/>
    <w:rsid w:val="00402E9E"/>
    <w:rsid w:val="00402EEC"/>
    <w:rsid w:val="00402EF6"/>
    <w:rsid w:val="00402F21"/>
    <w:rsid w:val="004030D5"/>
    <w:rsid w:val="004030E0"/>
    <w:rsid w:val="0040313A"/>
    <w:rsid w:val="004031B4"/>
    <w:rsid w:val="004031C6"/>
    <w:rsid w:val="004031CE"/>
    <w:rsid w:val="00403240"/>
    <w:rsid w:val="0040330D"/>
    <w:rsid w:val="004033A4"/>
    <w:rsid w:val="004033B6"/>
    <w:rsid w:val="00403489"/>
    <w:rsid w:val="00403554"/>
    <w:rsid w:val="004035C1"/>
    <w:rsid w:val="004035DC"/>
    <w:rsid w:val="00403721"/>
    <w:rsid w:val="00403725"/>
    <w:rsid w:val="00403735"/>
    <w:rsid w:val="0040379E"/>
    <w:rsid w:val="004037D4"/>
    <w:rsid w:val="0040384F"/>
    <w:rsid w:val="0040388C"/>
    <w:rsid w:val="004038F7"/>
    <w:rsid w:val="00403991"/>
    <w:rsid w:val="00403994"/>
    <w:rsid w:val="004039A5"/>
    <w:rsid w:val="004039ED"/>
    <w:rsid w:val="00403A73"/>
    <w:rsid w:val="00403AC9"/>
    <w:rsid w:val="00403AD5"/>
    <w:rsid w:val="00403BDC"/>
    <w:rsid w:val="00403C3E"/>
    <w:rsid w:val="00403CCD"/>
    <w:rsid w:val="00403D3D"/>
    <w:rsid w:val="00403DBA"/>
    <w:rsid w:val="00403DCF"/>
    <w:rsid w:val="00403DFF"/>
    <w:rsid w:val="00403E34"/>
    <w:rsid w:val="00403E73"/>
    <w:rsid w:val="00403E7D"/>
    <w:rsid w:val="00403EAF"/>
    <w:rsid w:val="00403EB4"/>
    <w:rsid w:val="00403EF3"/>
    <w:rsid w:val="00403F6E"/>
    <w:rsid w:val="00403F7F"/>
    <w:rsid w:val="00403FE6"/>
    <w:rsid w:val="00404016"/>
    <w:rsid w:val="004040AC"/>
    <w:rsid w:val="004040DF"/>
    <w:rsid w:val="00404104"/>
    <w:rsid w:val="004041A3"/>
    <w:rsid w:val="004041AB"/>
    <w:rsid w:val="00404238"/>
    <w:rsid w:val="00404249"/>
    <w:rsid w:val="0040427D"/>
    <w:rsid w:val="004042E9"/>
    <w:rsid w:val="00404353"/>
    <w:rsid w:val="004043C5"/>
    <w:rsid w:val="00404415"/>
    <w:rsid w:val="00404473"/>
    <w:rsid w:val="0040447E"/>
    <w:rsid w:val="00404488"/>
    <w:rsid w:val="004044FE"/>
    <w:rsid w:val="00404549"/>
    <w:rsid w:val="0040460D"/>
    <w:rsid w:val="0040468D"/>
    <w:rsid w:val="0040472F"/>
    <w:rsid w:val="00404772"/>
    <w:rsid w:val="004048A0"/>
    <w:rsid w:val="00404948"/>
    <w:rsid w:val="00404A3D"/>
    <w:rsid w:val="00404AD3"/>
    <w:rsid w:val="00404B2C"/>
    <w:rsid w:val="00404B2E"/>
    <w:rsid w:val="00404DBB"/>
    <w:rsid w:val="00404E30"/>
    <w:rsid w:val="00404E44"/>
    <w:rsid w:val="00404EC1"/>
    <w:rsid w:val="00404EEB"/>
    <w:rsid w:val="00404EF8"/>
    <w:rsid w:val="00404F3A"/>
    <w:rsid w:val="00405105"/>
    <w:rsid w:val="00405123"/>
    <w:rsid w:val="00405171"/>
    <w:rsid w:val="00405189"/>
    <w:rsid w:val="004051A1"/>
    <w:rsid w:val="004051BD"/>
    <w:rsid w:val="004051C6"/>
    <w:rsid w:val="0040524F"/>
    <w:rsid w:val="004052AC"/>
    <w:rsid w:val="004054F5"/>
    <w:rsid w:val="00405678"/>
    <w:rsid w:val="004057A9"/>
    <w:rsid w:val="004057D0"/>
    <w:rsid w:val="004057F8"/>
    <w:rsid w:val="00405818"/>
    <w:rsid w:val="00405825"/>
    <w:rsid w:val="0040585A"/>
    <w:rsid w:val="00405860"/>
    <w:rsid w:val="00405862"/>
    <w:rsid w:val="0040586C"/>
    <w:rsid w:val="00405917"/>
    <w:rsid w:val="00405A0A"/>
    <w:rsid w:val="00405A1A"/>
    <w:rsid w:val="00405A1F"/>
    <w:rsid w:val="00405AE4"/>
    <w:rsid w:val="00405B06"/>
    <w:rsid w:val="00405B2D"/>
    <w:rsid w:val="00405BD6"/>
    <w:rsid w:val="00405C2C"/>
    <w:rsid w:val="00405CB4"/>
    <w:rsid w:val="00405E01"/>
    <w:rsid w:val="00405E09"/>
    <w:rsid w:val="00405EC3"/>
    <w:rsid w:val="00405ECF"/>
    <w:rsid w:val="00405EEB"/>
    <w:rsid w:val="00406006"/>
    <w:rsid w:val="00406032"/>
    <w:rsid w:val="00406043"/>
    <w:rsid w:val="00406109"/>
    <w:rsid w:val="004061C2"/>
    <w:rsid w:val="00406255"/>
    <w:rsid w:val="00406287"/>
    <w:rsid w:val="004062B3"/>
    <w:rsid w:val="004062E0"/>
    <w:rsid w:val="004062F3"/>
    <w:rsid w:val="0040633C"/>
    <w:rsid w:val="0040637F"/>
    <w:rsid w:val="0040648B"/>
    <w:rsid w:val="004064C5"/>
    <w:rsid w:val="004064CD"/>
    <w:rsid w:val="0040652D"/>
    <w:rsid w:val="0040653A"/>
    <w:rsid w:val="00406595"/>
    <w:rsid w:val="004065F4"/>
    <w:rsid w:val="004066B1"/>
    <w:rsid w:val="0040674E"/>
    <w:rsid w:val="00406752"/>
    <w:rsid w:val="00406755"/>
    <w:rsid w:val="004067B9"/>
    <w:rsid w:val="004067EE"/>
    <w:rsid w:val="00406812"/>
    <w:rsid w:val="00406840"/>
    <w:rsid w:val="004068F0"/>
    <w:rsid w:val="00406902"/>
    <w:rsid w:val="00406984"/>
    <w:rsid w:val="004069A3"/>
    <w:rsid w:val="00406A00"/>
    <w:rsid w:val="00406A15"/>
    <w:rsid w:val="00406A55"/>
    <w:rsid w:val="00406A8D"/>
    <w:rsid w:val="00406B0D"/>
    <w:rsid w:val="00406B42"/>
    <w:rsid w:val="00406B9E"/>
    <w:rsid w:val="00406BCF"/>
    <w:rsid w:val="00406BEC"/>
    <w:rsid w:val="00406C0A"/>
    <w:rsid w:val="00406C22"/>
    <w:rsid w:val="00406C26"/>
    <w:rsid w:val="00406CA3"/>
    <w:rsid w:val="00406CB3"/>
    <w:rsid w:val="00406D9F"/>
    <w:rsid w:val="00406DF7"/>
    <w:rsid w:val="00406E53"/>
    <w:rsid w:val="00406E97"/>
    <w:rsid w:val="00406E99"/>
    <w:rsid w:val="00406EC6"/>
    <w:rsid w:val="00406F35"/>
    <w:rsid w:val="00406F62"/>
    <w:rsid w:val="00406F8F"/>
    <w:rsid w:val="00406FD4"/>
    <w:rsid w:val="00406FF8"/>
    <w:rsid w:val="00407055"/>
    <w:rsid w:val="0040705F"/>
    <w:rsid w:val="0040709A"/>
    <w:rsid w:val="004070B5"/>
    <w:rsid w:val="0040711B"/>
    <w:rsid w:val="00407159"/>
    <w:rsid w:val="0040717C"/>
    <w:rsid w:val="00407229"/>
    <w:rsid w:val="004072BF"/>
    <w:rsid w:val="00407459"/>
    <w:rsid w:val="0040749B"/>
    <w:rsid w:val="004074E5"/>
    <w:rsid w:val="004074EA"/>
    <w:rsid w:val="004075CA"/>
    <w:rsid w:val="00407603"/>
    <w:rsid w:val="00407678"/>
    <w:rsid w:val="0040767D"/>
    <w:rsid w:val="00407796"/>
    <w:rsid w:val="00407826"/>
    <w:rsid w:val="0040784F"/>
    <w:rsid w:val="00407A73"/>
    <w:rsid w:val="00407AC8"/>
    <w:rsid w:val="00407AF2"/>
    <w:rsid w:val="00407BD4"/>
    <w:rsid w:val="00407BEA"/>
    <w:rsid w:val="00407BFB"/>
    <w:rsid w:val="00407C55"/>
    <w:rsid w:val="00407CCC"/>
    <w:rsid w:val="00407D4C"/>
    <w:rsid w:val="00407D7B"/>
    <w:rsid w:val="00407DD6"/>
    <w:rsid w:val="00407E33"/>
    <w:rsid w:val="00407E5F"/>
    <w:rsid w:val="00407E7A"/>
    <w:rsid w:val="00407EA3"/>
    <w:rsid w:val="00407EBA"/>
    <w:rsid w:val="00407ED9"/>
    <w:rsid w:val="00407EF1"/>
    <w:rsid w:val="00407F05"/>
    <w:rsid w:val="00407F14"/>
    <w:rsid w:val="00407F65"/>
    <w:rsid w:val="00407FD7"/>
    <w:rsid w:val="00407FE5"/>
    <w:rsid w:val="00407FE7"/>
    <w:rsid w:val="00410051"/>
    <w:rsid w:val="0041008A"/>
    <w:rsid w:val="0041013E"/>
    <w:rsid w:val="0041014B"/>
    <w:rsid w:val="00410159"/>
    <w:rsid w:val="004101D1"/>
    <w:rsid w:val="0041021A"/>
    <w:rsid w:val="0041026A"/>
    <w:rsid w:val="00410278"/>
    <w:rsid w:val="004102A2"/>
    <w:rsid w:val="0041039D"/>
    <w:rsid w:val="004104CB"/>
    <w:rsid w:val="0041054E"/>
    <w:rsid w:val="00410571"/>
    <w:rsid w:val="004105DA"/>
    <w:rsid w:val="004105FC"/>
    <w:rsid w:val="0041060A"/>
    <w:rsid w:val="00410662"/>
    <w:rsid w:val="004106E9"/>
    <w:rsid w:val="00410803"/>
    <w:rsid w:val="00410831"/>
    <w:rsid w:val="00410845"/>
    <w:rsid w:val="004108DB"/>
    <w:rsid w:val="00410914"/>
    <w:rsid w:val="00410944"/>
    <w:rsid w:val="004109E6"/>
    <w:rsid w:val="00410B1D"/>
    <w:rsid w:val="00410B24"/>
    <w:rsid w:val="00410B9C"/>
    <w:rsid w:val="00410C3C"/>
    <w:rsid w:val="00410C43"/>
    <w:rsid w:val="00410C66"/>
    <w:rsid w:val="00410CF1"/>
    <w:rsid w:val="00410D25"/>
    <w:rsid w:val="00410D47"/>
    <w:rsid w:val="00410D67"/>
    <w:rsid w:val="00410DAD"/>
    <w:rsid w:val="00410DE9"/>
    <w:rsid w:val="00410E2A"/>
    <w:rsid w:val="00410E5F"/>
    <w:rsid w:val="00410EEE"/>
    <w:rsid w:val="00410F09"/>
    <w:rsid w:val="00410F4F"/>
    <w:rsid w:val="00410FBB"/>
    <w:rsid w:val="0041109C"/>
    <w:rsid w:val="004110C0"/>
    <w:rsid w:val="00411107"/>
    <w:rsid w:val="0041117D"/>
    <w:rsid w:val="004111D7"/>
    <w:rsid w:val="004111DA"/>
    <w:rsid w:val="004111DC"/>
    <w:rsid w:val="00411201"/>
    <w:rsid w:val="004112A0"/>
    <w:rsid w:val="00411307"/>
    <w:rsid w:val="0041140E"/>
    <w:rsid w:val="0041141C"/>
    <w:rsid w:val="0041144C"/>
    <w:rsid w:val="004114F2"/>
    <w:rsid w:val="00411571"/>
    <w:rsid w:val="00411645"/>
    <w:rsid w:val="0041165D"/>
    <w:rsid w:val="0041165F"/>
    <w:rsid w:val="00411682"/>
    <w:rsid w:val="004116B6"/>
    <w:rsid w:val="0041179D"/>
    <w:rsid w:val="004117E1"/>
    <w:rsid w:val="0041181C"/>
    <w:rsid w:val="004118B6"/>
    <w:rsid w:val="004118BC"/>
    <w:rsid w:val="004118F1"/>
    <w:rsid w:val="0041193B"/>
    <w:rsid w:val="00411994"/>
    <w:rsid w:val="004119CF"/>
    <w:rsid w:val="00411A2C"/>
    <w:rsid w:val="00411A5D"/>
    <w:rsid w:val="00411A94"/>
    <w:rsid w:val="00411ACF"/>
    <w:rsid w:val="00411ADB"/>
    <w:rsid w:val="00411B74"/>
    <w:rsid w:val="00411BCD"/>
    <w:rsid w:val="00411C17"/>
    <w:rsid w:val="00411CF9"/>
    <w:rsid w:val="00411D08"/>
    <w:rsid w:val="00411EC2"/>
    <w:rsid w:val="00411EC4"/>
    <w:rsid w:val="00411FDC"/>
    <w:rsid w:val="00412015"/>
    <w:rsid w:val="0041206E"/>
    <w:rsid w:val="00412078"/>
    <w:rsid w:val="00412132"/>
    <w:rsid w:val="00412142"/>
    <w:rsid w:val="0041222B"/>
    <w:rsid w:val="004122D0"/>
    <w:rsid w:val="00412347"/>
    <w:rsid w:val="00412360"/>
    <w:rsid w:val="0041237C"/>
    <w:rsid w:val="004123F2"/>
    <w:rsid w:val="00412404"/>
    <w:rsid w:val="004124A4"/>
    <w:rsid w:val="004125B1"/>
    <w:rsid w:val="00412661"/>
    <w:rsid w:val="004126A1"/>
    <w:rsid w:val="004127D1"/>
    <w:rsid w:val="004127E9"/>
    <w:rsid w:val="00412850"/>
    <w:rsid w:val="004128F6"/>
    <w:rsid w:val="00412910"/>
    <w:rsid w:val="00412912"/>
    <w:rsid w:val="00412919"/>
    <w:rsid w:val="004129CD"/>
    <w:rsid w:val="004129F2"/>
    <w:rsid w:val="00412A02"/>
    <w:rsid w:val="00412A35"/>
    <w:rsid w:val="00412A4E"/>
    <w:rsid w:val="00412AA9"/>
    <w:rsid w:val="00412AC2"/>
    <w:rsid w:val="00412B0A"/>
    <w:rsid w:val="00412B5E"/>
    <w:rsid w:val="00412C0C"/>
    <w:rsid w:val="00412C36"/>
    <w:rsid w:val="00412C3D"/>
    <w:rsid w:val="00412C55"/>
    <w:rsid w:val="00412CB1"/>
    <w:rsid w:val="00412CDB"/>
    <w:rsid w:val="00412D0F"/>
    <w:rsid w:val="00412D2D"/>
    <w:rsid w:val="00412E03"/>
    <w:rsid w:val="00412E17"/>
    <w:rsid w:val="00412E3D"/>
    <w:rsid w:val="00412E79"/>
    <w:rsid w:val="00412F6B"/>
    <w:rsid w:val="00412FB4"/>
    <w:rsid w:val="00413037"/>
    <w:rsid w:val="0041307D"/>
    <w:rsid w:val="00413104"/>
    <w:rsid w:val="0041310B"/>
    <w:rsid w:val="00413172"/>
    <w:rsid w:val="004131B6"/>
    <w:rsid w:val="004131C4"/>
    <w:rsid w:val="00413290"/>
    <w:rsid w:val="00413324"/>
    <w:rsid w:val="00413390"/>
    <w:rsid w:val="004133D0"/>
    <w:rsid w:val="00413451"/>
    <w:rsid w:val="0041347A"/>
    <w:rsid w:val="00413625"/>
    <w:rsid w:val="00413646"/>
    <w:rsid w:val="0041369F"/>
    <w:rsid w:val="004136AE"/>
    <w:rsid w:val="004136CE"/>
    <w:rsid w:val="004137A5"/>
    <w:rsid w:val="00413821"/>
    <w:rsid w:val="004138FC"/>
    <w:rsid w:val="00413911"/>
    <w:rsid w:val="0041393B"/>
    <w:rsid w:val="00413A77"/>
    <w:rsid w:val="00413A99"/>
    <w:rsid w:val="00413AB6"/>
    <w:rsid w:val="00413AC1"/>
    <w:rsid w:val="00413B51"/>
    <w:rsid w:val="00413BC8"/>
    <w:rsid w:val="00413C35"/>
    <w:rsid w:val="00413C46"/>
    <w:rsid w:val="00413CD0"/>
    <w:rsid w:val="00413D38"/>
    <w:rsid w:val="00413D66"/>
    <w:rsid w:val="00413DB4"/>
    <w:rsid w:val="00413E2F"/>
    <w:rsid w:val="00413E30"/>
    <w:rsid w:val="00413F0E"/>
    <w:rsid w:val="00414026"/>
    <w:rsid w:val="0041403C"/>
    <w:rsid w:val="00414055"/>
    <w:rsid w:val="00414098"/>
    <w:rsid w:val="00414165"/>
    <w:rsid w:val="0041416F"/>
    <w:rsid w:val="004141D8"/>
    <w:rsid w:val="004141E3"/>
    <w:rsid w:val="0041422F"/>
    <w:rsid w:val="0041423C"/>
    <w:rsid w:val="00414245"/>
    <w:rsid w:val="00414262"/>
    <w:rsid w:val="004142B6"/>
    <w:rsid w:val="0041434A"/>
    <w:rsid w:val="00414413"/>
    <w:rsid w:val="004144DF"/>
    <w:rsid w:val="0041451F"/>
    <w:rsid w:val="00414551"/>
    <w:rsid w:val="004145BF"/>
    <w:rsid w:val="004145C1"/>
    <w:rsid w:val="00414653"/>
    <w:rsid w:val="00414679"/>
    <w:rsid w:val="004146C1"/>
    <w:rsid w:val="004146D9"/>
    <w:rsid w:val="0041470F"/>
    <w:rsid w:val="0041474E"/>
    <w:rsid w:val="00414763"/>
    <w:rsid w:val="00414787"/>
    <w:rsid w:val="00414826"/>
    <w:rsid w:val="00414865"/>
    <w:rsid w:val="004148D6"/>
    <w:rsid w:val="0041499D"/>
    <w:rsid w:val="004149AD"/>
    <w:rsid w:val="00414AB9"/>
    <w:rsid w:val="00414AD2"/>
    <w:rsid w:val="00414AD8"/>
    <w:rsid w:val="00414AE4"/>
    <w:rsid w:val="00414BFC"/>
    <w:rsid w:val="00414C4C"/>
    <w:rsid w:val="00414C7B"/>
    <w:rsid w:val="00414D7F"/>
    <w:rsid w:val="00414D8C"/>
    <w:rsid w:val="00414E07"/>
    <w:rsid w:val="00414E4A"/>
    <w:rsid w:val="00414F89"/>
    <w:rsid w:val="00414FA8"/>
    <w:rsid w:val="0041510C"/>
    <w:rsid w:val="00415121"/>
    <w:rsid w:val="0041522E"/>
    <w:rsid w:val="004152A2"/>
    <w:rsid w:val="004152A4"/>
    <w:rsid w:val="004152BF"/>
    <w:rsid w:val="0041536D"/>
    <w:rsid w:val="0041538E"/>
    <w:rsid w:val="004153BD"/>
    <w:rsid w:val="004153DA"/>
    <w:rsid w:val="00415457"/>
    <w:rsid w:val="004154CB"/>
    <w:rsid w:val="004154CF"/>
    <w:rsid w:val="004154ED"/>
    <w:rsid w:val="00415511"/>
    <w:rsid w:val="00415513"/>
    <w:rsid w:val="0041556C"/>
    <w:rsid w:val="00415590"/>
    <w:rsid w:val="00415698"/>
    <w:rsid w:val="004156DF"/>
    <w:rsid w:val="00415708"/>
    <w:rsid w:val="0041571E"/>
    <w:rsid w:val="00415762"/>
    <w:rsid w:val="00415789"/>
    <w:rsid w:val="0041584B"/>
    <w:rsid w:val="00415864"/>
    <w:rsid w:val="004158BD"/>
    <w:rsid w:val="004159F1"/>
    <w:rsid w:val="00415A34"/>
    <w:rsid w:val="00415A38"/>
    <w:rsid w:val="00415AA0"/>
    <w:rsid w:val="00415BD1"/>
    <w:rsid w:val="00415C2B"/>
    <w:rsid w:val="00415C3B"/>
    <w:rsid w:val="00415D5B"/>
    <w:rsid w:val="00415D9C"/>
    <w:rsid w:val="00415DAE"/>
    <w:rsid w:val="00415DC2"/>
    <w:rsid w:val="00415E1D"/>
    <w:rsid w:val="00415E5A"/>
    <w:rsid w:val="00415E68"/>
    <w:rsid w:val="00415EC4"/>
    <w:rsid w:val="00415EDC"/>
    <w:rsid w:val="0041601A"/>
    <w:rsid w:val="0041602D"/>
    <w:rsid w:val="00416248"/>
    <w:rsid w:val="0041624D"/>
    <w:rsid w:val="0041630A"/>
    <w:rsid w:val="00416374"/>
    <w:rsid w:val="004163D5"/>
    <w:rsid w:val="004163EE"/>
    <w:rsid w:val="00416408"/>
    <w:rsid w:val="0041657E"/>
    <w:rsid w:val="004165A3"/>
    <w:rsid w:val="00416649"/>
    <w:rsid w:val="004166ED"/>
    <w:rsid w:val="00416710"/>
    <w:rsid w:val="00416997"/>
    <w:rsid w:val="004169A1"/>
    <w:rsid w:val="00416B18"/>
    <w:rsid w:val="00416B5C"/>
    <w:rsid w:val="00416B73"/>
    <w:rsid w:val="00416BE2"/>
    <w:rsid w:val="00416BEC"/>
    <w:rsid w:val="00416C29"/>
    <w:rsid w:val="00416C31"/>
    <w:rsid w:val="00416C8B"/>
    <w:rsid w:val="00416C9E"/>
    <w:rsid w:val="00416CB4"/>
    <w:rsid w:val="00416CC2"/>
    <w:rsid w:val="00416CC5"/>
    <w:rsid w:val="00416D1F"/>
    <w:rsid w:val="00416E05"/>
    <w:rsid w:val="00416E21"/>
    <w:rsid w:val="00416EA4"/>
    <w:rsid w:val="00416ECD"/>
    <w:rsid w:val="00416EFF"/>
    <w:rsid w:val="00416F07"/>
    <w:rsid w:val="00416F2A"/>
    <w:rsid w:val="0041707A"/>
    <w:rsid w:val="0041712B"/>
    <w:rsid w:val="004171B1"/>
    <w:rsid w:val="00417217"/>
    <w:rsid w:val="00417282"/>
    <w:rsid w:val="00417283"/>
    <w:rsid w:val="004172A7"/>
    <w:rsid w:val="0041741F"/>
    <w:rsid w:val="004174BD"/>
    <w:rsid w:val="004174C4"/>
    <w:rsid w:val="004176AB"/>
    <w:rsid w:val="004176D9"/>
    <w:rsid w:val="004177B5"/>
    <w:rsid w:val="004177FF"/>
    <w:rsid w:val="00417851"/>
    <w:rsid w:val="00417895"/>
    <w:rsid w:val="004178E8"/>
    <w:rsid w:val="00417908"/>
    <w:rsid w:val="0041796B"/>
    <w:rsid w:val="004179D5"/>
    <w:rsid w:val="00417A90"/>
    <w:rsid w:val="00417B26"/>
    <w:rsid w:val="00417B3F"/>
    <w:rsid w:val="00417B40"/>
    <w:rsid w:val="00417B91"/>
    <w:rsid w:val="00417B9A"/>
    <w:rsid w:val="00417C3E"/>
    <w:rsid w:val="00417CDB"/>
    <w:rsid w:val="00417DD9"/>
    <w:rsid w:val="00417E48"/>
    <w:rsid w:val="00417EBD"/>
    <w:rsid w:val="00417F1E"/>
    <w:rsid w:val="00417F78"/>
    <w:rsid w:val="00417FE7"/>
    <w:rsid w:val="00417FEB"/>
    <w:rsid w:val="00420106"/>
    <w:rsid w:val="0042014C"/>
    <w:rsid w:val="00420233"/>
    <w:rsid w:val="00420335"/>
    <w:rsid w:val="0042034B"/>
    <w:rsid w:val="004203D4"/>
    <w:rsid w:val="004203E1"/>
    <w:rsid w:val="00420518"/>
    <w:rsid w:val="00420556"/>
    <w:rsid w:val="00420569"/>
    <w:rsid w:val="004205C0"/>
    <w:rsid w:val="00420645"/>
    <w:rsid w:val="0042064A"/>
    <w:rsid w:val="00420685"/>
    <w:rsid w:val="004206BB"/>
    <w:rsid w:val="004206EC"/>
    <w:rsid w:val="0042079D"/>
    <w:rsid w:val="00420854"/>
    <w:rsid w:val="00420857"/>
    <w:rsid w:val="0042085E"/>
    <w:rsid w:val="00420893"/>
    <w:rsid w:val="004208A3"/>
    <w:rsid w:val="004209E5"/>
    <w:rsid w:val="00420A78"/>
    <w:rsid w:val="00420AD0"/>
    <w:rsid w:val="00420AEC"/>
    <w:rsid w:val="00420AF3"/>
    <w:rsid w:val="00420B40"/>
    <w:rsid w:val="00420B48"/>
    <w:rsid w:val="00420B55"/>
    <w:rsid w:val="00420BA7"/>
    <w:rsid w:val="00420BAB"/>
    <w:rsid w:val="00420C41"/>
    <w:rsid w:val="00420CF4"/>
    <w:rsid w:val="00420CF8"/>
    <w:rsid w:val="00420DA5"/>
    <w:rsid w:val="00420DAA"/>
    <w:rsid w:val="00420E10"/>
    <w:rsid w:val="00420E30"/>
    <w:rsid w:val="00420E36"/>
    <w:rsid w:val="00420E7B"/>
    <w:rsid w:val="00420F16"/>
    <w:rsid w:val="00420F55"/>
    <w:rsid w:val="00420FBC"/>
    <w:rsid w:val="00421051"/>
    <w:rsid w:val="0042122E"/>
    <w:rsid w:val="004212A5"/>
    <w:rsid w:val="004212EE"/>
    <w:rsid w:val="00421362"/>
    <w:rsid w:val="00421406"/>
    <w:rsid w:val="00421434"/>
    <w:rsid w:val="0042144C"/>
    <w:rsid w:val="004214B5"/>
    <w:rsid w:val="00421502"/>
    <w:rsid w:val="00421558"/>
    <w:rsid w:val="00421637"/>
    <w:rsid w:val="00421661"/>
    <w:rsid w:val="0042168E"/>
    <w:rsid w:val="00421740"/>
    <w:rsid w:val="00421889"/>
    <w:rsid w:val="004218CC"/>
    <w:rsid w:val="004218CD"/>
    <w:rsid w:val="00421938"/>
    <w:rsid w:val="00421959"/>
    <w:rsid w:val="004219A0"/>
    <w:rsid w:val="00421AEE"/>
    <w:rsid w:val="00421B36"/>
    <w:rsid w:val="00421B78"/>
    <w:rsid w:val="00421BD4"/>
    <w:rsid w:val="00421C52"/>
    <w:rsid w:val="00421C91"/>
    <w:rsid w:val="00421CDF"/>
    <w:rsid w:val="00421D7E"/>
    <w:rsid w:val="00421D84"/>
    <w:rsid w:val="00421DC2"/>
    <w:rsid w:val="00421DDF"/>
    <w:rsid w:val="00421E8A"/>
    <w:rsid w:val="00421F44"/>
    <w:rsid w:val="00421F4D"/>
    <w:rsid w:val="00421F72"/>
    <w:rsid w:val="00421F8A"/>
    <w:rsid w:val="00421F9D"/>
    <w:rsid w:val="00421FC0"/>
    <w:rsid w:val="00422077"/>
    <w:rsid w:val="004220A6"/>
    <w:rsid w:val="0042211F"/>
    <w:rsid w:val="00422191"/>
    <w:rsid w:val="004221AB"/>
    <w:rsid w:val="004221F4"/>
    <w:rsid w:val="00422276"/>
    <w:rsid w:val="004222A1"/>
    <w:rsid w:val="004222BB"/>
    <w:rsid w:val="004222E4"/>
    <w:rsid w:val="00422408"/>
    <w:rsid w:val="004225E3"/>
    <w:rsid w:val="004225ED"/>
    <w:rsid w:val="00422605"/>
    <w:rsid w:val="00422669"/>
    <w:rsid w:val="004226F9"/>
    <w:rsid w:val="00422704"/>
    <w:rsid w:val="0042272E"/>
    <w:rsid w:val="00422743"/>
    <w:rsid w:val="0042281A"/>
    <w:rsid w:val="00422848"/>
    <w:rsid w:val="00422869"/>
    <w:rsid w:val="0042291C"/>
    <w:rsid w:val="0042294D"/>
    <w:rsid w:val="00422995"/>
    <w:rsid w:val="004229AB"/>
    <w:rsid w:val="00422A17"/>
    <w:rsid w:val="00422AEE"/>
    <w:rsid w:val="00422AF4"/>
    <w:rsid w:val="00422BB9"/>
    <w:rsid w:val="00422BD6"/>
    <w:rsid w:val="00422C2B"/>
    <w:rsid w:val="00422C2C"/>
    <w:rsid w:val="00422CC6"/>
    <w:rsid w:val="00422CE4"/>
    <w:rsid w:val="00422CF1"/>
    <w:rsid w:val="00422D95"/>
    <w:rsid w:val="00422F68"/>
    <w:rsid w:val="00422F91"/>
    <w:rsid w:val="0042309E"/>
    <w:rsid w:val="00423110"/>
    <w:rsid w:val="00423183"/>
    <w:rsid w:val="004231A3"/>
    <w:rsid w:val="004231B7"/>
    <w:rsid w:val="0042321D"/>
    <w:rsid w:val="00423239"/>
    <w:rsid w:val="00423294"/>
    <w:rsid w:val="004232C1"/>
    <w:rsid w:val="004232D8"/>
    <w:rsid w:val="004232EF"/>
    <w:rsid w:val="00423336"/>
    <w:rsid w:val="004233AB"/>
    <w:rsid w:val="004233F7"/>
    <w:rsid w:val="0042341D"/>
    <w:rsid w:val="00423446"/>
    <w:rsid w:val="0042345F"/>
    <w:rsid w:val="00423471"/>
    <w:rsid w:val="004234B7"/>
    <w:rsid w:val="004234F0"/>
    <w:rsid w:val="00423573"/>
    <w:rsid w:val="00423643"/>
    <w:rsid w:val="004236E3"/>
    <w:rsid w:val="004237CB"/>
    <w:rsid w:val="004237F2"/>
    <w:rsid w:val="0042380C"/>
    <w:rsid w:val="00423824"/>
    <w:rsid w:val="00423969"/>
    <w:rsid w:val="00423A24"/>
    <w:rsid w:val="00423AA2"/>
    <w:rsid w:val="00423AC7"/>
    <w:rsid w:val="00423AD3"/>
    <w:rsid w:val="00423ADE"/>
    <w:rsid w:val="00423B72"/>
    <w:rsid w:val="00423B9D"/>
    <w:rsid w:val="00423BB1"/>
    <w:rsid w:val="00423BF6"/>
    <w:rsid w:val="00423CA4"/>
    <w:rsid w:val="00423D84"/>
    <w:rsid w:val="00423D98"/>
    <w:rsid w:val="00423DAC"/>
    <w:rsid w:val="00423E1D"/>
    <w:rsid w:val="00423F13"/>
    <w:rsid w:val="00423F2F"/>
    <w:rsid w:val="00423FA5"/>
    <w:rsid w:val="00423FE8"/>
    <w:rsid w:val="0042402F"/>
    <w:rsid w:val="0042413A"/>
    <w:rsid w:val="0042415F"/>
    <w:rsid w:val="00424410"/>
    <w:rsid w:val="0042443E"/>
    <w:rsid w:val="004244B7"/>
    <w:rsid w:val="004244C9"/>
    <w:rsid w:val="004244FE"/>
    <w:rsid w:val="00424505"/>
    <w:rsid w:val="00424513"/>
    <w:rsid w:val="00424614"/>
    <w:rsid w:val="00424687"/>
    <w:rsid w:val="004246BE"/>
    <w:rsid w:val="0042473F"/>
    <w:rsid w:val="00424748"/>
    <w:rsid w:val="00424766"/>
    <w:rsid w:val="00424781"/>
    <w:rsid w:val="00424790"/>
    <w:rsid w:val="004248C0"/>
    <w:rsid w:val="004248C6"/>
    <w:rsid w:val="004248D3"/>
    <w:rsid w:val="004249E1"/>
    <w:rsid w:val="00424A98"/>
    <w:rsid w:val="00424ABA"/>
    <w:rsid w:val="00424AFF"/>
    <w:rsid w:val="00424B4B"/>
    <w:rsid w:val="00424BD4"/>
    <w:rsid w:val="00424BDE"/>
    <w:rsid w:val="00424C0F"/>
    <w:rsid w:val="00424C26"/>
    <w:rsid w:val="00424C42"/>
    <w:rsid w:val="00424C54"/>
    <w:rsid w:val="00424CA4"/>
    <w:rsid w:val="00424CAC"/>
    <w:rsid w:val="00424D1B"/>
    <w:rsid w:val="00424D8C"/>
    <w:rsid w:val="00424DB8"/>
    <w:rsid w:val="00424DC6"/>
    <w:rsid w:val="00424E13"/>
    <w:rsid w:val="00424E25"/>
    <w:rsid w:val="00424E30"/>
    <w:rsid w:val="00424F26"/>
    <w:rsid w:val="00424F79"/>
    <w:rsid w:val="00424FDA"/>
    <w:rsid w:val="00424FEF"/>
    <w:rsid w:val="00425005"/>
    <w:rsid w:val="00425031"/>
    <w:rsid w:val="0042505D"/>
    <w:rsid w:val="00425064"/>
    <w:rsid w:val="0042508E"/>
    <w:rsid w:val="004250E2"/>
    <w:rsid w:val="0042519E"/>
    <w:rsid w:val="004251B4"/>
    <w:rsid w:val="00425244"/>
    <w:rsid w:val="0042527D"/>
    <w:rsid w:val="004252BD"/>
    <w:rsid w:val="004252EE"/>
    <w:rsid w:val="00425326"/>
    <w:rsid w:val="0042542F"/>
    <w:rsid w:val="0042549B"/>
    <w:rsid w:val="004254C6"/>
    <w:rsid w:val="00425553"/>
    <w:rsid w:val="0042557C"/>
    <w:rsid w:val="0042559C"/>
    <w:rsid w:val="004255EC"/>
    <w:rsid w:val="00425619"/>
    <w:rsid w:val="0042569D"/>
    <w:rsid w:val="004256FB"/>
    <w:rsid w:val="00425717"/>
    <w:rsid w:val="00425742"/>
    <w:rsid w:val="004257A2"/>
    <w:rsid w:val="004257F8"/>
    <w:rsid w:val="00425821"/>
    <w:rsid w:val="00425845"/>
    <w:rsid w:val="00425853"/>
    <w:rsid w:val="004258FF"/>
    <w:rsid w:val="00425911"/>
    <w:rsid w:val="00425A66"/>
    <w:rsid w:val="00425ABB"/>
    <w:rsid w:val="00425AFB"/>
    <w:rsid w:val="00425B8C"/>
    <w:rsid w:val="00425C65"/>
    <w:rsid w:val="00425C94"/>
    <w:rsid w:val="00425CBF"/>
    <w:rsid w:val="00425D4C"/>
    <w:rsid w:val="00425DB4"/>
    <w:rsid w:val="00425E36"/>
    <w:rsid w:val="00425E69"/>
    <w:rsid w:val="00425EC3"/>
    <w:rsid w:val="00425ED2"/>
    <w:rsid w:val="00425EDA"/>
    <w:rsid w:val="00425F1D"/>
    <w:rsid w:val="00425F27"/>
    <w:rsid w:val="00425FE6"/>
    <w:rsid w:val="00426007"/>
    <w:rsid w:val="004260A3"/>
    <w:rsid w:val="00426174"/>
    <w:rsid w:val="0042618E"/>
    <w:rsid w:val="00426423"/>
    <w:rsid w:val="00426442"/>
    <w:rsid w:val="004264A9"/>
    <w:rsid w:val="00426523"/>
    <w:rsid w:val="004265C5"/>
    <w:rsid w:val="004265D8"/>
    <w:rsid w:val="00426749"/>
    <w:rsid w:val="004267D8"/>
    <w:rsid w:val="004267F3"/>
    <w:rsid w:val="004267F4"/>
    <w:rsid w:val="00426813"/>
    <w:rsid w:val="0042684D"/>
    <w:rsid w:val="004268D3"/>
    <w:rsid w:val="004268E5"/>
    <w:rsid w:val="004269A2"/>
    <w:rsid w:val="004269F7"/>
    <w:rsid w:val="00426A20"/>
    <w:rsid w:val="00426A3F"/>
    <w:rsid w:val="00426A76"/>
    <w:rsid w:val="00426ACF"/>
    <w:rsid w:val="00426AEB"/>
    <w:rsid w:val="00426B11"/>
    <w:rsid w:val="00426B16"/>
    <w:rsid w:val="00426B17"/>
    <w:rsid w:val="00426B93"/>
    <w:rsid w:val="00426B97"/>
    <w:rsid w:val="00426BCD"/>
    <w:rsid w:val="00426BD4"/>
    <w:rsid w:val="00426C22"/>
    <w:rsid w:val="00426C28"/>
    <w:rsid w:val="00426CA5"/>
    <w:rsid w:val="00426CE7"/>
    <w:rsid w:val="00426DC3"/>
    <w:rsid w:val="00426FD6"/>
    <w:rsid w:val="00426FE8"/>
    <w:rsid w:val="00427162"/>
    <w:rsid w:val="00427176"/>
    <w:rsid w:val="00427184"/>
    <w:rsid w:val="00427193"/>
    <w:rsid w:val="00427282"/>
    <w:rsid w:val="004272AF"/>
    <w:rsid w:val="00427304"/>
    <w:rsid w:val="00427340"/>
    <w:rsid w:val="00427360"/>
    <w:rsid w:val="004273D8"/>
    <w:rsid w:val="00427473"/>
    <w:rsid w:val="004274C2"/>
    <w:rsid w:val="00427544"/>
    <w:rsid w:val="0042758E"/>
    <w:rsid w:val="00427595"/>
    <w:rsid w:val="004275FD"/>
    <w:rsid w:val="00427685"/>
    <w:rsid w:val="00427748"/>
    <w:rsid w:val="004277C3"/>
    <w:rsid w:val="00427803"/>
    <w:rsid w:val="0042781C"/>
    <w:rsid w:val="00427825"/>
    <w:rsid w:val="0042782D"/>
    <w:rsid w:val="00427845"/>
    <w:rsid w:val="004278A8"/>
    <w:rsid w:val="0042792E"/>
    <w:rsid w:val="0042792F"/>
    <w:rsid w:val="00427965"/>
    <w:rsid w:val="0042797A"/>
    <w:rsid w:val="00427993"/>
    <w:rsid w:val="004279B7"/>
    <w:rsid w:val="00427A21"/>
    <w:rsid w:val="00427A55"/>
    <w:rsid w:val="00427A57"/>
    <w:rsid w:val="00427AA9"/>
    <w:rsid w:val="00427ABD"/>
    <w:rsid w:val="00427AE1"/>
    <w:rsid w:val="00427B54"/>
    <w:rsid w:val="00427BE8"/>
    <w:rsid w:val="00427BFE"/>
    <w:rsid w:val="00427C43"/>
    <w:rsid w:val="00427C75"/>
    <w:rsid w:val="00427C7A"/>
    <w:rsid w:val="00427D6F"/>
    <w:rsid w:val="00427D7D"/>
    <w:rsid w:val="00427DC3"/>
    <w:rsid w:val="00427DC4"/>
    <w:rsid w:val="00427FA5"/>
    <w:rsid w:val="00430053"/>
    <w:rsid w:val="004300EF"/>
    <w:rsid w:val="0043012D"/>
    <w:rsid w:val="0043014C"/>
    <w:rsid w:val="004301C8"/>
    <w:rsid w:val="00430219"/>
    <w:rsid w:val="004302E4"/>
    <w:rsid w:val="0043031F"/>
    <w:rsid w:val="00430478"/>
    <w:rsid w:val="00430486"/>
    <w:rsid w:val="004304E4"/>
    <w:rsid w:val="0043058A"/>
    <w:rsid w:val="004305A4"/>
    <w:rsid w:val="004305C8"/>
    <w:rsid w:val="004305E0"/>
    <w:rsid w:val="0043066B"/>
    <w:rsid w:val="004306EA"/>
    <w:rsid w:val="0043072E"/>
    <w:rsid w:val="0043074B"/>
    <w:rsid w:val="0043080C"/>
    <w:rsid w:val="00430829"/>
    <w:rsid w:val="00430903"/>
    <w:rsid w:val="00430951"/>
    <w:rsid w:val="0043096E"/>
    <w:rsid w:val="00430989"/>
    <w:rsid w:val="004309BF"/>
    <w:rsid w:val="00430A16"/>
    <w:rsid w:val="00430A1F"/>
    <w:rsid w:val="00430A5D"/>
    <w:rsid w:val="00430A67"/>
    <w:rsid w:val="00430A7C"/>
    <w:rsid w:val="00430AB7"/>
    <w:rsid w:val="00430B12"/>
    <w:rsid w:val="00430B15"/>
    <w:rsid w:val="00430BA5"/>
    <w:rsid w:val="00430BA8"/>
    <w:rsid w:val="00430C1F"/>
    <w:rsid w:val="00430D00"/>
    <w:rsid w:val="00430D0E"/>
    <w:rsid w:val="00430D57"/>
    <w:rsid w:val="00430D7A"/>
    <w:rsid w:val="00430DD4"/>
    <w:rsid w:val="00430E36"/>
    <w:rsid w:val="00430E7C"/>
    <w:rsid w:val="00430EE2"/>
    <w:rsid w:val="00430F5F"/>
    <w:rsid w:val="0043105C"/>
    <w:rsid w:val="00431094"/>
    <w:rsid w:val="0043110E"/>
    <w:rsid w:val="00431141"/>
    <w:rsid w:val="0043117D"/>
    <w:rsid w:val="00431252"/>
    <w:rsid w:val="004312B8"/>
    <w:rsid w:val="004312C8"/>
    <w:rsid w:val="004312CE"/>
    <w:rsid w:val="004312D3"/>
    <w:rsid w:val="00431322"/>
    <w:rsid w:val="00431363"/>
    <w:rsid w:val="0043139C"/>
    <w:rsid w:val="004313D0"/>
    <w:rsid w:val="004313D4"/>
    <w:rsid w:val="00431459"/>
    <w:rsid w:val="004314B5"/>
    <w:rsid w:val="0043159A"/>
    <w:rsid w:val="00431639"/>
    <w:rsid w:val="00431644"/>
    <w:rsid w:val="004316DC"/>
    <w:rsid w:val="004316E6"/>
    <w:rsid w:val="00431739"/>
    <w:rsid w:val="004317F1"/>
    <w:rsid w:val="00431868"/>
    <w:rsid w:val="0043187E"/>
    <w:rsid w:val="00431900"/>
    <w:rsid w:val="00431920"/>
    <w:rsid w:val="0043198D"/>
    <w:rsid w:val="004319B1"/>
    <w:rsid w:val="004319FF"/>
    <w:rsid w:val="00431A2B"/>
    <w:rsid w:val="00431A34"/>
    <w:rsid w:val="00431AF7"/>
    <w:rsid w:val="00431B48"/>
    <w:rsid w:val="00431BAA"/>
    <w:rsid w:val="00431BE3"/>
    <w:rsid w:val="00431D3F"/>
    <w:rsid w:val="00431DD0"/>
    <w:rsid w:val="00431DEA"/>
    <w:rsid w:val="00431EDF"/>
    <w:rsid w:val="00431F46"/>
    <w:rsid w:val="00431F4F"/>
    <w:rsid w:val="00431FF1"/>
    <w:rsid w:val="00432023"/>
    <w:rsid w:val="00432034"/>
    <w:rsid w:val="00432048"/>
    <w:rsid w:val="004320F5"/>
    <w:rsid w:val="004320FD"/>
    <w:rsid w:val="00432130"/>
    <w:rsid w:val="00432174"/>
    <w:rsid w:val="004321AA"/>
    <w:rsid w:val="004321F1"/>
    <w:rsid w:val="004322D5"/>
    <w:rsid w:val="00432325"/>
    <w:rsid w:val="0043233D"/>
    <w:rsid w:val="004323E4"/>
    <w:rsid w:val="00432414"/>
    <w:rsid w:val="00432478"/>
    <w:rsid w:val="00432489"/>
    <w:rsid w:val="004324E5"/>
    <w:rsid w:val="004324ED"/>
    <w:rsid w:val="0043259D"/>
    <w:rsid w:val="004325BD"/>
    <w:rsid w:val="004325C6"/>
    <w:rsid w:val="0043269E"/>
    <w:rsid w:val="004326B9"/>
    <w:rsid w:val="004326F6"/>
    <w:rsid w:val="00432779"/>
    <w:rsid w:val="004327F1"/>
    <w:rsid w:val="0043288E"/>
    <w:rsid w:val="00432965"/>
    <w:rsid w:val="00432A65"/>
    <w:rsid w:val="00432A7D"/>
    <w:rsid w:val="00432AB7"/>
    <w:rsid w:val="00432ADD"/>
    <w:rsid w:val="00432B06"/>
    <w:rsid w:val="00432B44"/>
    <w:rsid w:val="00432B5E"/>
    <w:rsid w:val="00432BEE"/>
    <w:rsid w:val="00432C47"/>
    <w:rsid w:val="00432CA4"/>
    <w:rsid w:val="00432D24"/>
    <w:rsid w:val="00432E0B"/>
    <w:rsid w:val="00432E93"/>
    <w:rsid w:val="00432EBC"/>
    <w:rsid w:val="00432EC4"/>
    <w:rsid w:val="00432F39"/>
    <w:rsid w:val="00432FA7"/>
    <w:rsid w:val="00433016"/>
    <w:rsid w:val="00433159"/>
    <w:rsid w:val="0043319A"/>
    <w:rsid w:val="00433206"/>
    <w:rsid w:val="00433301"/>
    <w:rsid w:val="00433395"/>
    <w:rsid w:val="00433427"/>
    <w:rsid w:val="00433429"/>
    <w:rsid w:val="00433485"/>
    <w:rsid w:val="004334A2"/>
    <w:rsid w:val="004334BC"/>
    <w:rsid w:val="004334EC"/>
    <w:rsid w:val="00433524"/>
    <w:rsid w:val="00433554"/>
    <w:rsid w:val="0043355D"/>
    <w:rsid w:val="00433561"/>
    <w:rsid w:val="004335B6"/>
    <w:rsid w:val="004335CC"/>
    <w:rsid w:val="0043362E"/>
    <w:rsid w:val="00433644"/>
    <w:rsid w:val="004336EF"/>
    <w:rsid w:val="00433722"/>
    <w:rsid w:val="0043378B"/>
    <w:rsid w:val="0043378D"/>
    <w:rsid w:val="004337D6"/>
    <w:rsid w:val="00433862"/>
    <w:rsid w:val="004338AF"/>
    <w:rsid w:val="004338E4"/>
    <w:rsid w:val="00433929"/>
    <w:rsid w:val="00433934"/>
    <w:rsid w:val="00433939"/>
    <w:rsid w:val="00433982"/>
    <w:rsid w:val="004339A6"/>
    <w:rsid w:val="004339D1"/>
    <w:rsid w:val="00433A31"/>
    <w:rsid w:val="00433A55"/>
    <w:rsid w:val="00433B62"/>
    <w:rsid w:val="00433C40"/>
    <w:rsid w:val="00433D26"/>
    <w:rsid w:val="00433D9D"/>
    <w:rsid w:val="00433DCA"/>
    <w:rsid w:val="00433E42"/>
    <w:rsid w:val="00433E4F"/>
    <w:rsid w:val="00433EB6"/>
    <w:rsid w:val="00433EC5"/>
    <w:rsid w:val="00433F27"/>
    <w:rsid w:val="004340A5"/>
    <w:rsid w:val="004340CD"/>
    <w:rsid w:val="0043414D"/>
    <w:rsid w:val="00434182"/>
    <w:rsid w:val="004341FC"/>
    <w:rsid w:val="00434240"/>
    <w:rsid w:val="00434258"/>
    <w:rsid w:val="004342CC"/>
    <w:rsid w:val="00434332"/>
    <w:rsid w:val="00434355"/>
    <w:rsid w:val="00434358"/>
    <w:rsid w:val="00434403"/>
    <w:rsid w:val="00434429"/>
    <w:rsid w:val="00434541"/>
    <w:rsid w:val="00434551"/>
    <w:rsid w:val="004345BA"/>
    <w:rsid w:val="0043463D"/>
    <w:rsid w:val="00434679"/>
    <w:rsid w:val="00434777"/>
    <w:rsid w:val="0043477D"/>
    <w:rsid w:val="004347C6"/>
    <w:rsid w:val="004347E9"/>
    <w:rsid w:val="00434955"/>
    <w:rsid w:val="00434991"/>
    <w:rsid w:val="004349A3"/>
    <w:rsid w:val="00434A16"/>
    <w:rsid w:val="00434A1D"/>
    <w:rsid w:val="00434A62"/>
    <w:rsid w:val="00434A7B"/>
    <w:rsid w:val="00434AA9"/>
    <w:rsid w:val="00434B27"/>
    <w:rsid w:val="00434B77"/>
    <w:rsid w:val="00434C32"/>
    <w:rsid w:val="00434CD2"/>
    <w:rsid w:val="00434CD9"/>
    <w:rsid w:val="00434CDC"/>
    <w:rsid w:val="00434D84"/>
    <w:rsid w:val="00434E54"/>
    <w:rsid w:val="00434E68"/>
    <w:rsid w:val="00434EEA"/>
    <w:rsid w:val="00434EF4"/>
    <w:rsid w:val="00434F43"/>
    <w:rsid w:val="00434F6B"/>
    <w:rsid w:val="0043514C"/>
    <w:rsid w:val="004351A7"/>
    <w:rsid w:val="004351DD"/>
    <w:rsid w:val="00435279"/>
    <w:rsid w:val="004352B1"/>
    <w:rsid w:val="004352DB"/>
    <w:rsid w:val="004353CF"/>
    <w:rsid w:val="004353E4"/>
    <w:rsid w:val="004353F0"/>
    <w:rsid w:val="00435481"/>
    <w:rsid w:val="004354B8"/>
    <w:rsid w:val="004354BF"/>
    <w:rsid w:val="0043554E"/>
    <w:rsid w:val="004355F2"/>
    <w:rsid w:val="0043571C"/>
    <w:rsid w:val="0043573A"/>
    <w:rsid w:val="00435803"/>
    <w:rsid w:val="004358FF"/>
    <w:rsid w:val="00435911"/>
    <w:rsid w:val="0043595A"/>
    <w:rsid w:val="004359A5"/>
    <w:rsid w:val="00435B02"/>
    <w:rsid w:val="00435B10"/>
    <w:rsid w:val="00435C80"/>
    <w:rsid w:val="00435E53"/>
    <w:rsid w:val="00435EC8"/>
    <w:rsid w:val="00435F4B"/>
    <w:rsid w:val="00435FCD"/>
    <w:rsid w:val="00436065"/>
    <w:rsid w:val="00436082"/>
    <w:rsid w:val="0043608A"/>
    <w:rsid w:val="004360E7"/>
    <w:rsid w:val="004360EE"/>
    <w:rsid w:val="004361CB"/>
    <w:rsid w:val="0043621B"/>
    <w:rsid w:val="00436289"/>
    <w:rsid w:val="004363D0"/>
    <w:rsid w:val="004363E0"/>
    <w:rsid w:val="00436424"/>
    <w:rsid w:val="0043646D"/>
    <w:rsid w:val="004364BB"/>
    <w:rsid w:val="004364D7"/>
    <w:rsid w:val="00436567"/>
    <w:rsid w:val="0043658A"/>
    <w:rsid w:val="00436592"/>
    <w:rsid w:val="004365F6"/>
    <w:rsid w:val="0043661E"/>
    <w:rsid w:val="0043667B"/>
    <w:rsid w:val="004366C7"/>
    <w:rsid w:val="0043674E"/>
    <w:rsid w:val="00436860"/>
    <w:rsid w:val="0043687A"/>
    <w:rsid w:val="004368D4"/>
    <w:rsid w:val="00436944"/>
    <w:rsid w:val="00436996"/>
    <w:rsid w:val="004369B7"/>
    <w:rsid w:val="00436A14"/>
    <w:rsid w:val="00436A46"/>
    <w:rsid w:val="00436ACC"/>
    <w:rsid w:val="00436AD8"/>
    <w:rsid w:val="00436AFA"/>
    <w:rsid w:val="00436B7D"/>
    <w:rsid w:val="00436BF3"/>
    <w:rsid w:val="00436C25"/>
    <w:rsid w:val="00436DCE"/>
    <w:rsid w:val="00436DD8"/>
    <w:rsid w:val="00436E2C"/>
    <w:rsid w:val="00436E2F"/>
    <w:rsid w:val="00436F68"/>
    <w:rsid w:val="00436F7F"/>
    <w:rsid w:val="0043703D"/>
    <w:rsid w:val="00437062"/>
    <w:rsid w:val="00437074"/>
    <w:rsid w:val="004370A2"/>
    <w:rsid w:val="0043710E"/>
    <w:rsid w:val="00437114"/>
    <w:rsid w:val="0043711A"/>
    <w:rsid w:val="004372A8"/>
    <w:rsid w:val="004372A9"/>
    <w:rsid w:val="004372BF"/>
    <w:rsid w:val="00437314"/>
    <w:rsid w:val="00437340"/>
    <w:rsid w:val="004373A3"/>
    <w:rsid w:val="00437472"/>
    <w:rsid w:val="0043750B"/>
    <w:rsid w:val="0043756B"/>
    <w:rsid w:val="004375E2"/>
    <w:rsid w:val="00437674"/>
    <w:rsid w:val="004376C3"/>
    <w:rsid w:val="00437713"/>
    <w:rsid w:val="0043772C"/>
    <w:rsid w:val="004377B3"/>
    <w:rsid w:val="004377F3"/>
    <w:rsid w:val="00437833"/>
    <w:rsid w:val="004378D0"/>
    <w:rsid w:val="00437915"/>
    <w:rsid w:val="00437916"/>
    <w:rsid w:val="004379B6"/>
    <w:rsid w:val="00437A78"/>
    <w:rsid w:val="00437C14"/>
    <w:rsid w:val="00437C56"/>
    <w:rsid w:val="00437C75"/>
    <w:rsid w:val="00437CA6"/>
    <w:rsid w:val="00437CDC"/>
    <w:rsid w:val="00437D64"/>
    <w:rsid w:val="00437E6A"/>
    <w:rsid w:val="00437F14"/>
    <w:rsid w:val="00437F3C"/>
    <w:rsid w:val="00437F43"/>
    <w:rsid w:val="004400A8"/>
    <w:rsid w:val="004400B7"/>
    <w:rsid w:val="00440165"/>
    <w:rsid w:val="0044021E"/>
    <w:rsid w:val="00440225"/>
    <w:rsid w:val="0044028C"/>
    <w:rsid w:val="004402A9"/>
    <w:rsid w:val="00440325"/>
    <w:rsid w:val="00440395"/>
    <w:rsid w:val="00440398"/>
    <w:rsid w:val="004403B2"/>
    <w:rsid w:val="004406A8"/>
    <w:rsid w:val="004406AA"/>
    <w:rsid w:val="004407A6"/>
    <w:rsid w:val="00440828"/>
    <w:rsid w:val="0044083B"/>
    <w:rsid w:val="00440841"/>
    <w:rsid w:val="004408D0"/>
    <w:rsid w:val="0044093B"/>
    <w:rsid w:val="00440A08"/>
    <w:rsid w:val="00440A1B"/>
    <w:rsid w:val="00440A30"/>
    <w:rsid w:val="00440A5D"/>
    <w:rsid w:val="00440AAC"/>
    <w:rsid w:val="00440B4E"/>
    <w:rsid w:val="00440B96"/>
    <w:rsid w:val="00440BC0"/>
    <w:rsid w:val="00440CAA"/>
    <w:rsid w:val="00440D4F"/>
    <w:rsid w:val="00440D7E"/>
    <w:rsid w:val="00440E24"/>
    <w:rsid w:val="00440F85"/>
    <w:rsid w:val="00441000"/>
    <w:rsid w:val="00441046"/>
    <w:rsid w:val="0044109A"/>
    <w:rsid w:val="00441125"/>
    <w:rsid w:val="0044128A"/>
    <w:rsid w:val="004413E0"/>
    <w:rsid w:val="0044144D"/>
    <w:rsid w:val="00441575"/>
    <w:rsid w:val="004415EC"/>
    <w:rsid w:val="00441614"/>
    <w:rsid w:val="0044163A"/>
    <w:rsid w:val="0044169A"/>
    <w:rsid w:val="004416B6"/>
    <w:rsid w:val="004416F9"/>
    <w:rsid w:val="004418A7"/>
    <w:rsid w:val="004418C0"/>
    <w:rsid w:val="00441969"/>
    <w:rsid w:val="00441A3F"/>
    <w:rsid w:val="00441A96"/>
    <w:rsid w:val="00441B8D"/>
    <w:rsid w:val="00441C15"/>
    <w:rsid w:val="00441C2C"/>
    <w:rsid w:val="00441C96"/>
    <w:rsid w:val="00441D68"/>
    <w:rsid w:val="00441DA4"/>
    <w:rsid w:val="00441E09"/>
    <w:rsid w:val="00441E0F"/>
    <w:rsid w:val="00441E7B"/>
    <w:rsid w:val="00441F59"/>
    <w:rsid w:val="00441F90"/>
    <w:rsid w:val="0044207B"/>
    <w:rsid w:val="00442097"/>
    <w:rsid w:val="004420B3"/>
    <w:rsid w:val="004421F1"/>
    <w:rsid w:val="0044220A"/>
    <w:rsid w:val="00442285"/>
    <w:rsid w:val="004422A2"/>
    <w:rsid w:val="00442367"/>
    <w:rsid w:val="00442387"/>
    <w:rsid w:val="00442415"/>
    <w:rsid w:val="0044250E"/>
    <w:rsid w:val="00442594"/>
    <w:rsid w:val="00442676"/>
    <w:rsid w:val="004427A9"/>
    <w:rsid w:val="004427E3"/>
    <w:rsid w:val="004427F0"/>
    <w:rsid w:val="004429B9"/>
    <w:rsid w:val="00442A8B"/>
    <w:rsid w:val="00442AC6"/>
    <w:rsid w:val="00442B38"/>
    <w:rsid w:val="00442B53"/>
    <w:rsid w:val="00442C3F"/>
    <w:rsid w:val="00442C6D"/>
    <w:rsid w:val="00442D02"/>
    <w:rsid w:val="00442E36"/>
    <w:rsid w:val="00442E9B"/>
    <w:rsid w:val="00442F3D"/>
    <w:rsid w:val="00442FD5"/>
    <w:rsid w:val="00443015"/>
    <w:rsid w:val="0044307E"/>
    <w:rsid w:val="00443099"/>
    <w:rsid w:val="00443157"/>
    <w:rsid w:val="00443195"/>
    <w:rsid w:val="004431EF"/>
    <w:rsid w:val="004432C2"/>
    <w:rsid w:val="00443313"/>
    <w:rsid w:val="00443322"/>
    <w:rsid w:val="00443325"/>
    <w:rsid w:val="00443345"/>
    <w:rsid w:val="004433C3"/>
    <w:rsid w:val="0044359B"/>
    <w:rsid w:val="00443669"/>
    <w:rsid w:val="00443671"/>
    <w:rsid w:val="004436A2"/>
    <w:rsid w:val="004436C0"/>
    <w:rsid w:val="0044378A"/>
    <w:rsid w:val="004437CC"/>
    <w:rsid w:val="00443805"/>
    <w:rsid w:val="0044384E"/>
    <w:rsid w:val="00443872"/>
    <w:rsid w:val="00443902"/>
    <w:rsid w:val="00443906"/>
    <w:rsid w:val="0044393D"/>
    <w:rsid w:val="00443977"/>
    <w:rsid w:val="004439EF"/>
    <w:rsid w:val="00443B4E"/>
    <w:rsid w:val="00443C12"/>
    <w:rsid w:val="00443C63"/>
    <w:rsid w:val="00443CCC"/>
    <w:rsid w:val="00443D0A"/>
    <w:rsid w:val="00443DD8"/>
    <w:rsid w:val="00443E83"/>
    <w:rsid w:val="00443EE0"/>
    <w:rsid w:val="00443F61"/>
    <w:rsid w:val="00443F6A"/>
    <w:rsid w:val="00444016"/>
    <w:rsid w:val="004440BA"/>
    <w:rsid w:val="0044410F"/>
    <w:rsid w:val="00444115"/>
    <w:rsid w:val="00444181"/>
    <w:rsid w:val="00444242"/>
    <w:rsid w:val="00444292"/>
    <w:rsid w:val="00444302"/>
    <w:rsid w:val="004443F8"/>
    <w:rsid w:val="00444468"/>
    <w:rsid w:val="004444D7"/>
    <w:rsid w:val="004444FD"/>
    <w:rsid w:val="00444578"/>
    <w:rsid w:val="004445DF"/>
    <w:rsid w:val="004445EB"/>
    <w:rsid w:val="00444606"/>
    <w:rsid w:val="00444671"/>
    <w:rsid w:val="004446AB"/>
    <w:rsid w:val="004446C3"/>
    <w:rsid w:val="00444750"/>
    <w:rsid w:val="0044479F"/>
    <w:rsid w:val="004447A1"/>
    <w:rsid w:val="00444808"/>
    <w:rsid w:val="00444845"/>
    <w:rsid w:val="004448E8"/>
    <w:rsid w:val="0044490C"/>
    <w:rsid w:val="00444AB8"/>
    <w:rsid w:val="00444AD1"/>
    <w:rsid w:val="00444B01"/>
    <w:rsid w:val="00444B18"/>
    <w:rsid w:val="00444B1A"/>
    <w:rsid w:val="00444B3C"/>
    <w:rsid w:val="00444B64"/>
    <w:rsid w:val="00444BC3"/>
    <w:rsid w:val="00444BDC"/>
    <w:rsid w:val="00444C65"/>
    <w:rsid w:val="00444D0D"/>
    <w:rsid w:val="00444D30"/>
    <w:rsid w:val="00444D36"/>
    <w:rsid w:val="00444D69"/>
    <w:rsid w:val="00444DC1"/>
    <w:rsid w:val="00444DD8"/>
    <w:rsid w:val="00444ED9"/>
    <w:rsid w:val="00444EDF"/>
    <w:rsid w:val="00444F19"/>
    <w:rsid w:val="00444F8E"/>
    <w:rsid w:val="0044504D"/>
    <w:rsid w:val="004450B3"/>
    <w:rsid w:val="004451C3"/>
    <w:rsid w:val="0044527A"/>
    <w:rsid w:val="00445282"/>
    <w:rsid w:val="004452B4"/>
    <w:rsid w:val="004452E8"/>
    <w:rsid w:val="00445345"/>
    <w:rsid w:val="0044537C"/>
    <w:rsid w:val="004453F5"/>
    <w:rsid w:val="0044540B"/>
    <w:rsid w:val="0044546D"/>
    <w:rsid w:val="004454B6"/>
    <w:rsid w:val="004454FD"/>
    <w:rsid w:val="0044558E"/>
    <w:rsid w:val="004455C4"/>
    <w:rsid w:val="004455EC"/>
    <w:rsid w:val="004456BA"/>
    <w:rsid w:val="004456BF"/>
    <w:rsid w:val="004456D3"/>
    <w:rsid w:val="00445770"/>
    <w:rsid w:val="004457A2"/>
    <w:rsid w:val="00445802"/>
    <w:rsid w:val="00445887"/>
    <w:rsid w:val="0044589F"/>
    <w:rsid w:val="004458A3"/>
    <w:rsid w:val="00445938"/>
    <w:rsid w:val="0044595D"/>
    <w:rsid w:val="004459A0"/>
    <w:rsid w:val="00445AA7"/>
    <w:rsid w:val="00445AD8"/>
    <w:rsid w:val="00445B64"/>
    <w:rsid w:val="00445B9A"/>
    <w:rsid w:val="00445BF0"/>
    <w:rsid w:val="00445BFC"/>
    <w:rsid w:val="00445C5E"/>
    <w:rsid w:val="00445C69"/>
    <w:rsid w:val="00445C98"/>
    <w:rsid w:val="00445C9C"/>
    <w:rsid w:val="00445D4A"/>
    <w:rsid w:val="00445D67"/>
    <w:rsid w:val="00445D7D"/>
    <w:rsid w:val="00445DB6"/>
    <w:rsid w:val="00445E2F"/>
    <w:rsid w:val="00445F09"/>
    <w:rsid w:val="00445F15"/>
    <w:rsid w:val="00446001"/>
    <w:rsid w:val="00446094"/>
    <w:rsid w:val="00446150"/>
    <w:rsid w:val="004461B0"/>
    <w:rsid w:val="004461E9"/>
    <w:rsid w:val="0044620B"/>
    <w:rsid w:val="00446229"/>
    <w:rsid w:val="00446235"/>
    <w:rsid w:val="0044628F"/>
    <w:rsid w:val="00446344"/>
    <w:rsid w:val="004463BE"/>
    <w:rsid w:val="00446407"/>
    <w:rsid w:val="00446427"/>
    <w:rsid w:val="00446430"/>
    <w:rsid w:val="00446511"/>
    <w:rsid w:val="00446519"/>
    <w:rsid w:val="0044659A"/>
    <w:rsid w:val="004465D8"/>
    <w:rsid w:val="00446624"/>
    <w:rsid w:val="0044675A"/>
    <w:rsid w:val="00446765"/>
    <w:rsid w:val="004467E9"/>
    <w:rsid w:val="004468DD"/>
    <w:rsid w:val="0044694D"/>
    <w:rsid w:val="00446994"/>
    <w:rsid w:val="00446997"/>
    <w:rsid w:val="004469B4"/>
    <w:rsid w:val="004469F0"/>
    <w:rsid w:val="00446A02"/>
    <w:rsid w:val="00446A16"/>
    <w:rsid w:val="00446A1F"/>
    <w:rsid w:val="00446A4D"/>
    <w:rsid w:val="00446A64"/>
    <w:rsid w:val="00446AF9"/>
    <w:rsid w:val="00446B0D"/>
    <w:rsid w:val="00446B23"/>
    <w:rsid w:val="00446B48"/>
    <w:rsid w:val="00446C47"/>
    <w:rsid w:val="00446C6E"/>
    <w:rsid w:val="00446C9F"/>
    <w:rsid w:val="00446CD7"/>
    <w:rsid w:val="00446D10"/>
    <w:rsid w:val="00446D19"/>
    <w:rsid w:val="00446D37"/>
    <w:rsid w:val="00446D6D"/>
    <w:rsid w:val="00446D96"/>
    <w:rsid w:val="00446DD3"/>
    <w:rsid w:val="00446E29"/>
    <w:rsid w:val="00446E5E"/>
    <w:rsid w:val="00446E62"/>
    <w:rsid w:val="00446E7D"/>
    <w:rsid w:val="00446F1B"/>
    <w:rsid w:val="00446F9E"/>
    <w:rsid w:val="00446FDE"/>
    <w:rsid w:val="00447028"/>
    <w:rsid w:val="0044715B"/>
    <w:rsid w:val="004471A1"/>
    <w:rsid w:val="00447235"/>
    <w:rsid w:val="0044723F"/>
    <w:rsid w:val="0044725C"/>
    <w:rsid w:val="0044726C"/>
    <w:rsid w:val="004472A2"/>
    <w:rsid w:val="00447326"/>
    <w:rsid w:val="00447356"/>
    <w:rsid w:val="004473CD"/>
    <w:rsid w:val="00447444"/>
    <w:rsid w:val="0044752F"/>
    <w:rsid w:val="0044755C"/>
    <w:rsid w:val="00447662"/>
    <w:rsid w:val="00447687"/>
    <w:rsid w:val="0044771D"/>
    <w:rsid w:val="0044777C"/>
    <w:rsid w:val="004477B3"/>
    <w:rsid w:val="00447875"/>
    <w:rsid w:val="00447893"/>
    <w:rsid w:val="004478A8"/>
    <w:rsid w:val="00447961"/>
    <w:rsid w:val="00447964"/>
    <w:rsid w:val="00447A85"/>
    <w:rsid w:val="00447B0D"/>
    <w:rsid w:val="00447B56"/>
    <w:rsid w:val="00447B8E"/>
    <w:rsid w:val="00447B90"/>
    <w:rsid w:val="00447C4D"/>
    <w:rsid w:val="00447E3C"/>
    <w:rsid w:val="00447E86"/>
    <w:rsid w:val="00447F49"/>
    <w:rsid w:val="00447F62"/>
    <w:rsid w:val="0045006A"/>
    <w:rsid w:val="00450120"/>
    <w:rsid w:val="00450122"/>
    <w:rsid w:val="0045013D"/>
    <w:rsid w:val="0045019A"/>
    <w:rsid w:val="004501A2"/>
    <w:rsid w:val="00450271"/>
    <w:rsid w:val="0045028A"/>
    <w:rsid w:val="00450297"/>
    <w:rsid w:val="004502D7"/>
    <w:rsid w:val="004502E3"/>
    <w:rsid w:val="004502F5"/>
    <w:rsid w:val="00450325"/>
    <w:rsid w:val="00450374"/>
    <w:rsid w:val="00450400"/>
    <w:rsid w:val="004504F9"/>
    <w:rsid w:val="004504FC"/>
    <w:rsid w:val="00450565"/>
    <w:rsid w:val="00450674"/>
    <w:rsid w:val="004506E6"/>
    <w:rsid w:val="00450726"/>
    <w:rsid w:val="0045077B"/>
    <w:rsid w:val="004507C3"/>
    <w:rsid w:val="004507D2"/>
    <w:rsid w:val="00450808"/>
    <w:rsid w:val="0045081B"/>
    <w:rsid w:val="0045082B"/>
    <w:rsid w:val="00450849"/>
    <w:rsid w:val="004508CD"/>
    <w:rsid w:val="00450911"/>
    <w:rsid w:val="00450935"/>
    <w:rsid w:val="004509EB"/>
    <w:rsid w:val="00450A02"/>
    <w:rsid w:val="00450A3D"/>
    <w:rsid w:val="00450AAE"/>
    <w:rsid w:val="00450B14"/>
    <w:rsid w:val="00450B76"/>
    <w:rsid w:val="00450BD6"/>
    <w:rsid w:val="00450CA5"/>
    <w:rsid w:val="00450D5C"/>
    <w:rsid w:val="00450DF8"/>
    <w:rsid w:val="00450E72"/>
    <w:rsid w:val="00450EE8"/>
    <w:rsid w:val="00450F25"/>
    <w:rsid w:val="00450F33"/>
    <w:rsid w:val="00450F85"/>
    <w:rsid w:val="00450FA7"/>
    <w:rsid w:val="00450FBA"/>
    <w:rsid w:val="00450FC3"/>
    <w:rsid w:val="00450FE1"/>
    <w:rsid w:val="004510A0"/>
    <w:rsid w:val="004510C2"/>
    <w:rsid w:val="004510F2"/>
    <w:rsid w:val="0045116D"/>
    <w:rsid w:val="004511CC"/>
    <w:rsid w:val="004511E4"/>
    <w:rsid w:val="0045124B"/>
    <w:rsid w:val="00451275"/>
    <w:rsid w:val="00451290"/>
    <w:rsid w:val="004512B7"/>
    <w:rsid w:val="004512BB"/>
    <w:rsid w:val="0045131A"/>
    <w:rsid w:val="004513AF"/>
    <w:rsid w:val="004513C7"/>
    <w:rsid w:val="004513EE"/>
    <w:rsid w:val="004514A2"/>
    <w:rsid w:val="004514CD"/>
    <w:rsid w:val="00451550"/>
    <w:rsid w:val="004515D7"/>
    <w:rsid w:val="004516B9"/>
    <w:rsid w:val="004516DB"/>
    <w:rsid w:val="004516F0"/>
    <w:rsid w:val="0045174E"/>
    <w:rsid w:val="004517D3"/>
    <w:rsid w:val="004518FC"/>
    <w:rsid w:val="0045192A"/>
    <w:rsid w:val="0045192F"/>
    <w:rsid w:val="004519D0"/>
    <w:rsid w:val="004519E6"/>
    <w:rsid w:val="00451AC9"/>
    <w:rsid w:val="00451B2B"/>
    <w:rsid w:val="00451B39"/>
    <w:rsid w:val="00451BFC"/>
    <w:rsid w:val="00451C57"/>
    <w:rsid w:val="00451C6F"/>
    <w:rsid w:val="00451CA4"/>
    <w:rsid w:val="00451CB2"/>
    <w:rsid w:val="00451CBA"/>
    <w:rsid w:val="00451CD1"/>
    <w:rsid w:val="00451DFF"/>
    <w:rsid w:val="00451E45"/>
    <w:rsid w:val="00451E7B"/>
    <w:rsid w:val="00451EC3"/>
    <w:rsid w:val="00451F00"/>
    <w:rsid w:val="00451F2F"/>
    <w:rsid w:val="00451FB4"/>
    <w:rsid w:val="00451FD9"/>
    <w:rsid w:val="00452011"/>
    <w:rsid w:val="00452017"/>
    <w:rsid w:val="004520BC"/>
    <w:rsid w:val="004520EB"/>
    <w:rsid w:val="00452127"/>
    <w:rsid w:val="0045213D"/>
    <w:rsid w:val="0045214E"/>
    <w:rsid w:val="00452186"/>
    <w:rsid w:val="004521C8"/>
    <w:rsid w:val="00452213"/>
    <w:rsid w:val="004522EA"/>
    <w:rsid w:val="0045231E"/>
    <w:rsid w:val="00452322"/>
    <w:rsid w:val="0045232C"/>
    <w:rsid w:val="00452367"/>
    <w:rsid w:val="00452391"/>
    <w:rsid w:val="004523A7"/>
    <w:rsid w:val="004523E0"/>
    <w:rsid w:val="004524AF"/>
    <w:rsid w:val="004524D2"/>
    <w:rsid w:val="004524DF"/>
    <w:rsid w:val="004524F1"/>
    <w:rsid w:val="004524F6"/>
    <w:rsid w:val="00452530"/>
    <w:rsid w:val="00452577"/>
    <w:rsid w:val="004525BF"/>
    <w:rsid w:val="004525FD"/>
    <w:rsid w:val="004526B2"/>
    <w:rsid w:val="00452743"/>
    <w:rsid w:val="0045283A"/>
    <w:rsid w:val="00452854"/>
    <w:rsid w:val="0045288B"/>
    <w:rsid w:val="004528E9"/>
    <w:rsid w:val="004528F2"/>
    <w:rsid w:val="00452995"/>
    <w:rsid w:val="004529C3"/>
    <w:rsid w:val="00452A27"/>
    <w:rsid w:val="00452A2B"/>
    <w:rsid w:val="00452A47"/>
    <w:rsid w:val="00452AD6"/>
    <w:rsid w:val="00452B58"/>
    <w:rsid w:val="00452B67"/>
    <w:rsid w:val="00452BC4"/>
    <w:rsid w:val="00452BE1"/>
    <w:rsid w:val="00452C27"/>
    <w:rsid w:val="00452C3F"/>
    <w:rsid w:val="00452CAE"/>
    <w:rsid w:val="00452DD3"/>
    <w:rsid w:val="00452E26"/>
    <w:rsid w:val="00452EAA"/>
    <w:rsid w:val="00452EBC"/>
    <w:rsid w:val="00452EF1"/>
    <w:rsid w:val="00452F02"/>
    <w:rsid w:val="00452F0D"/>
    <w:rsid w:val="00452F51"/>
    <w:rsid w:val="00452FB9"/>
    <w:rsid w:val="00452FCE"/>
    <w:rsid w:val="00452FE3"/>
    <w:rsid w:val="00452FFC"/>
    <w:rsid w:val="00453018"/>
    <w:rsid w:val="0045306B"/>
    <w:rsid w:val="0045307F"/>
    <w:rsid w:val="004530B7"/>
    <w:rsid w:val="0045313E"/>
    <w:rsid w:val="0045314C"/>
    <w:rsid w:val="0045315E"/>
    <w:rsid w:val="00453180"/>
    <w:rsid w:val="004531DE"/>
    <w:rsid w:val="00453291"/>
    <w:rsid w:val="004532DF"/>
    <w:rsid w:val="004532E6"/>
    <w:rsid w:val="00453423"/>
    <w:rsid w:val="00453461"/>
    <w:rsid w:val="00453476"/>
    <w:rsid w:val="004534A4"/>
    <w:rsid w:val="0045354D"/>
    <w:rsid w:val="00453564"/>
    <w:rsid w:val="00453587"/>
    <w:rsid w:val="004535CF"/>
    <w:rsid w:val="004536C8"/>
    <w:rsid w:val="004536EA"/>
    <w:rsid w:val="00453795"/>
    <w:rsid w:val="004537F6"/>
    <w:rsid w:val="00453919"/>
    <w:rsid w:val="0045391A"/>
    <w:rsid w:val="00453949"/>
    <w:rsid w:val="0045396F"/>
    <w:rsid w:val="0045397E"/>
    <w:rsid w:val="00453A26"/>
    <w:rsid w:val="00453AF2"/>
    <w:rsid w:val="00453B0D"/>
    <w:rsid w:val="00453B40"/>
    <w:rsid w:val="00453BAE"/>
    <w:rsid w:val="00453C1C"/>
    <w:rsid w:val="00453C47"/>
    <w:rsid w:val="00453CF1"/>
    <w:rsid w:val="00453D58"/>
    <w:rsid w:val="00453DBD"/>
    <w:rsid w:val="00453DFB"/>
    <w:rsid w:val="00453E3E"/>
    <w:rsid w:val="00453F27"/>
    <w:rsid w:val="00453F69"/>
    <w:rsid w:val="00453F9A"/>
    <w:rsid w:val="00454052"/>
    <w:rsid w:val="0045406C"/>
    <w:rsid w:val="004540C4"/>
    <w:rsid w:val="00454129"/>
    <w:rsid w:val="004543DC"/>
    <w:rsid w:val="004543F2"/>
    <w:rsid w:val="004545FF"/>
    <w:rsid w:val="0045467B"/>
    <w:rsid w:val="0045478A"/>
    <w:rsid w:val="00454797"/>
    <w:rsid w:val="0045479A"/>
    <w:rsid w:val="004547D2"/>
    <w:rsid w:val="004547D3"/>
    <w:rsid w:val="00454826"/>
    <w:rsid w:val="0045487A"/>
    <w:rsid w:val="004548A4"/>
    <w:rsid w:val="0045492D"/>
    <w:rsid w:val="0045498F"/>
    <w:rsid w:val="004549F7"/>
    <w:rsid w:val="00454A59"/>
    <w:rsid w:val="00454AEC"/>
    <w:rsid w:val="00454B0B"/>
    <w:rsid w:val="00454C2C"/>
    <w:rsid w:val="00454D2F"/>
    <w:rsid w:val="00454D33"/>
    <w:rsid w:val="00454D40"/>
    <w:rsid w:val="00454D71"/>
    <w:rsid w:val="00454DBF"/>
    <w:rsid w:val="00454DC1"/>
    <w:rsid w:val="00454DD3"/>
    <w:rsid w:val="00454DD5"/>
    <w:rsid w:val="00454DEB"/>
    <w:rsid w:val="00454DF9"/>
    <w:rsid w:val="00454EF3"/>
    <w:rsid w:val="00454F3F"/>
    <w:rsid w:val="00454F93"/>
    <w:rsid w:val="00455039"/>
    <w:rsid w:val="00455045"/>
    <w:rsid w:val="004550A3"/>
    <w:rsid w:val="004550A4"/>
    <w:rsid w:val="004550D1"/>
    <w:rsid w:val="0045514C"/>
    <w:rsid w:val="004551F9"/>
    <w:rsid w:val="004552CC"/>
    <w:rsid w:val="004552DA"/>
    <w:rsid w:val="0045530A"/>
    <w:rsid w:val="0045537C"/>
    <w:rsid w:val="00455385"/>
    <w:rsid w:val="0045539F"/>
    <w:rsid w:val="00455529"/>
    <w:rsid w:val="0045554B"/>
    <w:rsid w:val="00455553"/>
    <w:rsid w:val="0045556C"/>
    <w:rsid w:val="00455589"/>
    <w:rsid w:val="00455598"/>
    <w:rsid w:val="00455602"/>
    <w:rsid w:val="00455666"/>
    <w:rsid w:val="004556A5"/>
    <w:rsid w:val="004556DC"/>
    <w:rsid w:val="004556FA"/>
    <w:rsid w:val="00455752"/>
    <w:rsid w:val="004557B4"/>
    <w:rsid w:val="004557C9"/>
    <w:rsid w:val="004557FD"/>
    <w:rsid w:val="004558BD"/>
    <w:rsid w:val="004558CC"/>
    <w:rsid w:val="00455931"/>
    <w:rsid w:val="0045596F"/>
    <w:rsid w:val="00455A30"/>
    <w:rsid w:val="00455A49"/>
    <w:rsid w:val="00455AC9"/>
    <w:rsid w:val="00455AD7"/>
    <w:rsid w:val="00455B57"/>
    <w:rsid w:val="00455B60"/>
    <w:rsid w:val="00455D84"/>
    <w:rsid w:val="00455D96"/>
    <w:rsid w:val="00455E26"/>
    <w:rsid w:val="00455EAD"/>
    <w:rsid w:val="00455ED0"/>
    <w:rsid w:val="00455EF2"/>
    <w:rsid w:val="00455F54"/>
    <w:rsid w:val="00455FD0"/>
    <w:rsid w:val="00455FDC"/>
    <w:rsid w:val="00455FE2"/>
    <w:rsid w:val="00455FFE"/>
    <w:rsid w:val="00456056"/>
    <w:rsid w:val="0045618A"/>
    <w:rsid w:val="0045619C"/>
    <w:rsid w:val="00456243"/>
    <w:rsid w:val="004563C1"/>
    <w:rsid w:val="00456413"/>
    <w:rsid w:val="00456458"/>
    <w:rsid w:val="00456462"/>
    <w:rsid w:val="004566E9"/>
    <w:rsid w:val="004566F4"/>
    <w:rsid w:val="0045674C"/>
    <w:rsid w:val="00456762"/>
    <w:rsid w:val="00456770"/>
    <w:rsid w:val="0045679B"/>
    <w:rsid w:val="00456878"/>
    <w:rsid w:val="004568C8"/>
    <w:rsid w:val="004568FF"/>
    <w:rsid w:val="00456922"/>
    <w:rsid w:val="00456973"/>
    <w:rsid w:val="00456984"/>
    <w:rsid w:val="00456993"/>
    <w:rsid w:val="00456A0C"/>
    <w:rsid w:val="00456A32"/>
    <w:rsid w:val="00456A92"/>
    <w:rsid w:val="00456B11"/>
    <w:rsid w:val="00456B3D"/>
    <w:rsid w:val="00456B6B"/>
    <w:rsid w:val="00456C2D"/>
    <w:rsid w:val="00456CC0"/>
    <w:rsid w:val="00456D10"/>
    <w:rsid w:val="00456D4C"/>
    <w:rsid w:val="00456ED4"/>
    <w:rsid w:val="00456EEB"/>
    <w:rsid w:val="00457051"/>
    <w:rsid w:val="004570CE"/>
    <w:rsid w:val="004570ED"/>
    <w:rsid w:val="00457138"/>
    <w:rsid w:val="00457168"/>
    <w:rsid w:val="0045717B"/>
    <w:rsid w:val="00457272"/>
    <w:rsid w:val="00457275"/>
    <w:rsid w:val="0045730A"/>
    <w:rsid w:val="00457316"/>
    <w:rsid w:val="00457368"/>
    <w:rsid w:val="00457374"/>
    <w:rsid w:val="004573EA"/>
    <w:rsid w:val="004573F7"/>
    <w:rsid w:val="004574AB"/>
    <w:rsid w:val="00457624"/>
    <w:rsid w:val="004576EB"/>
    <w:rsid w:val="00457727"/>
    <w:rsid w:val="0045774A"/>
    <w:rsid w:val="004577CD"/>
    <w:rsid w:val="004577EE"/>
    <w:rsid w:val="00457877"/>
    <w:rsid w:val="00457947"/>
    <w:rsid w:val="004579A5"/>
    <w:rsid w:val="00457B0C"/>
    <w:rsid w:val="00457C52"/>
    <w:rsid w:val="00457C99"/>
    <w:rsid w:val="00457D12"/>
    <w:rsid w:val="00457D50"/>
    <w:rsid w:val="00457E23"/>
    <w:rsid w:val="00457F70"/>
    <w:rsid w:val="0046011C"/>
    <w:rsid w:val="00460348"/>
    <w:rsid w:val="00460379"/>
    <w:rsid w:val="004603AD"/>
    <w:rsid w:val="0046042F"/>
    <w:rsid w:val="0046044D"/>
    <w:rsid w:val="00460452"/>
    <w:rsid w:val="004604F7"/>
    <w:rsid w:val="004605A5"/>
    <w:rsid w:val="004605F3"/>
    <w:rsid w:val="00460691"/>
    <w:rsid w:val="004606B8"/>
    <w:rsid w:val="004606CA"/>
    <w:rsid w:val="004606CC"/>
    <w:rsid w:val="0046077A"/>
    <w:rsid w:val="00460785"/>
    <w:rsid w:val="004607ED"/>
    <w:rsid w:val="00460825"/>
    <w:rsid w:val="00460910"/>
    <w:rsid w:val="004609F6"/>
    <w:rsid w:val="00460A93"/>
    <w:rsid w:val="00460AAB"/>
    <w:rsid w:val="00460AFE"/>
    <w:rsid w:val="00460B39"/>
    <w:rsid w:val="00460B5A"/>
    <w:rsid w:val="00460B60"/>
    <w:rsid w:val="00460B77"/>
    <w:rsid w:val="00460BF8"/>
    <w:rsid w:val="00460BFF"/>
    <w:rsid w:val="00460C0C"/>
    <w:rsid w:val="00460C97"/>
    <w:rsid w:val="00460D35"/>
    <w:rsid w:val="00460E19"/>
    <w:rsid w:val="00460EB4"/>
    <w:rsid w:val="00460EDA"/>
    <w:rsid w:val="0046108D"/>
    <w:rsid w:val="004610F8"/>
    <w:rsid w:val="00461137"/>
    <w:rsid w:val="004611D3"/>
    <w:rsid w:val="00461208"/>
    <w:rsid w:val="00461220"/>
    <w:rsid w:val="004612CD"/>
    <w:rsid w:val="004612D6"/>
    <w:rsid w:val="004613E4"/>
    <w:rsid w:val="00461497"/>
    <w:rsid w:val="00461531"/>
    <w:rsid w:val="004615BD"/>
    <w:rsid w:val="00461653"/>
    <w:rsid w:val="004616B2"/>
    <w:rsid w:val="004616EA"/>
    <w:rsid w:val="0046172B"/>
    <w:rsid w:val="00461782"/>
    <w:rsid w:val="004617A7"/>
    <w:rsid w:val="0046187D"/>
    <w:rsid w:val="00461901"/>
    <w:rsid w:val="00461929"/>
    <w:rsid w:val="00461945"/>
    <w:rsid w:val="00461974"/>
    <w:rsid w:val="0046197B"/>
    <w:rsid w:val="004619F0"/>
    <w:rsid w:val="00461A63"/>
    <w:rsid w:val="00461A92"/>
    <w:rsid w:val="00461A94"/>
    <w:rsid w:val="00461A98"/>
    <w:rsid w:val="00461B08"/>
    <w:rsid w:val="00461B7C"/>
    <w:rsid w:val="00461CA7"/>
    <w:rsid w:val="00461CB2"/>
    <w:rsid w:val="00461CB5"/>
    <w:rsid w:val="00461D20"/>
    <w:rsid w:val="00461DFB"/>
    <w:rsid w:val="00461F29"/>
    <w:rsid w:val="00461FCB"/>
    <w:rsid w:val="0046209F"/>
    <w:rsid w:val="004620F0"/>
    <w:rsid w:val="004620F1"/>
    <w:rsid w:val="0046219D"/>
    <w:rsid w:val="004621E0"/>
    <w:rsid w:val="00462213"/>
    <w:rsid w:val="00462282"/>
    <w:rsid w:val="004622B4"/>
    <w:rsid w:val="004622C1"/>
    <w:rsid w:val="004622DE"/>
    <w:rsid w:val="00462382"/>
    <w:rsid w:val="004623DB"/>
    <w:rsid w:val="0046241E"/>
    <w:rsid w:val="004624F9"/>
    <w:rsid w:val="00462535"/>
    <w:rsid w:val="004625AE"/>
    <w:rsid w:val="004625FE"/>
    <w:rsid w:val="00462623"/>
    <w:rsid w:val="0046268A"/>
    <w:rsid w:val="0046269A"/>
    <w:rsid w:val="004626DE"/>
    <w:rsid w:val="004627BD"/>
    <w:rsid w:val="004628FE"/>
    <w:rsid w:val="00462918"/>
    <w:rsid w:val="0046295F"/>
    <w:rsid w:val="004629A6"/>
    <w:rsid w:val="00462A26"/>
    <w:rsid w:val="00462AAF"/>
    <w:rsid w:val="00462AFB"/>
    <w:rsid w:val="00462B0C"/>
    <w:rsid w:val="00462B32"/>
    <w:rsid w:val="00462B48"/>
    <w:rsid w:val="00462B4D"/>
    <w:rsid w:val="00462C92"/>
    <w:rsid w:val="00462CA2"/>
    <w:rsid w:val="00462CAB"/>
    <w:rsid w:val="00462DEB"/>
    <w:rsid w:val="00462F3D"/>
    <w:rsid w:val="00462F79"/>
    <w:rsid w:val="0046306E"/>
    <w:rsid w:val="0046311F"/>
    <w:rsid w:val="0046312A"/>
    <w:rsid w:val="00463166"/>
    <w:rsid w:val="0046316F"/>
    <w:rsid w:val="004632E7"/>
    <w:rsid w:val="00463332"/>
    <w:rsid w:val="00463355"/>
    <w:rsid w:val="00463380"/>
    <w:rsid w:val="00463384"/>
    <w:rsid w:val="00463449"/>
    <w:rsid w:val="00463488"/>
    <w:rsid w:val="004634E1"/>
    <w:rsid w:val="00463535"/>
    <w:rsid w:val="0046359D"/>
    <w:rsid w:val="004635CB"/>
    <w:rsid w:val="004635E4"/>
    <w:rsid w:val="004635F6"/>
    <w:rsid w:val="00463668"/>
    <w:rsid w:val="0046368C"/>
    <w:rsid w:val="004636E4"/>
    <w:rsid w:val="00463707"/>
    <w:rsid w:val="00463752"/>
    <w:rsid w:val="00463754"/>
    <w:rsid w:val="00463767"/>
    <w:rsid w:val="004637CB"/>
    <w:rsid w:val="00463815"/>
    <w:rsid w:val="00463848"/>
    <w:rsid w:val="00463850"/>
    <w:rsid w:val="00463866"/>
    <w:rsid w:val="004638F2"/>
    <w:rsid w:val="0046396F"/>
    <w:rsid w:val="0046398B"/>
    <w:rsid w:val="00463995"/>
    <w:rsid w:val="00463A64"/>
    <w:rsid w:val="00463B5D"/>
    <w:rsid w:val="00463BD2"/>
    <w:rsid w:val="00463BDF"/>
    <w:rsid w:val="00463C15"/>
    <w:rsid w:val="00463C43"/>
    <w:rsid w:val="00463C85"/>
    <w:rsid w:val="00463CEA"/>
    <w:rsid w:val="00463E7A"/>
    <w:rsid w:val="00463EF9"/>
    <w:rsid w:val="00463F1E"/>
    <w:rsid w:val="00463F67"/>
    <w:rsid w:val="00463F72"/>
    <w:rsid w:val="00463F8C"/>
    <w:rsid w:val="00463F9C"/>
    <w:rsid w:val="0046400A"/>
    <w:rsid w:val="0046402E"/>
    <w:rsid w:val="0046414A"/>
    <w:rsid w:val="004641C3"/>
    <w:rsid w:val="00464263"/>
    <w:rsid w:val="004642BD"/>
    <w:rsid w:val="0046430C"/>
    <w:rsid w:val="004643CC"/>
    <w:rsid w:val="004643E3"/>
    <w:rsid w:val="00464408"/>
    <w:rsid w:val="0046441E"/>
    <w:rsid w:val="004644CD"/>
    <w:rsid w:val="00464521"/>
    <w:rsid w:val="004645D0"/>
    <w:rsid w:val="004645FE"/>
    <w:rsid w:val="0046462F"/>
    <w:rsid w:val="00464656"/>
    <w:rsid w:val="00464661"/>
    <w:rsid w:val="00464679"/>
    <w:rsid w:val="004646A8"/>
    <w:rsid w:val="004646E9"/>
    <w:rsid w:val="0046470F"/>
    <w:rsid w:val="00464774"/>
    <w:rsid w:val="004647C4"/>
    <w:rsid w:val="004647CF"/>
    <w:rsid w:val="004647EF"/>
    <w:rsid w:val="00464807"/>
    <w:rsid w:val="004648BE"/>
    <w:rsid w:val="0046495F"/>
    <w:rsid w:val="00464969"/>
    <w:rsid w:val="00464A12"/>
    <w:rsid w:val="00464A78"/>
    <w:rsid w:val="00464AA0"/>
    <w:rsid w:val="00464B3C"/>
    <w:rsid w:val="00464B55"/>
    <w:rsid w:val="00464B6C"/>
    <w:rsid w:val="00464B84"/>
    <w:rsid w:val="00464BAA"/>
    <w:rsid w:val="00464BBD"/>
    <w:rsid w:val="00464C50"/>
    <w:rsid w:val="00464D08"/>
    <w:rsid w:val="00464D62"/>
    <w:rsid w:val="00464F26"/>
    <w:rsid w:val="00464F36"/>
    <w:rsid w:val="00464F38"/>
    <w:rsid w:val="00464FCF"/>
    <w:rsid w:val="00465186"/>
    <w:rsid w:val="00465189"/>
    <w:rsid w:val="00465191"/>
    <w:rsid w:val="004651D1"/>
    <w:rsid w:val="00465211"/>
    <w:rsid w:val="00465293"/>
    <w:rsid w:val="004652A4"/>
    <w:rsid w:val="00465307"/>
    <w:rsid w:val="004653AF"/>
    <w:rsid w:val="004653BB"/>
    <w:rsid w:val="004653CE"/>
    <w:rsid w:val="004653DC"/>
    <w:rsid w:val="00465480"/>
    <w:rsid w:val="004655C7"/>
    <w:rsid w:val="004655DB"/>
    <w:rsid w:val="00465612"/>
    <w:rsid w:val="00465638"/>
    <w:rsid w:val="00465694"/>
    <w:rsid w:val="00465697"/>
    <w:rsid w:val="004656AA"/>
    <w:rsid w:val="004656BD"/>
    <w:rsid w:val="004657F9"/>
    <w:rsid w:val="00465855"/>
    <w:rsid w:val="004658BD"/>
    <w:rsid w:val="00465927"/>
    <w:rsid w:val="00465977"/>
    <w:rsid w:val="0046599B"/>
    <w:rsid w:val="004659BA"/>
    <w:rsid w:val="004659CD"/>
    <w:rsid w:val="00465A0C"/>
    <w:rsid w:val="00465A38"/>
    <w:rsid w:val="00465A42"/>
    <w:rsid w:val="00465A77"/>
    <w:rsid w:val="00465AA9"/>
    <w:rsid w:val="00465AFE"/>
    <w:rsid w:val="00465B1B"/>
    <w:rsid w:val="00465B63"/>
    <w:rsid w:val="00465C0B"/>
    <w:rsid w:val="00465C21"/>
    <w:rsid w:val="00465C7A"/>
    <w:rsid w:val="00465E01"/>
    <w:rsid w:val="00465E07"/>
    <w:rsid w:val="00465E26"/>
    <w:rsid w:val="00465EF8"/>
    <w:rsid w:val="00465F25"/>
    <w:rsid w:val="00465FDF"/>
    <w:rsid w:val="00465FF9"/>
    <w:rsid w:val="00466001"/>
    <w:rsid w:val="00466083"/>
    <w:rsid w:val="00466162"/>
    <w:rsid w:val="0046620C"/>
    <w:rsid w:val="00466274"/>
    <w:rsid w:val="00466285"/>
    <w:rsid w:val="0046632E"/>
    <w:rsid w:val="0046638B"/>
    <w:rsid w:val="004663BF"/>
    <w:rsid w:val="00466450"/>
    <w:rsid w:val="004664E8"/>
    <w:rsid w:val="00466547"/>
    <w:rsid w:val="00466588"/>
    <w:rsid w:val="00466599"/>
    <w:rsid w:val="004665B0"/>
    <w:rsid w:val="004665E0"/>
    <w:rsid w:val="00466632"/>
    <w:rsid w:val="004666A8"/>
    <w:rsid w:val="004666CE"/>
    <w:rsid w:val="004666D4"/>
    <w:rsid w:val="004666D8"/>
    <w:rsid w:val="0046670A"/>
    <w:rsid w:val="00466771"/>
    <w:rsid w:val="004667B8"/>
    <w:rsid w:val="004667EF"/>
    <w:rsid w:val="0046683B"/>
    <w:rsid w:val="004668B7"/>
    <w:rsid w:val="004668C9"/>
    <w:rsid w:val="004668CB"/>
    <w:rsid w:val="00466A25"/>
    <w:rsid w:val="00466A6A"/>
    <w:rsid w:val="00466B00"/>
    <w:rsid w:val="00466B34"/>
    <w:rsid w:val="00466B3E"/>
    <w:rsid w:val="00466C47"/>
    <w:rsid w:val="00466CE6"/>
    <w:rsid w:val="00466D5E"/>
    <w:rsid w:val="00466E38"/>
    <w:rsid w:val="00466E53"/>
    <w:rsid w:val="00466EA6"/>
    <w:rsid w:val="00466F6E"/>
    <w:rsid w:val="00466F7D"/>
    <w:rsid w:val="00466F88"/>
    <w:rsid w:val="00466FAA"/>
    <w:rsid w:val="00467003"/>
    <w:rsid w:val="0046703E"/>
    <w:rsid w:val="0046708B"/>
    <w:rsid w:val="0046710C"/>
    <w:rsid w:val="004671D2"/>
    <w:rsid w:val="00467230"/>
    <w:rsid w:val="0046724E"/>
    <w:rsid w:val="0046725B"/>
    <w:rsid w:val="004672D8"/>
    <w:rsid w:val="00467319"/>
    <w:rsid w:val="00467348"/>
    <w:rsid w:val="00467350"/>
    <w:rsid w:val="00467361"/>
    <w:rsid w:val="00467418"/>
    <w:rsid w:val="0046748D"/>
    <w:rsid w:val="004674B5"/>
    <w:rsid w:val="00467519"/>
    <w:rsid w:val="00467587"/>
    <w:rsid w:val="0046763E"/>
    <w:rsid w:val="0046765C"/>
    <w:rsid w:val="004676D6"/>
    <w:rsid w:val="004676E2"/>
    <w:rsid w:val="004676F7"/>
    <w:rsid w:val="00467836"/>
    <w:rsid w:val="004679CA"/>
    <w:rsid w:val="004679EB"/>
    <w:rsid w:val="00467A10"/>
    <w:rsid w:val="00467A71"/>
    <w:rsid w:val="00467ACC"/>
    <w:rsid w:val="00467B1E"/>
    <w:rsid w:val="00467B8C"/>
    <w:rsid w:val="00467B92"/>
    <w:rsid w:val="00467BA3"/>
    <w:rsid w:val="00467BD2"/>
    <w:rsid w:val="00467C14"/>
    <w:rsid w:val="00467CD9"/>
    <w:rsid w:val="00467D03"/>
    <w:rsid w:val="00467D63"/>
    <w:rsid w:val="00467E15"/>
    <w:rsid w:val="00467EB0"/>
    <w:rsid w:val="00467EF9"/>
    <w:rsid w:val="00467F4F"/>
    <w:rsid w:val="00467F8D"/>
    <w:rsid w:val="00467FA4"/>
    <w:rsid w:val="00467FAA"/>
    <w:rsid w:val="00467FD2"/>
    <w:rsid w:val="004700BF"/>
    <w:rsid w:val="0047010D"/>
    <w:rsid w:val="00470266"/>
    <w:rsid w:val="00470353"/>
    <w:rsid w:val="004703C4"/>
    <w:rsid w:val="004703CF"/>
    <w:rsid w:val="00470446"/>
    <w:rsid w:val="00470461"/>
    <w:rsid w:val="004704B7"/>
    <w:rsid w:val="0047053C"/>
    <w:rsid w:val="0047059A"/>
    <w:rsid w:val="004705A7"/>
    <w:rsid w:val="0047060D"/>
    <w:rsid w:val="00470616"/>
    <w:rsid w:val="0047063C"/>
    <w:rsid w:val="00470690"/>
    <w:rsid w:val="004706CD"/>
    <w:rsid w:val="004706DB"/>
    <w:rsid w:val="00470798"/>
    <w:rsid w:val="004707B2"/>
    <w:rsid w:val="00470873"/>
    <w:rsid w:val="004708E0"/>
    <w:rsid w:val="0047098B"/>
    <w:rsid w:val="00470AC2"/>
    <w:rsid w:val="00470BBE"/>
    <w:rsid w:val="00470C67"/>
    <w:rsid w:val="00470D2F"/>
    <w:rsid w:val="00470D57"/>
    <w:rsid w:val="00470D90"/>
    <w:rsid w:val="00470E0A"/>
    <w:rsid w:val="00470E7E"/>
    <w:rsid w:val="00470EE0"/>
    <w:rsid w:val="00470F2D"/>
    <w:rsid w:val="00470FE4"/>
    <w:rsid w:val="00470FE5"/>
    <w:rsid w:val="0047100A"/>
    <w:rsid w:val="0047100C"/>
    <w:rsid w:val="00471030"/>
    <w:rsid w:val="0047104A"/>
    <w:rsid w:val="0047106A"/>
    <w:rsid w:val="00471079"/>
    <w:rsid w:val="00471115"/>
    <w:rsid w:val="00471140"/>
    <w:rsid w:val="00471157"/>
    <w:rsid w:val="004711BB"/>
    <w:rsid w:val="0047123D"/>
    <w:rsid w:val="004712AD"/>
    <w:rsid w:val="00471352"/>
    <w:rsid w:val="0047135C"/>
    <w:rsid w:val="004713CC"/>
    <w:rsid w:val="00471422"/>
    <w:rsid w:val="004714E6"/>
    <w:rsid w:val="00471514"/>
    <w:rsid w:val="0047152B"/>
    <w:rsid w:val="0047154C"/>
    <w:rsid w:val="00471556"/>
    <w:rsid w:val="004715FA"/>
    <w:rsid w:val="0047169B"/>
    <w:rsid w:val="00471716"/>
    <w:rsid w:val="00471787"/>
    <w:rsid w:val="004717C0"/>
    <w:rsid w:val="00471816"/>
    <w:rsid w:val="00471882"/>
    <w:rsid w:val="0047188A"/>
    <w:rsid w:val="004718EE"/>
    <w:rsid w:val="00471902"/>
    <w:rsid w:val="0047194E"/>
    <w:rsid w:val="00471963"/>
    <w:rsid w:val="004719AD"/>
    <w:rsid w:val="004719F9"/>
    <w:rsid w:val="00471A05"/>
    <w:rsid w:val="00471A20"/>
    <w:rsid w:val="00471A91"/>
    <w:rsid w:val="00471AA0"/>
    <w:rsid w:val="00471B5B"/>
    <w:rsid w:val="00471B6E"/>
    <w:rsid w:val="00471B99"/>
    <w:rsid w:val="00471BF2"/>
    <w:rsid w:val="00471CD9"/>
    <w:rsid w:val="00471CFE"/>
    <w:rsid w:val="00471D2F"/>
    <w:rsid w:val="00471D79"/>
    <w:rsid w:val="00471D82"/>
    <w:rsid w:val="00471DA5"/>
    <w:rsid w:val="00471DF0"/>
    <w:rsid w:val="00471E09"/>
    <w:rsid w:val="00471E18"/>
    <w:rsid w:val="00471E58"/>
    <w:rsid w:val="00471EEA"/>
    <w:rsid w:val="00471F75"/>
    <w:rsid w:val="00471F8A"/>
    <w:rsid w:val="00472057"/>
    <w:rsid w:val="004720E0"/>
    <w:rsid w:val="00472109"/>
    <w:rsid w:val="00472139"/>
    <w:rsid w:val="004721DF"/>
    <w:rsid w:val="004721E1"/>
    <w:rsid w:val="00472237"/>
    <w:rsid w:val="00472287"/>
    <w:rsid w:val="00472299"/>
    <w:rsid w:val="00472353"/>
    <w:rsid w:val="00472396"/>
    <w:rsid w:val="004724AD"/>
    <w:rsid w:val="0047252C"/>
    <w:rsid w:val="00472585"/>
    <w:rsid w:val="0047258B"/>
    <w:rsid w:val="0047263F"/>
    <w:rsid w:val="0047268A"/>
    <w:rsid w:val="00472690"/>
    <w:rsid w:val="00472702"/>
    <w:rsid w:val="0047273E"/>
    <w:rsid w:val="00472780"/>
    <w:rsid w:val="0047288C"/>
    <w:rsid w:val="004728C7"/>
    <w:rsid w:val="00472976"/>
    <w:rsid w:val="004729AB"/>
    <w:rsid w:val="004729B8"/>
    <w:rsid w:val="004729EF"/>
    <w:rsid w:val="00472AD6"/>
    <w:rsid w:val="00472B2B"/>
    <w:rsid w:val="00472B50"/>
    <w:rsid w:val="00472B69"/>
    <w:rsid w:val="00472C26"/>
    <w:rsid w:val="00472C67"/>
    <w:rsid w:val="00472D11"/>
    <w:rsid w:val="00472D33"/>
    <w:rsid w:val="00472D37"/>
    <w:rsid w:val="00472E73"/>
    <w:rsid w:val="00472F06"/>
    <w:rsid w:val="00472F38"/>
    <w:rsid w:val="00472F41"/>
    <w:rsid w:val="00472F6E"/>
    <w:rsid w:val="00472F84"/>
    <w:rsid w:val="00473048"/>
    <w:rsid w:val="00473071"/>
    <w:rsid w:val="004730F4"/>
    <w:rsid w:val="004730F5"/>
    <w:rsid w:val="00473103"/>
    <w:rsid w:val="00473106"/>
    <w:rsid w:val="00473111"/>
    <w:rsid w:val="00473143"/>
    <w:rsid w:val="0047314C"/>
    <w:rsid w:val="004731C1"/>
    <w:rsid w:val="004732CE"/>
    <w:rsid w:val="00473375"/>
    <w:rsid w:val="00473489"/>
    <w:rsid w:val="004734D1"/>
    <w:rsid w:val="004734D5"/>
    <w:rsid w:val="00473558"/>
    <w:rsid w:val="0047358E"/>
    <w:rsid w:val="004735BA"/>
    <w:rsid w:val="004735CC"/>
    <w:rsid w:val="004735D7"/>
    <w:rsid w:val="00473601"/>
    <w:rsid w:val="0047368C"/>
    <w:rsid w:val="004736E2"/>
    <w:rsid w:val="004736F3"/>
    <w:rsid w:val="004737A5"/>
    <w:rsid w:val="00473869"/>
    <w:rsid w:val="004738F3"/>
    <w:rsid w:val="00473942"/>
    <w:rsid w:val="00473950"/>
    <w:rsid w:val="004739B1"/>
    <w:rsid w:val="004739B8"/>
    <w:rsid w:val="00473A06"/>
    <w:rsid w:val="00473A25"/>
    <w:rsid w:val="00473B28"/>
    <w:rsid w:val="00473B6A"/>
    <w:rsid w:val="00473BB3"/>
    <w:rsid w:val="00473C34"/>
    <w:rsid w:val="00473CB5"/>
    <w:rsid w:val="00473CB6"/>
    <w:rsid w:val="00473D5C"/>
    <w:rsid w:val="00473DBB"/>
    <w:rsid w:val="00473E30"/>
    <w:rsid w:val="00473F60"/>
    <w:rsid w:val="0047408B"/>
    <w:rsid w:val="004740AB"/>
    <w:rsid w:val="004740B0"/>
    <w:rsid w:val="00474144"/>
    <w:rsid w:val="004741E8"/>
    <w:rsid w:val="004741FA"/>
    <w:rsid w:val="004742EA"/>
    <w:rsid w:val="0047432B"/>
    <w:rsid w:val="0047433E"/>
    <w:rsid w:val="004743B9"/>
    <w:rsid w:val="0047440B"/>
    <w:rsid w:val="00474477"/>
    <w:rsid w:val="004744AB"/>
    <w:rsid w:val="004744D5"/>
    <w:rsid w:val="004744E0"/>
    <w:rsid w:val="00474543"/>
    <w:rsid w:val="00474564"/>
    <w:rsid w:val="004745AA"/>
    <w:rsid w:val="00474648"/>
    <w:rsid w:val="00474666"/>
    <w:rsid w:val="00474670"/>
    <w:rsid w:val="004746D8"/>
    <w:rsid w:val="0047470C"/>
    <w:rsid w:val="0047473F"/>
    <w:rsid w:val="00474750"/>
    <w:rsid w:val="004747B3"/>
    <w:rsid w:val="004747C8"/>
    <w:rsid w:val="004747E1"/>
    <w:rsid w:val="00474810"/>
    <w:rsid w:val="004748C1"/>
    <w:rsid w:val="004748EE"/>
    <w:rsid w:val="00474987"/>
    <w:rsid w:val="00474A8E"/>
    <w:rsid w:val="00474AC4"/>
    <w:rsid w:val="00474AF7"/>
    <w:rsid w:val="00474CFC"/>
    <w:rsid w:val="00474D21"/>
    <w:rsid w:val="00474D95"/>
    <w:rsid w:val="00474E33"/>
    <w:rsid w:val="00474E41"/>
    <w:rsid w:val="00474EB5"/>
    <w:rsid w:val="00474F2F"/>
    <w:rsid w:val="00474FCE"/>
    <w:rsid w:val="00474FFB"/>
    <w:rsid w:val="00474FFC"/>
    <w:rsid w:val="0047507F"/>
    <w:rsid w:val="00475093"/>
    <w:rsid w:val="00475096"/>
    <w:rsid w:val="004750B6"/>
    <w:rsid w:val="004750DA"/>
    <w:rsid w:val="0047511D"/>
    <w:rsid w:val="00475150"/>
    <w:rsid w:val="00475151"/>
    <w:rsid w:val="0047516E"/>
    <w:rsid w:val="0047519E"/>
    <w:rsid w:val="004751DA"/>
    <w:rsid w:val="004751F0"/>
    <w:rsid w:val="00475207"/>
    <w:rsid w:val="004752B4"/>
    <w:rsid w:val="004753CE"/>
    <w:rsid w:val="00475467"/>
    <w:rsid w:val="00475478"/>
    <w:rsid w:val="004754AE"/>
    <w:rsid w:val="004754B9"/>
    <w:rsid w:val="00475567"/>
    <w:rsid w:val="00475574"/>
    <w:rsid w:val="004755D3"/>
    <w:rsid w:val="004755F8"/>
    <w:rsid w:val="00475631"/>
    <w:rsid w:val="004756D2"/>
    <w:rsid w:val="0047571C"/>
    <w:rsid w:val="0047579D"/>
    <w:rsid w:val="004757C9"/>
    <w:rsid w:val="004757DB"/>
    <w:rsid w:val="0047584A"/>
    <w:rsid w:val="00475854"/>
    <w:rsid w:val="00475970"/>
    <w:rsid w:val="00475997"/>
    <w:rsid w:val="00475A1C"/>
    <w:rsid w:val="00475B2D"/>
    <w:rsid w:val="00475BA3"/>
    <w:rsid w:val="00475BE4"/>
    <w:rsid w:val="00475C41"/>
    <w:rsid w:val="00475C68"/>
    <w:rsid w:val="00475CFD"/>
    <w:rsid w:val="00475D0D"/>
    <w:rsid w:val="00475DAB"/>
    <w:rsid w:val="00475DC3"/>
    <w:rsid w:val="00475ED1"/>
    <w:rsid w:val="00475ED3"/>
    <w:rsid w:val="00475FAE"/>
    <w:rsid w:val="00476073"/>
    <w:rsid w:val="00476206"/>
    <w:rsid w:val="00476289"/>
    <w:rsid w:val="004762C3"/>
    <w:rsid w:val="0047631D"/>
    <w:rsid w:val="00476459"/>
    <w:rsid w:val="00476476"/>
    <w:rsid w:val="004764AB"/>
    <w:rsid w:val="004764CE"/>
    <w:rsid w:val="004764DD"/>
    <w:rsid w:val="004764E0"/>
    <w:rsid w:val="004764E6"/>
    <w:rsid w:val="00476528"/>
    <w:rsid w:val="0047656B"/>
    <w:rsid w:val="0047657A"/>
    <w:rsid w:val="00476672"/>
    <w:rsid w:val="00476696"/>
    <w:rsid w:val="00476701"/>
    <w:rsid w:val="004768BA"/>
    <w:rsid w:val="004768D4"/>
    <w:rsid w:val="004768FF"/>
    <w:rsid w:val="004769E3"/>
    <w:rsid w:val="00476A01"/>
    <w:rsid w:val="00476A70"/>
    <w:rsid w:val="00476B13"/>
    <w:rsid w:val="00476B26"/>
    <w:rsid w:val="00476BC3"/>
    <w:rsid w:val="00476C1A"/>
    <w:rsid w:val="00476C49"/>
    <w:rsid w:val="00476D26"/>
    <w:rsid w:val="00476D50"/>
    <w:rsid w:val="00476DB6"/>
    <w:rsid w:val="00476E20"/>
    <w:rsid w:val="00476EBF"/>
    <w:rsid w:val="00476F6F"/>
    <w:rsid w:val="00476F74"/>
    <w:rsid w:val="00476F8F"/>
    <w:rsid w:val="004770D4"/>
    <w:rsid w:val="00477199"/>
    <w:rsid w:val="00477245"/>
    <w:rsid w:val="00477296"/>
    <w:rsid w:val="0047729C"/>
    <w:rsid w:val="00477364"/>
    <w:rsid w:val="004773FE"/>
    <w:rsid w:val="0047742E"/>
    <w:rsid w:val="004774A1"/>
    <w:rsid w:val="004774BE"/>
    <w:rsid w:val="00477573"/>
    <w:rsid w:val="0047760D"/>
    <w:rsid w:val="0047769C"/>
    <w:rsid w:val="004776F5"/>
    <w:rsid w:val="0047771C"/>
    <w:rsid w:val="004777A4"/>
    <w:rsid w:val="004777DC"/>
    <w:rsid w:val="0047790A"/>
    <w:rsid w:val="00477AD4"/>
    <w:rsid w:val="00477AED"/>
    <w:rsid w:val="00477B8F"/>
    <w:rsid w:val="00477C16"/>
    <w:rsid w:val="00477C8A"/>
    <w:rsid w:val="00477D5E"/>
    <w:rsid w:val="00477D7C"/>
    <w:rsid w:val="00477D9A"/>
    <w:rsid w:val="00477D9B"/>
    <w:rsid w:val="00477DD3"/>
    <w:rsid w:val="00477E02"/>
    <w:rsid w:val="00477EBC"/>
    <w:rsid w:val="00477ED5"/>
    <w:rsid w:val="00477EF4"/>
    <w:rsid w:val="00477F17"/>
    <w:rsid w:val="00477FEF"/>
    <w:rsid w:val="00480025"/>
    <w:rsid w:val="004800B5"/>
    <w:rsid w:val="004800BF"/>
    <w:rsid w:val="004800E3"/>
    <w:rsid w:val="0048016E"/>
    <w:rsid w:val="004801DA"/>
    <w:rsid w:val="004801E0"/>
    <w:rsid w:val="00480260"/>
    <w:rsid w:val="004802D6"/>
    <w:rsid w:val="00480309"/>
    <w:rsid w:val="00480371"/>
    <w:rsid w:val="00480429"/>
    <w:rsid w:val="00480448"/>
    <w:rsid w:val="00480498"/>
    <w:rsid w:val="004804DB"/>
    <w:rsid w:val="00480564"/>
    <w:rsid w:val="00480603"/>
    <w:rsid w:val="00480616"/>
    <w:rsid w:val="004806C0"/>
    <w:rsid w:val="00480788"/>
    <w:rsid w:val="00480833"/>
    <w:rsid w:val="0048087F"/>
    <w:rsid w:val="00480883"/>
    <w:rsid w:val="0048095A"/>
    <w:rsid w:val="004809B9"/>
    <w:rsid w:val="004809BB"/>
    <w:rsid w:val="00480A41"/>
    <w:rsid w:val="00480A8C"/>
    <w:rsid w:val="00480AA1"/>
    <w:rsid w:val="00480AB9"/>
    <w:rsid w:val="00480AF2"/>
    <w:rsid w:val="00480AF3"/>
    <w:rsid w:val="00480B1D"/>
    <w:rsid w:val="00480B62"/>
    <w:rsid w:val="00480BB0"/>
    <w:rsid w:val="00480BD3"/>
    <w:rsid w:val="00480CBD"/>
    <w:rsid w:val="00480CD4"/>
    <w:rsid w:val="00480CF7"/>
    <w:rsid w:val="00480DA3"/>
    <w:rsid w:val="00480E11"/>
    <w:rsid w:val="00480E64"/>
    <w:rsid w:val="00480F68"/>
    <w:rsid w:val="00480F73"/>
    <w:rsid w:val="00480FA6"/>
    <w:rsid w:val="00480FBB"/>
    <w:rsid w:val="00480FF4"/>
    <w:rsid w:val="00481027"/>
    <w:rsid w:val="00481063"/>
    <w:rsid w:val="0048107A"/>
    <w:rsid w:val="0048109C"/>
    <w:rsid w:val="00481145"/>
    <w:rsid w:val="00481148"/>
    <w:rsid w:val="0048117C"/>
    <w:rsid w:val="004811EC"/>
    <w:rsid w:val="00481250"/>
    <w:rsid w:val="004812A4"/>
    <w:rsid w:val="004812CA"/>
    <w:rsid w:val="004812E8"/>
    <w:rsid w:val="00481305"/>
    <w:rsid w:val="00481334"/>
    <w:rsid w:val="00481337"/>
    <w:rsid w:val="00481340"/>
    <w:rsid w:val="00481379"/>
    <w:rsid w:val="004813D6"/>
    <w:rsid w:val="00481434"/>
    <w:rsid w:val="00481446"/>
    <w:rsid w:val="0048147A"/>
    <w:rsid w:val="00481494"/>
    <w:rsid w:val="004814BF"/>
    <w:rsid w:val="004814C3"/>
    <w:rsid w:val="004814D7"/>
    <w:rsid w:val="004815D3"/>
    <w:rsid w:val="00481621"/>
    <w:rsid w:val="004816E9"/>
    <w:rsid w:val="0048175C"/>
    <w:rsid w:val="004817BE"/>
    <w:rsid w:val="00481841"/>
    <w:rsid w:val="00481871"/>
    <w:rsid w:val="00481873"/>
    <w:rsid w:val="0048197E"/>
    <w:rsid w:val="0048198D"/>
    <w:rsid w:val="00481A09"/>
    <w:rsid w:val="00481A38"/>
    <w:rsid w:val="00481A78"/>
    <w:rsid w:val="00481A90"/>
    <w:rsid w:val="00481AC6"/>
    <w:rsid w:val="00481B27"/>
    <w:rsid w:val="00481B7D"/>
    <w:rsid w:val="00481C0A"/>
    <w:rsid w:val="00481C2D"/>
    <w:rsid w:val="00481CC4"/>
    <w:rsid w:val="00481CD0"/>
    <w:rsid w:val="00481CF1"/>
    <w:rsid w:val="00481E04"/>
    <w:rsid w:val="00481E0B"/>
    <w:rsid w:val="00481E24"/>
    <w:rsid w:val="00481E2E"/>
    <w:rsid w:val="00481E30"/>
    <w:rsid w:val="00481E42"/>
    <w:rsid w:val="00481F29"/>
    <w:rsid w:val="00482013"/>
    <w:rsid w:val="0048205E"/>
    <w:rsid w:val="004820E9"/>
    <w:rsid w:val="00482191"/>
    <w:rsid w:val="004821FC"/>
    <w:rsid w:val="00482238"/>
    <w:rsid w:val="004822D6"/>
    <w:rsid w:val="0048230C"/>
    <w:rsid w:val="00482343"/>
    <w:rsid w:val="004823C0"/>
    <w:rsid w:val="0048241A"/>
    <w:rsid w:val="00482456"/>
    <w:rsid w:val="004824F4"/>
    <w:rsid w:val="004825A9"/>
    <w:rsid w:val="004825B5"/>
    <w:rsid w:val="004825CA"/>
    <w:rsid w:val="004825E3"/>
    <w:rsid w:val="00482661"/>
    <w:rsid w:val="00482662"/>
    <w:rsid w:val="00482690"/>
    <w:rsid w:val="004826A8"/>
    <w:rsid w:val="004826AE"/>
    <w:rsid w:val="004826C4"/>
    <w:rsid w:val="00482741"/>
    <w:rsid w:val="00482901"/>
    <w:rsid w:val="0048293F"/>
    <w:rsid w:val="00482964"/>
    <w:rsid w:val="00482975"/>
    <w:rsid w:val="004829F2"/>
    <w:rsid w:val="00482A26"/>
    <w:rsid w:val="00482A2A"/>
    <w:rsid w:val="00482B81"/>
    <w:rsid w:val="00482C28"/>
    <w:rsid w:val="00482C8D"/>
    <w:rsid w:val="00482CD6"/>
    <w:rsid w:val="00482DA5"/>
    <w:rsid w:val="00482E27"/>
    <w:rsid w:val="00482E51"/>
    <w:rsid w:val="00482F91"/>
    <w:rsid w:val="00482FD2"/>
    <w:rsid w:val="00483123"/>
    <w:rsid w:val="004831D4"/>
    <w:rsid w:val="004831FB"/>
    <w:rsid w:val="0048325B"/>
    <w:rsid w:val="0048328F"/>
    <w:rsid w:val="004832F2"/>
    <w:rsid w:val="00483399"/>
    <w:rsid w:val="004833C5"/>
    <w:rsid w:val="004833EB"/>
    <w:rsid w:val="004833F6"/>
    <w:rsid w:val="00483438"/>
    <w:rsid w:val="00483443"/>
    <w:rsid w:val="0048348E"/>
    <w:rsid w:val="004834C9"/>
    <w:rsid w:val="004834D2"/>
    <w:rsid w:val="004834D5"/>
    <w:rsid w:val="004835A2"/>
    <w:rsid w:val="00483641"/>
    <w:rsid w:val="0048369C"/>
    <w:rsid w:val="00483743"/>
    <w:rsid w:val="00483798"/>
    <w:rsid w:val="004837B9"/>
    <w:rsid w:val="004837FB"/>
    <w:rsid w:val="0048387A"/>
    <w:rsid w:val="004838BD"/>
    <w:rsid w:val="004838E0"/>
    <w:rsid w:val="00483917"/>
    <w:rsid w:val="00483A4E"/>
    <w:rsid w:val="00483A8D"/>
    <w:rsid w:val="00483AC8"/>
    <w:rsid w:val="00483AEA"/>
    <w:rsid w:val="00483B4F"/>
    <w:rsid w:val="00483CC3"/>
    <w:rsid w:val="00483D6D"/>
    <w:rsid w:val="00483E32"/>
    <w:rsid w:val="00483E90"/>
    <w:rsid w:val="00483FEE"/>
    <w:rsid w:val="00483FEF"/>
    <w:rsid w:val="00484044"/>
    <w:rsid w:val="0048405F"/>
    <w:rsid w:val="00484069"/>
    <w:rsid w:val="004840D5"/>
    <w:rsid w:val="0048419E"/>
    <w:rsid w:val="004841FF"/>
    <w:rsid w:val="00484241"/>
    <w:rsid w:val="0048428A"/>
    <w:rsid w:val="0048434F"/>
    <w:rsid w:val="00484371"/>
    <w:rsid w:val="004843C9"/>
    <w:rsid w:val="004843D3"/>
    <w:rsid w:val="004843E9"/>
    <w:rsid w:val="00484401"/>
    <w:rsid w:val="0048442E"/>
    <w:rsid w:val="00484437"/>
    <w:rsid w:val="004844B0"/>
    <w:rsid w:val="004844E1"/>
    <w:rsid w:val="004845AF"/>
    <w:rsid w:val="004845B4"/>
    <w:rsid w:val="004845F6"/>
    <w:rsid w:val="0048462A"/>
    <w:rsid w:val="00484682"/>
    <w:rsid w:val="0048482D"/>
    <w:rsid w:val="0048493F"/>
    <w:rsid w:val="004849A5"/>
    <w:rsid w:val="004849C1"/>
    <w:rsid w:val="00484ACE"/>
    <w:rsid w:val="00484B31"/>
    <w:rsid w:val="00484B6F"/>
    <w:rsid w:val="00484BA6"/>
    <w:rsid w:val="00484C47"/>
    <w:rsid w:val="00484D6C"/>
    <w:rsid w:val="00484D9B"/>
    <w:rsid w:val="00484F2D"/>
    <w:rsid w:val="00484F56"/>
    <w:rsid w:val="0048500E"/>
    <w:rsid w:val="0048503A"/>
    <w:rsid w:val="00485041"/>
    <w:rsid w:val="00485059"/>
    <w:rsid w:val="0048507C"/>
    <w:rsid w:val="0048508A"/>
    <w:rsid w:val="004850E3"/>
    <w:rsid w:val="0048516E"/>
    <w:rsid w:val="00485263"/>
    <w:rsid w:val="0048529C"/>
    <w:rsid w:val="00485329"/>
    <w:rsid w:val="0048532A"/>
    <w:rsid w:val="0048533B"/>
    <w:rsid w:val="004853B0"/>
    <w:rsid w:val="004853C3"/>
    <w:rsid w:val="0048541E"/>
    <w:rsid w:val="00485460"/>
    <w:rsid w:val="0048546A"/>
    <w:rsid w:val="0048549C"/>
    <w:rsid w:val="0048549D"/>
    <w:rsid w:val="004854C3"/>
    <w:rsid w:val="004854D9"/>
    <w:rsid w:val="00485519"/>
    <w:rsid w:val="00485539"/>
    <w:rsid w:val="004855AC"/>
    <w:rsid w:val="004855CE"/>
    <w:rsid w:val="004855FA"/>
    <w:rsid w:val="00485610"/>
    <w:rsid w:val="00485629"/>
    <w:rsid w:val="0048562D"/>
    <w:rsid w:val="00485643"/>
    <w:rsid w:val="00485667"/>
    <w:rsid w:val="004856DA"/>
    <w:rsid w:val="004857A0"/>
    <w:rsid w:val="004857A6"/>
    <w:rsid w:val="004857B2"/>
    <w:rsid w:val="00485822"/>
    <w:rsid w:val="00485859"/>
    <w:rsid w:val="0048590F"/>
    <w:rsid w:val="00485923"/>
    <w:rsid w:val="00485AC5"/>
    <w:rsid w:val="00485AD1"/>
    <w:rsid w:val="00485B90"/>
    <w:rsid w:val="00485BB3"/>
    <w:rsid w:val="00485BF5"/>
    <w:rsid w:val="00485C03"/>
    <w:rsid w:val="00485C09"/>
    <w:rsid w:val="00485E19"/>
    <w:rsid w:val="00485E43"/>
    <w:rsid w:val="00485F3C"/>
    <w:rsid w:val="00485FF0"/>
    <w:rsid w:val="0048603F"/>
    <w:rsid w:val="00486080"/>
    <w:rsid w:val="004861A5"/>
    <w:rsid w:val="00486233"/>
    <w:rsid w:val="00486264"/>
    <w:rsid w:val="004862A3"/>
    <w:rsid w:val="00486307"/>
    <w:rsid w:val="0048634A"/>
    <w:rsid w:val="0048636F"/>
    <w:rsid w:val="00486372"/>
    <w:rsid w:val="004863EE"/>
    <w:rsid w:val="004863FE"/>
    <w:rsid w:val="00486490"/>
    <w:rsid w:val="00486494"/>
    <w:rsid w:val="004864DF"/>
    <w:rsid w:val="0048651A"/>
    <w:rsid w:val="00486534"/>
    <w:rsid w:val="004865B1"/>
    <w:rsid w:val="00486602"/>
    <w:rsid w:val="0048667E"/>
    <w:rsid w:val="004866CA"/>
    <w:rsid w:val="0048677F"/>
    <w:rsid w:val="004867F5"/>
    <w:rsid w:val="00486809"/>
    <w:rsid w:val="00486848"/>
    <w:rsid w:val="00486873"/>
    <w:rsid w:val="0048689C"/>
    <w:rsid w:val="004868AB"/>
    <w:rsid w:val="004868E9"/>
    <w:rsid w:val="00486973"/>
    <w:rsid w:val="00486A00"/>
    <w:rsid w:val="00486A05"/>
    <w:rsid w:val="00486A31"/>
    <w:rsid w:val="00486A60"/>
    <w:rsid w:val="00486A95"/>
    <w:rsid w:val="00486ACE"/>
    <w:rsid w:val="00486B45"/>
    <w:rsid w:val="00486BC5"/>
    <w:rsid w:val="00486BD9"/>
    <w:rsid w:val="00486C09"/>
    <w:rsid w:val="00486C33"/>
    <w:rsid w:val="00486CEB"/>
    <w:rsid w:val="00486CF2"/>
    <w:rsid w:val="00486D21"/>
    <w:rsid w:val="00486D31"/>
    <w:rsid w:val="00486D37"/>
    <w:rsid w:val="00486D9A"/>
    <w:rsid w:val="00486DED"/>
    <w:rsid w:val="00486E56"/>
    <w:rsid w:val="00486E6E"/>
    <w:rsid w:val="00486EE5"/>
    <w:rsid w:val="00486FD5"/>
    <w:rsid w:val="00487021"/>
    <w:rsid w:val="00487067"/>
    <w:rsid w:val="0048707E"/>
    <w:rsid w:val="0048709E"/>
    <w:rsid w:val="00487172"/>
    <w:rsid w:val="0048723C"/>
    <w:rsid w:val="0048728E"/>
    <w:rsid w:val="004872AC"/>
    <w:rsid w:val="004872CE"/>
    <w:rsid w:val="004872F0"/>
    <w:rsid w:val="004873FF"/>
    <w:rsid w:val="0048750E"/>
    <w:rsid w:val="0048761A"/>
    <w:rsid w:val="00487628"/>
    <w:rsid w:val="00487640"/>
    <w:rsid w:val="00487692"/>
    <w:rsid w:val="00487716"/>
    <w:rsid w:val="004877CA"/>
    <w:rsid w:val="00487884"/>
    <w:rsid w:val="00487966"/>
    <w:rsid w:val="0048797C"/>
    <w:rsid w:val="004879F9"/>
    <w:rsid w:val="00487AE0"/>
    <w:rsid w:val="00487AF6"/>
    <w:rsid w:val="00487B12"/>
    <w:rsid w:val="00487B27"/>
    <w:rsid w:val="00487B7A"/>
    <w:rsid w:val="00487B7B"/>
    <w:rsid w:val="00487B7D"/>
    <w:rsid w:val="00487B9C"/>
    <w:rsid w:val="00487BEC"/>
    <w:rsid w:val="00487BFB"/>
    <w:rsid w:val="00487BFF"/>
    <w:rsid w:val="00487C62"/>
    <w:rsid w:val="00487C91"/>
    <w:rsid w:val="00487D26"/>
    <w:rsid w:val="00487D48"/>
    <w:rsid w:val="00487DD4"/>
    <w:rsid w:val="00487E5C"/>
    <w:rsid w:val="00487F4C"/>
    <w:rsid w:val="00487F60"/>
    <w:rsid w:val="00487F6A"/>
    <w:rsid w:val="0049007F"/>
    <w:rsid w:val="004900D6"/>
    <w:rsid w:val="00490180"/>
    <w:rsid w:val="004901CC"/>
    <w:rsid w:val="00490209"/>
    <w:rsid w:val="0049025C"/>
    <w:rsid w:val="00490269"/>
    <w:rsid w:val="004902DC"/>
    <w:rsid w:val="00490331"/>
    <w:rsid w:val="0049033B"/>
    <w:rsid w:val="004903B3"/>
    <w:rsid w:val="0049044E"/>
    <w:rsid w:val="0049045D"/>
    <w:rsid w:val="004904A6"/>
    <w:rsid w:val="00490554"/>
    <w:rsid w:val="004905A3"/>
    <w:rsid w:val="004905F9"/>
    <w:rsid w:val="0049061B"/>
    <w:rsid w:val="0049065F"/>
    <w:rsid w:val="004906B9"/>
    <w:rsid w:val="00490700"/>
    <w:rsid w:val="00490728"/>
    <w:rsid w:val="00490862"/>
    <w:rsid w:val="00490866"/>
    <w:rsid w:val="00490891"/>
    <w:rsid w:val="00490899"/>
    <w:rsid w:val="004908A1"/>
    <w:rsid w:val="004908A9"/>
    <w:rsid w:val="004908F4"/>
    <w:rsid w:val="00490988"/>
    <w:rsid w:val="0049098A"/>
    <w:rsid w:val="00490A33"/>
    <w:rsid w:val="00490A82"/>
    <w:rsid w:val="00490AEF"/>
    <w:rsid w:val="00490B23"/>
    <w:rsid w:val="00490BA6"/>
    <w:rsid w:val="00490C12"/>
    <w:rsid w:val="00490C15"/>
    <w:rsid w:val="00490C39"/>
    <w:rsid w:val="00490C7F"/>
    <w:rsid w:val="00490CE1"/>
    <w:rsid w:val="00490D00"/>
    <w:rsid w:val="00490DA6"/>
    <w:rsid w:val="00490DE5"/>
    <w:rsid w:val="00490E01"/>
    <w:rsid w:val="00490E81"/>
    <w:rsid w:val="00490EA4"/>
    <w:rsid w:val="00490ED5"/>
    <w:rsid w:val="00490EDF"/>
    <w:rsid w:val="00490F25"/>
    <w:rsid w:val="00490F36"/>
    <w:rsid w:val="00490F39"/>
    <w:rsid w:val="00490FA4"/>
    <w:rsid w:val="00490FBB"/>
    <w:rsid w:val="00490FD5"/>
    <w:rsid w:val="00490FD6"/>
    <w:rsid w:val="00490FE5"/>
    <w:rsid w:val="0049101A"/>
    <w:rsid w:val="004910D9"/>
    <w:rsid w:val="004910E0"/>
    <w:rsid w:val="00491110"/>
    <w:rsid w:val="0049115A"/>
    <w:rsid w:val="0049115D"/>
    <w:rsid w:val="00491233"/>
    <w:rsid w:val="004912EC"/>
    <w:rsid w:val="004912F8"/>
    <w:rsid w:val="00491312"/>
    <w:rsid w:val="00491443"/>
    <w:rsid w:val="004914DF"/>
    <w:rsid w:val="004914F3"/>
    <w:rsid w:val="0049150F"/>
    <w:rsid w:val="0049152C"/>
    <w:rsid w:val="0049153E"/>
    <w:rsid w:val="00491574"/>
    <w:rsid w:val="00491648"/>
    <w:rsid w:val="004916AA"/>
    <w:rsid w:val="004917AC"/>
    <w:rsid w:val="004917F6"/>
    <w:rsid w:val="00491878"/>
    <w:rsid w:val="00491881"/>
    <w:rsid w:val="00491901"/>
    <w:rsid w:val="0049198E"/>
    <w:rsid w:val="004919A4"/>
    <w:rsid w:val="004919F1"/>
    <w:rsid w:val="00491C39"/>
    <w:rsid w:val="00491CCF"/>
    <w:rsid w:val="00491CE2"/>
    <w:rsid w:val="00491DF8"/>
    <w:rsid w:val="00491F75"/>
    <w:rsid w:val="00491FA7"/>
    <w:rsid w:val="0049206B"/>
    <w:rsid w:val="00492073"/>
    <w:rsid w:val="0049209B"/>
    <w:rsid w:val="004921DA"/>
    <w:rsid w:val="004921E9"/>
    <w:rsid w:val="004921FB"/>
    <w:rsid w:val="0049221C"/>
    <w:rsid w:val="00492224"/>
    <w:rsid w:val="0049230B"/>
    <w:rsid w:val="00492323"/>
    <w:rsid w:val="00492348"/>
    <w:rsid w:val="0049239E"/>
    <w:rsid w:val="004923EB"/>
    <w:rsid w:val="00492467"/>
    <w:rsid w:val="00492487"/>
    <w:rsid w:val="0049248C"/>
    <w:rsid w:val="004924A4"/>
    <w:rsid w:val="004924C0"/>
    <w:rsid w:val="00492503"/>
    <w:rsid w:val="0049250F"/>
    <w:rsid w:val="00492577"/>
    <w:rsid w:val="00492581"/>
    <w:rsid w:val="004925FD"/>
    <w:rsid w:val="004926CB"/>
    <w:rsid w:val="00492757"/>
    <w:rsid w:val="0049277C"/>
    <w:rsid w:val="004927C4"/>
    <w:rsid w:val="004927FA"/>
    <w:rsid w:val="00492818"/>
    <w:rsid w:val="00492845"/>
    <w:rsid w:val="00492868"/>
    <w:rsid w:val="00492910"/>
    <w:rsid w:val="00492914"/>
    <w:rsid w:val="0049294F"/>
    <w:rsid w:val="0049299B"/>
    <w:rsid w:val="004929DB"/>
    <w:rsid w:val="00492A3B"/>
    <w:rsid w:val="00492A5D"/>
    <w:rsid w:val="00492B2C"/>
    <w:rsid w:val="00492B4C"/>
    <w:rsid w:val="00492C07"/>
    <w:rsid w:val="00492C26"/>
    <w:rsid w:val="00492C9F"/>
    <w:rsid w:val="00492CAC"/>
    <w:rsid w:val="00492D03"/>
    <w:rsid w:val="00492E18"/>
    <w:rsid w:val="00492EA8"/>
    <w:rsid w:val="00492EB2"/>
    <w:rsid w:val="00492EFB"/>
    <w:rsid w:val="00492F0A"/>
    <w:rsid w:val="00492F5F"/>
    <w:rsid w:val="00492F71"/>
    <w:rsid w:val="00492FDA"/>
    <w:rsid w:val="0049300D"/>
    <w:rsid w:val="0049300F"/>
    <w:rsid w:val="00493015"/>
    <w:rsid w:val="00493033"/>
    <w:rsid w:val="004930F6"/>
    <w:rsid w:val="004931BA"/>
    <w:rsid w:val="004931CC"/>
    <w:rsid w:val="00493299"/>
    <w:rsid w:val="004932A9"/>
    <w:rsid w:val="004932B0"/>
    <w:rsid w:val="004932D8"/>
    <w:rsid w:val="00493335"/>
    <w:rsid w:val="004933DB"/>
    <w:rsid w:val="00493444"/>
    <w:rsid w:val="004934D5"/>
    <w:rsid w:val="0049351E"/>
    <w:rsid w:val="0049352D"/>
    <w:rsid w:val="004935D0"/>
    <w:rsid w:val="004935E4"/>
    <w:rsid w:val="004935E9"/>
    <w:rsid w:val="004936A4"/>
    <w:rsid w:val="004936E3"/>
    <w:rsid w:val="0049371E"/>
    <w:rsid w:val="00493727"/>
    <w:rsid w:val="00493757"/>
    <w:rsid w:val="004937C3"/>
    <w:rsid w:val="004937F9"/>
    <w:rsid w:val="00493851"/>
    <w:rsid w:val="0049388D"/>
    <w:rsid w:val="004938D9"/>
    <w:rsid w:val="004938E9"/>
    <w:rsid w:val="00493941"/>
    <w:rsid w:val="004939A3"/>
    <w:rsid w:val="00493B56"/>
    <w:rsid w:val="00493C90"/>
    <w:rsid w:val="00493CE9"/>
    <w:rsid w:val="00493D13"/>
    <w:rsid w:val="00493D37"/>
    <w:rsid w:val="00493F23"/>
    <w:rsid w:val="00493F66"/>
    <w:rsid w:val="00493FBF"/>
    <w:rsid w:val="0049402C"/>
    <w:rsid w:val="004940A5"/>
    <w:rsid w:val="00494133"/>
    <w:rsid w:val="0049414C"/>
    <w:rsid w:val="0049421E"/>
    <w:rsid w:val="0049422F"/>
    <w:rsid w:val="00494264"/>
    <w:rsid w:val="00494323"/>
    <w:rsid w:val="00494461"/>
    <w:rsid w:val="00494495"/>
    <w:rsid w:val="004944ED"/>
    <w:rsid w:val="00494518"/>
    <w:rsid w:val="00494561"/>
    <w:rsid w:val="0049463C"/>
    <w:rsid w:val="0049469F"/>
    <w:rsid w:val="004946D5"/>
    <w:rsid w:val="00494704"/>
    <w:rsid w:val="00494735"/>
    <w:rsid w:val="00494756"/>
    <w:rsid w:val="0049479C"/>
    <w:rsid w:val="004948AA"/>
    <w:rsid w:val="004948AE"/>
    <w:rsid w:val="004948D8"/>
    <w:rsid w:val="004948DD"/>
    <w:rsid w:val="004949FC"/>
    <w:rsid w:val="00494A37"/>
    <w:rsid w:val="00494A5F"/>
    <w:rsid w:val="00494B48"/>
    <w:rsid w:val="00494B7A"/>
    <w:rsid w:val="00494B85"/>
    <w:rsid w:val="00494C01"/>
    <w:rsid w:val="00494C49"/>
    <w:rsid w:val="00494C5F"/>
    <w:rsid w:val="00494C76"/>
    <w:rsid w:val="00494D3C"/>
    <w:rsid w:val="00494D6A"/>
    <w:rsid w:val="00494DB2"/>
    <w:rsid w:val="00494E25"/>
    <w:rsid w:val="00494ECB"/>
    <w:rsid w:val="00494ECE"/>
    <w:rsid w:val="00494F3F"/>
    <w:rsid w:val="00494FAE"/>
    <w:rsid w:val="00494FBC"/>
    <w:rsid w:val="00494FDA"/>
    <w:rsid w:val="00494FF9"/>
    <w:rsid w:val="00495062"/>
    <w:rsid w:val="004950B0"/>
    <w:rsid w:val="004950ED"/>
    <w:rsid w:val="00495149"/>
    <w:rsid w:val="00495183"/>
    <w:rsid w:val="00495233"/>
    <w:rsid w:val="004952BA"/>
    <w:rsid w:val="00495351"/>
    <w:rsid w:val="0049539C"/>
    <w:rsid w:val="004953A6"/>
    <w:rsid w:val="004953E9"/>
    <w:rsid w:val="004954E0"/>
    <w:rsid w:val="004955B0"/>
    <w:rsid w:val="004956B4"/>
    <w:rsid w:val="004956CC"/>
    <w:rsid w:val="0049577F"/>
    <w:rsid w:val="004957CB"/>
    <w:rsid w:val="004957E9"/>
    <w:rsid w:val="00495880"/>
    <w:rsid w:val="0049588E"/>
    <w:rsid w:val="004958A5"/>
    <w:rsid w:val="004958BE"/>
    <w:rsid w:val="004958C7"/>
    <w:rsid w:val="0049591F"/>
    <w:rsid w:val="0049592F"/>
    <w:rsid w:val="004959EF"/>
    <w:rsid w:val="004959FA"/>
    <w:rsid w:val="00495A48"/>
    <w:rsid w:val="00495B09"/>
    <w:rsid w:val="00495B0E"/>
    <w:rsid w:val="00495B2C"/>
    <w:rsid w:val="00495B3B"/>
    <w:rsid w:val="00495CC1"/>
    <w:rsid w:val="00495CDA"/>
    <w:rsid w:val="00495D80"/>
    <w:rsid w:val="00495D8E"/>
    <w:rsid w:val="00495DBF"/>
    <w:rsid w:val="00495E2E"/>
    <w:rsid w:val="00495E73"/>
    <w:rsid w:val="00495EEB"/>
    <w:rsid w:val="00495FC2"/>
    <w:rsid w:val="0049603C"/>
    <w:rsid w:val="004960E2"/>
    <w:rsid w:val="004960EE"/>
    <w:rsid w:val="0049612D"/>
    <w:rsid w:val="0049615D"/>
    <w:rsid w:val="00496166"/>
    <w:rsid w:val="0049616B"/>
    <w:rsid w:val="0049618F"/>
    <w:rsid w:val="00496190"/>
    <w:rsid w:val="004961D0"/>
    <w:rsid w:val="0049623A"/>
    <w:rsid w:val="00496282"/>
    <w:rsid w:val="004962C1"/>
    <w:rsid w:val="00496367"/>
    <w:rsid w:val="00496396"/>
    <w:rsid w:val="004963C7"/>
    <w:rsid w:val="0049648A"/>
    <w:rsid w:val="004964CC"/>
    <w:rsid w:val="004964F8"/>
    <w:rsid w:val="0049656B"/>
    <w:rsid w:val="0049661B"/>
    <w:rsid w:val="00496653"/>
    <w:rsid w:val="00496683"/>
    <w:rsid w:val="004966B8"/>
    <w:rsid w:val="004966F8"/>
    <w:rsid w:val="00496701"/>
    <w:rsid w:val="00496723"/>
    <w:rsid w:val="0049677E"/>
    <w:rsid w:val="00496784"/>
    <w:rsid w:val="00496864"/>
    <w:rsid w:val="0049693F"/>
    <w:rsid w:val="00496982"/>
    <w:rsid w:val="004969A3"/>
    <w:rsid w:val="004969DF"/>
    <w:rsid w:val="00496B72"/>
    <w:rsid w:val="00496BB4"/>
    <w:rsid w:val="00496BEA"/>
    <w:rsid w:val="00496C03"/>
    <w:rsid w:val="00496C19"/>
    <w:rsid w:val="00496C80"/>
    <w:rsid w:val="00496CF9"/>
    <w:rsid w:val="00496D11"/>
    <w:rsid w:val="00496D8D"/>
    <w:rsid w:val="00496DA0"/>
    <w:rsid w:val="00496E7C"/>
    <w:rsid w:val="00496F73"/>
    <w:rsid w:val="00497017"/>
    <w:rsid w:val="00497073"/>
    <w:rsid w:val="004970DB"/>
    <w:rsid w:val="004970E4"/>
    <w:rsid w:val="00497113"/>
    <w:rsid w:val="0049716A"/>
    <w:rsid w:val="004971C5"/>
    <w:rsid w:val="00497230"/>
    <w:rsid w:val="00497254"/>
    <w:rsid w:val="0049731E"/>
    <w:rsid w:val="00497451"/>
    <w:rsid w:val="004974B9"/>
    <w:rsid w:val="004974D0"/>
    <w:rsid w:val="0049753F"/>
    <w:rsid w:val="0049754E"/>
    <w:rsid w:val="00497573"/>
    <w:rsid w:val="00497665"/>
    <w:rsid w:val="00497876"/>
    <w:rsid w:val="00497882"/>
    <w:rsid w:val="004978E0"/>
    <w:rsid w:val="00497921"/>
    <w:rsid w:val="00497958"/>
    <w:rsid w:val="004979AD"/>
    <w:rsid w:val="00497A30"/>
    <w:rsid w:val="00497A41"/>
    <w:rsid w:val="00497A9A"/>
    <w:rsid w:val="00497AEE"/>
    <w:rsid w:val="00497B12"/>
    <w:rsid w:val="00497BB3"/>
    <w:rsid w:val="00497BCB"/>
    <w:rsid w:val="00497C22"/>
    <w:rsid w:val="00497C3A"/>
    <w:rsid w:val="00497C50"/>
    <w:rsid w:val="00497C77"/>
    <w:rsid w:val="00497C8E"/>
    <w:rsid w:val="00497C8F"/>
    <w:rsid w:val="00497D71"/>
    <w:rsid w:val="00497D80"/>
    <w:rsid w:val="00497DCF"/>
    <w:rsid w:val="00497E50"/>
    <w:rsid w:val="00497ED9"/>
    <w:rsid w:val="00497F50"/>
    <w:rsid w:val="00497FDB"/>
    <w:rsid w:val="00497FFE"/>
    <w:rsid w:val="004A0060"/>
    <w:rsid w:val="004A008B"/>
    <w:rsid w:val="004A01DB"/>
    <w:rsid w:val="004A01EA"/>
    <w:rsid w:val="004A02B7"/>
    <w:rsid w:val="004A02E5"/>
    <w:rsid w:val="004A0322"/>
    <w:rsid w:val="004A050E"/>
    <w:rsid w:val="004A0605"/>
    <w:rsid w:val="004A06F6"/>
    <w:rsid w:val="004A070D"/>
    <w:rsid w:val="004A0775"/>
    <w:rsid w:val="004A0781"/>
    <w:rsid w:val="004A0805"/>
    <w:rsid w:val="004A083B"/>
    <w:rsid w:val="004A08A1"/>
    <w:rsid w:val="004A09D3"/>
    <w:rsid w:val="004A0A2F"/>
    <w:rsid w:val="004A0A5C"/>
    <w:rsid w:val="004A0A6C"/>
    <w:rsid w:val="004A0A79"/>
    <w:rsid w:val="004A0BD1"/>
    <w:rsid w:val="004A0CC1"/>
    <w:rsid w:val="004A0CD0"/>
    <w:rsid w:val="004A0CE4"/>
    <w:rsid w:val="004A0E1F"/>
    <w:rsid w:val="004A0E46"/>
    <w:rsid w:val="004A0F1F"/>
    <w:rsid w:val="004A0F2E"/>
    <w:rsid w:val="004A1046"/>
    <w:rsid w:val="004A10A4"/>
    <w:rsid w:val="004A10CC"/>
    <w:rsid w:val="004A1113"/>
    <w:rsid w:val="004A1122"/>
    <w:rsid w:val="004A1135"/>
    <w:rsid w:val="004A1153"/>
    <w:rsid w:val="004A1163"/>
    <w:rsid w:val="004A11BC"/>
    <w:rsid w:val="004A120C"/>
    <w:rsid w:val="004A1245"/>
    <w:rsid w:val="004A127D"/>
    <w:rsid w:val="004A127E"/>
    <w:rsid w:val="004A12B1"/>
    <w:rsid w:val="004A12E7"/>
    <w:rsid w:val="004A14EA"/>
    <w:rsid w:val="004A152F"/>
    <w:rsid w:val="004A1537"/>
    <w:rsid w:val="004A1573"/>
    <w:rsid w:val="004A15A7"/>
    <w:rsid w:val="004A1634"/>
    <w:rsid w:val="004A16A4"/>
    <w:rsid w:val="004A16D8"/>
    <w:rsid w:val="004A172A"/>
    <w:rsid w:val="004A1755"/>
    <w:rsid w:val="004A177C"/>
    <w:rsid w:val="004A17B2"/>
    <w:rsid w:val="004A17DB"/>
    <w:rsid w:val="004A1820"/>
    <w:rsid w:val="004A18AE"/>
    <w:rsid w:val="004A190C"/>
    <w:rsid w:val="004A19AE"/>
    <w:rsid w:val="004A1A18"/>
    <w:rsid w:val="004A1A24"/>
    <w:rsid w:val="004A1A4B"/>
    <w:rsid w:val="004A1B12"/>
    <w:rsid w:val="004A1B39"/>
    <w:rsid w:val="004A1B59"/>
    <w:rsid w:val="004A1B6D"/>
    <w:rsid w:val="004A1B76"/>
    <w:rsid w:val="004A1B7B"/>
    <w:rsid w:val="004A1BDB"/>
    <w:rsid w:val="004A1C34"/>
    <w:rsid w:val="004A1C46"/>
    <w:rsid w:val="004A1C5F"/>
    <w:rsid w:val="004A1CDA"/>
    <w:rsid w:val="004A1D4C"/>
    <w:rsid w:val="004A1D66"/>
    <w:rsid w:val="004A1DFD"/>
    <w:rsid w:val="004A1E49"/>
    <w:rsid w:val="004A1E57"/>
    <w:rsid w:val="004A1FB1"/>
    <w:rsid w:val="004A206D"/>
    <w:rsid w:val="004A208C"/>
    <w:rsid w:val="004A2176"/>
    <w:rsid w:val="004A219F"/>
    <w:rsid w:val="004A21DB"/>
    <w:rsid w:val="004A222F"/>
    <w:rsid w:val="004A223C"/>
    <w:rsid w:val="004A2298"/>
    <w:rsid w:val="004A22AE"/>
    <w:rsid w:val="004A2337"/>
    <w:rsid w:val="004A2344"/>
    <w:rsid w:val="004A2375"/>
    <w:rsid w:val="004A23E5"/>
    <w:rsid w:val="004A23F9"/>
    <w:rsid w:val="004A241A"/>
    <w:rsid w:val="004A25B2"/>
    <w:rsid w:val="004A25B4"/>
    <w:rsid w:val="004A25DA"/>
    <w:rsid w:val="004A26D2"/>
    <w:rsid w:val="004A26E0"/>
    <w:rsid w:val="004A2782"/>
    <w:rsid w:val="004A27C2"/>
    <w:rsid w:val="004A2827"/>
    <w:rsid w:val="004A290E"/>
    <w:rsid w:val="004A2929"/>
    <w:rsid w:val="004A2975"/>
    <w:rsid w:val="004A2990"/>
    <w:rsid w:val="004A2998"/>
    <w:rsid w:val="004A29BA"/>
    <w:rsid w:val="004A29F8"/>
    <w:rsid w:val="004A2A4F"/>
    <w:rsid w:val="004A2AD9"/>
    <w:rsid w:val="004A2AE0"/>
    <w:rsid w:val="004A2B18"/>
    <w:rsid w:val="004A2B1E"/>
    <w:rsid w:val="004A2B4C"/>
    <w:rsid w:val="004A2C53"/>
    <w:rsid w:val="004A2CA7"/>
    <w:rsid w:val="004A2CD7"/>
    <w:rsid w:val="004A2CDE"/>
    <w:rsid w:val="004A2D03"/>
    <w:rsid w:val="004A2D0C"/>
    <w:rsid w:val="004A2D45"/>
    <w:rsid w:val="004A2D5C"/>
    <w:rsid w:val="004A2D8A"/>
    <w:rsid w:val="004A2DB2"/>
    <w:rsid w:val="004A2E01"/>
    <w:rsid w:val="004A2E9D"/>
    <w:rsid w:val="004A2EB9"/>
    <w:rsid w:val="004A2EDB"/>
    <w:rsid w:val="004A2F41"/>
    <w:rsid w:val="004A2F89"/>
    <w:rsid w:val="004A3033"/>
    <w:rsid w:val="004A3059"/>
    <w:rsid w:val="004A30B2"/>
    <w:rsid w:val="004A3198"/>
    <w:rsid w:val="004A31C1"/>
    <w:rsid w:val="004A3242"/>
    <w:rsid w:val="004A3284"/>
    <w:rsid w:val="004A3285"/>
    <w:rsid w:val="004A3292"/>
    <w:rsid w:val="004A333F"/>
    <w:rsid w:val="004A33AE"/>
    <w:rsid w:val="004A34BB"/>
    <w:rsid w:val="004A34EF"/>
    <w:rsid w:val="004A34F0"/>
    <w:rsid w:val="004A355D"/>
    <w:rsid w:val="004A356A"/>
    <w:rsid w:val="004A36E4"/>
    <w:rsid w:val="004A374E"/>
    <w:rsid w:val="004A378B"/>
    <w:rsid w:val="004A37A5"/>
    <w:rsid w:val="004A3820"/>
    <w:rsid w:val="004A3828"/>
    <w:rsid w:val="004A3878"/>
    <w:rsid w:val="004A38AF"/>
    <w:rsid w:val="004A396D"/>
    <w:rsid w:val="004A39FB"/>
    <w:rsid w:val="004A3AC7"/>
    <w:rsid w:val="004A3AFB"/>
    <w:rsid w:val="004A3B70"/>
    <w:rsid w:val="004A3BAE"/>
    <w:rsid w:val="004A3C20"/>
    <w:rsid w:val="004A3CB7"/>
    <w:rsid w:val="004A3CCB"/>
    <w:rsid w:val="004A3E2B"/>
    <w:rsid w:val="004A3E33"/>
    <w:rsid w:val="004A3E37"/>
    <w:rsid w:val="004A3E57"/>
    <w:rsid w:val="004A3EB2"/>
    <w:rsid w:val="004A3F2C"/>
    <w:rsid w:val="004A3F52"/>
    <w:rsid w:val="004A3F6F"/>
    <w:rsid w:val="004A3FF3"/>
    <w:rsid w:val="004A403E"/>
    <w:rsid w:val="004A404F"/>
    <w:rsid w:val="004A409C"/>
    <w:rsid w:val="004A40F7"/>
    <w:rsid w:val="004A40F8"/>
    <w:rsid w:val="004A4137"/>
    <w:rsid w:val="004A4189"/>
    <w:rsid w:val="004A41CF"/>
    <w:rsid w:val="004A427D"/>
    <w:rsid w:val="004A4304"/>
    <w:rsid w:val="004A434D"/>
    <w:rsid w:val="004A434F"/>
    <w:rsid w:val="004A436A"/>
    <w:rsid w:val="004A43B8"/>
    <w:rsid w:val="004A43CC"/>
    <w:rsid w:val="004A4445"/>
    <w:rsid w:val="004A449D"/>
    <w:rsid w:val="004A44B3"/>
    <w:rsid w:val="004A44BB"/>
    <w:rsid w:val="004A4513"/>
    <w:rsid w:val="004A45E5"/>
    <w:rsid w:val="004A462B"/>
    <w:rsid w:val="004A4632"/>
    <w:rsid w:val="004A4655"/>
    <w:rsid w:val="004A475D"/>
    <w:rsid w:val="004A4800"/>
    <w:rsid w:val="004A4858"/>
    <w:rsid w:val="004A493C"/>
    <w:rsid w:val="004A4951"/>
    <w:rsid w:val="004A496B"/>
    <w:rsid w:val="004A4988"/>
    <w:rsid w:val="004A49B8"/>
    <w:rsid w:val="004A4BB8"/>
    <w:rsid w:val="004A4BED"/>
    <w:rsid w:val="004A4CEA"/>
    <w:rsid w:val="004A4D55"/>
    <w:rsid w:val="004A4D5D"/>
    <w:rsid w:val="004A4DE1"/>
    <w:rsid w:val="004A4E37"/>
    <w:rsid w:val="004A4EC4"/>
    <w:rsid w:val="004A4EFD"/>
    <w:rsid w:val="004A4FE0"/>
    <w:rsid w:val="004A500D"/>
    <w:rsid w:val="004A5041"/>
    <w:rsid w:val="004A504C"/>
    <w:rsid w:val="004A50F5"/>
    <w:rsid w:val="004A5248"/>
    <w:rsid w:val="004A524D"/>
    <w:rsid w:val="004A5250"/>
    <w:rsid w:val="004A525D"/>
    <w:rsid w:val="004A52E2"/>
    <w:rsid w:val="004A5339"/>
    <w:rsid w:val="004A54D6"/>
    <w:rsid w:val="004A54F6"/>
    <w:rsid w:val="004A551E"/>
    <w:rsid w:val="004A5595"/>
    <w:rsid w:val="004A55A8"/>
    <w:rsid w:val="004A55EA"/>
    <w:rsid w:val="004A561C"/>
    <w:rsid w:val="004A5655"/>
    <w:rsid w:val="004A568E"/>
    <w:rsid w:val="004A56D0"/>
    <w:rsid w:val="004A5785"/>
    <w:rsid w:val="004A5789"/>
    <w:rsid w:val="004A584E"/>
    <w:rsid w:val="004A58B9"/>
    <w:rsid w:val="004A58BF"/>
    <w:rsid w:val="004A58FE"/>
    <w:rsid w:val="004A5975"/>
    <w:rsid w:val="004A5984"/>
    <w:rsid w:val="004A598F"/>
    <w:rsid w:val="004A5A0B"/>
    <w:rsid w:val="004A5A14"/>
    <w:rsid w:val="004A5A40"/>
    <w:rsid w:val="004A5A55"/>
    <w:rsid w:val="004A5A66"/>
    <w:rsid w:val="004A5A84"/>
    <w:rsid w:val="004A5AA5"/>
    <w:rsid w:val="004A5AA7"/>
    <w:rsid w:val="004A5AE1"/>
    <w:rsid w:val="004A5B0F"/>
    <w:rsid w:val="004A5B1B"/>
    <w:rsid w:val="004A5BA8"/>
    <w:rsid w:val="004A5BC6"/>
    <w:rsid w:val="004A5C20"/>
    <w:rsid w:val="004A5DA3"/>
    <w:rsid w:val="004A5DCE"/>
    <w:rsid w:val="004A5E1C"/>
    <w:rsid w:val="004A5E2C"/>
    <w:rsid w:val="004A5E97"/>
    <w:rsid w:val="004A5EBD"/>
    <w:rsid w:val="004A5F38"/>
    <w:rsid w:val="004A5F46"/>
    <w:rsid w:val="004A60B9"/>
    <w:rsid w:val="004A6119"/>
    <w:rsid w:val="004A612C"/>
    <w:rsid w:val="004A61A2"/>
    <w:rsid w:val="004A6213"/>
    <w:rsid w:val="004A6224"/>
    <w:rsid w:val="004A62B8"/>
    <w:rsid w:val="004A62F9"/>
    <w:rsid w:val="004A636D"/>
    <w:rsid w:val="004A63E9"/>
    <w:rsid w:val="004A643F"/>
    <w:rsid w:val="004A6443"/>
    <w:rsid w:val="004A647C"/>
    <w:rsid w:val="004A64B0"/>
    <w:rsid w:val="004A6602"/>
    <w:rsid w:val="004A6883"/>
    <w:rsid w:val="004A68BE"/>
    <w:rsid w:val="004A6917"/>
    <w:rsid w:val="004A6958"/>
    <w:rsid w:val="004A69C0"/>
    <w:rsid w:val="004A69DE"/>
    <w:rsid w:val="004A6AAD"/>
    <w:rsid w:val="004A6B09"/>
    <w:rsid w:val="004A6B36"/>
    <w:rsid w:val="004A6BC2"/>
    <w:rsid w:val="004A6C4B"/>
    <w:rsid w:val="004A6C83"/>
    <w:rsid w:val="004A6CA0"/>
    <w:rsid w:val="004A6D1D"/>
    <w:rsid w:val="004A6DB1"/>
    <w:rsid w:val="004A6DD0"/>
    <w:rsid w:val="004A6E71"/>
    <w:rsid w:val="004A6EB8"/>
    <w:rsid w:val="004A6F1F"/>
    <w:rsid w:val="004A6F5C"/>
    <w:rsid w:val="004A6F9E"/>
    <w:rsid w:val="004A704C"/>
    <w:rsid w:val="004A7156"/>
    <w:rsid w:val="004A7206"/>
    <w:rsid w:val="004A7227"/>
    <w:rsid w:val="004A72C4"/>
    <w:rsid w:val="004A7367"/>
    <w:rsid w:val="004A743A"/>
    <w:rsid w:val="004A7669"/>
    <w:rsid w:val="004A7827"/>
    <w:rsid w:val="004A7880"/>
    <w:rsid w:val="004A793D"/>
    <w:rsid w:val="004A79A7"/>
    <w:rsid w:val="004A7A9F"/>
    <w:rsid w:val="004A7B4E"/>
    <w:rsid w:val="004A7BE1"/>
    <w:rsid w:val="004A7BEE"/>
    <w:rsid w:val="004A7C95"/>
    <w:rsid w:val="004A7CA4"/>
    <w:rsid w:val="004A7CF0"/>
    <w:rsid w:val="004A7DBF"/>
    <w:rsid w:val="004A7DF4"/>
    <w:rsid w:val="004A7E45"/>
    <w:rsid w:val="004A7E51"/>
    <w:rsid w:val="004A7F87"/>
    <w:rsid w:val="004A7FD4"/>
    <w:rsid w:val="004B0011"/>
    <w:rsid w:val="004B0048"/>
    <w:rsid w:val="004B02C7"/>
    <w:rsid w:val="004B038A"/>
    <w:rsid w:val="004B0398"/>
    <w:rsid w:val="004B03B0"/>
    <w:rsid w:val="004B0412"/>
    <w:rsid w:val="004B0442"/>
    <w:rsid w:val="004B052F"/>
    <w:rsid w:val="004B05E4"/>
    <w:rsid w:val="004B0698"/>
    <w:rsid w:val="004B06B8"/>
    <w:rsid w:val="004B06C4"/>
    <w:rsid w:val="004B077D"/>
    <w:rsid w:val="004B07FC"/>
    <w:rsid w:val="004B0865"/>
    <w:rsid w:val="004B0869"/>
    <w:rsid w:val="004B08A0"/>
    <w:rsid w:val="004B090C"/>
    <w:rsid w:val="004B0A79"/>
    <w:rsid w:val="004B0AC2"/>
    <w:rsid w:val="004B0BC8"/>
    <w:rsid w:val="004B0CA6"/>
    <w:rsid w:val="004B0CF2"/>
    <w:rsid w:val="004B0D1A"/>
    <w:rsid w:val="004B0D56"/>
    <w:rsid w:val="004B0DC2"/>
    <w:rsid w:val="004B0ECD"/>
    <w:rsid w:val="004B0ED3"/>
    <w:rsid w:val="004B0EDC"/>
    <w:rsid w:val="004B0F7C"/>
    <w:rsid w:val="004B0F82"/>
    <w:rsid w:val="004B0FDB"/>
    <w:rsid w:val="004B10A4"/>
    <w:rsid w:val="004B1251"/>
    <w:rsid w:val="004B12BA"/>
    <w:rsid w:val="004B12C3"/>
    <w:rsid w:val="004B1310"/>
    <w:rsid w:val="004B1333"/>
    <w:rsid w:val="004B13B1"/>
    <w:rsid w:val="004B14D5"/>
    <w:rsid w:val="004B1517"/>
    <w:rsid w:val="004B154D"/>
    <w:rsid w:val="004B156E"/>
    <w:rsid w:val="004B1631"/>
    <w:rsid w:val="004B1677"/>
    <w:rsid w:val="004B16D2"/>
    <w:rsid w:val="004B175F"/>
    <w:rsid w:val="004B177E"/>
    <w:rsid w:val="004B178A"/>
    <w:rsid w:val="004B17A4"/>
    <w:rsid w:val="004B1815"/>
    <w:rsid w:val="004B1851"/>
    <w:rsid w:val="004B187E"/>
    <w:rsid w:val="004B1896"/>
    <w:rsid w:val="004B1900"/>
    <w:rsid w:val="004B19EA"/>
    <w:rsid w:val="004B1B15"/>
    <w:rsid w:val="004B1BB9"/>
    <w:rsid w:val="004B1BBE"/>
    <w:rsid w:val="004B1C38"/>
    <w:rsid w:val="004B1D99"/>
    <w:rsid w:val="004B1E27"/>
    <w:rsid w:val="004B1E49"/>
    <w:rsid w:val="004B1F22"/>
    <w:rsid w:val="004B1FFF"/>
    <w:rsid w:val="004B2002"/>
    <w:rsid w:val="004B2062"/>
    <w:rsid w:val="004B2064"/>
    <w:rsid w:val="004B20E0"/>
    <w:rsid w:val="004B2119"/>
    <w:rsid w:val="004B218A"/>
    <w:rsid w:val="004B21AB"/>
    <w:rsid w:val="004B2214"/>
    <w:rsid w:val="004B22A8"/>
    <w:rsid w:val="004B22BA"/>
    <w:rsid w:val="004B232D"/>
    <w:rsid w:val="004B23D1"/>
    <w:rsid w:val="004B240D"/>
    <w:rsid w:val="004B2514"/>
    <w:rsid w:val="004B2551"/>
    <w:rsid w:val="004B25A9"/>
    <w:rsid w:val="004B25E2"/>
    <w:rsid w:val="004B25EA"/>
    <w:rsid w:val="004B25F3"/>
    <w:rsid w:val="004B2670"/>
    <w:rsid w:val="004B2705"/>
    <w:rsid w:val="004B2781"/>
    <w:rsid w:val="004B27AD"/>
    <w:rsid w:val="004B2814"/>
    <w:rsid w:val="004B2883"/>
    <w:rsid w:val="004B289E"/>
    <w:rsid w:val="004B292A"/>
    <w:rsid w:val="004B2969"/>
    <w:rsid w:val="004B2A08"/>
    <w:rsid w:val="004B2A6D"/>
    <w:rsid w:val="004B2AAB"/>
    <w:rsid w:val="004B2B6A"/>
    <w:rsid w:val="004B2C15"/>
    <w:rsid w:val="004B2C40"/>
    <w:rsid w:val="004B2C4E"/>
    <w:rsid w:val="004B2CDD"/>
    <w:rsid w:val="004B2CE6"/>
    <w:rsid w:val="004B2D04"/>
    <w:rsid w:val="004B2D1E"/>
    <w:rsid w:val="004B2EEF"/>
    <w:rsid w:val="004B2F21"/>
    <w:rsid w:val="004B2F84"/>
    <w:rsid w:val="004B3003"/>
    <w:rsid w:val="004B308F"/>
    <w:rsid w:val="004B3204"/>
    <w:rsid w:val="004B331F"/>
    <w:rsid w:val="004B33C5"/>
    <w:rsid w:val="004B33D1"/>
    <w:rsid w:val="004B345C"/>
    <w:rsid w:val="004B345F"/>
    <w:rsid w:val="004B34FD"/>
    <w:rsid w:val="004B3530"/>
    <w:rsid w:val="004B354E"/>
    <w:rsid w:val="004B366E"/>
    <w:rsid w:val="004B367C"/>
    <w:rsid w:val="004B36A8"/>
    <w:rsid w:val="004B36FB"/>
    <w:rsid w:val="004B37E0"/>
    <w:rsid w:val="004B38AB"/>
    <w:rsid w:val="004B39FC"/>
    <w:rsid w:val="004B3A4F"/>
    <w:rsid w:val="004B3A82"/>
    <w:rsid w:val="004B3BAC"/>
    <w:rsid w:val="004B3BC7"/>
    <w:rsid w:val="004B3C60"/>
    <w:rsid w:val="004B3C75"/>
    <w:rsid w:val="004B3CBA"/>
    <w:rsid w:val="004B3CDB"/>
    <w:rsid w:val="004B3D5F"/>
    <w:rsid w:val="004B3E52"/>
    <w:rsid w:val="004B3F16"/>
    <w:rsid w:val="004B3F39"/>
    <w:rsid w:val="004B3F4B"/>
    <w:rsid w:val="004B3F59"/>
    <w:rsid w:val="004B3FE9"/>
    <w:rsid w:val="004B403C"/>
    <w:rsid w:val="004B405A"/>
    <w:rsid w:val="004B4061"/>
    <w:rsid w:val="004B40DE"/>
    <w:rsid w:val="004B410D"/>
    <w:rsid w:val="004B4153"/>
    <w:rsid w:val="004B416C"/>
    <w:rsid w:val="004B41E5"/>
    <w:rsid w:val="004B4242"/>
    <w:rsid w:val="004B42CA"/>
    <w:rsid w:val="004B42DE"/>
    <w:rsid w:val="004B442F"/>
    <w:rsid w:val="004B4440"/>
    <w:rsid w:val="004B4465"/>
    <w:rsid w:val="004B449D"/>
    <w:rsid w:val="004B44C0"/>
    <w:rsid w:val="004B44F6"/>
    <w:rsid w:val="004B4509"/>
    <w:rsid w:val="004B450F"/>
    <w:rsid w:val="004B4545"/>
    <w:rsid w:val="004B4550"/>
    <w:rsid w:val="004B45A1"/>
    <w:rsid w:val="004B460F"/>
    <w:rsid w:val="004B4655"/>
    <w:rsid w:val="004B46BF"/>
    <w:rsid w:val="004B46F2"/>
    <w:rsid w:val="004B46F6"/>
    <w:rsid w:val="004B4772"/>
    <w:rsid w:val="004B47B5"/>
    <w:rsid w:val="004B47BA"/>
    <w:rsid w:val="004B4818"/>
    <w:rsid w:val="004B485E"/>
    <w:rsid w:val="004B48A3"/>
    <w:rsid w:val="004B48FF"/>
    <w:rsid w:val="004B4946"/>
    <w:rsid w:val="004B4950"/>
    <w:rsid w:val="004B4A37"/>
    <w:rsid w:val="004B4A74"/>
    <w:rsid w:val="004B4AC5"/>
    <w:rsid w:val="004B4B0B"/>
    <w:rsid w:val="004B4C0F"/>
    <w:rsid w:val="004B4C45"/>
    <w:rsid w:val="004B4C7C"/>
    <w:rsid w:val="004B4CB3"/>
    <w:rsid w:val="004B4CC7"/>
    <w:rsid w:val="004B4CF0"/>
    <w:rsid w:val="004B4CF7"/>
    <w:rsid w:val="004B4D04"/>
    <w:rsid w:val="004B4D4B"/>
    <w:rsid w:val="004B4DD3"/>
    <w:rsid w:val="004B50AF"/>
    <w:rsid w:val="004B50CC"/>
    <w:rsid w:val="004B50D6"/>
    <w:rsid w:val="004B50FC"/>
    <w:rsid w:val="004B5102"/>
    <w:rsid w:val="004B5106"/>
    <w:rsid w:val="004B512D"/>
    <w:rsid w:val="004B518F"/>
    <w:rsid w:val="004B51D9"/>
    <w:rsid w:val="004B5228"/>
    <w:rsid w:val="004B526A"/>
    <w:rsid w:val="004B537A"/>
    <w:rsid w:val="004B53B5"/>
    <w:rsid w:val="004B53C3"/>
    <w:rsid w:val="004B53D7"/>
    <w:rsid w:val="004B53E5"/>
    <w:rsid w:val="004B548C"/>
    <w:rsid w:val="004B5524"/>
    <w:rsid w:val="004B5556"/>
    <w:rsid w:val="004B56E2"/>
    <w:rsid w:val="004B56EE"/>
    <w:rsid w:val="004B56F8"/>
    <w:rsid w:val="004B576C"/>
    <w:rsid w:val="004B57AF"/>
    <w:rsid w:val="004B586C"/>
    <w:rsid w:val="004B586D"/>
    <w:rsid w:val="004B58A2"/>
    <w:rsid w:val="004B58A3"/>
    <w:rsid w:val="004B58EE"/>
    <w:rsid w:val="004B5A33"/>
    <w:rsid w:val="004B5B1A"/>
    <w:rsid w:val="004B5C49"/>
    <w:rsid w:val="004B5C75"/>
    <w:rsid w:val="004B5C8B"/>
    <w:rsid w:val="004B5CD7"/>
    <w:rsid w:val="004B5CFE"/>
    <w:rsid w:val="004B5D2B"/>
    <w:rsid w:val="004B5D5C"/>
    <w:rsid w:val="004B5DB4"/>
    <w:rsid w:val="004B5DD6"/>
    <w:rsid w:val="004B5DFC"/>
    <w:rsid w:val="004B5E81"/>
    <w:rsid w:val="004B5ED3"/>
    <w:rsid w:val="004B5F40"/>
    <w:rsid w:val="004B602F"/>
    <w:rsid w:val="004B604A"/>
    <w:rsid w:val="004B6173"/>
    <w:rsid w:val="004B619F"/>
    <w:rsid w:val="004B61F4"/>
    <w:rsid w:val="004B625C"/>
    <w:rsid w:val="004B6287"/>
    <w:rsid w:val="004B62CF"/>
    <w:rsid w:val="004B6311"/>
    <w:rsid w:val="004B6369"/>
    <w:rsid w:val="004B636E"/>
    <w:rsid w:val="004B6384"/>
    <w:rsid w:val="004B638B"/>
    <w:rsid w:val="004B63FE"/>
    <w:rsid w:val="004B64AA"/>
    <w:rsid w:val="004B64E0"/>
    <w:rsid w:val="004B6610"/>
    <w:rsid w:val="004B661F"/>
    <w:rsid w:val="004B66F9"/>
    <w:rsid w:val="004B6712"/>
    <w:rsid w:val="004B6728"/>
    <w:rsid w:val="004B679C"/>
    <w:rsid w:val="004B680C"/>
    <w:rsid w:val="004B6844"/>
    <w:rsid w:val="004B689D"/>
    <w:rsid w:val="004B68F0"/>
    <w:rsid w:val="004B68FD"/>
    <w:rsid w:val="004B699F"/>
    <w:rsid w:val="004B6A70"/>
    <w:rsid w:val="004B6AA9"/>
    <w:rsid w:val="004B6AC3"/>
    <w:rsid w:val="004B6BE5"/>
    <w:rsid w:val="004B6C19"/>
    <w:rsid w:val="004B6C21"/>
    <w:rsid w:val="004B6C86"/>
    <w:rsid w:val="004B6C98"/>
    <w:rsid w:val="004B6C9C"/>
    <w:rsid w:val="004B6CB1"/>
    <w:rsid w:val="004B6DB9"/>
    <w:rsid w:val="004B6E0B"/>
    <w:rsid w:val="004B6E51"/>
    <w:rsid w:val="004B6EBC"/>
    <w:rsid w:val="004B6EC0"/>
    <w:rsid w:val="004B6F12"/>
    <w:rsid w:val="004B6F35"/>
    <w:rsid w:val="004B6F78"/>
    <w:rsid w:val="004B6FBA"/>
    <w:rsid w:val="004B705B"/>
    <w:rsid w:val="004B7086"/>
    <w:rsid w:val="004B70E5"/>
    <w:rsid w:val="004B70F8"/>
    <w:rsid w:val="004B71A5"/>
    <w:rsid w:val="004B71BF"/>
    <w:rsid w:val="004B7226"/>
    <w:rsid w:val="004B727A"/>
    <w:rsid w:val="004B727D"/>
    <w:rsid w:val="004B72BC"/>
    <w:rsid w:val="004B72FA"/>
    <w:rsid w:val="004B7352"/>
    <w:rsid w:val="004B7353"/>
    <w:rsid w:val="004B73B5"/>
    <w:rsid w:val="004B73D6"/>
    <w:rsid w:val="004B74AC"/>
    <w:rsid w:val="004B74FC"/>
    <w:rsid w:val="004B7594"/>
    <w:rsid w:val="004B7596"/>
    <w:rsid w:val="004B7652"/>
    <w:rsid w:val="004B766F"/>
    <w:rsid w:val="004B770F"/>
    <w:rsid w:val="004B782F"/>
    <w:rsid w:val="004B7858"/>
    <w:rsid w:val="004B786D"/>
    <w:rsid w:val="004B789C"/>
    <w:rsid w:val="004B7928"/>
    <w:rsid w:val="004B798C"/>
    <w:rsid w:val="004B79AF"/>
    <w:rsid w:val="004B7A9A"/>
    <w:rsid w:val="004B7AC0"/>
    <w:rsid w:val="004B7B20"/>
    <w:rsid w:val="004B7B28"/>
    <w:rsid w:val="004B7B56"/>
    <w:rsid w:val="004B7B60"/>
    <w:rsid w:val="004B7B7F"/>
    <w:rsid w:val="004B7BAD"/>
    <w:rsid w:val="004B7BAE"/>
    <w:rsid w:val="004B7C4B"/>
    <w:rsid w:val="004B7C55"/>
    <w:rsid w:val="004B7C8C"/>
    <w:rsid w:val="004B7D60"/>
    <w:rsid w:val="004B7DA3"/>
    <w:rsid w:val="004B7E71"/>
    <w:rsid w:val="004B7EA0"/>
    <w:rsid w:val="004B7ECD"/>
    <w:rsid w:val="004B7EE2"/>
    <w:rsid w:val="004B7F27"/>
    <w:rsid w:val="004B7FA1"/>
    <w:rsid w:val="004C0020"/>
    <w:rsid w:val="004C00B7"/>
    <w:rsid w:val="004C0101"/>
    <w:rsid w:val="004C013E"/>
    <w:rsid w:val="004C01FB"/>
    <w:rsid w:val="004C0269"/>
    <w:rsid w:val="004C026D"/>
    <w:rsid w:val="004C0280"/>
    <w:rsid w:val="004C02E4"/>
    <w:rsid w:val="004C0330"/>
    <w:rsid w:val="004C03E8"/>
    <w:rsid w:val="004C03FF"/>
    <w:rsid w:val="004C044F"/>
    <w:rsid w:val="004C046B"/>
    <w:rsid w:val="004C0503"/>
    <w:rsid w:val="004C0536"/>
    <w:rsid w:val="004C05DF"/>
    <w:rsid w:val="004C05F1"/>
    <w:rsid w:val="004C0670"/>
    <w:rsid w:val="004C06FF"/>
    <w:rsid w:val="004C0708"/>
    <w:rsid w:val="004C0784"/>
    <w:rsid w:val="004C0789"/>
    <w:rsid w:val="004C07EC"/>
    <w:rsid w:val="004C0845"/>
    <w:rsid w:val="004C0850"/>
    <w:rsid w:val="004C095D"/>
    <w:rsid w:val="004C09AA"/>
    <w:rsid w:val="004C0A13"/>
    <w:rsid w:val="004C0A6A"/>
    <w:rsid w:val="004C0B78"/>
    <w:rsid w:val="004C0C26"/>
    <w:rsid w:val="004C0DAA"/>
    <w:rsid w:val="004C0E87"/>
    <w:rsid w:val="004C0F68"/>
    <w:rsid w:val="004C100E"/>
    <w:rsid w:val="004C1068"/>
    <w:rsid w:val="004C10D7"/>
    <w:rsid w:val="004C1113"/>
    <w:rsid w:val="004C114E"/>
    <w:rsid w:val="004C115F"/>
    <w:rsid w:val="004C11E6"/>
    <w:rsid w:val="004C121A"/>
    <w:rsid w:val="004C1257"/>
    <w:rsid w:val="004C126E"/>
    <w:rsid w:val="004C12B2"/>
    <w:rsid w:val="004C1449"/>
    <w:rsid w:val="004C145A"/>
    <w:rsid w:val="004C1489"/>
    <w:rsid w:val="004C150F"/>
    <w:rsid w:val="004C1550"/>
    <w:rsid w:val="004C159B"/>
    <w:rsid w:val="004C15BA"/>
    <w:rsid w:val="004C15C0"/>
    <w:rsid w:val="004C172E"/>
    <w:rsid w:val="004C1821"/>
    <w:rsid w:val="004C18B1"/>
    <w:rsid w:val="004C191A"/>
    <w:rsid w:val="004C19DA"/>
    <w:rsid w:val="004C1A6B"/>
    <w:rsid w:val="004C1ADD"/>
    <w:rsid w:val="004C1C15"/>
    <w:rsid w:val="004C1C65"/>
    <w:rsid w:val="004C1CA7"/>
    <w:rsid w:val="004C1CE4"/>
    <w:rsid w:val="004C1D5C"/>
    <w:rsid w:val="004C1D60"/>
    <w:rsid w:val="004C1DB3"/>
    <w:rsid w:val="004C1DDF"/>
    <w:rsid w:val="004C1E1D"/>
    <w:rsid w:val="004C1E69"/>
    <w:rsid w:val="004C1EC1"/>
    <w:rsid w:val="004C1F25"/>
    <w:rsid w:val="004C1F51"/>
    <w:rsid w:val="004C1FE4"/>
    <w:rsid w:val="004C2046"/>
    <w:rsid w:val="004C2098"/>
    <w:rsid w:val="004C2137"/>
    <w:rsid w:val="004C2235"/>
    <w:rsid w:val="004C225C"/>
    <w:rsid w:val="004C22E2"/>
    <w:rsid w:val="004C238D"/>
    <w:rsid w:val="004C241B"/>
    <w:rsid w:val="004C244A"/>
    <w:rsid w:val="004C2478"/>
    <w:rsid w:val="004C249D"/>
    <w:rsid w:val="004C255D"/>
    <w:rsid w:val="004C2570"/>
    <w:rsid w:val="004C259B"/>
    <w:rsid w:val="004C25C0"/>
    <w:rsid w:val="004C2610"/>
    <w:rsid w:val="004C2662"/>
    <w:rsid w:val="004C2700"/>
    <w:rsid w:val="004C2708"/>
    <w:rsid w:val="004C277E"/>
    <w:rsid w:val="004C2854"/>
    <w:rsid w:val="004C2875"/>
    <w:rsid w:val="004C2886"/>
    <w:rsid w:val="004C28DA"/>
    <w:rsid w:val="004C2903"/>
    <w:rsid w:val="004C2A3B"/>
    <w:rsid w:val="004C2AA3"/>
    <w:rsid w:val="004C2B32"/>
    <w:rsid w:val="004C2B49"/>
    <w:rsid w:val="004C2C32"/>
    <w:rsid w:val="004C2C96"/>
    <w:rsid w:val="004C2D6F"/>
    <w:rsid w:val="004C2DA5"/>
    <w:rsid w:val="004C2E75"/>
    <w:rsid w:val="004C2E8B"/>
    <w:rsid w:val="004C2EBE"/>
    <w:rsid w:val="004C2EC9"/>
    <w:rsid w:val="004C2EDD"/>
    <w:rsid w:val="004C2F3F"/>
    <w:rsid w:val="004C3061"/>
    <w:rsid w:val="004C309A"/>
    <w:rsid w:val="004C3103"/>
    <w:rsid w:val="004C310F"/>
    <w:rsid w:val="004C325D"/>
    <w:rsid w:val="004C32E4"/>
    <w:rsid w:val="004C331F"/>
    <w:rsid w:val="004C332C"/>
    <w:rsid w:val="004C3462"/>
    <w:rsid w:val="004C3489"/>
    <w:rsid w:val="004C3499"/>
    <w:rsid w:val="004C34A0"/>
    <w:rsid w:val="004C35AF"/>
    <w:rsid w:val="004C362E"/>
    <w:rsid w:val="004C3633"/>
    <w:rsid w:val="004C366F"/>
    <w:rsid w:val="004C36DC"/>
    <w:rsid w:val="004C36E7"/>
    <w:rsid w:val="004C3706"/>
    <w:rsid w:val="004C3711"/>
    <w:rsid w:val="004C3742"/>
    <w:rsid w:val="004C37C2"/>
    <w:rsid w:val="004C3838"/>
    <w:rsid w:val="004C390F"/>
    <w:rsid w:val="004C3947"/>
    <w:rsid w:val="004C39C1"/>
    <w:rsid w:val="004C3B6F"/>
    <w:rsid w:val="004C3C7C"/>
    <w:rsid w:val="004C3CF0"/>
    <w:rsid w:val="004C3D77"/>
    <w:rsid w:val="004C3D8A"/>
    <w:rsid w:val="004C3DEE"/>
    <w:rsid w:val="004C3E9C"/>
    <w:rsid w:val="004C3F15"/>
    <w:rsid w:val="004C3F2C"/>
    <w:rsid w:val="004C3F30"/>
    <w:rsid w:val="004C4023"/>
    <w:rsid w:val="004C40AF"/>
    <w:rsid w:val="004C40B7"/>
    <w:rsid w:val="004C4232"/>
    <w:rsid w:val="004C4310"/>
    <w:rsid w:val="004C4383"/>
    <w:rsid w:val="004C4414"/>
    <w:rsid w:val="004C4428"/>
    <w:rsid w:val="004C442D"/>
    <w:rsid w:val="004C4435"/>
    <w:rsid w:val="004C447D"/>
    <w:rsid w:val="004C460A"/>
    <w:rsid w:val="004C461C"/>
    <w:rsid w:val="004C4686"/>
    <w:rsid w:val="004C4690"/>
    <w:rsid w:val="004C46A3"/>
    <w:rsid w:val="004C46E3"/>
    <w:rsid w:val="004C4741"/>
    <w:rsid w:val="004C476F"/>
    <w:rsid w:val="004C4773"/>
    <w:rsid w:val="004C4798"/>
    <w:rsid w:val="004C47AA"/>
    <w:rsid w:val="004C4803"/>
    <w:rsid w:val="004C4808"/>
    <w:rsid w:val="004C485E"/>
    <w:rsid w:val="004C4861"/>
    <w:rsid w:val="004C4867"/>
    <w:rsid w:val="004C488F"/>
    <w:rsid w:val="004C48AB"/>
    <w:rsid w:val="004C490E"/>
    <w:rsid w:val="004C49D2"/>
    <w:rsid w:val="004C4A83"/>
    <w:rsid w:val="004C4B77"/>
    <w:rsid w:val="004C4B98"/>
    <w:rsid w:val="004C4B9C"/>
    <w:rsid w:val="004C4C43"/>
    <w:rsid w:val="004C4C6C"/>
    <w:rsid w:val="004C4DB6"/>
    <w:rsid w:val="004C4DD9"/>
    <w:rsid w:val="004C4EAB"/>
    <w:rsid w:val="004C4F02"/>
    <w:rsid w:val="004C4F41"/>
    <w:rsid w:val="004C4FDF"/>
    <w:rsid w:val="004C50BA"/>
    <w:rsid w:val="004C50F4"/>
    <w:rsid w:val="004C5124"/>
    <w:rsid w:val="004C5220"/>
    <w:rsid w:val="004C52BD"/>
    <w:rsid w:val="004C52C9"/>
    <w:rsid w:val="004C52F9"/>
    <w:rsid w:val="004C535B"/>
    <w:rsid w:val="004C5398"/>
    <w:rsid w:val="004C5429"/>
    <w:rsid w:val="004C549E"/>
    <w:rsid w:val="004C55A0"/>
    <w:rsid w:val="004C55E6"/>
    <w:rsid w:val="004C5601"/>
    <w:rsid w:val="004C561A"/>
    <w:rsid w:val="004C56AB"/>
    <w:rsid w:val="004C56B7"/>
    <w:rsid w:val="004C580C"/>
    <w:rsid w:val="004C583B"/>
    <w:rsid w:val="004C5907"/>
    <w:rsid w:val="004C597C"/>
    <w:rsid w:val="004C5994"/>
    <w:rsid w:val="004C59FD"/>
    <w:rsid w:val="004C5A23"/>
    <w:rsid w:val="004C5C05"/>
    <w:rsid w:val="004C5C0E"/>
    <w:rsid w:val="004C5C1B"/>
    <w:rsid w:val="004C5C94"/>
    <w:rsid w:val="004C5D28"/>
    <w:rsid w:val="004C5D3E"/>
    <w:rsid w:val="004C5DE2"/>
    <w:rsid w:val="004C5E66"/>
    <w:rsid w:val="004C6091"/>
    <w:rsid w:val="004C60AD"/>
    <w:rsid w:val="004C60DB"/>
    <w:rsid w:val="004C63CC"/>
    <w:rsid w:val="004C64F3"/>
    <w:rsid w:val="004C6533"/>
    <w:rsid w:val="004C655E"/>
    <w:rsid w:val="004C657D"/>
    <w:rsid w:val="004C65BC"/>
    <w:rsid w:val="004C6646"/>
    <w:rsid w:val="004C667D"/>
    <w:rsid w:val="004C668B"/>
    <w:rsid w:val="004C66D8"/>
    <w:rsid w:val="004C6786"/>
    <w:rsid w:val="004C6789"/>
    <w:rsid w:val="004C67B1"/>
    <w:rsid w:val="004C6858"/>
    <w:rsid w:val="004C68DE"/>
    <w:rsid w:val="004C6954"/>
    <w:rsid w:val="004C69F8"/>
    <w:rsid w:val="004C6A8E"/>
    <w:rsid w:val="004C6ABA"/>
    <w:rsid w:val="004C6B8D"/>
    <w:rsid w:val="004C6BF5"/>
    <w:rsid w:val="004C6C01"/>
    <w:rsid w:val="004C6CAA"/>
    <w:rsid w:val="004C6CBE"/>
    <w:rsid w:val="004C6CC6"/>
    <w:rsid w:val="004C6CD4"/>
    <w:rsid w:val="004C6DBF"/>
    <w:rsid w:val="004C6F52"/>
    <w:rsid w:val="004C6F97"/>
    <w:rsid w:val="004C7080"/>
    <w:rsid w:val="004C709C"/>
    <w:rsid w:val="004C70AD"/>
    <w:rsid w:val="004C70E7"/>
    <w:rsid w:val="004C7216"/>
    <w:rsid w:val="004C72B9"/>
    <w:rsid w:val="004C72D5"/>
    <w:rsid w:val="004C72DD"/>
    <w:rsid w:val="004C72F4"/>
    <w:rsid w:val="004C733B"/>
    <w:rsid w:val="004C7347"/>
    <w:rsid w:val="004C7349"/>
    <w:rsid w:val="004C734F"/>
    <w:rsid w:val="004C7371"/>
    <w:rsid w:val="004C7433"/>
    <w:rsid w:val="004C746A"/>
    <w:rsid w:val="004C7487"/>
    <w:rsid w:val="004C74D0"/>
    <w:rsid w:val="004C75B6"/>
    <w:rsid w:val="004C7703"/>
    <w:rsid w:val="004C77EF"/>
    <w:rsid w:val="004C7831"/>
    <w:rsid w:val="004C7850"/>
    <w:rsid w:val="004C7985"/>
    <w:rsid w:val="004C79BE"/>
    <w:rsid w:val="004C7A42"/>
    <w:rsid w:val="004C7AD9"/>
    <w:rsid w:val="004C7B96"/>
    <w:rsid w:val="004C7C58"/>
    <w:rsid w:val="004C7C96"/>
    <w:rsid w:val="004C7CFC"/>
    <w:rsid w:val="004C7D2D"/>
    <w:rsid w:val="004C7D5D"/>
    <w:rsid w:val="004C7D92"/>
    <w:rsid w:val="004C7E53"/>
    <w:rsid w:val="004C7EEE"/>
    <w:rsid w:val="004C7F07"/>
    <w:rsid w:val="004C7F23"/>
    <w:rsid w:val="004C7F81"/>
    <w:rsid w:val="004C7FBD"/>
    <w:rsid w:val="004C7FCB"/>
    <w:rsid w:val="004C7FE5"/>
    <w:rsid w:val="004D0057"/>
    <w:rsid w:val="004D00AF"/>
    <w:rsid w:val="004D010B"/>
    <w:rsid w:val="004D0133"/>
    <w:rsid w:val="004D01FB"/>
    <w:rsid w:val="004D0202"/>
    <w:rsid w:val="004D02A3"/>
    <w:rsid w:val="004D0311"/>
    <w:rsid w:val="004D0351"/>
    <w:rsid w:val="004D0354"/>
    <w:rsid w:val="004D03B7"/>
    <w:rsid w:val="004D041B"/>
    <w:rsid w:val="004D0489"/>
    <w:rsid w:val="004D055F"/>
    <w:rsid w:val="004D05AF"/>
    <w:rsid w:val="004D0652"/>
    <w:rsid w:val="004D06F2"/>
    <w:rsid w:val="004D0701"/>
    <w:rsid w:val="004D0710"/>
    <w:rsid w:val="004D0771"/>
    <w:rsid w:val="004D0772"/>
    <w:rsid w:val="004D0777"/>
    <w:rsid w:val="004D07D8"/>
    <w:rsid w:val="004D07E1"/>
    <w:rsid w:val="004D0825"/>
    <w:rsid w:val="004D082C"/>
    <w:rsid w:val="004D087C"/>
    <w:rsid w:val="004D0A92"/>
    <w:rsid w:val="004D0BAE"/>
    <w:rsid w:val="004D0C2E"/>
    <w:rsid w:val="004D0C7E"/>
    <w:rsid w:val="004D0CB1"/>
    <w:rsid w:val="004D0CD2"/>
    <w:rsid w:val="004D0DE6"/>
    <w:rsid w:val="004D0DED"/>
    <w:rsid w:val="004D0E28"/>
    <w:rsid w:val="004D0E82"/>
    <w:rsid w:val="004D0E97"/>
    <w:rsid w:val="004D0EF5"/>
    <w:rsid w:val="004D0F10"/>
    <w:rsid w:val="004D0F49"/>
    <w:rsid w:val="004D0F8C"/>
    <w:rsid w:val="004D0FB4"/>
    <w:rsid w:val="004D105B"/>
    <w:rsid w:val="004D105E"/>
    <w:rsid w:val="004D11D2"/>
    <w:rsid w:val="004D1278"/>
    <w:rsid w:val="004D1288"/>
    <w:rsid w:val="004D1289"/>
    <w:rsid w:val="004D128F"/>
    <w:rsid w:val="004D12FB"/>
    <w:rsid w:val="004D1318"/>
    <w:rsid w:val="004D137E"/>
    <w:rsid w:val="004D139C"/>
    <w:rsid w:val="004D13BA"/>
    <w:rsid w:val="004D13D3"/>
    <w:rsid w:val="004D1409"/>
    <w:rsid w:val="004D142D"/>
    <w:rsid w:val="004D1459"/>
    <w:rsid w:val="004D1478"/>
    <w:rsid w:val="004D154F"/>
    <w:rsid w:val="004D1565"/>
    <w:rsid w:val="004D1793"/>
    <w:rsid w:val="004D1820"/>
    <w:rsid w:val="004D184B"/>
    <w:rsid w:val="004D193C"/>
    <w:rsid w:val="004D19B9"/>
    <w:rsid w:val="004D19FC"/>
    <w:rsid w:val="004D1A8A"/>
    <w:rsid w:val="004D1AA7"/>
    <w:rsid w:val="004D1AAF"/>
    <w:rsid w:val="004D1B16"/>
    <w:rsid w:val="004D1BA7"/>
    <w:rsid w:val="004D1BBA"/>
    <w:rsid w:val="004D1C4B"/>
    <w:rsid w:val="004D1C83"/>
    <w:rsid w:val="004D1CCD"/>
    <w:rsid w:val="004D1E0B"/>
    <w:rsid w:val="004D1E6C"/>
    <w:rsid w:val="004D1EA6"/>
    <w:rsid w:val="004D1EB0"/>
    <w:rsid w:val="004D1F32"/>
    <w:rsid w:val="004D1F6E"/>
    <w:rsid w:val="004D1F89"/>
    <w:rsid w:val="004D1FA4"/>
    <w:rsid w:val="004D2023"/>
    <w:rsid w:val="004D214E"/>
    <w:rsid w:val="004D2185"/>
    <w:rsid w:val="004D21B3"/>
    <w:rsid w:val="004D22D3"/>
    <w:rsid w:val="004D22F9"/>
    <w:rsid w:val="004D2382"/>
    <w:rsid w:val="004D23BB"/>
    <w:rsid w:val="004D2407"/>
    <w:rsid w:val="004D2464"/>
    <w:rsid w:val="004D249F"/>
    <w:rsid w:val="004D251C"/>
    <w:rsid w:val="004D254F"/>
    <w:rsid w:val="004D265F"/>
    <w:rsid w:val="004D26B8"/>
    <w:rsid w:val="004D2733"/>
    <w:rsid w:val="004D28A5"/>
    <w:rsid w:val="004D28CF"/>
    <w:rsid w:val="004D28DD"/>
    <w:rsid w:val="004D29C5"/>
    <w:rsid w:val="004D2B57"/>
    <w:rsid w:val="004D2BDF"/>
    <w:rsid w:val="004D2C1C"/>
    <w:rsid w:val="004D2CA4"/>
    <w:rsid w:val="004D2CBE"/>
    <w:rsid w:val="004D2D4C"/>
    <w:rsid w:val="004D2D50"/>
    <w:rsid w:val="004D2D84"/>
    <w:rsid w:val="004D2EAC"/>
    <w:rsid w:val="004D2EF3"/>
    <w:rsid w:val="004D2F76"/>
    <w:rsid w:val="004D2FA7"/>
    <w:rsid w:val="004D3052"/>
    <w:rsid w:val="004D309F"/>
    <w:rsid w:val="004D32B6"/>
    <w:rsid w:val="004D340C"/>
    <w:rsid w:val="004D3458"/>
    <w:rsid w:val="004D34F2"/>
    <w:rsid w:val="004D3519"/>
    <w:rsid w:val="004D3558"/>
    <w:rsid w:val="004D3562"/>
    <w:rsid w:val="004D357B"/>
    <w:rsid w:val="004D358F"/>
    <w:rsid w:val="004D365F"/>
    <w:rsid w:val="004D36F4"/>
    <w:rsid w:val="004D374C"/>
    <w:rsid w:val="004D376F"/>
    <w:rsid w:val="004D3799"/>
    <w:rsid w:val="004D37CF"/>
    <w:rsid w:val="004D3845"/>
    <w:rsid w:val="004D3862"/>
    <w:rsid w:val="004D38DD"/>
    <w:rsid w:val="004D38DE"/>
    <w:rsid w:val="004D3955"/>
    <w:rsid w:val="004D39F9"/>
    <w:rsid w:val="004D3A0D"/>
    <w:rsid w:val="004D3B5D"/>
    <w:rsid w:val="004D3B5E"/>
    <w:rsid w:val="004D3B75"/>
    <w:rsid w:val="004D3B96"/>
    <w:rsid w:val="004D3C8A"/>
    <w:rsid w:val="004D3D4E"/>
    <w:rsid w:val="004D3E35"/>
    <w:rsid w:val="004D3EAC"/>
    <w:rsid w:val="004D3F0E"/>
    <w:rsid w:val="004D3F48"/>
    <w:rsid w:val="004D3F7B"/>
    <w:rsid w:val="004D3FE6"/>
    <w:rsid w:val="004D4038"/>
    <w:rsid w:val="004D41DB"/>
    <w:rsid w:val="004D4247"/>
    <w:rsid w:val="004D4356"/>
    <w:rsid w:val="004D436C"/>
    <w:rsid w:val="004D4405"/>
    <w:rsid w:val="004D4560"/>
    <w:rsid w:val="004D4608"/>
    <w:rsid w:val="004D4656"/>
    <w:rsid w:val="004D4705"/>
    <w:rsid w:val="004D477E"/>
    <w:rsid w:val="004D4793"/>
    <w:rsid w:val="004D4832"/>
    <w:rsid w:val="004D4850"/>
    <w:rsid w:val="004D4936"/>
    <w:rsid w:val="004D4944"/>
    <w:rsid w:val="004D4A5F"/>
    <w:rsid w:val="004D4A96"/>
    <w:rsid w:val="004D4AAA"/>
    <w:rsid w:val="004D4B72"/>
    <w:rsid w:val="004D4BC2"/>
    <w:rsid w:val="004D4C07"/>
    <w:rsid w:val="004D4DD9"/>
    <w:rsid w:val="004D4E19"/>
    <w:rsid w:val="004D4E33"/>
    <w:rsid w:val="004D4ECC"/>
    <w:rsid w:val="004D4F9C"/>
    <w:rsid w:val="004D4FB0"/>
    <w:rsid w:val="004D502A"/>
    <w:rsid w:val="004D504D"/>
    <w:rsid w:val="004D5139"/>
    <w:rsid w:val="004D51F6"/>
    <w:rsid w:val="004D5408"/>
    <w:rsid w:val="004D540E"/>
    <w:rsid w:val="004D5524"/>
    <w:rsid w:val="004D556B"/>
    <w:rsid w:val="004D5589"/>
    <w:rsid w:val="004D5619"/>
    <w:rsid w:val="004D56BA"/>
    <w:rsid w:val="004D57D3"/>
    <w:rsid w:val="004D5816"/>
    <w:rsid w:val="004D5990"/>
    <w:rsid w:val="004D5A0A"/>
    <w:rsid w:val="004D5A87"/>
    <w:rsid w:val="004D5AE6"/>
    <w:rsid w:val="004D5B35"/>
    <w:rsid w:val="004D5B6C"/>
    <w:rsid w:val="004D5BAA"/>
    <w:rsid w:val="004D5BCA"/>
    <w:rsid w:val="004D5C17"/>
    <w:rsid w:val="004D5D14"/>
    <w:rsid w:val="004D5D18"/>
    <w:rsid w:val="004D5E5C"/>
    <w:rsid w:val="004D5EBA"/>
    <w:rsid w:val="004D5ECE"/>
    <w:rsid w:val="004D5F1D"/>
    <w:rsid w:val="004D5FBA"/>
    <w:rsid w:val="004D5FDA"/>
    <w:rsid w:val="004D5FE1"/>
    <w:rsid w:val="004D6019"/>
    <w:rsid w:val="004D6057"/>
    <w:rsid w:val="004D6072"/>
    <w:rsid w:val="004D609F"/>
    <w:rsid w:val="004D60DB"/>
    <w:rsid w:val="004D60EC"/>
    <w:rsid w:val="004D614C"/>
    <w:rsid w:val="004D61A3"/>
    <w:rsid w:val="004D6228"/>
    <w:rsid w:val="004D624C"/>
    <w:rsid w:val="004D6271"/>
    <w:rsid w:val="004D64AD"/>
    <w:rsid w:val="004D64C8"/>
    <w:rsid w:val="004D652F"/>
    <w:rsid w:val="004D65C0"/>
    <w:rsid w:val="004D65E5"/>
    <w:rsid w:val="004D66C3"/>
    <w:rsid w:val="004D675B"/>
    <w:rsid w:val="004D67B6"/>
    <w:rsid w:val="004D67E5"/>
    <w:rsid w:val="004D67FC"/>
    <w:rsid w:val="004D683A"/>
    <w:rsid w:val="004D683D"/>
    <w:rsid w:val="004D68B5"/>
    <w:rsid w:val="004D68D1"/>
    <w:rsid w:val="004D6966"/>
    <w:rsid w:val="004D697C"/>
    <w:rsid w:val="004D69A8"/>
    <w:rsid w:val="004D69B9"/>
    <w:rsid w:val="004D69DD"/>
    <w:rsid w:val="004D6A43"/>
    <w:rsid w:val="004D6AB2"/>
    <w:rsid w:val="004D6AB9"/>
    <w:rsid w:val="004D6B65"/>
    <w:rsid w:val="004D6B98"/>
    <w:rsid w:val="004D6C64"/>
    <w:rsid w:val="004D6D08"/>
    <w:rsid w:val="004D6D10"/>
    <w:rsid w:val="004D6E89"/>
    <w:rsid w:val="004D6F93"/>
    <w:rsid w:val="004D6FCD"/>
    <w:rsid w:val="004D7012"/>
    <w:rsid w:val="004D703B"/>
    <w:rsid w:val="004D7071"/>
    <w:rsid w:val="004D70C7"/>
    <w:rsid w:val="004D7184"/>
    <w:rsid w:val="004D71B4"/>
    <w:rsid w:val="004D7203"/>
    <w:rsid w:val="004D7222"/>
    <w:rsid w:val="004D7235"/>
    <w:rsid w:val="004D7246"/>
    <w:rsid w:val="004D7310"/>
    <w:rsid w:val="004D7366"/>
    <w:rsid w:val="004D73F1"/>
    <w:rsid w:val="004D7485"/>
    <w:rsid w:val="004D751A"/>
    <w:rsid w:val="004D7614"/>
    <w:rsid w:val="004D7688"/>
    <w:rsid w:val="004D76D0"/>
    <w:rsid w:val="004D76D5"/>
    <w:rsid w:val="004D76F2"/>
    <w:rsid w:val="004D77E3"/>
    <w:rsid w:val="004D77FD"/>
    <w:rsid w:val="004D7805"/>
    <w:rsid w:val="004D7873"/>
    <w:rsid w:val="004D787D"/>
    <w:rsid w:val="004D794D"/>
    <w:rsid w:val="004D7978"/>
    <w:rsid w:val="004D79D1"/>
    <w:rsid w:val="004D79FE"/>
    <w:rsid w:val="004D7AB1"/>
    <w:rsid w:val="004D7AC6"/>
    <w:rsid w:val="004D7AC9"/>
    <w:rsid w:val="004D7B05"/>
    <w:rsid w:val="004D7C0C"/>
    <w:rsid w:val="004D7C1E"/>
    <w:rsid w:val="004D7C2A"/>
    <w:rsid w:val="004D7C3A"/>
    <w:rsid w:val="004D7C4A"/>
    <w:rsid w:val="004D7CBE"/>
    <w:rsid w:val="004D7D12"/>
    <w:rsid w:val="004D7DB2"/>
    <w:rsid w:val="004D7DF6"/>
    <w:rsid w:val="004D7E0A"/>
    <w:rsid w:val="004D7E52"/>
    <w:rsid w:val="004D7E8D"/>
    <w:rsid w:val="004D7FAD"/>
    <w:rsid w:val="004E0038"/>
    <w:rsid w:val="004E0056"/>
    <w:rsid w:val="004E00C6"/>
    <w:rsid w:val="004E013B"/>
    <w:rsid w:val="004E0198"/>
    <w:rsid w:val="004E01D9"/>
    <w:rsid w:val="004E0279"/>
    <w:rsid w:val="004E02B1"/>
    <w:rsid w:val="004E039E"/>
    <w:rsid w:val="004E04CF"/>
    <w:rsid w:val="004E04EE"/>
    <w:rsid w:val="004E04FC"/>
    <w:rsid w:val="004E058E"/>
    <w:rsid w:val="004E068C"/>
    <w:rsid w:val="004E06E7"/>
    <w:rsid w:val="004E0704"/>
    <w:rsid w:val="004E0790"/>
    <w:rsid w:val="004E085B"/>
    <w:rsid w:val="004E08B8"/>
    <w:rsid w:val="004E093C"/>
    <w:rsid w:val="004E0942"/>
    <w:rsid w:val="004E0A78"/>
    <w:rsid w:val="004E0B08"/>
    <w:rsid w:val="004E0B31"/>
    <w:rsid w:val="004E0BE3"/>
    <w:rsid w:val="004E0D76"/>
    <w:rsid w:val="004E0DEE"/>
    <w:rsid w:val="004E0E0C"/>
    <w:rsid w:val="004E0E8B"/>
    <w:rsid w:val="004E0EAB"/>
    <w:rsid w:val="004E0EB5"/>
    <w:rsid w:val="004E0F9D"/>
    <w:rsid w:val="004E0FDC"/>
    <w:rsid w:val="004E0FF2"/>
    <w:rsid w:val="004E0FFB"/>
    <w:rsid w:val="004E1001"/>
    <w:rsid w:val="004E103A"/>
    <w:rsid w:val="004E1063"/>
    <w:rsid w:val="004E107A"/>
    <w:rsid w:val="004E10AB"/>
    <w:rsid w:val="004E1126"/>
    <w:rsid w:val="004E117C"/>
    <w:rsid w:val="004E11BA"/>
    <w:rsid w:val="004E120E"/>
    <w:rsid w:val="004E12BF"/>
    <w:rsid w:val="004E1315"/>
    <w:rsid w:val="004E13FD"/>
    <w:rsid w:val="004E147E"/>
    <w:rsid w:val="004E14D9"/>
    <w:rsid w:val="004E158E"/>
    <w:rsid w:val="004E1608"/>
    <w:rsid w:val="004E161A"/>
    <w:rsid w:val="004E1652"/>
    <w:rsid w:val="004E16E7"/>
    <w:rsid w:val="004E173C"/>
    <w:rsid w:val="004E17AB"/>
    <w:rsid w:val="004E17AC"/>
    <w:rsid w:val="004E1863"/>
    <w:rsid w:val="004E1878"/>
    <w:rsid w:val="004E1882"/>
    <w:rsid w:val="004E190F"/>
    <w:rsid w:val="004E1911"/>
    <w:rsid w:val="004E19A2"/>
    <w:rsid w:val="004E1A6A"/>
    <w:rsid w:val="004E1AA8"/>
    <w:rsid w:val="004E1AFB"/>
    <w:rsid w:val="004E1BD9"/>
    <w:rsid w:val="004E1C72"/>
    <w:rsid w:val="004E1C81"/>
    <w:rsid w:val="004E1CF9"/>
    <w:rsid w:val="004E1D15"/>
    <w:rsid w:val="004E1DD3"/>
    <w:rsid w:val="004E1E46"/>
    <w:rsid w:val="004E1E56"/>
    <w:rsid w:val="004E1E78"/>
    <w:rsid w:val="004E1E8D"/>
    <w:rsid w:val="004E1ED5"/>
    <w:rsid w:val="004E1FEF"/>
    <w:rsid w:val="004E1FFF"/>
    <w:rsid w:val="004E2088"/>
    <w:rsid w:val="004E20BA"/>
    <w:rsid w:val="004E20E7"/>
    <w:rsid w:val="004E211C"/>
    <w:rsid w:val="004E2285"/>
    <w:rsid w:val="004E2292"/>
    <w:rsid w:val="004E22B6"/>
    <w:rsid w:val="004E23E0"/>
    <w:rsid w:val="004E244C"/>
    <w:rsid w:val="004E249B"/>
    <w:rsid w:val="004E24CC"/>
    <w:rsid w:val="004E24F7"/>
    <w:rsid w:val="004E2604"/>
    <w:rsid w:val="004E265F"/>
    <w:rsid w:val="004E2679"/>
    <w:rsid w:val="004E2724"/>
    <w:rsid w:val="004E2758"/>
    <w:rsid w:val="004E2787"/>
    <w:rsid w:val="004E27DF"/>
    <w:rsid w:val="004E2808"/>
    <w:rsid w:val="004E2874"/>
    <w:rsid w:val="004E2929"/>
    <w:rsid w:val="004E295B"/>
    <w:rsid w:val="004E2980"/>
    <w:rsid w:val="004E29CF"/>
    <w:rsid w:val="004E2A07"/>
    <w:rsid w:val="004E2A9A"/>
    <w:rsid w:val="004E2B2C"/>
    <w:rsid w:val="004E2B5A"/>
    <w:rsid w:val="004E2BD0"/>
    <w:rsid w:val="004E2BF1"/>
    <w:rsid w:val="004E2BF4"/>
    <w:rsid w:val="004E2C8C"/>
    <w:rsid w:val="004E2C98"/>
    <w:rsid w:val="004E2CA1"/>
    <w:rsid w:val="004E2CB4"/>
    <w:rsid w:val="004E2CD8"/>
    <w:rsid w:val="004E2D02"/>
    <w:rsid w:val="004E2D11"/>
    <w:rsid w:val="004E2D1D"/>
    <w:rsid w:val="004E2D84"/>
    <w:rsid w:val="004E2E3D"/>
    <w:rsid w:val="004E2EBE"/>
    <w:rsid w:val="004E2ED3"/>
    <w:rsid w:val="004E2F18"/>
    <w:rsid w:val="004E3032"/>
    <w:rsid w:val="004E30B1"/>
    <w:rsid w:val="004E30B6"/>
    <w:rsid w:val="004E30D6"/>
    <w:rsid w:val="004E3121"/>
    <w:rsid w:val="004E3195"/>
    <w:rsid w:val="004E3287"/>
    <w:rsid w:val="004E3297"/>
    <w:rsid w:val="004E32D2"/>
    <w:rsid w:val="004E32E4"/>
    <w:rsid w:val="004E3377"/>
    <w:rsid w:val="004E33C6"/>
    <w:rsid w:val="004E3476"/>
    <w:rsid w:val="004E34B4"/>
    <w:rsid w:val="004E3531"/>
    <w:rsid w:val="004E35AA"/>
    <w:rsid w:val="004E3610"/>
    <w:rsid w:val="004E3687"/>
    <w:rsid w:val="004E36BC"/>
    <w:rsid w:val="004E36DB"/>
    <w:rsid w:val="004E370C"/>
    <w:rsid w:val="004E376F"/>
    <w:rsid w:val="004E3808"/>
    <w:rsid w:val="004E3879"/>
    <w:rsid w:val="004E38C9"/>
    <w:rsid w:val="004E3953"/>
    <w:rsid w:val="004E39BD"/>
    <w:rsid w:val="004E3A42"/>
    <w:rsid w:val="004E3A43"/>
    <w:rsid w:val="004E3A48"/>
    <w:rsid w:val="004E3A90"/>
    <w:rsid w:val="004E3AD0"/>
    <w:rsid w:val="004E3ADB"/>
    <w:rsid w:val="004E3B3F"/>
    <w:rsid w:val="004E3B9D"/>
    <w:rsid w:val="004E3C11"/>
    <w:rsid w:val="004E3C8E"/>
    <w:rsid w:val="004E3C90"/>
    <w:rsid w:val="004E3DC8"/>
    <w:rsid w:val="004E3F75"/>
    <w:rsid w:val="004E3FB2"/>
    <w:rsid w:val="004E3FF2"/>
    <w:rsid w:val="004E4086"/>
    <w:rsid w:val="004E40C2"/>
    <w:rsid w:val="004E40E4"/>
    <w:rsid w:val="004E4132"/>
    <w:rsid w:val="004E413D"/>
    <w:rsid w:val="004E4167"/>
    <w:rsid w:val="004E41D9"/>
    <w:rsid w:val="004E428A"/>
    <w:rsid w:val="004E436C"/>
    <w:rsid w:val="004E4408"/>
    <w:rsid w:val="004E440D"/>
    <w:rsid w:val="004E444B"/>
    <w:rsid w:val="004E4496"/>
    <w:rsid w:val="004E46A0"/>
    <w:rsid w:val="004E478A"/>
    <w:rsid w:val="004E47A4"/>
    <w:rsid w:val="004E481C"/>
    <w:rsid w:val="004E4958"/>
    <w:rsid w:val="004E499A"/>
    <w:rsid w:val="004E49B1"/>
    <w:rsid w:val="004E49F5"/>
    <w:rsid w:val="004E4ABA"/>
    <w:rsid w:val="004E4B33"/>
    <w:rsid w:val="004E4B40"/>
    <w:rsid w:val="004E4B42"/>
    <w:rsid w:val="004E4C1E"/>
    <w:rsid w:val="004E4C29"/>
    <w:rsid w:val="004E4CD2"/>
    <w:rsid w:val="004E4CE7"/>
    <w:rsid w:val="004E4D35"/>
    <w:rsid w:val="004E4D56"/>
    <w:rsid w:val="004E4DFB"/>
    <w:rsid w:val="004E4E12"/>
    <w:rsid w:val="004E4EE5"/>
    <w:rsid w:val="004E4EEF"/>
    <w:rsid w:val="004E4F06"/>
    <w:rsid w:val="004E4F3A"/>
    <w:rsid w:val="004E5025"/>
    <w:rsid w:val="004E5075"/>
    <w:rsid w:val="004E50CA"/>
    <w:rsid w:val="004E520D"/>
    <w:rsid w:val="004E5220"/>
    <w:rsid w:val="004E52F3"/>
    <w:rsid w:val="004E5365"/>
    <w:rsid w:val="004E5366"/>
    <w:rsid w:val="004E54C0"/>
    <w:rsid w:val="004E54F9"/>
    <w:rsid w:val="004E5512"/>
    <w:rsid w:val="004E551C"/>
    <w:rsid w:val="004E559A"/>
    <w:rsid w:val="004E55AC"/>
    <w:rsid w:val="004E55E1"/>
    <w:rsid w:val="004E563D"/>
    <w:rsid w:val="004E567E"/>
    <w:rsid w:val="004E5858"/>
    <w:rsid w:val="004E5921"/>
    <w:rsid w:val="004E5A2C"/>
    <w:rsid w:val="004E5BB6"/>
    <w:rsid w:val="004E5BD5"/>
    <w:rsid w:val="004E5BF6"/>
    <w:rsid w:val="004E5C7E"/>
    <w:rsid w:val="004E5C9A"/>
    <w:rsid w:val="004E5CD1"/>
    <w:rsid w:val="004E5D1A"/>
    <w:rsid w:val="004E5DE1"/>
    <w:rsid w:val="004E5E21"/>
    <w:rsid w:val="004E5E27"/>
    <w:rsid w:val="004E5E5A"/>
    <w:rsid w:val="004E5E6A"/>
    <w:rsid w:val="004E5EAF"/>
    <w:rsid w:val="004E5EC0"/>
    <w:rsid w:val="004E5EE4"/>
    <w:rsid w:val="004E5F19"/>
    <w:rsid w:val="004E5F95"/>
    <w:rsid w:val="004E5FD0"/>
    <w:rsid w:val="004E600A"/>
    <w:rsid w:val="004E6057"/>
    <w:rsid w:val="004E60BB"/>
    <w:rsid w:val="004E60CB"/>
    <w:rsid w:val="004E60FF"/>
    <w:rsid w:val="004E618C"/>
    <w:rsid w:val="004E61DE"/>
    <w:rsid w:val="004E61E8"/>
    <w:rsid w:val="004E625C"/>
    <w:rsid w:val="004E626B"/>
    <w:rsid w:val="004E6316"/>
    <w:rsid w:val="004E6376"/>
    <w:rsid w:val="004E63EA"/>
    <w:rsid w:val="004E6420"/>
    <w:rsid w:val="004E6469"/>
    <w:rsid w:val="004E64CB"/>
    <w:rsid w:val="004E64EC"/>
    <w:rsid w:val="004E6544"/>
    <w:rsid w:val="004E656C"/>
    <w:rsid w:val="004E65F4"/>
    <w:rsid w:val="004E668F"/>
    <w:rsid w:val="004E66AB"/>
    <w:rsid w:val="004E6726"/>
    <w:rsid w:val="004E6777"/>
    <w:rsid w:val="004E6800"/>
    <w:rsid w:val="004E6834"/>
    <w:rsid w:val="004E684C"/>
    <w:rsid w:val="004E68BA"/>
    <w:rsid w:val="004E6928"/>
    <w:rsid w:val="004E6948"/>
    <w:rsid w:val="004E6A59"/>
    <w:rsid w:val="004E6AB0"/>
    <w:rsid w:val="004E6ABD"/>
    <w:rsid w:val="004E6ADD"/>
    <w:rsid w:val="004E6AF1"/>
    <w:rsid w:val="004E6B31"/>
    <w:rsid w:val="004E6B3D"/>
    <w:rsid w:val="004E6B4D"/>
    <w:rsid w:val="004E6B64"/>
    <w:rsid w:val="004E6BEC"/>
    <w:rsid w:val="004E6CF0"/>
    <w:rsid w:val="004E6D7E"/>
    <w:rsid w:val="004E6DA7"/>
    <w:rsid w:val="004E6DCB"/>
    <w:rsid w:val="004E6DD9"/>
    <w:rsid w:val="004E6E6D"/>
    <w:rsid w:val="004E6EF7"/>
    <w:rsid w:val="004E6F28"/>
    <w:rsid w:val="004E6FAC"/>
    <w:rsid w:val="004E7002"/>
    <w:rsid w:val="004E7050"/>
    <w:rsid w:val="004E70CE"/>
    <w:rsid w:val="004E70D0"/>
    <w:rsid w:val="004E7114"/>
    <w:rsid w:val="004E71CF"/>
    <w:rsid w:val="004E722E"/>
    <w:rsid w:val="004E72DD"/>
    <w:rsid w:val="004E72EE"/>
    <w:rsid w:val="004E730E"/>
    <w:rsid w:val="004E7382"/>
    <w:rsid w:val="004E73C0"/>
    <w:rsid w:val="004E73C5"/>
    <w:rsid w:val="004E73C9"/>
    <w:rsid w:val="004E7474"/>
    <w:rsid w:val="004E751A"/>
    <w:rsid w:val="004E76DF"/>
    <w:rsid w:val="004E7761"/>
    <w:rsid w:val="004E7792"/>
    <w:rsid w:val="004E781E"/>
    <w:rsid w:val="004E7856"/>
    <w:rsid w:val="004E7A78"/>
    <w:rsid w:val="004E7B56"/>
    <w:rsid w:val="004E7B71"/>
    <w:rsid w:val="004E7B88"/>
    <w:rsid w:val="004E7C5C"/>
    <w:rsid w:val="004E7C83"/>
    <w:rsid w:val="004E7CB4"/>
    <w:rsid w:val="004E7CC2"/>
    <w:rsid w:val="004E7CE7"/>
    <w:rsid w:val="004E7D24"/>
    <w:rsid w:val="004E7D9E"/>
    <w:rsid w:val="004E7DB2"/>
    <w:rsid w:val="004E7E6F"/>
    <w:rsid w:val="004E7F0B"/>
    <w:rsid w:val="004E7F17"/>
    <w:rsid w:val="004E7F78"/>
    <w:rsid w:val="004E7FFA"/>
    <w:rsid w:val="004F0003"/>
    <w:rsid w:val="004F007F"/>
    <w:rsid w:val="004F0087"/>
    <w:rsid w:val="004F00F9"/>
    <w:rsid w:val="004F0125"/>
    <w:rsid w:val="004F0175"/>
    <w:rsid w:val="004F018B"/>
    <w:rsid w:val="004F01A3"/>
    <w:rsid w:val="004F01DA"/>
    <w:rsid w:val="004F01E4"/>
    <w:rsid w:val="004F01EC"/>
    <w:rsid w:val="004F0205"/>
    <w:rsid w:val="004F024F"/>
    <w:rsid w:val="004F0259"/>
    <w:rsid w:val="004F02DF"/>
    <w:rsid w:val="004F030C"/>
    <w:rsid w:val="004F0351"/>
    <w:rsid w:val="004F0463"/>
    <w:rsid w:val="004F049B"/>
    <w:rsid w:val="004F04A2"/>
    <w:rsid w:val="004F04AC"/>
    <w:rsid w:val="004F04DA"/>
    <w:rsid w:val="004F04E9"/>
    <w:rsid w:val="004F0629"/>
    <w:rsid w:val="004F06A7"/>
    <w:rsid w:val="004F06C3"/>
    <w:rsid w:val="004F0722"/>
    <w:rsid w:val="004F0768"/>
    <w:rsid w:val="004F0819"/>
    <w:rsid w:val="004F0876"/>
    <w:rsid w:val="004F089D"/>
    <w:rsid w:val="004F08FA"/>
    <w:rsid w:val="004F0983"/>
    <w:rsid w:val="004F09AC"/>
    <w:rsid w:val="004F0A60"/>
    <w:rsid w:val="004F0A86"/>
    <w:rsid w:val="004F0B33"/>
    <w:rsid w:val="004F0B53"/>
    <w:rsid w:val="004F0B6A"/>
    <w:rsid w:val="004F0B93"/>
    <w:rsid w:val="004F0C38"/>
    <w:rsid w:val="004F0CA6"/>
    <w:rsid w:val="004F0CF1"/>
    <w:rsid w:val="004F0D61"/>
    <w:rsid w:val="004F0DB4"/>
    <w:rsid w:val="004F0DDF"/>
    <w:rsid w:val="004F0E96"/>
    <w:rsid w:val="004F1091"/>
    <w:rsid w:val="004F1096"/>
    <w:rsid w:val="004F1138"/>
    <w:rsid w:val="004F113E"/>
    <w:rsid w:val="004F11B8"/>
    <w:rsid w:val="004F11F5"/>
    <w:rsid w:val="004F121F"/>
    <w:rsid w:val="004F124C"/>
    <w:rsid w:val="004F12BF"/>
    <w:rsid w:val="004F12CF"/>
    <w:rsid w:val="004F135C"/>
    <w:rsid w:val="004F1435"/>
    <w:rsid w:val="004F1466"/>
    <w:rsid w:val="004F14D6"/>
    <w:rsid w:val="004F14F1"/>
    <w:rsid w:val="004F1555"/>
    <w:rsid w:val="004F159A"/>
    <w:rsid w:val="004F15EE"/>
    <w:rsid w:val="004F173C"/>
    <w:rsid w:val="004F17D8"/>
    <w:rsid w:val="004F17DF"/>
    <w:rsid w:val="004F1851"/>
    <w:rsid w:val="004F1871"/>
    <w:rsid w:val="004F188F"/>
    <w:rsid w:val="004F18DF"/>
    <w:rsid w:val="004F1947"/>
    <w:rsid w:val="004F195F"/>
    <w:rsid w:val="004F19DD"/>
    <w:rsid w:val="004F1A76"/>
    <w:rsid w:val="004F1A8F"/>
    <w:rsid w:val="004F1ACC"/>
    <w:rsid w:val="004F1AF0"/>
    <w:rsid w:val="004F1AFB"/>
    <w:rsid w:val="004F1BA3"/>
    <w:rsid w:val="004F1BC6"/>
    <w:rsid w:val="004F1C60"/>
    <w:rsid w:val="004F1CA3"/>
    <w:rsid w:val="004F1CC3"/>
    <w:rsid w:val="004F1CF8"/>
    <w:rsid w:val="004F1D75"/>
    <w:rsid w:val="004F1EE7"/>
    <w:rsid w:val="004F1F24"/>
    <w:rsid w:val="004F1F5A"/>
    <w:rsid w:val="004F2092"/>
    <w:rsid w:val="004F20DA"/>
    <w:rsid w:val="004F220E"/>
    <w:rsid w:val="004F2245"/>
    <w:rsid w:val="004F2281"/>
    <w:rsid w:val="004F2286"/>
    <w:rsid w:val="004F22BB"/>
    <w:rsid w:val="004F22CE"/>
    <w:rsid w:val="004F22E1"/>
    <w:rsid w:val="004F2310"/>
    <w:rsid w:val="004F2384"/>
    <w:rsid w:val="004F23C1"/>
    <w:rsid w:val="004F2413"/>
    <w:rsid w:val="004F2481"/>
    <w:rsid w:val="004F2510"/>
    <w:rsid w:val="004F25A2"/>
    <w:rsid w:val="004F25CE"/>
    <w:rsid w:val="004F2647"/>
    <w:rsid w:val="004F2675"/>
    <w:rsid w:val="004F267F"/>
    <w:rsid w:val="004F2680"/>
    <w:rsid w:val="004F26FE"/>
    <w:rsid w:val="004F2717"/>
    <w:rsid w:val="004F2751"/>
    <w:rsid w:val="004F27D3"/>
    <w:rsid w:val="004F27D7"/>
    <w:rsid w:val="004F28B6"/>
    <w:rsid w:val="004F2920"/>
    <w:rsid w:val="004F2922"/>
    <w:rsid w:val="004F2995"/>
    <w:rsid w:val="004F29C1"/>
    <w:rsid w:val="004F29E8"/>
    <w:rsid w:val="004F2A6D"/>
    <w:rsid w:val="004F2AAA"/>
    <w:rsid w:val="004F2B00"/>
    <w:rsid w:val="004F2B49"/>
    <w:rsid w:val="004F2C5D"/>
    <w:rsid w:val="004F2C6F"/>
    <w:rsid w:val="004F2DAE"/>
    <w:rsid w:val="004F2DDE"/>
    <w:rsid w:val="004F2DEA"/>
    <w:rsid w:val="004F2EEB"/>
    <w:rsid w:val="004F2F7E"/>
    <w:rsid w:val="004F301D"/>
    <w:rsid w:val="004F3035"/>
    <w:rsid w:val="004F30CF"/>
    <w:rsid w:val="004F30F2"/>
    <w:rsid w:val="004F3269"/>
    <w:rsid w:val="004F3274"/>
    <w:rsid w:val="004F32AC"/>
    <w:rsid w:val="004F3329"/>
    <w:rsid w:val="004F332C"/>
    <w:rsid w:val="004F3432"/>
    <w:rsid w:val="004F3539"/>
    <w:rsid w:val="004F365B"/>
    <w:rsid w:val="004F3685"/>
    <w:rsid w:val="004F36AF"/>
    <w:rsid w:val="004F36C6"/>
    <w:rsid w:val="004F3789"/>
    <w:rsid w:val="004F37BE"/>
    <w:rsid w:val="004F3812"/>
    <w:rsid w:val="004F3936"/>
    <w:rsid w:val="004F3941"/>
    <w:rsid w:val="004F3952"/>
    <w:rsid w:val="004F39A5"/>
    <w:rsid w:val="004F39C9"/>
    <w:rsid w:val="004F3A6A"/>
    <w:rsid w:val="004F3A8F"/>
    <w:rsid w:val="004F3AAC"/>
    <w:rsid w:val="004F3AF0"/>
    <w:rsid w:val="004F3B07"/>
    <w:rsid w:val="004F3C38"/>
    <w:rsid w:val="004F3D48"/>
    <w:rsid w:val="004F3D56"/>
    <w:rsid w:val="004F3D5B"/>
    <w:rsid w:val="004F40B5"/>
    <w:rsid w:val="004F40F2"/>
    <w:rsid w:val="004F4127"/>
    <w:rsid w:val="004F4157"/>
    <w:rsid w:val="004F41CA"/>
    <w:rsid w:val="004F4214"/>
    <w:rsid w:val="004F4259"/>
    <w:rsid w:val="004F4261"/>
    <w:rsid w:val="004F4274"/>
    <w:rsid w:val="004F428B"/>
    <w:rsid w:val="004F42B0"/>
    <w:rsid w:val="004F42C4"/>
    <w:rsid w:val="004F4332"/>
    <w:rsid w:val="004F4354"/>
    <w:rsid w:val="004F43D5"/>
    <w:rsid w:val="004F4402"/>
    <w:rsid w:val="004F4487"/>
    <w:rsid w:val="004F467C"/>
    <w:rsid w:val="004F46B0"/>
    <w:rsid w:val="004F4717"/>
    <w:rsid w:val="004F4834"/>
    <w:rsid w:val="004F4867"/>
    <w:rsid w:val="004F48FF"/>
    <w:rsid w:val="004F4938"/>
    <w:rsid w:val="004F494F"/>
    <w:rsid w:val="004F49E6"/>
    <w:rsid w:val="004F4A18"/>
    <w:rsid w:val="004F4A71"/>
    <w:rsid w:val="004F4B1E"/>
    <w:rsid w:val="004F4BDE"/>
    <w:rsid w:val="004F4BFA"/>
    <w:rsid w:val="004F4CF2"/>
    <w:rsid w:val="004F4D41"/>
    <w:rsid w:val="004F4DE7"/>
    <w:rsid w:val="004F4DF0"/>
    <w:rsid w:val="004F4E53"/>
    <w:rsid w:val="004F4E90"/>
    <w:rsid w:val="004F4EA7"/>
    <w:rsid w:val="004F4F14"/>
    <w:rsid w:val="004F4F85"/>
    <w:rsid w:val="004F4F86"/>
    <w:rsid w:val="004F4F9D"/>
    <w:rsid w:val="004F4FDA"/>
    <w:rsid w:val="004F5060"/>
    <w:rsid w:val="004F50B1"/>
    <w:rsid w:val="004F50D3"/>
    <w:rsid w:val="004F50F4"/>
    <w:rsid w:val="004F50FF"/>
    <w:rsid w:val="004F5116"/>
    <w:rsid w:val="004F51D0"/>
    <w:rsid w:val="004F51DF"/>
    <w:rsid w:val="004F5236"/>
    <w:rsid w:val="004F52D7"/>
    <w:rsid w:val="004F532B"/>
    <w:rsid w:val="004F5376"/>
    <w:rsid w:val="004F5392"/>
    <w:rsid w:val="004F53DC"/>
    <w:rsid w:val="004F551E"/>
    <w:rsid w:val="004F55D1"/>
    <w:rsid w:val="004F55E7"/>
    <w:rsid w:val="004F5704"/>
    <w:rsid w:val="004F577C"/>
    <w:rsid w:val="004F578B"/>
    <w:rsid w:val="004F5807"/>
    <w:rsid w:val="004F5826"/>
    <w:rsid w:val="004F585B"/>
    <w:rsid w:val="004F585F"/>
    <w:rsid w:val="004F58B3"/>
    <w:rsid w:val="004F5924"/>
    <w:rsid w:val="004F5990"/>
    <w:rsid w:val="004F5A9A"/>
    <w:rsid w:val="004F5B00"/>
    <w:rsid w:val="004F5B67"/>
    <w:rsid w:val="004F5BB7"/>
    <w:rsid w:val="004F5C0D"/>
    <w:rsid w:val="004F5C1D"/>
    <w:rsid w:val="004F5C69"/>
    <w:rsid w:val="004F5D45"/>
    <w:rsid w:val="004F5D51"/>
    <w:rsid w:val="004F5DA1"/>
    <w:rsid w:val="004F5E15"/>
    <w:rsid w:val="004F5E27"/>
    <w:rsid w:val="004F5E33"/>
    <w:rsid w:val="004F5F0B"/>
    <w:rsid w:val="004F5F0C"/>
    <w:rsid w:val="004F5F67"/>
    <w:rsid w:val="004F5FB0"/>
    <w:rsid w:val="004F5FB2"/>
    <w:rsid w:val="004F6059"/>
    <w:rsid w:val="004F60E6"/>
    <w:rsid w:val="004F6199"/>
    <w:rsid w:val="004F61C5"/>
    <w:rsid w:val="004F623B"/>
    <w:rsid w:val="004F627B"/>
    <w:rsid w:val="004F6387"/>
    <w:rsid w:val="004F638C"/>
    <w:rsid w:val="004F63AE"/>
    <w:rsid w:val="004F6426"/>
    <w:rsid w:val="004F6440"/>
    <w:rsid w:val="004F652A"/>
    <w:rsid w:val="004F6556"/>
    <w:rsid w:val="004F6582"/>
    <w:rsid w:val="004F6599"/>
    <w:rsid w:val="004F65E3"/>
    <w:rsid w:val="004F65F0"/>
    <w:rsid w:val="004F6604"/>
    <w:rsid w:val="004F6635"/>
    <w:rsid w:val="004F6690"/>
    <w:rsid w:val="004F66C3"/>
    <w:rsid w:val="004F66CC"/>
    <w:rsid w:val="004F66FE"/>
    <w:rsid w:val="004F677C"/>
    <w:rsid w:val="004F67B8"/>
    <w:rsid w:val="004F67EF"/>
    <w:rsid w:val="004F6879"/>
    <w:rsid w:val="004F688A"/>
    <w:rsid w:val="004F689D"/>
    <w:rsid w:val="004F68CF"/>
    <w:rsid w:val="004F6A81"/>
    <w:rsid w:val="004F6AE0"/>
    <w:rsid w:val="004F6B9D"/>
    <w:rsid w:val="004F6BBE"/>
    <w:rsid w:val="004F6BC0"/>
    <w:rsid w:val="004F6BEA"/>
    <w:rsid w:val="004F6CA6"/>
    <w:rsid w:val="004F6D0A"/>
    <w:rsid w:val="004F6D5D"/>
    <w:rsid w:val="004F6D6C"/>
    <w:rsid w:val="004F6D70"/>
    <w:rsid w:val="004F6D8D"/>
    <w:rsid w:val="004F6D9F"/>
    <w:rsid w:val="004F6DF8"/>
    <w:rsid w:val="004F6EEC"/>
    <w:rsid w:val="004F6EF0"/>
    <w:rsid w:val="004F6F01"/>
    <w:rsid w:val="004F6F3F"/>
    <w:rsid w:val="004F7056"/>
    <w:rsid w:val="004F709D"/>
    <w:rsid w:val="004F7155"/>
    <w:rsid w:val="004F715C"/>
    <w:rsid w:val="004F73A1"/>
    <w:rsid w:val="004F73A4"/>
    <w:rsid w:val="004F73BE"/>
    <w:rsid w:val="004F73EE"/>
    <w:rsid w:val="004F744E"/>
    <w:rsid w:val="004F7486"/>
    <w:rsid w:val="004F74C6"/>
    <w:rsid w:val="004F74C8"/>
    <w:rsid w:val="004F74FF"/>
    <w:rsid w:val="004F763F"/>
    <w:rsid w:val="004F7672"/>
    <w:rsid w:val="004F7690"/>
    <w:rsid w:val="004F76C4"/>
    <w:rsid w:val="004F771F"/>
    <w:rsid w:val="004F772E"/>
    <w:rsid w:val="004F77EC"/>
    <w:rsid w:val="004F7801"/>
    <w:rsid w:val="004F7843"/>
    <w:rsid w:val="004F7849"/>
    <w:rsid w:val="004F7915"/>
    <w:rsid w:val="004F797D"/>
    <w:rsid w:val="004F79EA"/>
    <w:rsid w:val="004F7A6C"/>
    <w:rsid w:val="004F7AC3"/>
    <w:rsid w:val="004F7AC7"/>
    <w:rsid w:val="004F7AF4"/>
    <w:rsid w:val="004F7B22"/>
    <w:rsid w:val="004F7B66"/>
    <w:rsid w:val="004F7BF6"/>
    <w:rsid w:val="004F7C31"/>
    <w:rsid w:val="004F7C62"/>
    <w:rsid w:val="004F7C9D"/>
    <w:rsid w:val="004F7CB7"/>
    <w:rsid w:val="004F7D44"/>
    <w:rsid w:val="004F7D7B"/>
    <w:rsid w:val="004F7DB7"/>
    <w:rsid w:val="004F7E1E"/>
    <w:rsid w:val="004F7E27"/>
    <w:rsid w:val="004F7E3B"/>
    <w:rsid w:val="004F7E50"/>
    <w:rsid w:val="004F7E6C"/>
    <w:rsid w:val="004F7E86"/>
    <w:rsid w:val="004F7F20"/>
    <w:rsid w:val="004F7FBF"/>
    <w:rsid w:val="004F7FD6"/>
    <w:rsid w:val="00500016"/>
    <w:rsid w:val="00500096"/>
    <w:rsid w:val="005000EE"/>
    <w:rsid w:val="00500198"/>
    <w:rsid w:val="00500260"/>
    <w:rsid w:val="00500383"/>
    <w:rsid w:val="0050038B"/>
    <w:rsid w:val="005003BF"/>
    <w:rsid w:val="005003F7"/>
    <w:rsid w:val="00500402"/>
    <w:rsid w:val="00500403"/>
    <w:rsid w:val="005004E5"/>
    <w:rsid w:val="00500534"/>
    <w:rsid w:val="00500536"/>
    <w:rsid w:val="00500545"/>
    <w:rsid w:val="00500586"/>
    <w:rsid w:val="00500588"/>
    <w:rsid w:val="005005F1"/>
    <w:rsid w:val="0050064B"/>
    <w:rsid w:val="0050064C"/>
    <w:rsid w:val="0050068A"/>
    <w:rsid w:val="0050072E"/>
    <w:rsid w:val="005007CD"/>
    <w:rsid w:val="005008AB"/>
    <w:rsid w:val="005008FC"/>
    <w:rsid w:val="00500932"/>
    <w:rsid w:val="00500947"/>
    <w:rsid w:val="005009A6"/>
    <w:rsid w:val="00500A28"/>
    <w:rsid w:val="00500A85"/>
    <w:rsid w:val="00500A9E"/>
    <w:rsid w:val="00500AEF"/>
    <w:rsid w:val="00500B20"/>
    <w:rsid w:val="00500B31"/>
    <w:rsid w:val="00500B6F"/>
    <w:rsid w:val="00500BE2"/>
    <w:rsid w:val="00500BFE"/>
    <w:rsid w:val="00500CE0"/>
    <w:rsid w:val="00500D74"/>
    <w:rsid w:val="00500D85"/>
    <w:rsid w:val="00500DB8"/>
    <w:rsid w:val="00500DED"/>
    <w:rsid w:val="00500FE6"/>
    <w:rsid w:val="0050109C"/>
    <w:rsid w:val="0050114B"/>
    <w:rsid w:val="0050116E"/>
    <w:rsid w:val="00501178"/>
    <w:rsid w:val="00501204"/>
    <w:rsid w:val="00501234"/>
    <w:rsid w:val="00501235"/>
    <w:rsid w:val="005012ED"/>
    <w:rsid w:val="005013B0"/>
    <w:rsid w:val="005013CE"/>
    <w:rsid w:val="0050140F"/>
    <w:rsid w:val="00501439"/>
    <w:rsid w:val="00501485"/>
    <w:rsid w:val="005014A2"/>
    <w:rsid w:val="005014C6"/>
    <w:rsid w:val="005014FC"/>
    <w:rsid w:val="00501501"/>
    <w:rsid w:val="0050155C"/>
    <w:rsid w:val="005015F2"/>
    <w:rsid w:val="00501670"/>
    <w:rsid w:val="005016E2"/>
    <w:rsid w:val="00501776"/>
    <w:rsid w:val="0050177A"/>
    <w:rsid w:val="005018AC"/>
    <w:rsid w:val="005018C8"/>
    <w:rsid w:val="005018E1"/>
    <w:rsid w:val="00501963"/>
    <w:rsid w:val="00501975"/>
    <w:rsid w:val="005019E4"/>
    <w:rsid w:val="00501A1F"/>
    <w:rsid w:val="00501AED"/>
    <w:rsid w:val="00501B94"/>
    <w:rsid w:val="00501C17"/>
    <w:rsid w:val="00501C51"/>
    <w:rsid w:val="00501CE5"/>
    <w:rsid w:val="00501CEA"/>
    <w:rsid w:val="00501D36"/>
    <w:rsid w:val="00501D93"/>
    <w:rsid w:val="00501DEF"/>
    <w:rsid w:val="00501F08"/>
    <w:rsid w:val="00501F5E"/>
    <w:rsid w:val="00501FAE"/>
    <w:rsid w:val="00502068"/>
    <w:rsid w:val="005020D8"/>
    <w:rsid w:val="005020FA"/>
    <w:rsid w:val="005021A1"/>
    <w:rsid w:val="005021D7"/>
    <w:rsid w:val="0050220B"/>
    <w:rsid w:val="00502267"/>
    <w:rsid w:val="005022A4"/>
    <w:rsid w:val="005022C3"/>
    <w:rsid w:val="00502325"/>
    <w:rsid w:val="005023C2"/>
    <w:rsid w:val="005023E1"/>
    <w:rsid w:val="005023E3"/>
    <w:rsid w:val="005024DB"/>
    <w:rsid w:val="005024E8"/>
    <w:rsid w:val="005024F9"/>
    <w:rsid w:val="00502564"/>
    <w:rsid w:val="0050260B"/>
    <w:rsid w:val="00502637"/>
    <w:rsid w:val="005026A3"/>
    <w:rsid w:val="00502792"/>
    <w:rsid w:val="0050279C"/>
    <w:rsid w:val="005027D2"/>
    <w:rsid w:val="005029D9"/>
    <w:rsid w:val="00502A76"/>
    <w:rsid w:val="00502A8D"/>
    <w:rsid w:val="00502B25"/>
    <w:rsid w:val="00502B2F"/>
    <w:rsid w:val="00502C7A"/>
    <w:rsid w:val="00502CBB"/>
    <w:rsid w:val="00502E2F"/>
    <w:rsid w:val="00502E40"/>
    <w:rsid w:val="00502E88"/>
    <w:rsid w:val="00502F67"/>
    <w:rsid w:val="00502F6F"/>
    <w:rsid w:val="005030B0"/>
    <w:rsid w:val="005030DB"/>
    <w:rsid w:val="0050315C"/>
    <w:rsid w:val="0050326D"/>
    <w:rsid w:val="00503279"/>
    <w:rsid w:val="0050344B"/>
    <w:rsid w:val="005034A2"/>
    <w:rsid w:val="005034F7"/>
    <w:rsid w:val="0050351F"/>
    <w:rsid w:val="00503529"/>
    <w:rsid w:val="005035B2"/>
    <w:rsid w:val="005035F1"/>
    <w:rsid w:val="005036A7"/>
    <w:rsid w:val="00503748"/>
    <w:rsid w:val="005037C5"/>
    <w:rsid w:val="005037D4"/>
    <w:rsid w:val="005037F1"/>
    <w:rsid w:val="005037F9"/>
    <w:rsid w:val="00503841"/>
    <w:rsid w:val="00503928"/>
    <w:rsid w:val="0050395B"/>
    <w:rsid w:val="00503983"/>
    <w:rsid w:val="005039E9"/>
    <w:rsid w:val="00503A58"/>
    <w:rsid w:val="00503A59"/>
    <w:rsid w:val="00503A6C"/>
    <w:rsid w:val="00503A7C"/>
    <w:rsid w:val="00503ABB"/>
    <w:rsid w:val="00503ADC"/>
    <w:rsid w:val="00503AEC"/>
    <w:rsid w:val="00503B40"/>
    <w:rsid w:val="00503CB7"/>
    <w:rsid w:val="00503CF9"/>
    <w:rsid w:val="00503D99"/>
    <w:rsid w:val="00503DA7"/>
    <w:rsid w:val="00503DE8"/>
    <w:rsid w:val="00503E1C"/>
    <w:rsid w:val="00503E49"/>
    <w:rsid w:val="00503F04"/>
    <w:rsid w:val="00503F6C"/>
    <w:rsid w:val="00504099"/>
    <w:rsid w:val="005040F5"/>
    <w:rsid w:val="0050413B"/>
    <w:rsid w:val="00504151"/>
    <w:rsid w:val="00504171"/>
    <w:rsid w:val="005041CC"/>
    <w:rsid w:val="005041DD"/>
    <w:rsid w:val="005041EA"/>
    <w:rsid w:val="0050420D"/>
    <w:rsid w:val="00504210"/>
    <w:rsid w:val="00504251"/>
    <w:rsid w:val="005042B7"/>
    <w:rsid w:val="00504310"/>
    <w:rsid w:val="00504314"/>
    <w:rsid w:val="005043D0"/>
    <w:rsid w:val="00504456"/>
    <w:rsid w:val="00504493"/>
    <w:rsid w:val="005044A4"/>
    <w:rsid w:val="005044BC"/>
    <w:rsid w:val="005044D3"/>
    <w:rsid w:val="0050451C"/>
    <w:rsid w:val="005045C5"/>
    <w:rsid w:val="00504622"/>
    <w:rsid w:val="00504624"/>
    <w:rsid w:val="005046B0"/>
    <w:rsid w:val="005046DE"/>
    <w:rsid w:val="0050477B"/>
    <w:rsid w:val="00504815"/>
    <w:rsid w:val="00504836"/>
    <w:rsid w:val="00504858"/>
    <w:rsid w:val="005048F6"/>
    <w:rsid w:val="00504948"/>
    <w:rsid w:val="005049EB"/>
    <w:rsid w:val="00504A39"/>
    <w:rsid w:val="00504B1F"/>
    <w:rsid w:val="00504B60"/>
    <w:rsid w:val="00504B62"/>
    <w:rsid w:val="00504B9E"/>
    <w:rsid w:val="00504BD9"/>
    <w:rsid w:val="00504BF4"/>
    <w:rsid w:val="00504C27"/>
    <w:rsid w:val="00504C2C"/>
    <w:rsid w:val="00504C2D"/>
    <w:rsid w:val="00504C37"/>
    <w:rsid w:val="00504CAF"/>
    <w:rsid w:val="00504CBE"/>
    <w:rsid w:val="00504D8A"/>
    <w:rsid w:val="00504DC7"/>
    <w:rsid w:val="00504E40"/>
    <w:rsid w:val="00504E67"/>
    <w:rsid w:val="00504E9E"/>
    <w:rsid w:val="00504EF3"/>
    <w:rsid w:val="00504EF6"/>
    <w:rsid w:val="00504F1A"/>
    <w:rsid w:val="00505142"/>
    <w:rsid w:val="00505178"/>
    <w:rsid w:val="005051D6"/>
    <w:rsid w:val="0050524C"/>
    <w:rsid w:val="00505287"/>
    <w:rsid w:val="005052D4"/>
    <w:rsid w:val="005052E5"/>
    <w:rsid w:val="00505336"/>
    <w:rsid w:val="0050533F"/>
    <w:rsid w:val="00505385"/>
    <w:rsid w:val="00505445"/>
    <w:rsid w:val="00505465"/>
    <w:rsid w:val="00505547"/>
    <w:rsid w:val="0050557A"/>
    <w:rsid w:val="00505602"/>
    <w:rsid w:val="00505637"/>
    <w:rsid w:val="005056A2"/>
    <w:rsid w:val="00505791"/>
    <w:rsid w:val="005057DB"/>
    <w:rsid w:val="00505854"/>
    <w:rsid w:val="0050585B"/>
    <w:rsid w:val="005058F0"/>
    <w:rsid w:val="00505948"/>
    <w:rsid w:val="005059B6"/>
    <w:rsid w:val="00505A3B"/>
    <w:rsid w:val="00505AD7"/>
    <w:rsid w:val="00505B20"/>
    <w:rsid w:val="00505B71"/>
    <w:rsid w:val="00505C1F"/>
    <w:rsid w:val="00505C53"/>
    <w:rsid w:val="00505D65"/>
    <w:rsid w:val="00505E3A"/>
    <w:rsid w:val="00505F0C"/>
    <w:rsid w:val="00505F41"/>
    <w:rsid w:val="0050601F"/>
    <w:rsid w:val="00506122"/>
    <w:rsid w:val="005061BD"/>
    <w:rsid w:val="005061E7"/>
    <w:rsid w:val="0050624D"/>
    <w:rsid w:val="0050627A"/>
    <w:rsid w:val="005062B4"/>
    <w:rsid w:val="005062D6"/>
    <w:rsid w:val="005062F7"/>
    <w:rsid w:val="00506338"/>
    <w:rsid w:val="00506373"/>
    <w:rsid w:val="00506408"/>
    <w:rsid w:val="00506416"/>
    <w:rsid w:val="00506446"/>
    <w:rsid w:val="005064E3"/>
    <w:rsid w:val="00506536"/>
    <w:rsid w:val="005065DF"/>
    <w:rsid w:val="00506663"/>
    <w:rsid w:val="005066DC"/>
    <w:rsid w:val="00506702"/>
    <w:rsid w:val="00506714"/>
    <w:rsid w:val="00506779"/>
    <w:rsid w:val="0050678C"/>
    <w:rsid w:val="00506830"/>
    <w:rsid w:val="00506842"/>
    <w:rsid w:val="00506849"/>
    <w:rsid w:val="005068E0"/>
    <w:rsid w:val="00506916"/>
    <w:rsid w:val="0050696B"/>
    <w:rsid w:val="005069F9"/>
    <w:rsid w:val="00506A0B"/>
    <w:rsid w:val="00506A7D"/>
    <w:rsid w:val="00506A82"/>
    <w:rsid w:val="00506A93"/>
    <w:rsid w:val="00506ACA"/>
    <w:rsid w:val="00506AFA"/>
    <w:rsid w:val="00506B0B"/>
    <w:rsid w:val="00506BA8"/>
    <w:rsid w:val="00506BE5"/>
    <w:rsid w:val="00506C0D"/>
    <w:rsid w:val="00506C47"/>
    <w:rsid w:val="00506CFD"/>
    <w:rsid w:val="00506D02"/>
    <w:rsid w:val="00506D37"/>
    <w:rsid w:val="00506D70"/>
    <w:rsid w:val="00506D85"/>
    <w:rsid w:val="00506DDC"/>
    <w:rsid w:val="00506DE9"/>
    <w:rsid w:val="00506E26"/>
    <w:rsid w:val="00506E91"/>
    <w:rsid w:val="00506EB0"/>
    <w:rsid w:val="00506EC7"/>
    <w:rsid w:val="00506ECB"/>
    <w:rsid w:val="00506EDE"/>
    <w:rsid w:val="00506F12"/>
    <w:rsid w:val="00506F4B"/>
    <w:rsid w:val="0050711E"/>
    <w:rsid w:val="0050716C"/>
    <w:rsid w:val="005071EA"/>
    <w:rsid w:val="005072B0"/>
    <w:rsid w:val="005072DB"/>
    <w:rsid w:val="0050731C"/>
    <w:rsid w:val="0050734C"/>
    <w:rsid w:val="0050745F"/>
    <w:rsid w:val="005074A4"/>
    <w:rsid w:val="005074C7"/>
    <w:rsid w:val="0050750E"/>
    <w:rsid w:val="0050755F"/>
    <w:rsid w:val="0050756F"/>
    <w:rsid w:val="00507576"/>
    <w:rsid w:val="00507596"/>
    <w:rsid w:val="00507612"/>
    <w:rsid w:val="00507649"/>
    <w:rsid w:val="0050765F"/>
    <w:rsid w:val="00507669"/>
    <w:rsid w:val="005077A1"/>
    <w:rsid w:val="005077EA"/>
    <w:rsid w:val="00507808"/>
    <w:rsid w:val="0050782C"/>
    <w:rsid w:val="0050787E"/>
    <w:rsid w:val="00507990"/>
    <w:rsid w:val="00507A32"/>
    <w:rsid w:val="00507AF4"/>
    <w:rsid w:val="00507AFB"/>
    <w:rsid w:val="00507B8C"/>
    <w:rsid w:val="00507B94"/>
    <w:rsid w:val="00507BCD"/>
    <w:rsid w:val="00507D27"/>
    <w:rsid w:val="00507D4D"/>
    <w:rsid w:val="00507D9E"/>
    <w:rsid w:val="00507DF4"/>
    <w:rsid w:val="00507E35"/>
    <w:rsid w:val="00507E98"/>
    <w:rsid w:val="00507EBE"/>
    <w:rsid w:val="00507EEE"/>
    <w:rsid w:val="00507EF4"/>
    <w:rsid w:val="00507F41"/>
    <w:rsid w:val="00507F43"/>
    <w:rsid w:val="00507F69"/>
    <w:rsid w:val="00507F91"/>
    <w:rsid w:val="00507FC1"/>
    <w:rsid w:val="00510057"/>
    <w:rsid w:val="0051005B"/>
    <w:rsid w:val="00510082"/>
    <w:rsid w:val="0051008D"/>
    <w:rsid w:val="00510090"/>
    <w:rsid w:val="00510172"/>
    <w:rsid w:val="005101F0"/>
    <w:rsid w:val="00510327"/>
    <w:rsid w:val="00510343"/>
    <w:rsid w:val="00510380"/>
    <w:rsid w:val="005103BB"/>
    <w:rsid w:val="005103BC"/>
    <w:rsid w:val="005103EE"/>
    <w:rsid w:val="00510444"/>
    <w:rsid w:val="00510467"/>
    <w:rsid w:val="0051047B"/>
    <w:rsid w:val="00510529"/>
    <w:rsid w:val="00510585"/>
    <w:rsid w:val="005105A1"/>
    <w:rsid w:val="005105EB"/>
    <w:rsid w:val="0051062D"/>
    <w:rsid w:val="005106AC"/>
    <w:rsid w:val="005106EF"/>
    <w:rsid w:val="005107D5"/>
    <w:rsid w:val="00510805"/>
    <w:rsid w:val="00510833"/>
    <w:rsid w:val="0051083E"/>
    <w:rsid w:val="0051089F"/>
    <w:rsid w:val="00510905"/>
    <w:rsid w:val="00510912"/>
    <w:rsid w:val="00510952"/>
    <w:rsid w:val="005109C5"/>
    <w:rsid w:val="00510A05"/>
    <w:rsid w:val="00510B1F"/>
    <w:rsid w:val="00510B2B"/>
    <w:rsid w:val="00510BC1"/>
    <w:rsid w:val="00510C7A"/>
    <w:rsid w:val="00510CE6"/>
    <w:rsid w:val="00510D53"/>
    <w:rsid w:val="00510D72"/>
    <w:rsid w:val="00510D7E"/>
    <w:rsid w:val="00510D82"/>
    <w:rsid w:val="00510EBF"/>
    <w:rsid w:val="00510EEE"/>
    <w:rsid w:val="00510F4E"/>
    <w:rsid w:val="00510FAD"/>
    <w:rsid w:val="0051109C"/>
    <w:rsid w:val="0051110C"/>
    <w:rsid w:val="0051119E"/>
    <w:rsid w:val="005111B1"/>
    <w:rsid w:val="0051120D"/>
    <w:rsid w:val="00511261"/>
    <w:rsid w:val="005112AC"/>
    <w:rsid w:val="005112B6"/>
    <w:rsid w:val="005112EC"/>
    <w:rsid w:val="005112F3"/>
    <w:rsid w:val="00511396"/>
    <w:rsid w:val="00511434"/>
    <w:rsid w:val="00511469"/>
    <w:rsid w:val="00511579"/>
    <w:rsid w:val="00511593"/>
    <w:rsid w:val="005115B8"/>
    <w:rsid w:val="00511655"/>
    <w:rsid w:val="0051169A"/>
    <w:rsid w:val="00511842"/>
    <w:rsid w:val="00511868"/>
    <w:rsid w:val="00511869"/>
    <w:rsid w:val="005118E0"/>
    <w:rsid w:val="0051191C"/>
    <w:rsid w:val="005119AE"/>
    <w:rsid w:val="005119DC"/>
    <w:rsid w:val="00511A09"/>
    <w:rsid w:val="00511A1A"/>
    <w:rsid w:val="00511A44"/>
    <w:rsid w:val="00511A69"/>
    <w:rsid w:val="00511BE5"/>
    <w:rsid w:val="00511C84"/>
    <w:rsid w:val="00511CB1"/>
    <w:rsid w:val="00511CB9"/>
    <w:rsid w:val="00511D15"/>
    <w:rsid w:val="00511DD1"/>
    <w:rsid w:val="00511E18"/>
    <w:rsid w:val="00511EA1"/>
    <w:rsid w:val="00511EB3"/>
    <w:rsid w:val="00511EEC"/>
    <w:rsid w:val="00511FA8"/>
    <w:rsid w:val="005120E1"/>
    <w:rsid w:val="00512106"/>
    <w:rsid w:val="0051210E"/>
    <w:rsid w:val="00512167"/>
    <w:rsid w:val="005121E5"/>
    <w:rsid w:val="0051220C"/>
    <w:rsid w:val="005124E2"/>
    <w:rsid w:val="0051253A"/>
    <w:rsid w:val="00512547"/>
    <w:rsid w:val="0051257B"/>
    <w:rsid w:val="0051258A"/>
    <w:rsid w:val="005125DC"/>
    <w:rsid w:val="005125E5"/>
    <w:rsid w:val="005126CD"/>
    <w:rsid w:val="0051275D"/>
    <w:rsid w:val="00512794"/>
    <w:rsid w:val="00512864"/>
    <w:rsid w:val="0051286F"/>
    <w:rsid w:val="00512877"/>
    <w:rsid w:val="005128AB"/>
    <w:rsid w:val="005128D2"/>
    <w:rsid w:val="005128FF"/>
    <w:rsid w:val="00512906"/>
    <w:rsid w:val="0051299A"/>
    <w:rsid w:val="005129C9"/>
    <w:rsid w:val="005129E0"/>
    <w:rsid w:val="005129FE"/>
    <w:rsid w:val="00512A05"/>
    <w:rsid w:val="00512A0E"/>
    <w:rsid w:val="00512AF1"/>
    <w:rsid w:val="00512AFE"/>
    <w:rsid w:val="00512B48"/>
    <w:rsid w:val="00512B6C"/>
    <w:rsid w:val="00512B88"/>
    <w:rsid w:val="00512B9B"/>
    <w:rsid w:val="00512BDE"/>
    <w:rsid w:val="00512BF1"/>
    <w:rsid w:val="00512C76"/>
    <w:rsid w:val="00512CB8"/>
    <w:rsid w:val="00512CE3"/>
    <w:rsid w:val="00512D4A"/>
    <w:rsid w:val="00512DD2"/>
    <w:rsid w:val="00512F7A"/>
    <w:rsid w:val="00512FA8"/>
    <w:rsid w:val="00512FF4"/>
    <w:rsid w:val="00513040"/>
    <w:rsid w:val="00513045"/>
    <w:rsid w:val="00513061"/>
    <w:rsid w:val="005130D4"/>
    <w:rsid w:val="00513378"/>
    <w:rsid w:val="0051342E"/>
    <w:rsid w:val="005135B3"/>
    <w:rsid w:val="00513620"/>
    <w:rsid w:val="0051369E"/>
    <w:rsid w:val="005136F8"/>
    <w:rsid w:val="00513829"/>
    <w:rsid w:val="005138E9"/>
    <w:rsid w:val="00513918"/>
    <w:rsid w:val="00513927"/>
    <w:rsid w:val="00513936"/>
    <w:rsid w:val="0051395A"/>
    <w:rsid w:val="00513981"/>
    <w:rsid w:val="00513992"/>
    <w:rsid w:val="00513A43"/>
    <w:rsid w:val="00513AA0"/>
    <w:rsid w:val="00513AA7"/>
    <w:rsid w:val="00513B34"/>
    <w:rsid w:val="00513BCF"/>
    <w:rsid w:val="00513C2C"/>
    <w:rsid w:val="00513C59"/>
    <w:rsid w:val="00513CF9"/>
    <w:rsid w:val="00513D04"/>
    <w:rsid w:val="00513D7A"/>
    <w:rsid w:val="00513ED5"/>
    <w:rsid w:val="00513F1A"/>
    <w:rsid w:val="00513F34"/>
    <w:rsid w:val="00513FBD"/>
    <w:rsid w:val="00513FCF"/>
    <w:rsid w:val="00513FF6"/>
    <w:rsid w:val="00514005"/>
    <w:rsid w:val="00514111"/>
    <w:rsid w:val="00514160"/>
    <w:rsid w:val="005141DF"/>
    <w:rsid w:val="00514220"/>
    <w:rsid w:val="0051422F"/>
    <w:rsid w:val="00514299"/>
    <w:rsid w:val="005142E5"/>
    <w:rsid w:val="00514331"/>
    <w:rsid w:val="00514353"/>
    <w:rsid w:val="00514407"/>
    <w:rsid w:val="00514433"/>
    <w:rsid w:val="005144A0"/>
    <w:rsid w:val="005144BC"/>
    <w:rsid w:val="0051452D"/>
    <w:rsid w:val="00514535"/>
    <w:rsid w:val="00514644"/>
    <w:rsid w:val="005146FC"/>
    <w:rsid w:val="0051470A"/>
    <w:rsid w:val="005147BB"/>
    <w:rsid w:val="00514806"/>
    <w:rsid w:val="00514896"/>
    <w:rsid w:val="00514950"/>
    <w:rsid w:val="0051495C"/>
    <w:rsid w:val="00514982"/>
    <w:rsid w:val="00514997"/>
    <w:rsid w:val="00514A09"/>
    <w:rsid w:val="00514A41"/>
    <w:rsid w:val="00514A7B"/>
    <w:rsid w:val="00514AF3"/>
    <w:rsid w:val="00514B26"/>
    <w:rsid w:val="00514BCD"/>
    <w:rsid w:val="00514C51"/>
    <w:rsid w:val="00514CA9"/>
    <w:rsid w:val="00514CB1"/>
    <w:rsid w:val="00514CD2"/>
    <w:rsid w:val="00514D9D"/>
    <w:rsid w:val="00514F12"/>
    <w:rsid w:val="00514FD3"/>
    <w:rsid w:val="00514FF9"/>
    <w:rsid w:val="0051500C"/>
    <w:rsid w:val="00515103"/>
    <w:rsid w:val="00515107"/>
    <w:rsid w:val="00515147"/>
    <w:rsid w:val="0051515C"/>
    <w:rsid w:val="0051518E"/>
    <w:rsid w:val="005151D9"/>
    <w:rsid w:val="0051523C"/>
    <w:rsid w:val="00515240"/>
    <w:rsid w:val="00515252"/>
    <w:rsid w:val="00515351"/>
    <w:rsid w:val="0051538F"/>
    <w:rsid w:val="00515443"/>
    <w:rsid w:val="0051545B"/>
    <w:rsid w:val="005154A1"/>
    <w:rsid w:val="005155B8"/>
    <w:rsid w:val="005156B4"/>
    <w:rsid w:val="005156E3"/>
    <w:rsid w:val="00515744"/>
    <w:rsid w:val="005157CB"/>
    <w:rsid w:val="00515882"/>
    <w:rsid w:val="005158DB"/>
    <w:rsid w:val="0051590A"/>
    <w:rsid w:val="00515915"/>
    <w:rsid w:val="005159A4"/>
    <w:rsid w:val="005159B0"/>
    <w:rsid w:val="005159E7"/>
    <w:rsid w:val="00515A9C"/>
    <w:rsid w:val="00515AC2"/>
    <w:rsid w:val="00515C57"/>
    <w:rsid w:val="00515D07"/>
    <w:rsid w:val="00515D08"/>
    <w:rsid w:val="00515E13"/>
    <w:rsid w:val="00515EC3"/>
    <w:rsid w:val="00515F0B"/>
    <w:rsid w:val="00515F3B"/>
    <w:rsid w:val="00515FE7"/>
    <w:rsid w:val="00516057"/>
    <w:rsid w:val="00516099"/>
    <w:rsid w:val="005161C1"/>
    <w:rsid w:val="00516203"/>
    <w:rsid w:val="00516211"/>
    <w:rsid w:val="00516220"/>
    <w:rsid w:val="0051624C"/>
    <w:rsid w:val="00516256"/>
    <w:rsid w:val="0051629C"/>
    <w:rsid w:val="005163B5"/>
    <w:rsid w:val="005163FE"/>
    <w:rsid w:val="00516402"/>
    <w:rsid w:val="005164B8"/>
    <w:rsid w:val="005164F5"/>
    <w:rsid w:val="00516649"/>
    <w:rsid w:val="0051673F"/>
    <w:rsid w:val="0051677C"/>
    <w:rsid w:val="005167B9"/>
    <w:rsid w:val="005167EA"/>
    <w:rsid w:val="005167EB"/>
    <w:rsid w:val="005167EC"/>
    <w:rsid w:val="00516816"/>
    <w:rsid w:val="00516935"/>
    <w:rsid w:val="00516A1C"/>
    <w:rsid w:val="00516A3B"/>
    <w:rsid w:val="00516A3C"/>
    <w:rsid w:val="00516B91"/>
    <w:rsid w:val="00516BD6"/>
    <w:rsid w:val="00516C41"/>
    <w:rsid w:val="00516D61"/>
    <w:rsid w:val="00516D7A"/>
    <w:rsid w:val="00516DFD"/>
    <w:rsid w:val="00516E1B"/>
    <w:rsid w:val="00516ED2"/>
    <w:rsid w:val="00516F33"/>
    <w:rsid w:val="00516FA2"/>
    <w:rsid w:val="00516FB4"/>
    <w:rsid w:val="00517035"/>
    <w:rsid w:val="0051703A"/>
    <w:rsid w:val="00517072"/>
    <w:rsid w:val="005170CC"/>
    <w:rsid w:val="0051712D"/>
    <w:rsid w:val="005171BF"/>
    <w:rsid w:val="00517274"/>
    <w:rsid w:val="005172C5"/>
    <w:rsid w:val="005172EB"/>
    <w:rsid w:val="0051735C"/>
    <w:rsid w:val="00517362"/>
    <w:rsid w:val="005173B1"/>
    <w:rsid w:val="0051741B"/>
    <w:rsid w:val="0051750B"/>
    <w:rsid w:val="00517599"/>
    <w:rsid w:val="005175DF"/>
    <w:rsid w:val="00517638"/>
    <w:rsid w:val="0051765A"/>
    <w:rsid w:val="00517672"/>
    <w:rsid w:val="005176A7"/>
    <w:rsid w:val="005176B4"/>
    <w:rsid w:val="005176DA"/>
    <w:rsid w:val="0051774A"/>
    <w:rsid w:val="005177FE"/>
    <w:rsid w:val="005179CC"/>
    <w:rsid w:val="00517A27"/>
    <w:rsid w:val="00517AD6"/>
    <w:rsid w:val="00517AEF"/>
    <w:rsid w:val="00517B0B"/>
    <w:rsid w:val="00517B4A"/>
    <w:rsid w:val="00517C12"/>
    <w:rsid w:val="00517CB5"/>
    <w:rsid w:val="00517CDB"/>
    <w:rsid w:val="00517CEF"/>
    <w:rsid w:val="00517D0F"/>
    <w:rsid w:val="00517D1D"/>
    <w:rsid w:val="00517D64"/>
    <w:rsid w:val="00517E03"/>
    <w:rsid w:val="00517FF4"/>
    <w:rsid w:val="00520004"/>
    <w:rsid w:val="0052002C"/>
    <w:rsid w:val="0052007B"/>
    <w:rsid w:val="005200D4"/>
    <w:rsid w:val="005200F9"/>
    <w:rsid w:val="00520106"/>
    <w:rsid w:val="00520170"/>
    <w:rsid w:val="0052017F"/>
    <w:rsid w:val="005201E3"/>
    <w:rsid w:val="0052027A"/>
    <w:rsid w:val="0052027F"/>
    <w:rsid w:val="0052032A"/>
    <w:rsid w:val="005203DD"/>
    <w:rsid w:val="0052043F"/>
    <w:rsid w:val="00520471"/>
    <w:rsid w:val="005204DA"/>
    <w:rsid w:val="0052055A"/>
    <w:rsid w:val="005205FD"/>
    <w:rsid w:val="005206CC"/>
    <w:rsid w:val="00520753"/>
    <w:rsid w:val="005207BB"/>
    <w:rsid w:val="0052085C"/>
    <w:rsid w:val="0052086A"/>
    <w:rsid w:val="0052097D"/>
    <w:rsid w:val="005209A8"/>
    <w:rsid w:val="005209B6"/>
    <w:rsid w:val="00520A25"/>
    <w:rsid w:val="00520A27"/>
    <w:rsid w:val="00520A5A"/>
    <w:rsid w:val="00520A71"/>
    <w:rsid w:val="00520AD7"/>
    <w:rsid w:val="00520B00"/>
    <w:rsid w:val="00520B11"/>
    <w:rsid w:val="00520B19"/>
    <w:rsid w:val="00520B2B"/>
    <w:rsid w:val="00520B5F"/>
    <w:rsid w:val="00520B91"/>
    <w:rsid w:val="00520BCE"/>
    <w:rsid w:val="00520BEA"/>
    <w:rsid w:val="00520BFE"/>
    <w:rsid w:val="00520C34"/>
    <w:rsid w:val="00520C4A"/>
    <w:rsid w:val="00520CD2"/>
    <w:rsid w:val="00520DF1"/>
    <w:rsid w:val="00520DFF"/>
    <w:rsid w:val="00520E0A"/>
    <w:rsid w:val="00520EF8"/>
    <w:rsid w:val="00520F06"/>
    <w:rsid w:val="00520F8A"/>
    <w:rsid w:val="00520FC5"/>
    <w:rsid w:val="0052102C"/>
    <w:rsid w:val="0052117F"/>
    <w:rsid w:val="00521229"/>
    <w:rsid w:val="0052127E"/>
    <w:rsid w:val="005212DF"/>
    <w:rsid w:val="0052132D"/>
    <w:rsid w:val="00521367"/>
    <w:rsid w:val="005213EA"/>
    <w:rsid w:val="00521487"/>
    <w:rsid w:val="005214C4"/>
    <w:rsid w:val="00521519"/>
    <w:rsid w:val="00521679"/>
    <w:rsid w:val="005216E7"/>
    <w:rsid w:val="0052171A"/>
    <w:rsid w:val="00521764"/>
    <w:rsid w:val="00521799"/>
    <w:rsid w:val="005217E6"/>
    <w:rsid w:val="00521827"/>
    <w:rsid w:val="0052184F"/>
    <w:rsid w:val="0052185B"/>
    <w:rsid w:val="00521865"/>
    <w:rsid w:val="00521869"/>
    <w:rsid w:val="00521876"/>
    <w:rsid w:val="00521891"/>
    <w:rsid w:val="005219F8"/>
    <w:rsid w:val="00521A03"/>
    <w:rsid w:val="00521A24"/>
    <w:rsid w:val="00521A65"/>
    <w:rsid w:val="00521ACC"/>
    <w:rsid w:val="00521B08"/>
    <w:rsid w:val="00521BC5"/>
    <w:rsid w:val="00521BE6"/>
    <w:rsid w:val="00521C25"/>
    <w:rsid w:val="00521CE8"/>
    <w:rsid w:val="00521D31"/>
    <w:rsid w:val="00521D89"/>
    <w:rsid w:val="00521EB6"/>
    <w:rsid w:val="00521ED3"/>
    <w:rsid w:val="00521F99"/>
    <w:rsid w:val="00521F9C"/>
    <w:rsid w:val="00521FAB"/>
    <w:rsid w:val="00522133"/>
    <w:rsid w:val="0052226E"/>
    <w:rsid w:val="005222F0"/>
    <w:rsid w:val="00522349"/>
    <w:rsid w:val="0052237C"/>
    <w:rsid w:val="005223DB"/>
    <w:rsid w:val="00522434"/>
    <w:rsid w:val="00522440"/>
    <w:rsid w:val="005224EE"/>
    <w:rsid w:val="00522509"/>
    <w:rsid w:val="00522515"/>
    <w:rsid w:val="00522521"/>
    <w:rsid w:val="005225F1"/>
    <w:rsid w:val="0052262C"/>
    <w:rsid w:val="00522654"/>
    <w:rsid w:val="0052267A"/>
    <w:rsid w:val="005226A4"/>
    <w:rsid w:val="005226BD"/>
    <w:rsid w:val="00522851"/>
    <w:rsid w:val="0052287D"/>
    <w:rsid w:val="005229A8"/>
    <w:rsid w:val="00522A25"/>
    <w:rsid w:val="00522AA0"/>
    <w:rsid w:val="00522AB1"/>
    <w:rsid w:val="00522B2E"/>
    <w:rsid w:val="00522B5C"/>
    <w:rsid w:val="00522B9C"/>
    <w:rsid w:val="00522BBC"/>
    <w:rsid w:val="00522BF8"/>
    <w:rsid w:val="00522C48"/>
    <w:rsid w:val="00522C95"/>
    <w:rsid w:val="00522CE9"/>
    <w:rsid w:val="00522D19"/>
    <w:rsid w:val="00522D1E"/>
    <w:rsid w:val="00522EAD"/>
    <w:rsid w:val="00522F0E"/>
    <w:rsid w:val="00522F36"/>
    <w:rsid w:val="00522F60"/>
    <w:rsid w:val="00522FBF"/>
    <w:rsid w:val="00522FD6"/>
    <w:rsid w:val="0052304E"/>
    <w:rsid w:val="005230C7"/>
    <w:rsid w:val="005230F0"/>
    <w:rsid w:val="005230F1"/>
    <w:rsid w:val="005230FC"/>
    <w:rsid w:val="0052314C"/>
    <w:rsid w:val="0052318B"/>
    <w:rsid w:val="0052322C"/>
    <w:rsid w:val="0052330F"/>
    <w:rsid w:val="005234F8"/>
    <w:rsid w:val="00523579"/>
    <w:rsid w:val="00523692"/>
    <w:rsid w:val="005236AC"/>
    <w:rsid w:val="0052371A"/>
    <w:rsid w:val="00523776"/>
    <w:rsid w:val="005237E7"/>
    <w:rsid w:val="0052385D"/>
    <w:rsid w:val="00523922"/>
    <w:rsid w:val="00523925"/>
    <w:rsid w:val="00523962"/>
    <w:rsid w:val="0052397B"/>
    <w:rsid w:val="0052397F"/>
    <w:rsid w:val="00523A42"/>
    <w:rsid w:val="00523B29"/>
    <w:rsid w:val="00523B71"/>
    <w:rsid w:val="00523BF8"/>
    <w:rsid w:val="00523CB8"/>
    <w:rsid w:val="00523D12"/>
    <w:rsid w:val="00523D55"/>
    <w:rsid w:val="00523DAB"/>
    <w:rsid w:val="00523DCD"/>
    <w:rsid w:val="00523E92"/>
    <w:rsid w:val="00523EA5"/>
    <w:rsid w:val="00523F36"/>
    <w:rsid w:val="00523FF0"/>
    <w:rsid w:val="00524089"/>
    <w:rsid w:val="005240F7"/>
    <w:rsid w:val="00524126"/>
    <w:rsid w:val="00524147"/>
    <w:rsid w:val="005241FA"/>
    <w:rsid w:val="00524257"/>
    <w:rsid w:val="005242A0"/>
    <w:rsid w:val="005242C9"/>
    <w:rsid w:val="005242D9"/>
    <w:rsid w:val="00524320"/>
    <w:rsid w:val="00524363"/>
    <w:rsid w:val="00524394"/>
    <w:rsid w:val="005243A1"/>
    <w:rsid w:val="005243CD"/>
    <w:rsid w:val="00524419"/>
    <w:rsid w:val="00524515"/>
    <w:rsid w:val="0052451B"/>
    <w:rsid w:val="0052451C"/>
    <w:rsid w:val="005245AA"/>
    <w:rsid w:val="00524616"/>
    <w:rsid w:val="0052466E"/>
    <w:rsid w:val="0052468B"/>
    <w:rsid w:val="00524699"/>
    <w:rsid w:val="0052478C"/>
    <w:rsid w:val="005247A6"/>
    <w:rsid w:val="005247AF"/>
    <w:rsid w:val="005247B9"/>
    <w:rsid w:val="0052485D"/>
    <w:rsid w:val="0052490E"/>
    <w:rsid w:val="0052495F"/>
    <w:rsid w:val="005249CD"/>
    <w:rsid w:val="00524A24"/>
    <w:rsid w:val="00524A33"/>
    <w:rsid w:val="00524A60"/>
    <w:rsid w:val="00524AED"/>
    <w:rsid w:val="00524B9E"/>
    <w:rsid w:val="00524CAC"/>
    <w:rsid w:val="00524D39"/>
    <w:rsid w:val="00524E5F"/>
    <w:rsid w:val="00524EA2"/>
    <w:rsid w:val="00524EC1"/>
    <w:rsid w:val="00524EC7"/>
    <w:rsid w:val="00524EDB"/>
    <w:rsid w:val="00524F75"/>
    <w:rsid w:val="00525040"/>
    <w:rsid w:val="0052505E"/>
    <w:rsid w:val="005250C7"/>
    <w:rsid w:val="00525101"/>
    <w:rsid w:val="00525102"/>
    <w:rsid w:val="00525147"/>
    <w:rsid w:val="0052514B"/>
    <w:rsid w:val="00525172"/>
    <w:rsid w:val="005251A9"/>
    <w:rsid w:val="005251D6"/>
    <w:rsid w:val="005251E0"/>
    <w:rsid w:val="00525246"/>
    <w:rsid w:val="00525250"/>
    <w:rsid w:val="00525274"/>
    <w:rsid w:val="005252C8"/>
    <w:rsid w:val="005252FD"/>
    <w:rsid w:val="005253B9"/>
    <w:rsid w:val="005253FF"/>
    <w:rsid w:val="00525408"/>
    <w:rsid w:val="005254AC"/>
    <w:rsid w:val="005254E4"/>
    <w:rsid w:val="00525542"/>
    <w:rsid w:val="00525544"/>
    <w:rsid w:val="00525589"/>
    <w:rsid w:val="00525638"/>
    <w:rsid w:val="0052569C"/>
    <w:rsid w:val="0052573E"/>
    <w:rsid w:val="00525740"/>
    <w:rsid w:val="0052574E"/>
    <w:rsid w:val="005257AD"/>
    <w:rsid w:val="00525828"/>
    <w:rsid w:val="00525929"/>
    <w:rsid w:val="0052599F"/>
    <w:rsid w:val="005259AD"/>
    <w:rsid w:val="00525B6A"/>
    <w:rsid w:val="00525B6C"/>
    <w:rsid w:val="00525B95"/>
    <w:rsid w:val="00525BF6"/>
    <w:rsid w:val="00525C40"/>
    <w:rsid w:val="00525C8E"/>
    <w:rsid w:val="00525D1D"/>
    <w:rsid w:val="00525D99"/>
    <w:rsid w:val="00525D9D"/>
    <w:rsid w:val="00525E67"/>
    <w:rsid w:val="00525E70"/>
    <w:rsid w:val="00525EA0"/>
    <w:rsid w:val="00525EA5"/>
    <w:rsid w:val="00525FF7"/>
    <w:rsid w:val="005260BC"/>
    <w:rsid w:val="00526145"/>
    <w:rsid w:val="005261A8"/>
    <w:rsid w:val="005261B2"/>
    <w:rsid w:val="0052631A"/>
    <w:rsid w:val="0052636B"/>
    <w:rsid w:val="005263C6"/>
    <w:rsid w:val="005263CA"/>
    <w:rsid w:val="00526488"/>
    <w:rsid w:val="005264B3"/>
    <w:rsid w:val="00526551"/>
    <w:rsid w:val="00526599"/>
    <w:rsid w:val="005265C2"/>
    <w:rsid w:val="00526608"/>
    <w:rsid w:val="0052668C"/>
    <w:rsid w:val="005266BD"/>
    <w:rsid w:val="005266BE"/>
    <w:rsid w:val="00526747"/>
    <w:rsid w:val="00526749"/>
    <w:rsid w:val="0052676B"/>
    <w:rsid w:val="00526845"/>
    <w:rsid w:val="005268AD"/>
    <w:rsid w:val="005268B2"/>
    <w:rsid w:val="005268C2"/>
    <w:rsid w:val="00526903"/>
    <w:rsid w:val="00526988"/>
    <w:rsid w:val="0052698D"/>
    <w:rsid w:val="00526B43"/>
    <w:rsid w:val="00526B4D"/>
    <w:rsid w:val="00526BD9"/>
    <w:rsid w:val="00526BE6"/>
    <w:rsid w:val="00526C89"/>
    <w:rsid w:val="00526D29"/>
    <w:rsid w:val="00526D3F"/>
    <w:rsid w:val="00526D8D"/>
    <w:rsid w:val="00526E56"/>
    <w:rsid w:val="00527156"/>
    <w:rsid w:val="005271AE"/>
    <w:rsid w:val="0052721B"/>
    <w:rsid w:val="00527291"/>
    <w:rsid w:val="005272B6"/>
    <w:rsid w:val="005272D8"/>
    <w:rsid w:val="005273FB"/>
    <w:rsid w:val="00527434"/>
    <w:rsid w:val="0052748D"/>
    <w:rsid w:val="005274BB"/>
    <w:rsid w:val="005274E6"/>
    <w:rsid w:val="00527540"/>
    <w:rsid w:val="005275A1"/>
    <w:rsid w:val="00527601"/>
    <w:rsid w:val="00527642"/>
    <w:rsid w:val="0052769E"/>
    <w:rsid w:val="005276C5"/>
    <w:rsid w:val="00527785"/>
    <w:rsid w:val="0052786B"/>
    <w:rsid w:val="00527890"/>
    <w:rsid w:val="005278D2"/>
    <w:rsid w:val="005279A3"/>
    <w:rsid w:val="00527AFB"/>
    <w:rsid w:val="00527B7C"/>
    <w:rsid w:val="00527BED"/>
    <w:rsid w:val="00527BEE"/>
    <w:rsid w:val="00527CA7"/>
    <w:rsid w:val="00527CBC"/>
    <w:rsid w:val="00527CEE"/>
    <w:rsid w:val="00527CF5"/>
    <w:rsid w:val="00527DAF"/>
    <w:rsid w:val="00527DC3"/>
    <w:rsid w:val="00527E18"/>
    <w:rsid w:val="00527E76"/>
    <w:rsid w:val="00527EAC"/>
    <w:rsid w:val="00527ED6"/>
    <w:rsid w:val="00527F07"/>
    <w:rsid w:val="00527F6E"/>
    <w:rsid w:val="00527FA0"/>
    <w:rsid w:val="00527FA1"/>
    <w:rsid w:val="00527FDE"/>
    <w:rsid w:val="00527FEF"/>
    <w:rsid w:val="00527FFE"/>
    <w:rsid w:val="00530035"/>
    <w:rsid w:val="00530043"/>
    <w:rsid w:val="00530110"/>
    <w:rsid w:val="005301A5"/>
    <w:rsid w:val="005301D0"/>
    <w:rsid w:val="005301EC"/>
    <w:rsid w:val="00530258"/>
    <w:rsid w:val="00530385"/>
    <w:rsid w:val="005303FC"/>
    <w:rsid w:val="005304EB"/>
    <w:rsid w:val="00530534"/>
    <w:rsid w:val="00530574"/>
    <w:rsid w:val="005305B7"/>
    <w:rsid w:val="005305F3"/>
    <w:rsid w:val="0053066D"/>
    <w:rsid w:val="00530769"/>
    <w:rsid w:val="00530770"/>
    <w:rsid w:val="0053087A"/>
    <w:rsid w:val="005308A3"/>
    <w:rsid w:val="005308E7"/>
    <w:rsid w:val="00530976"/>
    <w:rsid w:val="00530A2F"/>
    <w:rsid w:val="00530A35"/>
    <w:rsid w:val="00530A91"/>
    <w:rsid w:val="00530ABD"/>
    <w:rsid w:val="00530AC2"/>
    <w:rsid w:val="00530AD6"/>
    <w:rsid w:val="00530BA0"/>
    <w:rsid w:val="00530C53"/>
    <w:rsid w:val="00530C7D"/>
    <w:rsid w:val="00530CB0"/>
    <w:rsid w:val="00530CBF"/>
    <w:rsid w:val="00530D24"/>
    <w:rsid w:val="00530DC3"/>
    <w:rsid w:val="00530E3B"/>
    <w:rsid w:val="00530F53"/>
    <w:rsid w:val="00530FA1"/>
    <w:rsid w:val="00531083"/>
    <w:rsid w:val="005310D6"/>
    <w:rsid w:val="0053112B"/>
    <w:rsid w:val="0053112D"/>
    <w:rsid w:val="00531144"/>
    <w:rsid w:val="005311DA"/>
    <w:rsid w:val="005311E0"/>
    <w:rsid w:val="00531210"/>
    <w:rsid w:val="00531216"/>
    <w:rsid w:val="005312A1"/>
    <w:rsid w:val="005312CC"/>
    <w:rsid w:val="00531346"/>
    <w:rsid w:val="0053134A"/>
    <w:rsid w:val="0053137C"/>
    <w:rsid w:val="00531420"/>
    <w:rsid w:val="00531421"/>
    <w:rsid w:val="0053145C"/>
    <w:rsid w:val="005314BD"/>
    <w:rsid w:val="005314C5"/>
    <w:rsid w:val="005314CD"/>
    <w:rsid w:val="00531503"/>
    <w:rsid w:val="00531599"/>
    <w:rsid w:val="005315AF"/>
    <w:rsid w:val="005315BB"/>
    <w:rsid w:val="005316A7"/>
    <w:rsid w:val="00531744"/>
    <w:rsid w:val="005317B4"/>
    <w:rsid w:val="00531867"/>
    <w:rsid w:val="00531921"/>
    <w:rsid w:val="00531932"/>
    <w:rsid w:val="00531975"/>
    <w:rsid w:val="0053198F"/>
    <w:rsid w:val="00531A0E"/>
    <w:rsid w:val="00531A15"/>
    <w:rsid w:val="00531ACC"/>
    <w:rsid w:val="00531B37"/>
    <w:rsid w:val="00531B4E"/>
    <w:rsid w:val="00531CF5"/>
    <w:rsid w:val="00531D10"/>
    <w:rsid w:val="00531D56"/>
    <w:rsid w:val="00531D96"/>
    <w:rsid w:val="00531DD3"/>
    <w:rsid w:val="00531DDA"/>
    <w:rsid w:val="00531DDC"/>
    <w:rsid w:val="00531F27"/>
    <w:rsid w:val="00531FB0"/>
    <w:rsid w:val="0053210E"/>
    <w:rsid w:val="0053214A"/>
    <w:rsid w:val="005321B6"/>
    <w:rsid w:val="0053221C"/>
    <w:rsid w:val="00532291"/>
    <w:rsid w:val="00532317"/>
    <w:rsid w:val="0053233E"/>
    <w:rsid w:val="0053239E"/>
    <w:rsid w:val="005323C7"/>
    <w:rsid w:val="0053241B"/>
    <w:rsid w:val="0053249D"/>
    <w:rsid w:val="0053250A"/>
    <w:rsid w:val="00532519"/>
    <w:rsid w:val="00532571"/>
    <w:rsid w:val="005325BC"/>
    <w:rsid w:val="005325F6"/>
    <w:rsid w:val="00532612"/>
    <w:rsid w:val="0053267A"/>
    <w:rsid w:val="00532707"/>
    <w:rsid w:val="00532754"/>
    <w:rsid w:val="005327BB"/>
    <w:rsid w:val="005327D2"/>
    <w:rsid w:val="00532842"/>
    <w:rsid w:val="00532844"/>
    <w:rsid w:val="00532868"/>
    <w:rsid w:val="005329BA"/>
    <w:rsid w:val="00532A68"/>
    <w:rsid w:val="00532AA6"/>
    <w:rsid w:val="00532ABE"/>
    <w:rsid w:val="00532B1C"/>
    <w:rsid w:val="00532B2F"/>
    <w:rsid w:val="00532B72"/>
    <w:rsid w:val="00532B93"/>
    <w:rsid w:val="00532BA7"/>
    <w:rsid w:val="00532BC3"/>
    <w:rsid w:val="00532C46"/>
    <w:rsid w:val="00532CA2"/>
    <w:rsid w:val="00532D01"/>
    <w:rsid w:val="00532D2F"/>
    <w:rsid w:val="00532DB9"/>
    <w:rsid w:val="00532DC6"/>
    <w:rsid w:val="00532E8F"/>
    <w:rsid w:val="00532E92"/>
    <w:rsid w:val="00532E9D"/>
    <w:rsid w:val="00532F91"/>
    <w:rsid w:val="00532FCD"/>
    <w:rsid w:val="00533029"/>
    <w:rsid w:val="0053303E"/>
    <w:rsid w:val="00533040"/>
    <w:rsid w:val="00533195"/>
    <w:rsid w:val="005331A1"/>
    <w:rsid w:val="00533213"/>
    <w:rsid w:val="00533222"/>
    <w:rsid w:val="0053325B"/>
    <w:rsid w:val="00533290"/>
    <w:rsid w:val="005332B3"/>
    <w:rsid w:val="005332F9"/>
    <w:rsid w:val="005332FC"/>
    <w:rsid w:val="005333D2"/>
    <w:rsid w:val="00533409"/>
    <w:rsid w:val="00533472"/>
    <w:rsid w:val="005334B8"/>
    <w:rsid w:val="005334BF"/>
    <w:rsid w:val="005334D9"/>
    <w:rsid w:val="0053350B"/>
    <w:rsid w:val="0053355D"/>
    <w:rsid w:val="005335A8"/>
    <w:rsid w:val="00533668"/>
    <w:rsid w:val="005336CE"/>
    <w:rsid w:val="0053377B"/>
    <w:rsid w:val="005337E8"/>
    <w:rsid w:val="00533811"/>
    <w:rsid w:val="0053386A"/>
    <w:rsid w:val="005338C9"/>
    <w:rsid w:val="005338E3"/>
    <w:rsid w:val="0053395C"/>
    <w:rsid w:val="00533A99"/>
    <w:rsid w:val="00533AC4"/>
    <w:rsid w:val="00533BF3"/>
    <w:rsid w:val="00533BF4"/>
    <w:rsid w:val="00533C1C"/>
    <w:rsid w:val="00533C5A"/>
    <w:rsid w:val="00533CEC"/>
    <w:rsid w:val="00533CF7"/>
    <w:rsid w:val="00533D2D"/>
    <w:rsid w:val="00533D79"/>
    <w:rsid w:val="00533DC7"/>
    <w:rsid w:val="00533DF0"/>
    <w:rsid w:val="00533E49"/>
    <w:rsid w:val="00533E69"/>
    <w:rsid w:val="00533FEE"/>
    <w:rsid w:val="00533FF9"/>
    <w:rsid w:val="0053404F"/>
    <w:rsid w:val="005340A7"/>
    <w:rsid w:val="005340BC"/>
    <w:rsid w:val="005340DD"/>
    <w:rsid w:val="0053415B"/>
    <w:rsid w:val="005341CF"/>
    <w:rsid w:val="005341D3"/>
    <w:rsid w:val="00534279"/>
    <w:rsid w:val="0053428B"/>
    <w:rsid w:val="00534394"/>
    <w:rsid w:val="0053439E"/>
    <w:rsid w:val="005343C6"/>
    <w:rsid w:val="00534505"/>
    <w:rsid w:val="00534571"/>
    <w:rsid w:val="005345F6"/>
    <w:rsid w:val="005345FC"/>
    <w:rsid w:val="0053460F"/>
    <w:rsid w:val="00534651"/>
    <w:rsid w:val="005346CD"/>
    <w:rsid w:val="005346D9"/>
    <w:rsid w:val="0053470B"/>
    <w:rsid w:val="00534784"/>
    <w:rsid w:val="005347A6"/>
    <w:rsid w:val="005347EC"/>
    <w:rsid w:val="00534863"/>
    <w:rsid w:val="00534880"/>
    <w:rsid w:val="005348C7"/>
    <w:rsid w:val="005348D6"/>
    <w:rsid w:val="005348F3"/>
    <w:rsid w:val="005348F7"/>
    <w:rsid w:val="00534A8D"/>
    <w:rsid w:val="00534AC3"/>
    <w:rsid w:val="00534AE3"/>
    <w:rsid w:val="00534B1B"/>
    <w:rsid w:val="00534B2C"/>
    <w:rsid w:val="00534C7B"/>
    <w:rsid w:val="00534D94"/>
    <w:rsid w:val="00534DC2"/>
    <w:rsid w:val="00534DC5"/>
    <w:rsid w:val="00534DFC"/>
    <w:rsid w:val="00534E57"/>
    <w:rsid w:val="00534E8E"/>
    <w:rsid w:val="00534EC4"/>
    <w:rsid w:val="00534FA1"/>
    <w:rsid w:val="00534FB1"/>
    <w:rsid w:val="0053505F"/>
    <w:rsid w:val="005350A0"/>
    <w:rsid w:val="005350D3"/>
    <w:rsid w:val="00535156"/>
    <w:rsid w:val="005351D4"/>
    <w:rsid w:val="005351DA"/>
    <w:rsid w:val="00535273"/>
    <w:rsid w:val="00535303"/>
    <w:rsid w:val="00535332"/>
    <w:rsid w:val="00535591"/>
    <w:rsid w:val="005355AE"/>
    <w:rsid w:val="005355BD"/>
    <w:rsid w:val="005355D1"/>
    <w:rsid w:val="00535721"/>
    <w:rsid w:val="005357BD"/>
    <w:rsid w:val="00535941"/>
    <w:rsid w:val="0053594C"/>
    <w:rsid w:val="0053597E"/>
    <w:rsid w:val="005359FF"/>
    <w:rsid w:val="00535A2C"/>
    <w:rsid w:val="00535A60"/>
    <w:rsid w:val="00535A62"/>
    <w:rsid w:val="00535B39"/>
    <w:rsid w:val="00535C6C"/>
    <w:rsid w:val="00535C70"/>
    <w:rsid w:val="00535C8F"/>
    <w:rsid w:val="00535CCC"/>
    <w:rsid w:val="00535D15"/>
    <w:rsid w:val="00535D20"/>
    <w:rsid w:val="00535D8C"/>
    <w:rsid w:val="00535D8D"/>
    <w:rsid w:val="00535E7C"/>
    <w:rsid w:val="00535FC6"/>
    <w:rsid w:val="00536009"/>
    <w:rsid w:val="0053603E"/>
    <w:rsid w:val="005360B0"/>
    <w:rsid w:val="005360FB"/>
    <w:rsid w:val="005360FD"/>
    <w:rsid w:val="00536191"/>
    <w:rsid w:val="005361B4"/>
    <w:rsid w:val="005361ED"/>
    <w:rsid w:val="00536234"/>
    <w:rsid w:val="00536283"/>
    <w:rsid w:val="005362C1"/>
    <w:rsid w:val="005362EB"/>
    <w:rsid w:val="00536347"/>
    <w:rsid w:val="00536374"/>
    <w:rsid w:val="00536415"/>
    <w:rsid w:val="0053644D"/>
    <w:rsid w:val="0053646C"/>
    <w:rsid w:val="00536504"/>
    <w:rsid w:val="00536521"/>
    <w:rsid w:val="005365A8"/>
    <w:rsid w:val="005365DC"/>
    <w:rsid w:val="0053669D"/>
    <w:rsid w:val="005366B0"/>
    <w:rsid w:val="005366E6"/>
    <w:rsid w:val="00536715"/>
    <w:rsid w:val="0053672B"/>
    <w:rsid w:val="00536824"/>
    <w:rsid w:val="0053685B"/>
    <w:rsid w:val="005368E2"/>
    <w:rsid w:val="0053698A"/>
    <w:rsid w:val="0053699E"/>
    <w:rsid w:val="005369AF"/>
    <w:rsid w:val="00536A4C"/>
    <w:rsid w:val="00536A4E"/>
    <w:rsid w:val="00536A82"/>
    <w:rsid w:val="00536B0C"/>
    <w:rsid w:val="00536B12"/>
    <w:rsid w:val="00536B42"/>
    <w:rsid w:val="00536C3E"/>
    <w:rsid w:val="00536CB3"/>
    <w:rsid w:val="00536D21"/>
    <w:rsid w:val="00536D45"/>
    <w:rsid w:val="00536D5A"/>
    <w:rsid w:val="00536D5E"/>
    <w:rsid w:val="00536D5F"/>
    <w:rsid w:val="00536DE8"/>
    <w:rsid w:val="00536E92"/>
    <w:rsid w:val="00537016"/>
    <w:rsid w:val="00537090"/>
    <w:rsid w:val="00537093"/>
    <w:rsid w:val="00537132"/>
    <w:rsid w:val="005371F8"/>
    <w:rsid w:val="00537242"/>
    <w:rsid w:val="005372F3"/>
    <w:rsid w:val="00537379"/>
    <w:rsid w:val="0053739B"/>
    <w:rsid w:val="005373F2"/>
    <w:rsid w:val="0053740D"/>
    <w:rsid w:val="00537420"/>
    <w:rsid w:val="00537474"/>
    <w:rsid w:val="005374D3"/>
    <w:rsid w:val="005375A8"/>
    <w:rsid w:val="0053764A"/>
    <w:rsid w:val="005377C3"/>
    <w:rsid w:val="0053785E"/>
    <w:rsid w:val="005378C6"/>
    <w:rsid w:val="005378CD"/>
    <w:rsid w:val="005378F1"/>
    <w:rsid w:val="00537989"/>
    <w:rsid w:val="00537A32"/>
    <w:rsid w:val="00537A98"/>
    <w:rsid w:val="00537B7F"/>
    <w:rsid w:val="00537B92"/>
    <w:rsid w:val="00537CE7"/>
    <w:rsid w:val="00537D02"/>
    <w:rsid w:val="00537D48"/>
    <w:rsid w:val="00537D80"/>
    <w:rsid w:val="00537DFF"/>
    <w:rsid w:val="00537E5F"/>
    <w:rsid w:val="00537E8F"/>
    <w:rsid w:val="00537F06"/>
    <w:rsid w:val="00537F13"/>
    <w:rsid w:val="00537F32"/>
    <w:rsid w:val="00537F82"/>
    <w:rsid w:val="00540130"/>
    <w:rsid w:val="005401ED"/>
    <w:rsid w:val="0054026D"/>
    <w:rsid w:val="00540285"/>
    <w:rsid w:val="005402A2"/>
    <w:rsid w:val="00540470"/>
    <w:rsid w:val="00540473"/>
    <w:rsid w:val="005404A9"/>
    <w:rsid w:val="005404E7"/>
    <w:rsid w:val="005404F8"/>
    <w:rsid w:val="00540552"/>
    <w:rsid w:val="005405A7"/>
    <w:rsid w:val="005405B8"/>
    <w:rsid w:val="005405C8"/>
    <w:rsid w:val="005405DD"/>
    <w:rsid w:val="00540626"/>
    <w:rsid w:val="00540717"/>
    <w:rsid w:val="00540756"/>
    <w:rsid w:val="0054099C"/>
    <w:rsid w:val="00540A00"/>
    <w:rsid w:val="00540A4F"/>
    <w:rsid w:val="00540C2E"/>
    <w:rsid w:val="00540C50"/>
    <w:rsid w:val="00540C61"/>
    <w:rsid w:val="00540CD0"/>
    <w:rsid w:val="00540CD2"/>
    <w:rsid w:val="00540CE1"/>
    <w:rsid w:val="00540D55"/>
    <w:rsid w:val="00540DB9"/>
    <w:rsid w:val="00540E16"/>
    <w:rsid w:val="00540E7A"/>
    <w:rsid w:val="00540F9D"/>
    <w:rsid w:val="00540FE6"/>
    <w:rsid w:val="00541014"/>
    <w:rsid w:val="005410A4"/>
    <w:rsid w:val="00541268"/>
    <w:rsid w:val="0054127B"/>
    <w:rsid w:val="005412B8"/>
    <w:rsid w:val="005412D4"/>
    <w:rsid w:val="00541316"/>
    <w:rsid w:val="00541346"/>
    <w:rsid w:val="00541360"/>
    <w:rsid w:val="0054139A"/>
    <w:rsid w:val="005413BA"/>
    <w:rsid w:val="005413C0"/>
    <w:rsid w:val="005413FD"/>
    <w:rsid w:val="00541404"/>
    <w:rsid w:val="00541547"/>
    <w:rsid w:val="00541563"/>
    <w:rsid w:val="00541574"/>
    <w:rsid w:val="00541591"/>
    <w:rsid w:val="005415B0"/>
    <w:rsid w:val="00541657"/>
    <w:rsid w:val="005416AA"/>
    <w:rsid w:val="005416F1"/>
    <w:rsid w:val="0054181E"/>
    <w:rsid w:val="00541823"/>
    <w:rsid w:val="00541876"/>
    <w:rsid w:val="005418FA"/>
    <w:rsid w:val="00541936"/>
    <w:rsid w:val="005419E1"/>
    <w:rsid w:val="005419FE"/>
    <w:rsid w:val="00541A22"/>
    <w:rsid w:val="00541AD6"/>
    <w:rsid w:val="00541AEB"/>
    <w:rsid w:val="00541B05"/>
    <w:rsid w:val="00541B22"/>
    <w:rsid w:val="00541B58"/>
    <w:rsid w:val="00541BB8"/>
    <w:rsid w:val="00541BD1"/>
    <w:rsid w:val="00541BE7"/>
    <w:rsid w:val="00541C0E"/>
    <w:rsid w:val="00541D05"/>
    <w:rsid w:val="00541D06"/>
    <w:rsid w:val="00541D10"/>
    <w:rsid w:val="00541E13"/>
    <w:rsid w:val="00541E83"/>
    <w:rsid w:val="00541EE8"/>
    <w:rsid w:val="00541EFC"/>
    <w:rsid w:val="00541F1C"/>
    <w:rsid w:val="00541F6A"/>
    <w:rsid w:val="00541F71"/>
    <w:rsid w:val="00541F9A"/>
    <w:rsid w:val="00541FA6"/>
    <w:rsid w:val="00542052"/>
    <w:rsid w:val="005420AF"/>
    <w:rsid w:val="005421A2"/>
    <w:rsid w:val="0054224F"/>
    <w:rsid w:val="00542280"/>
    <w:rsid w:val="005422C1"/>
    <w:rsid w:val="005422C5"/>
    <w:rsid w:val="00542338"/>
    <w:rsid w:val="005423A7"/>
    <w:rsid w:val="00542400"/>
    <w:rsid w:val="00542475"/>
    <w:rsid w:val="005424BB"/>
    <w:rsid w:val="0054253D"/>
    <w:rsid w:val="005425C1"/>
    <w:rsid w:val="00542623"/>
    <w:rsid w:val="0054266A"/>
    <w:rsid w:val="005426AB"/>
    <w:rsid w:val="005426AD"/>
    <w:rsid w:val="00542769"/>
    <w:rsid w:val="0054277F"/>
    <w:rsid w:val="00542801"/>
    <w:rsid w:val="00542834"/>
    <w:rsid w:val="00542983"/>
    <w:rsid w:val="005429CA"/>
    <w:rsid w:val="00542A14"/>
    <w:rsid w:val="00542B7C"/>
    <w:rsid w:val="00542BE2"/>
    <w:rsid w:val="00542C04"/>
    <w:rsid w:val="00542C15"/>
    <w:rsid w:val="00542C19"/>
    <w:rsid w:val="00542C4C"/>
    <w:rsid w:val="00542C61"/>
    <w:rsid w:val="00542C6A"/>
    <w:rsid w:val="00542C9F"/>
    <w:rsid w:val="00542CC2"/>
    <w:rsid w:val="00542E72"/>
    <w:rsid w:val="00542F91"/>
    <w:rsid w:val="00542F96"/>
    <w:rsid w:val="00542F97"/>
    <w:rsid w:val="00542FDD"/>
    <w:rsid w:val="005430F3"/>
    <w:rsid w:val="00543125"/>
    <w:rsid w:val="00543192"/>
    <w:rsid w:val="0054323B"/>
    <w:rsid w:val="00543241"/>
    <w:rsid w:val="005432C1"/>
    <w:rsid w:val="005432FA"/>
    <w:rsid w:val="00543364"/>
    <w:rsid w:val="00543448"/>
    <w:rsid w:val="005434A8"/>
    <w:rsid w:val="005434FC"/>
    <w:rsid w:val="00543506"/>
    <w:rsid w:val="00543582"/>
    <w:rsid w:val="00543585"/>
    <w:rsid w:val="0054358E"/>
    <w:rsid w:val="00543614"/>
    <w:rsid w:val="005436DE"/>
    <w:rsid w:val="00543709"/>
    <w:rsid w:val="00543830"/>
    <w:rsid w:val="005438A6"/>
    <w:rsid w:val="005438CB"/>
    <w:rsid w:val="0054393B"/>
    <w:rsid w:val="00543966"/>
    <w:rsid w:val="005439DD"/>
    <w:rsid w:val="00543A0D"/>
    <w:rsid w:val="00543A40"/>
    <w:rsid w:val="00543A55"/>
    <w:rsid w:val="00543B0F"/>
    <w:rsid w:val="00543B87"/>
    <w:rsid w:val="00543B92"/>
    <w:rsid w:val="00543D67"/>
    <w:rsid w:val="00543D7B"/>
    <w:rsid w:val="00543DB9"/>
    <w:rsid w:val="00543DFB"/>
    <w:rsid w:val="00543E32"/>
    <w:rsid w:val="00543EFB"/>
    <w:rsid w:val="00543F47"/>
    <w:rsid w:val="00543FF8"/>
    <w:rsid w:val="00544026"/>
    <w:rsid w:val="0054403A"/>
    <w:rsid w:val="0054415C"/>
    <w:rsid w:val="0054420D"/>
    <w:rsid w:val="00544220"/>
    <w:rsid w:val="005442EA"/>
    <w:rsid w:val="0054430C"/>
    <w:rsid w:val="0054432A"/>
    <w:rsid w:val="00544344"/>
    <w:rsid w:val="00544382"/>
    <w:rsid w:val="0054439E"/>
    <w:rsid w:val="005443E2"/>
    <w:rsid w:val="0054445D"/>
    <w:rsid w:val="0054451F"/>
    <w:rsid w:val="00544561"/>
    <w:rsid w:val="005445A8"/>
    <w:rsid w:val="0054467F"/>
    <w:rsid w:val="00544765"/>
    <w:rsid w:val="00544810"/>
    <w:rsid w:val="00544855"/>
    <w:rsid w:val="005448F2"/>
    <w:rsid w:val="00544A59"/>
    <w:rsid w:val="00544AA0"/>
    <w:rsid w:val="00544AA8"/>
    <w:rsid w:val="00544AD3"/>
    <w:rsid w:val="00544AD4"/>
    <w:rsid w:val="00544B21"/>
    <w:rsid w:val="00544B54"/>
    <w:rsid w:val="00544BBB"/>
    <w:rsid w:val="00544BE7"/>
    <w:rsid w:val="00544C3B"/>
    <w:rsid w:val="00544C55"/>
    <w:rsid w:val="00544C92"/>
    <w:rsid w:val="00544CC2"/>
    <w:rsid w:val="00544CD7"/>
    <w:rsid w:val="00544D2C"/>
    <w:rsid w:val="00544D57"/>
    <w:rsid w:val="00544D71"/>
    <w:rsid w:val="00544DE6"/>
    <w:rsid w:val="00544E11"/>
    <w:rsid w:val="00544EE1"/>
    <w:rsid w:val="00544F0C"/>
    <w:rsid w:val="00544F37"/>
    <w:rsid w:val="00544F6A"/>
    <w:rsid w:val="00544F87"/>
    <w:rsid w:val="00544FB0"/>
    <w:rsid w:val="00544FCB"/>
    <w:rsid w:val="00544FF2"/>
    <w:rsid w:val="0054511A"/>
    <w:rsid w:val="0054512F"/>
    <w:rsid w:val="00545148"/>
    <w:rsid w:val="005451A9"/>
    <w:rsid w:val="00545230"/>
    <w:rsid w:val="00545256"/>
    <w:rsid w:val="0054525A"/>
    <w:rsid w:val="0054525D"/>
    <w:rsid w:val="005452A8"/>
    <w:rsid w:val="005452BF"/>
    <w:rsid w:val="005453F4"/>
    <w:rsid w:val="00545401"/>
    <w:rsid w:val="00545467"/>
    <w:rsid w:val="005454CF"/>
    <w:rsid w:val="00545604"/>
    <w:rsid w:val="00545636"/>
    <w:rsid w:val="00545654"/>
    <w:rsid w:val="00545665"/>
    <w:rsid w:val="00545693"/>
    <w:rsid w:val="005456AC"/>
    <w:rsid w:val="005457E8"/>
    <w:rsid w:val="005457E9"/>
    <w:rsid w:val="0054591F"/>
    <w:rsid w:val="00545988"/>
    <w:rsid w:val="005459A6"/>
    <w:rsid w:val="00545A45"/>
    <w:rsid w:val="00545AA3"/>
    <w:rsid w:val="00545ABF"/>
    <w:rsid w:val="00545B02"/>
    <w:rsid w:val="00545B6D"/>
    <w:rsid w:val="00545BC7"/>
    <w:rsid w:val="00545C20"/>
    <w:rsid w:val="00545C5E"/>
    <w:rsid w:val="00545CB6"/>
    <w:rsid w:val="00545CC5"/>
    <w:rsid w:val="00545D9B"/>
    <w:rsid w:val="00545E3C"/>
    <w:rsid w:val="00545E78"/>
    <w:rsid w:val="00545EC5"/>
    <w:rsid w:val="00545EF8"/>
    <w:rsid w:val="00545F90"/>
    <w:rsid w:val="00545FAD"/>
    <w:rsid w:val="00546037"/>
    <w:rsid w:val="00546053"/>
    <w:rsid w:val="00546062"/>
    <w:rsid w:val="00546066"/>
    <w:rsid w:val="00546132"/>
    <w:rsid w:val="0054616A"/>
    <w:rsid w:val="0054616F"/>
    <w:rsid w:val="0054617E"/>
    <w:rsid w:val="005461B5"/>
    <w:rsid w:val="00546205"/>
    <w:rsid w:val="0054620A"/>
    <w:rsid w:val="00546402"/>
    <w:rsid w:val="0054652C"/>
    <w:rsid w:val="00546543"/>
    <w:rsid w:val="005465B2"/>
    <w:rsid w:val="005465BF"/>
    <w:rsid w:val="00546618"/>
    <w:rsid w:val="00546628"/>
    <w:rsid w:val="0054662A"/>
    <w:rsid w:val="00546691"/>
    <w:rsid w:val="005466BF"/>
    <w:rsid w:val="005466F9"/>
    <w:rsid w:val="005467A2"/>
    <w:rsid w:val="00546867"/>
    <w:rsid w:val="00546875"/>
    <w:rsid w:val="005468B6"/>
    <w:rsid w:val="005468CE"/>
    <w:rsid w:val="005468EC"/>
    <w:rsid w:val="005468EE"/>
    <w:rsid w:val="00546915"/>
    <w:rsid w:val="0054697E"/>
    <w:rsid w:val="005469AB"/>
    <w:rsid w:val="005469BF"/>
    <w:rsid w:val="00546A7B"/>
    <w:rsid w:val="00546AE6"/>
    <w:rsid w:val="00546B2E"/>
    <w:rsid w:val="00546B8C"/>
    <w:rsid w:val="00546BE7"/>
    <w:rsid w:val="00546C09"/>
    <w:rsid w:val="00546C15"/>
    <w:rsid w:val="00546C6E"/>
    <w:rsid w:val="00546DA6"/>
    <w:rsid w:val="00546DE2"/>
    <w:rsid w:val="00546E1E"/>
    <w:rsid w:val="00546E74"/>
    <w:rsid w:val="00546EAB"/>
    <w:rsid w:val="00546F95"/>
    <w:rsid w:val="00546FE8"/>
    <w:rsid w:val="00546FF1"/>
    <w:rsid w:val="00546FFB"/>
    <w:rsid w:val="00547111"/>
    <w:rsid w:val="00547149"/>
    <w:rsid w:val="00547179"/>
    <w:rsid w:val="0054729E"/>
    <w:rsid w:val="00547329"/>
    <w:rsid w:val="0054738F"/>
    <w:rsid w:val="0054741B"/>
    <w:rsid w:val="0054744A"/>
    <w:rsid w:val="00547490"/>
    <w:rsid w:val="005474EA"/>
    <w:rsid w:val="0054757D"/>
    <w:rsid w:val="005475B0"/>
    <w:rsid w:val="00547611"/>
    <w:rsid w:val="00547640"/>
    <w:rsid w:val="00547679"/>
    <w:rsid w:val="005476D2"/>
    <w:rsid w:val="0054770A"/>
    <w:rsid w:val="00547797"/>
    <w:rsid w:val="00547809"/>
    <w:rsid w:val="005478B9"/>
    <w:rsid w:val="00547A1A"/>
    <w:rsid w:val="00547A28"/>
    <w:rsid w:val="00547B51"/>
    <w:rsid w:val="00547B95"/>
    <w:rsid w:val="00547B9B"/>
    <w:rsid w:val="00547BA1"/>
    <w:rsid w:val="00547BD8"/>
    <w:rsid w:val="00547BFE"/>
    <w:rsid w:val="00547C10"/>
    <w:rsid w:val="00547C3A"/>
    <w:rsid w:val="00547CB2"/>
    <w:rsid w:val="00547D70"/>
    <w:rsid w:val="00547D84"/>
    <w:rsid w:val="00547DE5"/>
    <w:rsid w:val="00547E08"/>
    <w:rsid w:val="00547E2A"/>
    <w:rsid w:val="00547E8C"/>
    <w:rsid w:val="00547F0C"/>
    <w:rsid w:val="00547F47"/>
    <w:rsid w:val="00547F50"/>
    <w:rsid w:val="00547F6B"/>
    <w:rsid w:val="00547F9C"/>
    <w:rsid w:val="00547FB2"/>
    <w:rsid w:val="00547FFE"/>
    <w:rsid w:val="00550082"/>
    <w:rsid w:val="005500D4"/>
    <w:rsid w:val="005500F9"/>
    <w:rsid w:val="00550108"/>
    <w:rsid w:val="005501B8"/>
    <w:rsid w:val="005501CB"/>
    <w:rsid w:val="005501E1"/>
    <w:rsid w:val="00550245"/>
    <w:rsid w:val="0055029F"/>
    <w:rsid w:val="005502EB"/>
    <w:rsid w:val="005503F5"/>
    <w:rsid w:val="00550422"/>
    <w:rsid w:val="005504A3"/>
    <w:rsid w:val="005504A8"/>
    <w:rsid w:val="005504FF"/>
    <w:rsid w:val="00550504"/>
    <w:rsid w:val="00550593"/>
    <w:rsid w:val="005505BC"/>
    <w:rsid w:val="005505BE"/>
    <w:rsid w:val="00550655"/>
    <w:rsid w:val="00550672"/>
    <w:rsid w:val="00550674"/>
    <w:rsid w:val="005506A3"/>
    <w:rsid w:val="005506E3"/>
    <w:rsid w:val="00550710"/>
    <w:rsid w:val="00550716"/>
    <w:rsid w:val="00550767"/>
    <w:rsid w:val="00550790"/>
    <w:rsid w:val="005508A5"/>
    <w:rsid w:val="005508F7"/>
    <w:rsid w:val="0055090E"/>
    <w:rsid w:val="005509DB"/>
    <w:rsid w:val="00550A09"/>
    <w:rsid w:val="00550A3C"/>
    <w:rsid w:val="00550A53"/>
    <w:rsid w:val="00550AB7"/>
    <w:rsid w:val="00550B41"/>
    <w:rsid w:val="00550BC2"/>
    <w:rsid w:val="00550BD0"/>
    <w:rsid w:val="00550BD9"/>
    <w:rsid w:val="00550BFD"/>
    <w:rsid w:val="00550CF4"/>
    <w:rsid w:val="00550D2A"/>
    <w:rsid w:val="00550D4E"/>
    <w:rsid w:val="00550D60"/>
    <w:rsid w:val="00550E59"/>
    <w:rsid w:val="00550EB5"/>
    <w:rsid w:val="00550F04"/>
    <w:rsid w:val="00550F68"/>
    <w:rsid w:val="00550FCE"/>
    <w:rsid w:val="00551049"/>
    <w:rsid w:val="00551055"/>
    <w:rsid w:val="005510A6"/>
    <w:rsid w:val="005510DC"/>
    <w:rsid w:val="00551110"/>
    <w:rsid w:val="00551124"/>
    <w:rsid w:val="0055120D"/>
    <w:rsid w:val="00551271"/>
    <w:rsid w:val="0055137B"/>
    <w:rsid w:val="00551475"/>
    <w:rsid w:val="00551518"/>
    <w:rsid w:val="00551585"/>
    <w:rsid w:val="005515EA"/>
    <w:rsid w:val="0055167A"/>
    <w:rsid w:val="005516D5"/>
    <w:rsid w:val="00551790"/>
    <w:rsid w:val="00551871"/>
    <w:rsid w:val="0055192A"/>
    <w:rsid w:val="00551990"/>
    <w:rsid w:val="005519B0"/>
    <w:rsid w:val="005519B6"/>
    <w:rsid w:val="00551A0E"/>
    <w:rsid w:val="00551B0A"/>
    <w:rsid w:val="00551C09"/>
    <w:rsid w:val="00551C2C"/>
    <w:rsid w:val="00551D08"/>
    <w:rsid w:val="00551D28"/>
    <w:rsid w:val="00551DA4"/>
    <w:rsid w:val="00551DC4"/>
    <w:rsid w:val="00551DE7"/>
    <w:rsid w:val="00551E17"/>
    <w:rsid w:val="00551E65"/>
    <w:rsid w:val="00551EDC"/>
    <w:rsid w:val="00551F1D"/>
    <w:rsid w:val="00551F27"/>
    <w:rsid w:val="00551F2D"/>
    <w:rsid w:val="00551FA3"/>
    <w:rsid w:val="00551FC1"/>
    <w:rsid w:val="00551FE9"/>
    <w:rsid w:val="0055202E"/>
    <w:rsid w:val="00552133"/>
    <w:rsid w:val="0055213A"/>
    <w:rsid w:val="00552162"/>
    <w:rsid w:val="00552170"/>
    <w:rsid w:val="00552173"/>
    <w:rsid w:val="00552202"/>
    <w:rsid w:val="0055220D"/>
    <w:rsid w:val="0055222A"/>
    <w:rsid w:val="0055230C"/>
    <w:rsid w:val="0055232F"/>
    <w:rsid w:val="0055236F"/>
    <w:rsid w:val="005523BE"/>
    <w:rsid w:val="0055247E"/>
    <w:rsid w:val="00552485"/>
    <w:rsid w:val="005524F5"/>
    <w:rsid w:val="00552503"/>
    <w:rsid w:val="00552518"/>
    <w:rsid w:val="00552564"/>
    <w:rsid w:val="005525C4"/>
    <w:rsid w:val="005525DB"/>
    <w:rsid w:val="005525E0"/>
    <w:rsid w:val="005525E6"/>
    <w:rsid w:val="00552605"/>
    <w:rsid w:val="00552637"/>
    <w:rsid w:val="005527F5"/>
    <w:rsid w:val="00552899"/>
    <w:rsid w:val="00552916"/>
    <w:rsid w:val="00552975"/>
    <w:rsid w:val="005529B6"/>
    <w:rsid w:val="005529BB"/>
    <w:rsid w:val="005529D7"/>
    <w:rsid w:val="005529E6"/>
    <w:rsid w:val="00552AF5"/>
    <w:rsid w:val="00552BE3"/>
    <w:rsid w:val="00552C5B"/>
    <w:rsid w:val="00552C8C"/>
    <w:rsid w:val="00552CB3"/>
    <w:rsid w:val="00552D30"/>
    <w:rsid w:val="00552D5A"/>
    <w:rsid w:val="00552DE2"/>
    <w:rsid w:val="00552E3A"/>
    <w:rsid w:val="00552F35"/>
    <w:rsid w:val="00552FC2"/>
    <w:rsid w:val="00552FCD"/>
    <w:rsid w:val="00552FF6"/>
    <w:rsid w:val="005530E6"/>
    <w:rsid w:val="00553130"/>
    <w:rsid w:val="00553188"/>
    <w:rsid w:val="005531CA"/>
    <w:rsid w:val="0055320A"/>
    <w:rsid w:val="0055320D"/>
    <w:rsid w:val="00553260"/>
    <w:rsid w:val="0055327A"/>
    <w:rsid w:val="005532BD"/>
    <w:rsid w:val="005532E0"/>
    <w:rsid w:val="005533DC"/>
    <w:rsid w:val="00553497"/>
    <w:rsid w:val="005534CD"/>
    <w:rsid w:val="00553591"/>
    <w:rsid w:val="00553606"/>
    <w:rsid w:val="00553611"/>
    <w:rsid w:val="00553612"/>
    <w:rsid w:val="00553615"/>
    <w:rsid w:val="00553680"/>
    <w:rsid w:val="0055369F"/>
    <w:rsid w:val="00553705"/>
    <w:rsid w:val="005538C7"/>
    <w:rsid w:val="00553924"/>
    <w:rsid w:val="0055394D"/>
    <w:rsid w:val="0055398D"/>
    <w:rsid w:val="005539BB"/>
    <w:rsid w:val="00553AF5"/>
    <w:rsid w:val="00553C02"/>
    <w:rsid w:val="00553C67"/>
    <w:rsid w:val="00553C70"/>
    <w:rsid w:val="00553CA4"/>
    <w:rsid w:val="00553DE7"/>
    <w:rsid w:val="00553DED"/>
    <w:rsid w:val="00553F67"/>
    <w:rsid w:val="00553FBA"/>
    <w:rsid w:val="00553FDA"/>
    <w:rsid w:val="00554020"/>
    <w:rsid w:val="005540B8"/>
    <w:rsid w:val="005540CD"/>
    <w:rsid w:val="005540F6"/>
    <w:rsid w:val="00554159"/>
    <w:rsid w:val="0055417F"/>
    <w:rsid w:val="005541A3"/>
    <w:rsid w:val="005541AF"/>
    <w:rsid w:val="005541ED"/>
    <w:rsid w:val="0055420C"/>
    <w:rsid w:val="0055422A"/>
    <w:rsid w:val="0055427E"/>
    <w:rsid w:val="005542EE"/>
    <w:rsid w:val="0055435D"/>
    <w:rsid w:val="005543B7"/>
    <w:rsid w:val="0055443F"/>
    <w:rsid w:val="0055444C"/>
    <w:rsid w:val="005544EC"/>
    <w:rsid w:val="00554506"/>
    <w:rsid w:val="00554541"/>
    <w:rsid w:val="00554692"/>
    <w:rsid w:val="005546DA"/>
    <w:rsid w:val="0055471C"/>
    <w:rsid w:val="0055477D"/>
    <w:rsid w:val="005547C8"/>
    <w:rsid w:val="005548A7"/>
    <w:rsid w:val="00554954"/>
    <w:rsid w:val="00554AD3"/>
    <w:rsid w:val="00554B88"/>
    <w:rsid w:val="00554C5B"/>
    <w:rsid w:val="00554C94"/>
    <w:rsid w:val="00554CA2"/>
    <w:rsid w:val="00554CB7"/>
    <w:rsid w:val="00554CC1"/>
    <w:rsid w:val="00554D5F"/>
    <w:rsid w:val="00554D85"/>
    <w:rsid w:val="00554DC4"/>
    <w:rsid w:val="00554E1E"/>
    <w:rsid w:val="00554E66"/>
    <w:rsid w:val="00554EC7"/>
    <w:rsid w:val="00554F0A"/>
    <w:rsid w:val="00554F18"/>
    <w:rsid w:val="00554F56"/>
    <w:rsid w:val="0055507E"/>
    <w:rsid w:val="005550B0"/>
    <w:rsid w:val="005550C6"/>
    <w:rsid w:val="005550E0"/>
    <w:rsid w:val="00555110"/>
    <w:rsid w:val="00555209"/>
    <w:rsid w:val="00555236"/>
    <w:rsid w:val="00555276"/>
    <w:rsid w:val="00555293"/>
    <w:rsid w:val="005552D2"/>
    <w:rsid w:val="00555363"/>
    <w:rsid w:val="005553B7"/>
    <w:rsid w:val="005553CB"/>
    <w:rsid w:val="0055543E"/>
    <w:rsid w:val="00555445"/>
    <w:rsid w:val="0055547D"/>
    <w:rsid w:val="0055551F"/>
    <w:rsid w:val="0055555F"/>
    <w:rsid w:val="005555ED"/>
    <w:rsid w:val="00555605"/>
    <w:rsid w:val="0055563F"/>
    <w:rsid w:val="005556BF"/>
    <w:rsid w:val="0055577F"/>
    <w:rsid w:val="0055580E"/>
    <w:rsid w:val="00555816"/>
    <w:rsid w:val="00555884"/>
    <w:rsid w:val="005558A6"/>
    <w:rsid w:val="005559CB"/>
    <w:rsid w:val="00555A13"/>
    <w:rsid w:val="00555B2E"/>
    <w:rsid w:val="00555B7A"/>
    <w:rsid w:val="00555BCB"/>
    <w:rsid w:val="00555C13"/>
    <w:rsid w:val="00555D7F"/>
    <w:rsid w:val="00555DFA"/>
    <w:rsid w:val="00555DFF"/>
    <w:rsid w:val="00555EB3"/>
    <w:rsid w:val="00555F48"/>
    <w:rsid w:val="00555F4A"/>
    <w:rsid w:val="00555F59"/>
    <w:rsid w:val="00555FC0"/>
    <w:rsid w:val="00555FDB"/>
    <w:rsid w:val="00556036"/>
    <w:rsid w:val="005560A5"/>
    <w:rsid w:val="005560AF"/>
    <w:rsid w:val="00556116"/>
    <w:rsid w:val="005561A8"/>
    <w:rsid w:val="005561E6"/>
    <w:rsid w:val="005561EC"/>
    <w:rsid w:val="005561F5"/>
    <w:rsid w:val="00556235"/>
    <w:rsid w:val="00556263"/>
    <w:rsid w:val="00556445"/>
    <w:rsid w:val="00556479"/>
    <w:rsid w:val="00556536"/>
    <w:rsid w:val="00556538"/>
    <w:rsid w:val="0055654C"/>
    <w:rsid w:val="005565A3"/>
    <w:rsid w:val="005565F5"/>
    <w:rsid w:val="005566E1"/>
    <w:rsid w:val="0055673C"/>
    <w:rsid w:val="00556798"/>
    <w:rsid w:val="005567E0"/>
    <w:rsid w:val="005567EB"/>
    <w:rsid w:val="0055683F"/>
    <w:rsid w:val="005568A3"/>
    <w:rsid w:val="00556951"/>
    <w:rsid w:val="00556A17"/>
    <w:rsid w:val="00556A7D"/>
    <w:rsid w:val="00556A90"/>
    <w:rsid w:val="00556A91"/>
    <w:rsid w:val="00556B0B"/>
    <w:rsid w:val="00556B56"/>
    <w:rsid w:val="00556CC5"/>
    <w:rsid w:val="00556D1D"/>
    <w:rsid w:val="00556D20"/>
    <w:rsid w:val="00556D6C"/>
    <w:rsid w:val="00556E0E"/>
    <w:rsid w:val="00556E21"/>
    <w:rsid w:val="00556E26"/>
    <w:rsid w:val="00556E2E"/>
    <w:rsid w:val="00556E6D"/>
    <w:rsid w:val="00556F72"/>
    <w:rsid w:val="00556FAE"/>
    <w:rsid w:val="00556FB2"/>
    <w:rsid w:val="00556FBC"/>
    <w:rsid w:val="00556FC7"/>
    <w:rsid w:val="00556FE1"/>
    <w:rsid w:val="00556FEC"/>
    <w:rsid w:val="00557011"/>
    <w:rsid w:val="00557031"/>
    <w:rsid w:val="00557046"/>
    <w:rsid w:val="0055706C"/>
    <w:rsid w:val="005570B0"/>
    <w:rsid w:val="005570B6"/>
    <w:rsid w:val="005570C8"/>
    <w:rsid w:val="0055718A"/>
    <w:rsid w:val="0055726E"/>
    <w:rsid w:val="0055727C"/>
    <w:rsid w:val="0055732E"/>
    <w:rsid w:val="0055738F"/>
    <w:rsid w:val="00557457"/>
    <w:rsid w:val="0055748A"/>
    <w:rsid w:val="0055749C"/>
    <w:rsid w:val="00557554"/>
    <w:rsid w:val="00557572"/>
    <w:rsid w:val="0055757B"/>
    <w:rsid w:val="00557592"/>
    <w:rsid w:val="00557682"/>
    <w:rsid w:val="005576D2"/>
    <w:rsid w:val="005577D3"/>
    <w:rsid w:val="00557812"/>
    <w:rsid w:val="00557A1E"/>
    <w:rsid w:val="00557AB6"/>
    <w:rsid w:val="00557B10"/>
    <w:rsid w:val="00557B2F"/>
    <w:rsid w:val="00557C2B"/>
    <w:rsid w:val="00557C5A"/>
    <w:rsid w:val="00557D1F"/>
    <w:rsid w:val="00557D48"/>
    <w:rsid w:val="00557D7F"/>
    <w:rsid w:val="00557DCA"/>
    <w:rsid w:val="00557DF7"/>
    <w:rsid w:val="00557E8A"/>
    <w:rsid w:val="00557F3E"/>
    <w:rsid w:val="00557F94"/>
    <w:rsid w:val="00560019"/>
    <w:rsid w:val="005600EC"/>
    <w:rsid w:val="005600F3"/>
    <w:rsid w:val="0056011D"/>
    <w:rsid w:val="00560196"/>
    <w:rsid w:val="0056019A"/>
    <w:rsid w:val="00560214"/>
    <w:rsid w:val="0056021D"/>
    <w:rsid w:val="0056025A"/>
    <w:rsid w:val="00560287"/>
    <w:rsid w:val="0056030C"/>
    <w:rsid w:val="0056047D"/>
    <w:rsid w:val="0056051D"/>
    <w:rsid w:val="005605CB"/>
    <w:rsid w:val="005606B8"/>
    <w:rsid w:val="005606D7"/>
    <w:rsid w:val="005606FF"/>
    <w:rsid w:val="00560702"/>
    <w:rsid w:val="00560718"/>
    <w:rsid w:val="0056078E"/>
    <w:rsid w:val="00560823"/>
    <w:rsid w:val="005608DF"/>
    <w:rsid w:val="00560921"/>
    <w:rsid w:val="00560A00"/>
    <w:rsid w:val="00560B06"/>
    <w:rsid w:val="00560B3E"/>
    <w:rsid w:val="00560BDB"/>
    <w:rsid w:val="00560C6A"/>
    <w:rsid w:val="00560CA3"/>
    <w:rsid w:val="00560CDF"/>
    <w:rsid w:val="00560D03"/>
    <w:rsid w:val="00560D38"/>
    <w:rsid w:val="00560D92"/>
    <w:rsid w:val="00560EEB"/>
    <w:rsid w:val="00560F2A"/>
    <w:rsid w:val="00560F41"/>
    <w:rsid w:val="00560FD2"/>
    <w:rsid w:val="00561017"/>
    <w:rsid w:val="00561034"/>
    <w:rsid w:val="0056116D"/>
    <w:rsid w:val="005611CE"/>
    <w:rsid w:val="005611E6"/>
    <w:rsid w:val="00561294"/>
    <w:rsid w:val="00561320"/>
    <w:rsid w:val="00561383"/>
    <w:rsid w:val="0056141D"/>
    <w:rsid w:val="00561484"/>
    <w:rsid w:val="0056153F"/>
    <w:rsid w:val="0056157D"/>
    <w:rsid w:val="005615BD"/>
    <w:rsid w:val="005616AA"/>
    <w:rsid w:val="005617E1"/>
    <w:rsid w:val="00561A03"/>
    <w:rsid w:val="00561AE7"/>
    <w:rsid w:val="00561AF5"/>
    <w:rsid w:val="00561B03"/>
    <w:rsid w:val="00561B1B"/>
    <w:rsid w:val="00561BAC"/>
    <w:rsid w:val="00561BBF"/>
    <w:rsid w:val="00561BC4"/>
    <w:rsid w:val="00561BD8"/>
    <w:rsid w:val="00561CCE"/>
    <w:rsid w:val="00561CD5"/>
    <w:rsid w:val="00561D7A"/>
    <w:rsid w:val="00561DED"/>
    <w:rsid w:val="00561ED3"/>
    <w:rsid w:val="00561F5B"/>
    <w:rsid w:val="00561F94"/>
    <w:rsid w:val="0056205F"/>
    <w:rsid w:val="0056228A"/>
    <w:rsid w:val="00562295"/>
    <w:rsid w:val="00562346"/>
    <w:rsid w:val="00562370"/>
    <w:rsid w:val="00562504"/>
    <w:rsid w:val="00562582"/>
    <w:rsid w:val="00562595"/>
    <w:rsid w:val="0056262E"/>
    <w:rsid w:val="0056264A"/>
    <w:rsid w:val="0056266D"/>
    <w:rsid w:val="00562679"/>
    <w:rsid w:val="005626FD"/>
    <w:rsid w:val="005627C9"/>
    <w:rsid w:val="00562800"/>
    <w:rsid w:val="005628E1"/>
    <w:rsid w:val="0056291D"/>
    <w:rsid w:val="00562926"/>
    <w:rsid w:val="0056294D"/>
    <w:rsid w:val="0056299C"/>
    <w:rsid w:val="00562A2F"/>
    <w:rsid w:val="00562A50"/>
    <w:rsid w:val="00562AC3"/>
    <w:rsid w:val="00562AFA"/>
    <w:rsid w:val="00562B38"/>
    <w:rsid w:val="00562BF3"/>
    <w:rsid w:val="00562BF4"/>
    <w:rsid w:val="00562C11"/>
    <w:rsid w:val="00562C5C"/>
    <w:rsid w:val="00562C63"/>
    <w:rsid w:val="00562C64"/>
    <w:rsid w:val="00562CAA"/>
    <w:rsid w:val="00562CED"/>
    <w:rsid w:val="00562D38"/>
    <w:rsid w:val="00562D62"/>
    <w:rsid w:val="00562DFC"/>
    <w:rsid w:val="00562E8C"/>
    <w:rsid w:val="00562EEF"/>
    <w:rsid w:val="00562F35"/>
    <w:rsid w:val="00562FC9"/>
    <w:rsid w:val="00562FD0"/>
    <w:rsid w:val="00563052"/>
    <w:rsid w:val="0056306E"/>
    <w:rsid w:val="0056311B"/>
    <w:rsid w:val="0056312E"/>
    <w:rsid w:val="00563165"/>
    <w:rsid w:val="005631B4"/>
    <w:rsid w:val="005631D4"/>
    <w:rsid w:val="005632CF"/>
    <w:rsid w:val="005632FB"/>
    <w:rsid w:val="0056331B"/>
    <w:rsid w:val="00563336"/>
    <w:rsid w:val="00563372"/>
    <w:rsid w:val="00563477"/>
    <w:rsid w:val="005634DD"/>
    <w:rsid w:val="0056355B"/>
    <w:rsid w:val="0056355F"/>
    <w:rsid w:val="00563601"/>
    <w:rsid w:val="0056363C"/>
    <w:rsid w:val="005636C4"/>
    <w:rsid w:val="005636D4"/>
    <w:rsid w:val="00563700"/>
    <w:rsid w:val="0056377E"/>
    <w:rsid w:val="00563795"/>
    <w:rsid w:val="005637A5"/>
    <w:rsid w:val="005637F5"/>
    <w:rsid w:val="0056390D"/>
    <w:rsid w:val="0056397C"/>
    <w:rsid w:val="005639EC"/>
    <w:rsid w:val="00563A0E"/>
    <w:rsid w:val="00563A2F"/>
    <w:rsid w:val="00563A69"/>
    <w:rsid w:val="00563AD8"/>
    <w:rsid w:val="00563AE6"/>
    <w:rsid w:val="00563B37"/>
    <w:rsid w:val="00563B5E"/>
    <w:rsid w:val="00563C35"/>
    <w:rsid w:val="00563C77"/>
    <w:rsid w:val="00563DB9"/>
    <w:rsid w:val="00563E55"/>
    <w:rsid w:val="00563E9F"/>
    <w:rsid w:val="00563EEE"/>
    <w:rsid w:val="00563EFA"/>
    <w:rsid w:val="00563F39"/>
    <w:rsid w:val="00563FBB"/>
    <w:rsid w:val="0056402C"/>
    <w:rsid w:val="0056406B"/>
    <w:rsid w:val="005640DC"/>
    <w:rsid w:val="005640F0"/>
    <w:rsid w:val="005641AC"/>
    <w:rsid w:val="005641AD"/>
    <w:rsid w:val="005641FB"/>
    <w:rsid w:val="00564200"/>
    <w:rsid w:val="005642AB"/>
    <w:rsid w:val="00564310"/>
    <w:rsid w:val="0056440A"/>
    <w:rsid w:val="0056441D"/>
    <w:rsid w:val="00564430"/>
    <w:rsid w:val="0056447C"/>
    <w:rsid w:val="0056447D"/>
    <w:rsid w:val="005644AA"/>
    <w:rsid w:val="005645C8"/>
    <w:rsid w:val="00564611"/>
    <w:rsid w:val="005646E8"/>
    <w:rsid w:val="0056470E"/>
    <w:rsid w:val="0056481D"/>
    <w:rsid w:val="005648C3"/>
    <w:rsid w:val="00564924"/>
    <w:rsid w:val="00564973"/>
    <w:rsid w:val="0056497E"/>
    <w:rsid w:val="005649BA"/>
    <w:rsid w:val="005649F6"/>
    <w:rsid w:val="00564ACE"/>
    <w:rsid w:val="00564B0E"/>
    <w:rsid w:val="00564B20"/>
    <w:rsid w:val="00564BE8"/>
    <w:rsid w:val="00564C32"/>
    <w:rsid w:val="00564CB6"/>
    <w:rsid w:val="00564D59"/>
    <w:rsid w:val="00564DC8"/>
    <w:rsid w:val="00564E2B"/>
    <w:rsid w:val="00564E43"/>
    <w:rsid w:val="00564EB0"/>
    <w:rsid w:val="00564EBD"/>
    <w:rsid w:val="00564F34"/>
    <w:rsid w:val="00564F42"/>
    <w:rsid w:val="00564F8A"/>
    <w:rsid w:val="00564FBE"/>
    <w:rsid w:val="00564FC8"/>
    <w:rsid w:val="0056507D"/>
    <w:rsid w:val="005650A6"/>
    <w:rsid w:val="0056513B"/>
    <w:rsid w:val="005651D0"/>
    <w:rsid w:val="0056520A"/>
    <w:rsid w:val="0056521A"/>
    <w:rsid w:val="00565245"/>
    <w:rsid w:val="005652BE"/>
    <w:rsid w:val="005652D1"/>
    <w:rsid w:val="00565377"/>
    <w:rsid w:val="00565415"/>
    <w:rsid w:val="0056543F"/>
    <w:rsid w:val="00565456"/>
    <w:rsid w:val="00565473"/>
    <w:rsid w:val="005654AE"/>
    <w:rsid w:val="005654BC"/>
    <w:rsid w:val="00565512"/>
    <w:rsid w:val="005655B6"/>
    <w:rsid w:val="00565626"/>
    <w:rsid w:val="00565656"/>
    <w:rsid w:val="0056566D"/>
    <w:rsid w:val="0056569E"/>
    <w:rsid w:val="005656D4"/>
    <w:rsid w:val="005656ED"/>
    <w:rsid w:val="00565706"/>
    <w:rsid w:val="00565780"/>
    <w:rsid w:val="005657A5"/>
    <w:rsid w:val="005657F1"/>
    <w:rsid w:val="00565822"/>
    <w:rsid w:val="00565A21"/>
    <w:rsid w:val="00565A42"/>
    <w:rsid w:val="00565AD8"/>
    <w:rsid w:val="00565AFA"/>
    <w:rsid w:val="00565B11"/>
    <w:rsid w:val="00565B25"/>
    <w:rsid w:val="00565C70"/>
    <w:rsid w:val="00565C92"/>
    <w:rsid w:val="00565CCB"/>
    <w:rsid w:val="00565CF0"/>
    <w:rsid w:val="00565D93"/>
    <w:rsid w:val="00565E2F"/>
    <w:rsid w:val="00565E35"/>
    <w:rsid w:val="00565ED9"/>
    <w:rsid w:val="00565EE6"/>
    <w:rsid w:val="00565F7B"/>
    <w:rsid w:val="00565FD6"/>
    <w:rsid w:val="0056600D"/>
    <w:rsid w:val="0056612F"/>
    <w:rsid w:val="00566130"/>
    <w:rsid w:val="00566141"/>
    <w:rsid w:val="00566182"/>
    <w:rsid w:val="005661A4"/>
    <w:rsid w:val="005661B0"/>
    <w:rsid w:val="005661CA"/>
    <w:rsid w:val="00566257"/>
    <w:rsid w:val="0056626F"/>
    <w:rsid w:val="00566270"/>
    <w:rsid w:val="00566294"/>
    <w:rsid w:val="005662F6"/>
    <w:rsid w:val="0056631A"/>
    <w:rsid w:val="0056634F"/>
    <w:rsid w:val="005663FA"/>
    <w:rsid w:val="0056641C"/>
    <w:rsid w:val="0056649D"/>
    <w:rsid w:val="005664A0"/>
    <w:rsid w:val="005664F4"/>
    <w:rsid w:val="005664FB"/>
    <w:rsid w:val="0056653F"/>
    <w:rsid w:val="00566545"/>
    <w:rsid w:val="005665A7"/>
    <w:rsid w:val="005665E6"/>
    <w:rsid w:val="005665F3"/>
    <w:rsid w:val="00566655"/>
    <w:rsid w:val="0056668C"/>
    <w:rsid w:val="005666B7"/>
    <w:rsid w:val="0056670D"/>
    <w:rsid w:val="00566733"/>
    <w:rsid w:val="0056680A"/>
    <w:rsid w:val="00566828"/>
    <w:rsid w:val="00566843"/>
    <w:rsid w:val="005668CE"/>
    <w:rsid w:val="0056694C"/>
    <w:rsid w:val="0056698C"/>
    <w:rsid w:val="005669D8"/>
    <w:rsid w:val="00566A60"/>
    <w:rsid w:val="00566A94"/>
    <w:rsid w:val="00566ACA"/>
    <w:rsid w:val="00566AF7"/>
    <w:rsid w:val="00566B3B"/>
    <w:rsid w:val="00566BB6"/>
    <w:rsid w:val="00566C96"/>
    <w:rsid w:val="00566CCA"/>
    <w:rsid w:val="00566CDF"/>
    <w:rsid w:val="00566D49"/>
    <w:rsid w:val="00566DAD"/>
    <w:rsid w:val="00566E01"/>
    <w:rsid w:val="00566E19"/>
    <w:rsid w:val="00566F1B"/>
    <w:rsid w:val="00566F21"/>
    <w:rsid w:val="00566F36"/>
    <w:rsid w:val="00566F56"/>
    <w:rsid w:val="00566F7A"/>
    <w:rsid w:val="0056704E"/>
    <w:rsid w:val="0056705F"/>
    <w:rsid w:val="00567087"/>
    <w:rsid w:val="0056709B"/>
    <w:rsid w:val="005670E3"/>
    <w:rsid w:val="005670EA"/>
    <w:rsid w:val="0056713E"/>
    <w:rsid w:val="0056720D"/>
    <w:rsid w:val="00567288"/>
    <w:rsid w:val="0056737A"/>
    <w:rsid w:val="0056741C"/>
    <w:rsid w:val="005674E4"/>
    <w:rsid w:val="0056756A"/>
    <w:rsid w:val="00567588"/>
    <w:rsid w:val="005675B3"/>
    <w:rsid w:val="005675BA"/>
    <w:rsid w:val="005675F2"/>
    <w:rsid w:val="005675F7"/>
    <w:rsid w:val="005676B0"/>
    <w:rsid w:val="00567743"/>
    <w:rsid w:val="00567763"/>
    <w:rsid w:val="0056776B"/>
    <w:rsid w:val="005677A2"/>
    <w:rsid w:val="005677CE"/>
    <w:rsid w:val="005677F7"/>
    <w:rsid w:val="00567808"/>
    <w:rsid w:val="00567839"/>
    <w:rsid w:val="005678F3"/>
    <w:rsid w:val="00567973"/>
    <w:rsid w:val="00567AC6"/>
    <w:rsid w:val="00567BC7"/>
    <w:rsid w:val="00567BE2"/>
    <w:rsid w:val="00567D25"/>
    <w:rsid w:val="00567D32"/>
    <w:rsid w:val="00567DB6"/>
    <w:rsid w:val="00567DD6"/>
    <w:rsid w:val="00567DDB"/>
    <w:rsid w:val="00567E44"/>
    <w:rsid w:val="00567E74"/>
    <w:rsid w:val="00567F88"/>
    <w:rsid w:val="00570049"/>
    <w:rsid w:val="005700F0"/>
    <w:rsid w:val="00570133"/>
    <w:rsid w:val="00570170"/>
    <w:rsid w:val="00570172"/>
    <w:rsid w:val="00570369"/>
    <w:rsid w:val="005703AD"/>
    <w:rsid w:val="005703BB"/>
    <w:rsid w:val="00570488"/>
    <w:rsid w:val="005704FD"/>
    <w:rsid w:val="0057056E"/>
    <w:rsid w:val="0057057E"/>
    <w:rsid w:val="00570645"/>
    <w:rsid w:val="005706D2"/>
    <w:rsid w:val="00570703"/>
    <w:rsid w:val="00570718"/>
    <w:rsid w:val="00570748"/>
    <w:rsid w:val="005707B3"/>
    <w:rsid w:val="005707C3"/>
    <w:rsid w:val="005707E6"/>
    <w:rsid w:val="005707F1"/>
    <w:rsid w:val="00570827"/>
    <w:rsid w:val="0057083C"/>
    <w:rsid w:val="00570880"/>
    <w:rsid w:val="00570889"/>
    <w:rsid w:val="005708E6"/>
    <w:rsid w:val="005708E8"/>
    <w:rsid w:val="00570951"/>
    <w:rsid w:val="00570A06"/>
    <w:rsid w:val="00570A2D"/>
    <w:rsid w:val="00570A55"/>
    <w:rsid w:val="00570B14"/>
    <w:rsid w:val="00570B1C"/>
    <w:rsid w:val="00570B3A"/>
    <w:rsid w:val="00570B5B"/>
    <w:rsid w:val="00570CF0"/>
    <w:rsid w:val="00570DB1"/>
    <w:rsid w:val="00570DB5"/>
    <w:rsid w:val="00570E5B"/>
    <w:rsid w:val="00570EE0"/>
    <w:rsid w:val="00570F0C"/>
    <w:rsid w:val="00570F1B"/>
    <w:rsid w:val="00570F73"/>
    <w:rsid w:val="00570F87"/>
    <w:rsid w:val="00570F88"/>
    <w:rsid w:val="00570FA6"/>
    <w:rsid w:val="00570FC1"/>
    <w:rsid w:val="0057105D"/>
    <w:rsid w:val="0057108B"/>
    <w:rsid w:val="005710CA"/>
    <w:rsid w:val="005710F1"/>
    <w:rsid w:val="005710F4"/>
    <w:rsid w:val="00571167"/>
    <w:rsid w:val="0057121A"/>
    <w:rsid w:val="00571249"/>
    <w:rsid w:val="00571255"/>
    <w:rsid w:val="005712AB"/>
    <w:rsid w:val="005712B1"/>
    <w:rsid w:val="0057131B"/>
    <w:rsid w:val="00571341"/>
    <w:rsid w:val="00571497"/>
    <w:rsid w:val="005714ED"/>
    <w:rsid w:val="005714FD"/>
    <w:rsid w:val="00571535"/>
    <w:rsid w:val="00571638"/>
    <w:rsid w:val="005716B4"/>
    <w:rsid w:val="005716ED"/>
    <w:rsid w:val="005716F6"/>
    <w:rsid w:val="00571729"/>
    <w:rsid w:val="00571733"/>
    <w:rsid w:val="0057173D"/>
    <w:rsid w:val="005717CD"/>
    <w:rsid w:val="00571822"/>
    <w:rsid w:val="00571948"/>
    <w:rsid w:val="0057194B"/>
    <w:rsid w:val="00571973"/>
    <w:rsid w:val="00571A06"/>
    <w:rsid w:val="00571A76"/>
    <w:rsid w:val="00571AFE"/>
    <w:rsid w:val="00571BA0"/>
    <w:rsid w:val="00571C23"/>
    <w:rsid w:val="00571C33"/>
    <w:rsid w:val="00571C5B"/>
    <w:rsid w:val="00571CE6"/>
    <w:rsid w:val="00571D25"/>
    <w:rsid w:val="00571D35"/>
    <w:rsid w:val="00571E3E"/>
    <w:rsid w:val="00571E4C"/>
    <w:rsid w:val="00571EFF"/>
    <w:rsid w:val="00571F14"/>
    <w:rsid w:val="00571FC5"/>
    <w:rsid w:val="00571FFB"/>
    <w:rsid w:val="005720A4"/>
    <w:rsid w:val="005720EF"/>
    <w:rsid w:val="00572186"/>
    <w:rsid w:val="00572200"/>
    <w:rsid w:val="0057222E"/>
    <w:rsid w:val="00572304"/>
    <w:rsid w:val="00572339"/>
    <w:rsid w:val="005723F1"/>
    <w:rsid w:val="005723F4"/>
    <w:rsid w:val="00572428"/>
    <w:rsid w:val="00572515"/>
    <w:rsid w:val="005725AB"/>
    <w:rsid w:val="00572645"/>
    <w:rsid w:val="00572659"/>
    <w:rsid w:val="00572721"/>
    <w:rsid w:val="0057274E"/>
    <w:rsid w:val="00572794"/>
    <w:rsid w:val="00572875"/>
    <w:rsid w:val="0057289D"/>
    <w:rsid w:val="005728AB"/>
    <w:rsid w:val="005728EF"/>
    <w:rsid w:val="00572918"/>
    <w:rsid w:val="00572930"/>
    <w:rsid w:val="005729C7"/>
    <w:rsid w:val="005729F9"/>
    <w:rsid w:val="00572A5E"/>
    <w:rsid w:val="00572A9A"/>
    <w:rsid w:val="00572AC7"/>
    <w:rsid w:val="00572ACA"/>
    <w:rsid w:val="00572BA7"/>
    <w:rsid w:val="00572C6C"/>
    <w:rsid w:val="00572CB2"/>
    <w:rsid w:val="00572DE1"/>
    <w:rsid w:val="00572DEE"/>
    <w:rsid w:val="00572ECA"/>
    <w:rsid w:val="00572F96"/>
    <w:rsid w:val="00572FC0"/>
    <w:rsid w:val="00572FEE"/>
    <w:rsid w:val="00573070"/>
    <w:rsid w:val="00573175"/>
    <w:rsid w:val="0057320B"/>
    <w:rsid w:val="00573235"/>
    <w:rsid w:val="0057324E"/>
    <w:rsid w:val="005732DD"/>
    <w:rsid w:val="00573324"/>
    <w:rsid w:val="005733F8"/>
    <w:rsid w:val="00573425"/>
    <w:rsid w:val="00573451"/>
    <w:rsid w:val="00573452"/>
    <w:rsid w:val="00573520"/>
    <w:rsid w:val="00573524"/>
    <w:rsid w:val="0057356F"/>
    <w:rsid w:val="0057357A"/>
    <w:rsid w:val="00573634"/>
    <w:rsid w:val="005736D8"/>
    <w:rsid w:val="005736DD"/>
    <w:rsid w:val="0057384C"/>
    <w:rsid w:val="005738C9"/>
    <w:rsid w:val="005739A8"/>
    <w:rsid w:val="005739D0"/>
    <w:rsid w:val="00573A69"/>
    <w:rsid w:val="00573A9E"/>
    <w:rsid w:val="00573AE0"/>
    <w:rsid w:val="00573B2B"/>
    <w:rsid w:val="00573B99"/>
    <w:rsid w:val="00573C42"/>
    <w:rsid w:val="00573C54"/>
    <w:rsid w:val="00573C6B"/>
    <w:rsid w:val="00573C83"/>
    <w:rsid w:val="00573C9A"/>
    <w:rsid w:val="00573D79"/>
    <w:rsid w:val="00573DB3"/>
    <w:rsid w:val="00573DD4"/>
    <w:rsid w:val="00573E02"/>
    <w:rsid w:val="00573E4D"/>
    <w:rsid w:val="00573EE6"/>
    <w:rsid w:val="00573F52"/>
    <w:rsid w:val="00573FA4"/>
    <w:rsid w:val="00573FDB"/>
    <w:rsid w:val="00573FF1"/>
    <w:rsid w:val="00574047"/>
    <w:rsid w:val="00574081"/>
    <w:rsid w:val="00574098"/>
    <w:rsid w:val="0057415C"/>
    <w:rsid w:val="0057417C"/>
    <w:rsid w:val="00574257"/>
    <w:rsid w:val="00574297"/>
    <w:rsid w:val="005742E2"/>
    <w:rsid w:val="0057432D"/>
    <w:rsid w:val="005743A3"/>
    <w:rsid w:val="005743C7"/>
    <w:rsid w:val="00574411"/>
    <w:rsid w:val="005744B5"/>
    <w:rsid w:val="005744F8"/>
    <w:rsid w:val="00574517"/>
    <w:rsid w:val="00574548"/>
    <w:rsid w:val="0057454B"/>
    <w:rsid w:val="005746E9"/>
    <w:rsid w:val="00574728"/>
    <w:rsid w:val="0057474E"/>
    <w:rsid w:val="00574752"/>
    <w:rsid w:val="0057477F"/>
    <w:rsid w:val="00574857"/>
    <w:rsid w:val="00574903"/>
    <w:rsid w:val="005749EA"/>
    <w:rsid w:val="00574A0C"/>
    <w:rsid w:val="00574A17"/>
    <w:rsid w:val="00574AAF"/>
    <w:rsid w:val="00574AF1"/>
    <w:rsid w:val="00574B07"/>
    <w:rsid w:val="00574B72"/>
    <w:rsid w:val="00574B7E"/>
    <w:rsid w:val="00574B95"/>
    <w:rsid w:val="00574BB7"/>
    <w:rsid w:val="00574CC3"/>
    <w:rsid w:val="00574CC5"/>
    <w:rsid w:val="00574CDE"/>
    <w:rsid w:val="00574CF8"/>
    <w:rsid w:val="00574D43"/>
    <w:rsid w:val="00574DF6"/>
    <w:rsid w:val="00574E23"/>
    <w:rsid w:val="00574E2D"/>
    <w:rsid w:val="00574E39"/>
    <w:rsid w:val="00574E54"/>
    <w:rsid w:val="00574E9E"/>
    <w:rsid w:val="00574EC9"/>
    <w:rsid w:val="00574F8E"/>
    <w:rsid w:val="00574FC3"/>
    <w:rsid w:val="00574FD1"/>
    <w:rsid w:val="00574FDE"/>
    <w:rsid w:val="00574FF0"/>
    <w:rsid w:val="00575075"/>
    <w:rsid w:val="005750B1"/>
    <w:rsid w:val="005750BC"/>
    <w:rsid w:val="005750CA"/>
    <w:rsid w:val="005750E1"/>
    <w:rsid w:val="005750F5"/>
    <w:rsid w:val="005751AF"/>
    <w:rsid w:val="00575248"/>
    <w:rsid w:val="00575262"/>
    <w:rsid w:val="00575304"/>
    <w:rsid w:val="00575314"/>
    <w:rsid w:val="00575358"/>
    <w:rsid w:val="00575458"/>
    <w:rsid w:val="005754BE"/>
    <w:rsid w:val="005754F6"/>
    <w:rsid w:val="0057565F"/>
    <w:rsid w:val="005756F0"/>
    <w:rsid w:val="005756FF"/>
    <w:rsid w:val="00575762"/>
    <w:rsid w:val="00575772"/>
    <w:rsid w:val="00575779"/>
    <w:rsid w:val="005757E6"/>
    <w:rsid w:val="00575819"/>
    <w:rsid w:val="0057587D"/>
    <w:rsid w:val="005758DF"/>
    <w:rsid w:val="00575931"/>
    <w:rsid w:val="0057596B"/>
    <w:rsid w:val="00575A97"/>
    <w:rsid w:val="00575AC6"/>
    <w:rsid w:val="00575AD1"/>
    <w:rsid w:val="00575B1B"/>
    <w:rsid w:val="00575BD6"/>
    <w:rsid w:val="00575C3B"/>
    <w:rsid w:val="00575C79"/>
    <w:rsid w:val="00575CC5"/>
    <w:rsid w:val="00575D92"/>
    <w:rsid w:val="00575E3C"/>
    <w:rsid w:val="00575F29"/>
    <w:rsid w:val="00575F32"/>
    <w:rsid w:val="00575F40"/>
    <w:rsid w:val="00575F5A"/>
    <w:rsid w:val="00575FA4"/>
    <w:rsid w:val="00575FF1"/>
    <w:rsid w:val="00575FF3"/>
    <w:rsid w:val="0057602E"/>
    <w:rsid w:val="00576077"/>
    <w:rsid w:val="0057608A"/>
    <w:rsid w:val="00576100"/>
    <w:rsid w:val="00576104"/>
    <w:rsid w:val="0057611C"/>
    <w:rsid w:val="0057614D"/>
    <w:rsid w:val="00576199"/>
    <w:rsid w:val="00576352"/>
    <w:rsid w:val="005763A3"/>
    <w:rsid w:val="005763AC"/>
    <w:rsid w:val="005763DC"/>
    <w:rsid w:val="00576506"/>
    <w:rsid w:val="00576516"/>
    <w:rsid w:val="0057653E"/>
    <w:rsid w:val="0057676C"/>
    <w:rsid w:val="00576787"/>
    <w:rsid w:val="005767B1"/>
    <w:rsid w:val="005767E0"/>
    <w:rsid w:val="005767E5"/>
    <w:rsid w:val="00576876"/>
    <w:rsid w:val="00576887"/>
    <w:rsid w:val="005768D0"/>
    <w:rsid w:val="005768FC"/>
    <w:rsid w:val="00576979"/>
    <w:rsid w:val="0057697B"/>
    <w:rsid w:val="005769CD"/>
    <w:rsid w:val="00576A36"/>
    <w:rsid w:val="00576A96"/>
    <w:rsid w:val="00576B65"/>
    <w:rsid w:val="00576B8A"/>
    <w:rsid w:val="00576BAC"/>
    <w:rsid w:val="00576BB0"/>
    <w:rsid w:val="00576D52"/>
    <w:rsid w:val="00576D57"/>
    <w:rsid w:val="00576D75"/>
    <w:rsid w:val="00576D79"/>
    <w:rsid w:val="00576D8E"/>
    <w:rsid w:val="00576E72"/>
    <w:rsid w:val="00576F13"/>
    <w:rsid w:val="0057703F"/>
    <w:rsid w:val="005770AC"/>
    <w:rsid w:val="00577181"/>
    <w:rsid w:val="00577239"/>
    <w:rsid w:val="005772FD"/>
    <w:rsid w:val="005773F0"/>
    <w:rsid w:val="0057747E"/>
    <w:rsid w:val="00577523"/>
    <w:rsid w:val="00577575"/>
    <w:rsid w:val="005775A2"/>
    <w:rsid w:val="0057761E"/>
    <w:rsid w:val="00577673"/>
    <w:rsid w:val="005776BB"/>
    <w:rsid w:val="005776F5"/>
    <w:rsid w:val="00577766"/>
    <w:rsid w:val="005777A9"/>
    <w:rsid w:val="005778A9"/>
    <w:rsid w:val="00577910"/>
    <w:rsid w:val="0057797D"/>
    <w:rsid w:val="00577A61"/>
    <w:rsid w:val="00577A7D"/>
    <w:rsid w:val="00577A86"/>
    <w:rsid w:val="00577AA4"/>
    <w:rsid w:val="00577B05"/>
    <w:rsid w:val="00577B5F"/>
    <w:rsid w:val="00577BA0"/>
    <w:rsid w:val="00577BE8"/>
    <w:rsid w:val="00577C59"/>
    <w:rsid w:val="00577CE7"/>
    <w:rsid w:val="00577CEE"/>
    <w:rsid w:val="00577D2A"/>
    <w:rsid w:val="00577D6B"/>
    <w:rsid w:val="00577E18"/>
    <w:rsid w:val="00577E59"/>
    <w:rsid w:val="00577ED1"/>
    <w:rsid w:val="00577EFE"/>
    <w:rsid w:val="00577F16"/>
    <w:rsid w:val="00577F22"/>
    <w:rsid w:val="00577FA4"/>
    <w:rsid w:val="00580010"/>
    <w:rsid w:val="0058003F"/>
    <w:rsid w:val="00580050"/>
    <w:rsid w:val="0058008C"/>
    <w:rsid w:val="0058008D"/>
    <w:rsid w:val="00580091"/>
    <w:rsid w:val="005800CD"/>
    <w:rsid w:val="0058016D"/>
    <w:rsid w:val="0058017E"/>
    <w:rsid w:val="00580275"/>
    <w:rsid w:val="00580376"/>
    <w:rsid w:val="005803DB"/>
    <w:rsid w:val="0058046D"/>
    <w:rsid w:val="005804C8"/>
    <w:rsid w:val="00580507"/>
    <w:rsid w:val="00580512"/>
    <w:rsid w:val="0058054E"/>
    <w:rsid w:val="00580589"/>
    <w:rsid w:val="005805AB"/>
    <w:rsid w:val="005805C1"/>
    <w:rsid w:val="005805E9"/>
    <w:rsid w:val="00580659"/>
    <w:rsid w:val="005806E7"/>
    <w:rsid w:val="00580803"/>
    <w:rsid w:val="00580863"/>
    <w:rsid w:val="00580880"/>
    <w:rsid w:val="005808B8"/>
    <w:rsid w:val="00580943"/>
    <w:rsid w:val="00580A17"/>
    <w:rsid w:val="00580A2B"/>
    <w:rsid w:val="00580A6F"/>
    <w:rsid w:val="00580AA7"/>
    <w:rsid w:val="00580B1D"/>
    <w:rsid w:val="00580B20"/>
    <w:rsid w:val="00580B8E"/>
    <w:rsid w:val="00580BA0"/>
    <w:rsid w:val="00580BA5"/>
    <w:rsid w:val="00580BD9"/>
    <w:rsid w:val="00580CBA"/>
    <w:rsid w:val="00580D81"/>
    <w:rsid w:val="00580E24"/>
    <w:rsid w:val="00580E9C"/>
    <w:rsid w:val="00580F18"/>
    <w:rsid w:val="00580F31"/>
    <w:rsid w:val="00580F85"/>
    <w:rsid w:val="00580FEB"/>
    <w:rsid w:val="00581018"/>
    <w:rsid w:val="005810C2"/>
    <w:rsid w:val="0058113E"/>
    <w:rsid w:val="0058116F"/>
    <w:rsid w:val="005812A4"/>
    <w:rsid w:val="005812DB"/>
    <w:rsid w:val="0058137E"/>
    <w:rsid w:val="005813E6"/>
    <w:rsid w:val="0058149A"/>
    <w:rsid w:val="005814DA"/>
    <w:rsid w:val="00581509"/>
    <w:rsid w:val="00581544"/>
    <w:rsid w:val="005815C1"/>
    <w:rsid w:val="0058167F"/>
    <w:rsid w:val="0058169C"/>
    <w:rsid w:val="005816E6"/>
    <w:rsid w:val="00581723"/>
    <w:rsid w:val="005817DB"/>
    <w:rsid w:val="00581871"/>
    <w:rsid w:val="005818E0"/>
    <w:rsid w:val="005819C5"/>
    <w:rsid w:val="00581A3E"/>
    <w:rsid w:val="00581A8F"/>
    <w:rsid w:val="00581AFD"/>
    <w:rsid w:val="00581B0E"/>
    <w:rsid w:val="00581B32"/>
    <w:rsid w:val="00581BF8"/>
    <w:rsid w:val="00581CF6"/>
    <w:rsid w:val="00581D54"/>
    <w:rsid w:val="00581D5D"/>
    <w:rsid w:val="00581D5F"/>
    <w:rsid w:val="00581E2C"/>
    <w:rsid w:val="00581EE4"/>
    <w:rsid w:val="00581F0D"/>
    <w:rsid w:val="00581F96"/>
    <w:rsid w:val="00582059"/>
    <w:rsid w:val="00582116"/>
    <w:rsid w:val="005822C7"/>
    <w:rsid w:val="005822F8"/>
    <w:rsid w:val="0058233F"/>
    <w:rsid w:val="00582340"/>
    <w:rsid w:val="00582352"/>
    <w:rsid w:val="00582396"/>
    <w:rsid w:val="005823AF"/>
    <w:rsid w:val="005823B3"/>
    <w:rsid w:val="005823DE"/>
    <w:rsid w:val="00582462"/>
    <w:rsid w:val="005824B7"/>
    <w:rsid w:val="005825B3"/>
    <w:rsid w:val="005825CE"/>
    <w:rsid w:val="005825DC"/>
    <w:rsid w:val="00582643"/>
    <w:rsid w:val="00582667"/>
    <w:rsid w:val="005826C7"/>
    <w:rsid w:val="00582707"/>
    <w:rsid w:val="00582725"/>
    <w:rsid w:val="00582738"/>
    <w:rsid w:val="00582739"/>
    <w:rsid w:val="00582747"/>
    <w:rsid w:val="0058274C"/>
    <w:rsid w:val="00582797"/>
    <w:rsid w:val="005827B4"/>
    <w:rsid w:val="0058284E"/>
    <w:rsid w:val="00582878"/>
    <w:rsid w:val="0058289B"/>
    <w:rsid w:val="005828B4"/>
    <w:rsid w:val="0058298B"/>
    <w:rsid w:val="00582A0B"/>
    <w:rsid w:val="00582A5F"/>
    <w:rsid w:val="00582AA2"/>
    <w:rsid w:val="00582AC8"/>
    <w:rsid w:val="00582B93"/>
    <w:rsid w:val="00582BB8"/>
    <w:rsid w:val="00582C09"/>
    <w:rsid w:val="00582C7D"/>
    <w:rsid w:val="00582CCF"/>
    <w:rsid w:val="00582D06"/>
    <w:rsid w:val="00582D52"/>
    <w:rsid w:val="00582F0C"/>
    <w:rsid w:val="00582F13"/>
    <w:rsid w:val="00582F73"/>
    <w:rsid w:val="00582F84"/>
    <w:rsid w:val="0058306B"/>
    <w:rsid w:val="00583078"/>
    <w:rsid w:val="00583093"/>
    <w:rsid w:val="005830AB"/>
    <w:rsid w:val="005830EC"/>
    <w:rsid w:val="00583106"/>
    <w:rsid w:val="0058311D"/>
    <w:rsid w:val="0058317C"/>
    <w:rsid w:val="005831A7"/>
    <w:rsid w:val="00583284"/>
    <w:rsid w:val="005832D5"/>
    <w:rsid w:val="00583303"/>
    <w:rsid w:val="00583325"/>
    <w:rsid w:val="00583343"/>
    <w:rsid w:val="00583396"/>
    <w:rsid w:val="005833B3"/>
    <w:rsid w:val="005833C6"/>
    <w:rsid w:val="005833E6"/>
    <w:rsid w:val="005833EC"/>
    <w:rsid w:val="005834C0"/>
    <w:rsid w:val="00583524"/>
    <w:rsid w:val="0058357A"/>
    <w:rsid w:val="005835E6"/>
    <w:rsid w:val="0058361B"/>
    <w:rsid w:val="0058367F"/>
    <w:rsid w:val="005836C6"/>
    <w:rsid w:val="005836D2"/>
    <w:rsid w:val="00583779"/>
    <w:rsid w:val="005837FA"/>
    <w:rsid w:val="00583805"/>
    <w:rsid w:val="00583833"/>
    <w:rsid w:val="00583871"/>
    <w:rsid w:val="0058389E"/>
    <w:rsid w:val="005839AE"/>
    <w:rsid w:val="005839CF"/>
    <w:rsid w:val="00583B48"/>
    <w:rsid w:val="00583B9C"/>
    <w:rsid w:val="00583BF6"/>
    <w:rsid w:val="00583C59"/>
    <w:rsid w:val="00583CE7"/>
    <w:rsid w:val="00583CF8"/>
    <w:rsid w:val="00583D00"/>
    <w:rsid w:val="00583D0A"/>
    <w:rsid w:val="00583DA9"/>
    <w:rsid w:val="00583DCD"/>
    <w:rsid w:val="00583DDF"/>
    <w:rsid w:val="00583E04"/>
    <w:rsid w:val="00583E87"/>
    <w:rsid w:val="00583EAB"/>
    <w:rsid w:val="00583EEB"/>
    <w:rsid w:val="00583EEE"/>
    <w:rsid w:val="00583F5D"/>
    <w:rsid w:val="00583FAF"/>
    <w:rsid w:val="00584038"/>
    <w:rsid w:val="0058404A"/>
    <w:rsid w:val="00584113"/>
    <w:rsid w:val="0058411B"/>
    <w:rsid w:val="00584140"/>
    <w:rsid w:val="005841FD"/>
    <w:rsid w:val="00584269"/>
    <w:rsid w:val="005842E3"/>
    <w:rsid w:val="005842EA"/>
    <w:rsid w:val="00584306"/>
    <w:rsid w:val="00584369"/>
    <w:rsid w:val="00584392"/>
    <w:rsid w:val="005843F3"/>
    <w:rsid w:val="0058449D"/>
    <w:rsid w:val="005844D2"/>
    <w:rsid w:val="00584571"/>
    <w:rsid w:val="005845A5"/>
    <w:rsid w:val="0058464B"/>
    <w:rsid w:val="005846EB"/>
    <w:rsid w:val="0058470C"/>
    <w:rsid w:val="00584760"/>
    <w:rsid w:val="00584768"/>
    <w:rsid w:val="0058476B"/>
    <w:rsid w:val="0058481A"/>
    <w:rsid w:val="0058484A"/>
    <w:rsid w:val="00584884"/>
    <w:rsid w:val="00584902"/>
    <w:rsid w:val="00584943"/>
    <w:rsid w:val="00584998"/>
    <w:rsid w:val="005849DD"/>
    <w:rsid w:val="005849EC"/>
    <w:rsid w:val="00584B14"/>
    <w:rsid w:val="00584B5D"/>
    <w:rsid w:val="00584BDD"/>
    <w:rsid w:val="00584C37"/>
    <w:rsid w:val="00584C54"/>
    <w:rsid w:val="00584C78"/>
    <w:rsid w:val="00584C94"/>
    <w:rsid w:val="00584CD0"/>
    <w:rsid w:val="00584CFD"/>
    <w:rsid w:val="00584D71"/>
    <w:rsid w:val="00584D9D"/>
    <w:rsid w:val="00584E30"/>
    <w:rsid w:val="00584E77"/>
    <w:rsid w:val="00584ED4"/>
    <w:rsid w:val="00584F42"/>
    <w:rsid w:val="00584F7E"/>
    <w:rsid w:val="00584F8B"/>
    <w:rsid w:val="00585041"/>
    <w:rsid w:val="005850ED"/>
    <w:rsid w:val="0058512C"/>
    <w:rsid w:val="00585137"/>
    <w:rsid w:val="00585158"/>
    <w:rsid w:val="0058515A"/>
    <w:rsid w:val="00585175"/>
    <w:rsid w:val="005851F4"/>
    <w:rsid w:val="00585223"/>
    <w:rsid w:val="005852E6"/>
    <w:rsid w:val="00585379"/>
    <w:rsid w:val="0058540A"/>
    <w:rsid w:val="0058547C"/>
    <w:rsid w:val="005854AD"/>
    <w:rsid w:val="005854DE"/>
    <w:rsid w:val="005855AD"/>
    <w:rsid w:val="005856AC"/>
    <w:rsid w:val="00585711"/>
    <w:rsid w:val="00585720"/>
    <w:rsid w:val="0058572A"/>
    <w:rsid w:val="0058576F"/>
    <w:rsid w:val="00585782"/>
    <w:rsid w:val="005857A9"/>
    <w:rsid w:val="005857BC"/>
    <w:rsid w:val="005857E1"/>
    <w:rsid w:val="005857F0"/>
    <w:rsid w:val="005858CD"/>
    <w:rsid w:val="005858DB"/>
    <w:rsid w:val="005858E0"/>
    <w:rsid w:val="005859E3"/>
    <w:rsid w:val="00585A0C"/>
    <w:rsid w:val="00585B08"/>
    <w:rsid w:val="00585BF3"/>
    <w:rsid w:val="00585C4E"/>
    <w:rsid w:val="00585CE8"/>
    <w:rsid w:val="00585D28"/>
    <w:rsid w:val="00585DA8"/>
    <w:rsid w:val="00585DCC"/>
    <w:rsid w:val="00585E17"/>
    <w:rsid w:val="00585E51"/>
    <w:rsid w:val="00585E64"/>
    <w:rsid w:val="00585E6E"/>
    <w:rsid w:val="00585E7A"/>
    <w:rsid w:val="00585E95"/>
    <w:rsid w:val="00585F6E"/>
    <w:rsid w:val="00585F88"/>
    <w:rsid w:val="0058605F"/>
    <w:rsid w:val="0058606B"/>
    <w:rsid w:val="00586183"/>
    <w:rsid w:val="005861A8"/>
    <w:rsid w:val="00586279"/>
    <w:rsid w:val="00586357"/>
    <w:rsid w:val="005863A0"/>
    <w:rsid w:val="00586477"/>
    <w:rsid w:val="005864A9"/>
    <w:rsid w:val="0058653A"/>
    <w:rsid w:val="0058655E"/>
    <w:rsid w:val="00586570"/>
    <w:rsid w:val="005865B7"/>
    <w:rsid w:val="00586610"/>
    <w:rsid w:val="00586616"/>
    <w:rsid w:val="0058666A"/>
    <w:rsid w:val="0058666E"/>
    <w:rsid w:val="0058677A"/>
    <w:rsid w:val="005867E6"/>
    <w:rsid w:val="00586804"/>
    <w:rsid w:val="00586818"/>
    <w:rsid w:val="005868CD"/>
    <w:rsid w:val="00586A18"/>
    <w:rsid w:val="00586A6C"/>
    <w:rsid w:val="00586AC9"/>
    <w:rsid w:val="00586BD4"/>
    <w:rsid w:val="00586D23"/>
    <w:rsid w:val="00586D3B"/>
    <w:rsid w:val="00586D4B"/>
    <w:rsid w:val="00586F33"/>
    <w:rsid w:val="00586F4A"/>
    <w:rsid w:val="00586FCC"/>
    <w:rsid w:val="00586FD4"/>
    <w:rsid w:val="00586FF3"/>
    <w:rsid w:val="00587022"/>
    <w:rsid w:val="00587045"/>
    <w:rsid w:val="00587101"/>
    <w:rsid w:val="005871CE"/>
    <w:rsid w:val="00587215"/>
    <w:rsid w:val="0058727F"/>
    <w:rsid w:val="005872B9"/>
    <w:rsid w:val="005872F1"/>
    <w:rsid w:val="00587327"/>
    <w:rsid w:val="00587381"/>
    <w:rsid w:val="005873DC"/>
    <w:rsid w:val="00587440"/>
    <w:rsid w:val="00587444"/>
    <w:rsid w:val="0058746F"/>
    <w:rsid w:val="005874AB"/>
    <w:rsid w:val="00587515"/>
    <w:rsid w:val="00587517"/>
    <w:rsid w:val="00587578"/>
    <w:rsid w:val="00587662"/>
    <w:rsid w:val="00587824"/>
    <w:rsid w:val="0058784C"/>
    <w:rsid w:val="005878A2"/>
    <w:rsid w:val="00587966"/>
    <w:rsid w:val="005879FF"/>
    <w:rsid w:val="00587A3B"/>
    <w:rsid w:val="00587A9A"/>
    <w:rsid w:val="00587BE8"/>
    <w:rsid w:val="00587C57"/>
    <w:rsid w:val="00587D75"/>
    <w:rsid w:val="00587DC8"/>
    <w:rsid w:val="00587DEC"/>
    <w:rsid w:val="00587EDE"/>
    <w:rsid w:val="00587EF9"/>
    <w:rsid w:val="00587F62"/>
    <w:rsid w:val="0059004C"/>
    <w:rsid w:val="00590097"/>
    <w:rsid w:val="005900AD"/>
    <w:rsid w:val="005901C0"/>
    <w:rsid w:val="00590295"/>
    <w:rsid w:val="005902A8"/>
    <w:rsid w:val="0059033A"/>
    <w:rsid w:val="0059035E"/>
    <w:rsid w:val="005903B1"/>
    <w:rsid w:val="005903F9"/>
    <w:rsid w:val="0059046A"/>
    <w:rsid w:val="005905C7"/>
    <w:rsid w:val="005905DE"/>
    <w:rsid w:val="00590636"/>
    <w:rsid w:val="00590697"/>
    <w:rsid w:val="005906D9"/>
    <w:rsid w:val="0059073E"/>
    <w:rsid w:val="005907AF"/>
    <w:rsid w:val="0059080B"/>
    <w:rsid w:val="0059085D"/>
    <w:rsid w:val="005908B1"/>
    <w:rsid w:val="0059097F"/>
    <w:rsid w:val="005909DC"/>
    <w:rsid w:val="005909F5"/>
    <w:rsid w:val="00590AB3"/>
    <w:rsid w:val="00590B10"/>
    <w:rsid w:val="00590C36"/>
    <w:rsid w:val="00590D77"/>
    <w:rsid w:val="00590D97"/>
    <w:rsid w:val="00590DC0"/>
    <w:rsid w:val="00590EC5"/>
    <w:rsid w:val="00590F90"/>
    <w:rsid w:val="0059116C"/>
    <w:rsid w:val="005911AB"/>
    <w:rsid w:val="00591208"/>
    <w:rsid w:val="0059135F"/>
    <w:rsid w:val="00591360"/>
    <w:rsid w:val="00591384"/>
    <w:rsid w:val="005913A8"/>
    <w:rsid w:val="005913D2"/>
    <w:rsid w:val="00591448"/>
    <w:rsid w:val="00591488"/>
    <w:rsid w:val="005914E1"/>
    <w:rsid w:val="005914ED"/>
    <w:rsid w:val="005914F4"/>
    <w:rsid w:val="0059151B"/>
    <w:rsid w:val="00591624"/>
    <w:rsid w:val="0059164B"/>
    <w:rsid w:val="00591704"/>
    <w:rsid w:val="00591741"/>
    <w:rsid w:val="00591756"/>
    <w:rsid w:val="0059176D"/>
    <w:rsid w:val="005918A5"/>
    <w:rsid w:val="005918C5"/>
    <w:rsid w:val="00591916"/>
    <w:rsid w:val="00591933"/>
    <w:rsid w:val="005919EB"/>
    <w:rsid w:val="00591A80"/>
    <w:rsid w:val="00591A9D"/>
    <w:rsid w:val="00591AE8"/>
    <w:rsid w:val="00591AEC"/>
    <w:rsid w:val="00591B3B"/>
    <w:rsid w:val="00591B84"/>
    <w:rsid w:val="00591BED"/>
    <w:rsid w:val="00591C23"/>
    <w:rsid w:val="00591CDE"/>
    <w:rsid w:val="00591CF2"/>
    <w:rsid w:val="00591D0E"/>
    <w:rsid w:val="00591D97"/>
    <w:rsid w:val="00591E4A"/>
    <w:rsid w:val="00591E9D"/>
    <w:rsid w:val="00591EAF"/>
    <w:rsid w:val="00591ED5"/>
    <w:rsid w:val="00591EEF"/>
    <w:rsid w:val="00591F0E"/>
    <w:rsid w:val="00591F6C"/>
    <w:rsid w:val="00591F92"/>
    <w:rsid w:val="0059201C"/>
    <w:rsid w:val="00592035"/>
    <w:rsid w:val="00592069"/>
    <w:rsid w:val="005920E1"/>
    <w:rsid w:val="00592129"/>
    <w:rsid w:val="0059214F"/>
    <w:rsid w:val="00592163"/>
    <w:rsid w:val="005921FE"/>
    <w:rsid w:val="00592262"/>
    <w:rsid w:val="00592269"/>
    <w:rsid w:val="00592284"/>
    <w:rsid w:val="005922B3"/>
    <w:rsid w:val="005922E9"/>
    <w:rsid w:val="00592388"/>
    <w:rsid w:val="00592389"/>
    <w:rsid w:val="005923D6"/>
    <w:rsid w:val="005924AD"/>
    <w:rsid w:val="005924B4"/>
    <w:rsid w:val="0059250E"/>
    <w:rsid w:val="00592516"/>
    <w:rsid w:val="00592566"/>
    <w:rsid w:val="0059259B"/>
    <w:rsid w:val="00592605"/>
    <w:rsid w:val="0059265F"/>
    <w:rsid w:val="00592669"/>
    <w:rsid w:val="00592675"/>
    <w:rsid w:val="0059267A"/>
    <w:rsid w:val="00592778"/>
    <w:rsid w:val="005927FA"/>
    <w:rsid w:val="00592834"/>
    <w:rsid w:val="005928A1"/>
    <w:rsid w:val="005928A8"/>
    <w:rsid w:val="005928B1"/>
    <w:rsid w:val="005929A3"/>
    <w:rsid w:val="005929FB"/>
    <w:rsid w:val="00592A02"/>
    <w:rsid w:val="00592A47"/>
    <w:rsid w:val="00592A90"/>
    <w:rsid w:val="00592B25"/>
    <w:rsid w:val="00592BD2"/>
    <w:rsid w:val="00592C53"/>
    <w:rsid w:val="00592C5C"/>
    <w:rsid w:val="00592C68"/>
    <w:rsid w:val="00592C71"/>
    <w:rsid w:val="00592C75"/>
    <w:rsid w:val="00592D0C"/>
    <w:rsid w:val="00592D2B"/>
    <w:rsid w:val="00592DCA"/>
    <w:rsid w:val="00592E53"/>
    <w:rsid w:val="00592E62"/>
    <w:rsid w:val="00592EA1"/>
    <w:rsid w:val="00592ED6"/>
    <w:rsid w:val="00592EDD"/>
    <w:rsid w:val="00592F7E"/>
    <w:rsid w:val="0059302D"/>
    <w:rsid w:val="00593038"/>
    <w:rsid w:val="00593058"/>
    <w:rsid w:val="005930C1"/>
    <w:rsid w:val="005930EC"/>
    <w:rsid w:val="005930ED"/>
    <w:rsid w:val="00593108"/>
    <w:rsid w:val="00593115"/>
    <w:rsid w:val="00593121"/>
    <w:rsid w:val="00593141"/>
    <w:rsid w:val="00593163"/>
    <w:rsid w:val="00593200"/>
    <w:rsid w:val="0059322B"/>
    <w:rsid w:val="00593245"/>
    <w:rsid w:val="005932C1"/>
    <w:rsid w:val="005932DD"/>
    <w:rsid w:val="005933BD"/>
    <w:rsid w:val="005933D1"/>
    <w:rsid w:val="005934D5"/>
    <w:rsid w:val="005934DE"/>
    <w:rsid w:val="0059350D"/>
    <w:rsid w:val="00593536"/>
    <w:rsid w:val="00593572"/>
    <w:rsid w:val="00593573"/>
    <w:rsid w:val="00593654"/>
    <w:rsid w:val="0059366D"/>
    <w:rsid w:val="00593692"/>
    <w:rsid w:val="005936FF"/>
    <w:rsid w:val="00593723"/>
    <w:rsid w:val="0059379E"/>
    <w:rsid w:val="005939E4"/>
    <w:rsid w:val="00593A2D"/>
    <w:rsid w:val="00593AA3"/>
    <w:rsid w:val="00593B1E"/>
    <w:rsid w:val="00593B78"/>
    <w:rsid w:val="00593C30"/>
    <w:rsid w:val="00593D04"/>
    <w:rsid w:val="00593DBA"/>
    <w:rsid w:val="00593E29"/>
    <w:rsid w:val="00593E9F"/>
    <w:rsid w:val="00593EA6"/>
    <w:rsid w:val="00593EB2"/>
    <w:rsid w:val="00593ECA"/>
    <w:rsid w:val="00593F4A"/>
    <w:rsid w:val="00593FC2"/>
    <w:rsid w:val="00593FF2"/>
    <w:rsid w:val="0059405E"/>
    <w:rsid w:val="00594117"/>
    <w:rsid w:val="00594188"/>
    <w:rsid w:val="0059419F"/>
    <w:rsid w:val="00594336"/>
    <w:rsid w:val="005943D6"/>
    <w:rsid w:val="005943DB"/>
    <w:rsid w:val="00594470"/>
    <w:rsid w:val="00594471"/>
    <w:rsid w:val="00594487"/>
    <w:rsid w:val="0059449F"/>
    <w:rsid w:val="005944CF"/>
    <w:rsid w:val="005944E7"/>
    <w:rsid w:val="0059459A"/>
    <w:rsid w:val="00594680"/>
    <w:rsid w:val="005946FD"/>
    <w:rsid w:val="00594732"/>
    <w:rsid w:val="005947D0"/>
    <w:rsid w:val="0059486B"/>
    <w:rsid w:val="005948E8"/>
    <w:rsid w:val="00594912"/>
    <w:rsid w:val="00594913"/>
    <w:rsid w:val="00594930"/>
    <w:rsid w:val="0059496B"/>
    <w:rsid w:val="00594995"/>
    <w:rsid w:val="0059499E"/>
    <w:rsid w:val="00594A2F"/>
    <w:rsid w:val="00594A33"/>
    <w:rsid w:val="00594A89"/>
    <w:rsid w:val="00594ACA"/>
    <w:rsid w:val="00594C20"/>
    <w:rsid w:val="00594C3A"/>
    <w:rsid w:val="00594C43"/>
    <w:rsid w:val="00594CD2"/>
    <w:rsid w:val="00594D6A"/>
    <w:rsid w:val="00594DB2"/>
    <w:rsid w:val="00594DC9"/>
    <w:rsid w:val="00594EAC"/>
    <w:rsid w:val="00594EB3"/>
    <w:rsid w:val="00594EC4"/>
    <w:rsid w:val="00594FE1"/>
    <w:rsid w:val="00595048"/>
    <w:rsid w:val="005950F1"/>
    <w:rsid w:val="00595101"/>
    <w:rsid w:val="00595168"/>
    <w:rsid w:val="005951A1"/>
    <w:rsid w:val="005952E1"/>
    <w:rsid w:val="0059538E"/>
    <w:rsid w:val="0059539D"/>
    <w:rsid w:val="005953A4"/>
    <w:rsid w:val="005953C8"/>
    <w:rsid w:val="005953F2"/>
    <w:rsid w:val="00595405"/>
    <w:rsid w:val="00595446"/>
    <w:rsid w:val="0059546F"/>
    <w:rsid w:val="00595478"/>
    <w:rsid w:val="0059547F"/>
    <w:rsid w:val="005954BD"/>
    <w:rsid w:val="00595597"/>
    <w:rsid w:val="0059568B"/>
    <w:rsid w:val="005956A6"/>
    <w:rsid w:val="0059579F"/>
    <w:rsid w:val="00595825"/>
    <w:rsid w:val="00595834"/>
    <w:rsid w:val="00595860"/>
    <w:rsid w:val="0059589C"/>
    <w:rsid w:val="005958F8"/>
    <w:rsid w:val="0059597A"/>
    <w:rsid w:val="00595997"/>
    <w:rsid w:val="005959A3"/>
    <w:rsid w:val="005959C9"/>
    <w:rsid w:val="005959FB"/>
    <w:rsid w:val="00595AAB"/>
    <w:rsid w:val="00595B7C"/>
    <w:rsid w:val="00595C49"/>
    <w:rsid w:val="00595CF9"/>
    <w:rsid w:val="00595D9E"/>
    <w:rsid w:val="00595DD3"/>
    <w:rsid w:val="00595DF4"/>
    <w:rsid w:val="00595EBB"/>
    <w:rsid w:val="00595EC7"/>
    <w:rsid w:val="00595ED6"/>
    <w:rsid w:val="00596026"/>
    <w:rsid w:val="00596038"/>
    <w:rsid w:val="005960A5"/>
    <w:rsid w:val="0059611D"/>
    <w:rsid w:val="005961B6"/>
    <w:rsid w:val="00596230"/>
    <w:rsid w:val="00596239"/>
    <w:rsid w:val="0059626B"/>
    <w:rsid w:val="0059626F"/>
    <w:rsid w:val="0059627C"/>
    <w:rsid w:val="005962CF"/>
    <w:rsid w:val="00596314"/>
    <w:rsid w:val="0059634B"/>
    <w:rsid w:val="00596360"/>
    <w:rsid w:val="00596371"/>
    <w:rsid w:val="00596408"/>
    <w:rsid w:val="0059646C"/>
    <w:rsid w:val="005964C3"/>
    <w:rsid w:val="00596506"/>
    <w:rsid w:val="00596509"/>
    <w:rsid w:val="00596538"/>
    <w:rsid w:val="00596544"/>
    <w:rsid w:val="00596623"/>
    <w:rsid w:val="00596627"/>
    <w:rsid w:val="00596656"/>
    <w:rsid w:val="0059668E"/>
    <w:rsid w:val="00596696"/>
    <w:rsid w:val="0059671C"/>
    <w:rsid w:val="00596731"/>
    <w:rsid w:val="00596749"/>
    <w:rsid w:val="00596754"/>
    <w:rsid w:val="00596797"/>
    <w:rsid w:val="00596836"/>
    <w:rsid w:val="00596850"/>
    <w:rsid w:val="0059688A"/>
    <w:rsid w:val="005968AE"/>
    <w:rsid w:val="00596925"/>
    <w:rsid w:val="00596952"/>
    <w:rsid w:val="005969E6"/>
    <w:rsid w:val="00596A32"/>
    <w:rsid w:val="00596A61"/>
    <w:rsid w:val="00596A95"/>
    <w:rsid w:val="00596B22"/>
    <w:rsid w:val="00596B36"/>
    <w:rsid w:val="00596B61"/>
    <w:rsid w:val="00596BA3"/>
    <w:rsid w:val="00596BBE"/>
    <w:rsid w:val="00596BBF"/>
    <w:rsid w:val="00596BCC"/>
    <w:rsid w:val="00596C62"/>
    <w:rsid w:val="00596C6C"/>
    <w:rsid w:val="00596DEA"/>
    <w:rsid w:val="00596E51"/>
    <w:rsid w:val="00596E7C"/>
    <w:rsid w:val="00596EFA"/>
    <w:rsid w:val="00596F6B"/>
    <w:rsid w:val="00596F98"/>
    <w:rsid w:val="00596FAB"/>
    <w:rsid w:val="00596FEB"/>
    <w:rsid w:val="00597005"/>
    <w:rsid w:val="0059700A"/>
    <w:rsid w:val="00597097"/>
    <w:rsid w:val="0059709A"/>
    <w:rsid w:val="0059714B"/>
    <w:rsid w:val="005971C7"/>
    <w:rsid w:val="00597204"/>
    <w:rsid w:val="00597217"/>
    <w:rsid w:val="00597234"/>
    <w:rsid w:val="005973E3"/>
    <w:rsid w:val="0059740D"/>
    <w:rsid w:val="00597431"/>
    <w:rsid w:val="0059748E"/>
    <w:rsid w:val="0059749D"/>
    <w:rsid w:val="005974B8"/>
    <w:rsid w:val="005974D2"/>
    <w:rsid w:val="005974E7"/>
    <w:rsid w:val="00597511"/>
    <w:rsid w:val="00597555"/>
    <w:rsid w:val="00597630"/>
    <w:rsid w:val="0059764C"/>
    <w:rsid w:val="005976BC"/>
    <w:rsid w:val="00597703"/>
    <w:rsid w:val="00597717"/>
    <w:rsid w:val="00597748"/>
    <w:rsid w:val="00597778"/>
    <w:rsid w:val="00597856"/>
    <w:rsid w:val="005978DC"/>
    <w:rsid w:val="00597900"/>
    <w:rsid w:val="0059790E"/>
    <w:rsid w:val="0059791B"/>
    <w:rsid w:val="005979E8"/>
    <w:rsid w:val="00597A36"/>
    <w:rsid w:val="00597B17"/>
    <w:rsid w:val="00597B1E"/>
    <w:rsid w:val="00597B32"/>
    <w:rsid w:val="00597C8F"/>
    <w:rsid w:val="00597CEA"/>
    <w:rsid w:val="00597D6D"/>
    <w:rsid w:val="00597E36"/>
    <w:rsid w:val="00597EA3"/>
    <w:rsid w:val="00597FB2"/>
    <w:rsid w:val="00597FB4"/>
    <w:rsid w:val="00597FDE"/>
    <w:rsid w:val="005A007F"/>
    <w:rsid w:val="005A009C"/>
    <w:rsid w:val="005A009D"/>
    <w:rsid w:val="005A00F1"/>
    <w:rsid w:val="005A0124"/>
    <w:rsid w:val="005A0176"/>
    <w:rsid w:val="005A01F6"/>
    <w:rsid w:val="005A02B0"/>
    <w:rsid w:val="005A02B4"/>
    <w:rsid w:val="005A02BA"/>
    <w:rsid w:val="005A0344"/>
    <w:rsid w:val="005A0348"/>
    <w:rsid w:val="005A037F"/>
    <w:rsid w:val="005A03D4"/>
    <w:rsid w:val="005A0564"/>
    <w:rsid w:val="005A05B3"/>
    <w:rsid w:val="005A060A"/>
    <w:rsid w:val="005A067F"/>
    <w:rsid w:val="005A068A"/>
    <w:rsid w:val="005A0728"/>
    <w:rsid w:val="005A07A5"/>
    <w:rsid w:val="005A0822"/>
    <w:rsid w:val="005A0890"/>
    <w:rsid w:val="005A0891"/>
    <w:rsid w:val="005A0982"/>
    <w:rsid w:val="005A098C"/>
    <w:rsid w:val="005A09A1"/>
    <w:rsid w:val="005A0B16"/>
    <w:rsid w:val="005A0B22"/>
    <w:rsid w:val="005A0B30"/>
    <w:rsid w:val="005A0B5A"/>
    <w:rsid w:val="005A0B90"/>
    <w:rsid w:val="005A0BAE"/>
    <w:rsid w:val="005A0C1B"/>
    <w:rsid w:val="005A0D32"/>
    <w:rsid w:val="005A0DA5"/>
    <w:rsid w:val="005A0DE0"/>
    <w:rsid w:val="005A0E49"/>
    <w:rsid w:val="005A0E9F"/>
    <w:rsid w:val="005A103B"/>
    <w:rsid w:val="005A10AC"/>
    <w:rsid w:val="005A1118"/>
    <w:rsid w:val="005A113D"/>
    <w:rsid w:val="005A1161"/>
    <w:rsid w:val="005A11AD"/>
    <w:rsid w:val="005A11B3"/>
    <w:rsid w:val="005A1228"/>
    <w:rsid w:val="005A125A"/>
    <w:rsid w:val="005A1346"/>
    <w:rsid w:val="005A135B"/>
    <w:rsid w:val="005A1389"/>
    <w:rsid w:val="005A139D"/>
    <w:rsid w:val="005A13B3"/>
    <w:rsid w:val="005A1436"/>
    <w:rsid w:val="005A1443"/>
    <w:rsid w:val="005A145A"/>
    <w:rsid w:val="005A148D"/>
    <w:rsid w:val="005A1562"/>
    <w:rsid w:val="005A15CA"/>
    <w:rsid w:val="005A1603"/>
    <w:rsid w:val="005A161F"/>
    <w:rsid w:val="005A1648"/>
    <w:rsid w:val="005A170A"/>
    <w:rsid w:val="005A1729"/>
    <w:rsid w:val="005A1750"/>
    <w:rsid w:val="005A17CB"/>
    <w:rsid w:val="005A17D9"/>
    <w:rsid w:val="005A17DF"/>
    <w:rsid w:val="005A180C"/>
    <w:rsid w:val="005A1829"/>
    <w:rsid w:val="005A18F7"/>
    <w:rsid w:val="005A194A"/>
    <w:rsid w:val="005A196A"/>
    <w:rsid w:val="005A19B8"/>
    <w:rsid w:val="005A1A04"/>
    <w:rsid w:val="005A1AA5"/>
    <w:rsid w:val="005A1B05"/>
    <w:rsid w:val="005A1C68"/>
    <w:rsid w:val="005A1D0C"/>
    <w:rsid w:val="005A1D7C"/>
    <w:rsid w:val="005A1DA9"/>
    <w:rsid w:val="005A1DAE"/>
    <w:rsid w:val="005A1E19"/>
    <w:rsid w:val="005A1E2D"/>
    <w:rsid w:val="005A1E3E"/>
    <w:rsid w:val="005A1EAB"/>
    <w:rsid w:val="005A1F6E"/>
    <w:rsid w:val="005A1F99"/>
    <w:rsid w:val="005A1FEB"/>
    <w:rsid w:val="005A2055"/>
    <w:rsid w:val="005A20F9"/>
    <w:rsid w:val="005A212F"/>
    <w:rsid w:val="005A21D6"/>
    <w:rsid w:val="005A2205"/>
    <w:rsid w:val="005A2226"/>
    <w:rsid w:val="005A2273"/>
    <w:rsid w:val="005A23D9"/>
    <w:rsid w:val="005A24D4"/>
    <w:rsid w:val="005A24D5"/>
    <w:rsid w:val="005A24FC"/>
    <w:rsid w:val="005A2599"/>
    <w:rsid w:val="005A2667"/>
    <w:rsid w:val="005A2673"/>
    <w:rsid w:val="005A26AB"/>
    <w:rsid w:val="005A26B3"/>
    <w:rsid w:val="005A26EE"/>
    <w:rsid w:val="005A272E"/>
    <w:rsid w:val="005A2834"/>
    <w:rsid w:val="005A2891"/>
    <w:rsid w:val="005A289C"/>
    <w:rsid w:val="005A29FD"/>
    <w:rsid w:val="005A2A78"/>
    <w:rsid w:val="005A2AA8"/>
    <w:rsid w:val="005A2AB9"/>
    <w:rsid w:val="005A2BE1"/>
    <w:rsid w:val="005A2BEA"/>
    <w:rsid w:val="005A2BEE"/>
    <w:rsid w:val="005A2C45"/>
    <w:rsid w:val="005A2C5E"/>
    <w:rsid w:val="005A2CEF"/>
    <w:rsid w:val="005A2D4B"/>
    <w:rsid w:val="005A2DD3"/>
    <w:rsid w:val="005A2DF5"/>
    <w:rsid w:val="005A2E03"/>
    <w:rsid w:val="005A2E8E"/>
    <w:rsid w:val="005A2EE9"/>
    <w:rsid w:val="005A2F09"/>
    <w:rsid w:val="005A2F8E"/>
    <w:rsid w:val="005A2FE7"/>
    <w:rsid w:val="005A2FED"/>
    <w:rsid w:val="005A307E"/>
    <w:rsid w:val="005A3099"/>
    <w:rsid w:val="005A3118"/>
    <w:rsid w:val="005A3199"/>
    <w:rsid w:val="005A31A3"/>
    <w:rsid w:val="005A31C0"/>
    <w:rsid w:val="005A31C7"/>
    <w:rsid w:val="005A3241"/>
    <w:rsid w:val="005A324C"/>
    <w:rsid w:val="005A32A0"/>
    <w:rsid w:val="005A332A"/>
    <w:rsid w:val="005A33A1"/>
    <w:rsid w:val="005A33BB"/>
    <w:rsid w:val="005A33EB"/>
    <w:rsid w:val="005A3424"/>
    <w:rsid w:val="005A346F"/>
    <w:rsid w:val="005A3473"/>
    <w:rsid w:val="005A34A4"/>
    <w:rsid w:val="005A34B4"/>
    <w:rsid w:val="005A34BA"/>
    <w:rsid w:val="005A34C5"/>
    <w:rsid w:val="005A3554"/>
    <w:rsid w:val="005A35C7"/>
    <w:rsid w:val="005A36BB"/>
    <w:rsid w:val="005A37F9"/>
    <w:rsid w:val="005A37FE"/>
    <w:rsid w:val="005A381B"/>
    <w:rsid w:val="005A381F"/>
    <w:rsid w:val="005A3823"/>
    <w:rsid w:val="005A3847"/>
    <w:rsid w:val="005A39CD"/>
    <w:rsid w:val="005A39FE"/>
    <w:rsid w:val="005A3A04"/>
    <w:rsid w:val="005A3A14"/>
    <w:rsid w:val="005A3A67"/>
    <w:rsid w:val="005A3AC9"/>
    <w:rsid w:val="005A3AD8"/>
    <w:rsid w:val="005A3ADC"/>
    <w:rsid w:val="005A3B84"/>
    <w:rsid w:val="005A3BC7"/>
    <w:rsid w:val="005A3C97"/>
    <w:rsid w:val="005A3D3A"/>
    <w:rsid w:val="005A3DDC"/>
    <w:rsid w:val="005A3F55"/>
    <w:rsid w:val="005A40BA"/>
    <w:rsid w:val="005A419E"/>
    <w:rsid w:val="005A4232"/>
    <w:rsid w:val="005A425C"/>
    <w:rsid w:val="005A42EB"/>
    <w:rsid w:val="005A4431"/>
    <w:rsid w:val="005A4481"/>
    <w:rsid w:val="005A44F2"/>
    <w:rsid w:val="005A44FE"/>
    <w:rsid w:val="005A450C"/>
    <w:rsid w:val="005A4512"/>
    <w:rsid w:val="005A4611"/>
    <w:rsid w:val="005A4633"/>
    <w:rsid w:val="005A4664"/>
    <w:rsid w:val="005A466F"/>
    <w:rsid w:val="005A46F5"/>
    <w:rsid w:val="005A46FE"/>
    <w:rsid w:val="005A4708"/>
    <w:rsid w:val="005A4743"/>
    <w:rsid w:val="005A4815"/>
    <w:rsid w:val="005A4832"/>
    <w:rsid w:val="005A48DE"/>
    <w:rsid w:val="005A4918"/>
    <w:rsid w:val="005A4A09"/>
    <w:rsid w:val="005A4A3F"/>
    <w:rsid w:val="005A4A57"/>
    <w:rsid w:val="005A4ABF"/>
    <w:rsid w:val="005A4AD1"/>
    <w:rsid w:val="005A4AD8"/>
    <w:rsid w:val="005A4BC0"/>
    <w:rsid w:val="005A4BCE"/>
    <w:rsid w:val="005A4BDD"/>
    <w:rsid w:val="005A4C08"/>
    <w:rsid w:val="005A4CA6"/>
    <w:rsid w:val="005A4CEB"/>
    <w:rsid w:val="005A4CFA"/>
    <w:rsid w:val="005A4D38"/>
    <w:rsid w:val="005A4D4C"/>
    <w:rsid w:val="005A4D86"/>
    <w:rsid w:val="005A4DF7"/>
    <w:rsid w:val="005A4E20"/>
    <w:rsid w:val="005A4E6A"/>
    <w:rsid w:val="005A4F11"/>
    <w:rsid w:val="005A4F90"/>
    <w:rsid w:val="005A4FD2"/>
    <w:rsid w:val="005A5020"/>
    <w:rsid w:val="005A509B"/>
    <w:rsid w:val="005A50AB"/>
    <w:rsid w:val="005A50D5"/>
    <w:rsid w:val="005A5104"/>
    <w:rsid w:val="005A510E"/>
    <w:rsid w:val="005A516D"/>
    <w:rsid w:val="005A51D0"/>
    <w:rsid w:val="005A5215"/>
    <w:rsid w:val="005A5272"/>
    <w:rsid w:val="005A529A"/>
    <w:rsid w:val="005A52FF"/>
    <w:rsid w:val="005A531C"/>
    <w:rsid w:val="005A531E"/>
    <w:rsid w:val="005A53CA"/>
    <w:rsid w:val="005A5457"/>
    <w:rsid w:val="005A547C"/>
    <w:rsid w:val="005A54AC"/>
    <w:rsid w:val="005A54C2"/>
    <w:rsid w:val="005A55AE"/>
    <w:rsid w:val="005A55AF"/>
    <w:rsid w:val="005A55BC"/>
    <w:rsid w:val="005A55DC"/>
    <w:rsid w:val="005A5620"/>
    <w:rsid w:val="005A56EC"/>
    <w:rsid w:val="005A572B"/>
    <w:rsid w:val="005A577F"/>
    <w:rsid w:val="005A57B4"/>
    <w:rsid w:val="005A57F2"/>
    <w:rsid w:val="005A5862"/>
    <w:rsid w:val="005A5866"/>
    <w:rsid w:val="005A5932"/>
    <w:rsid w:val="005A5994"/>
    <w:rsid w:val="005A59A0"/>
    <w:rsid w:val="005A59B2"/>
    <w:rsid w:val="005A5A76"/>
    <w:rsid w:val="005A5AFA"/>
    <w:rsid w:val="005A5BCC"/>
    <w:rsid w:val="005A5C54"/>
    <w:rsid w:val="005A5C7C"/>
    <w:rsid w:val="005A5CA4"/>
    <w:rsid w:val="005A5D02"/>
    <w:rsid w:val="005A5D70"/>
    <w:rsid w:val="005A5D8E"/>
    <w:rsid w:val="005A5DB1"/>
    <w:rsid w:val="005A5DEE"/>
    <w:rsid w:val="005A5DF8"/>
    <w:rsid w:val="005A5E52"/>
    <w:rsid w:val="005A5E70"/>
    <w:rsid w:val="005A5F5A"/>
    <w:rsid w:val="005A6039"/>
    <w:rsid w:val="005A606C"/>
    <w:rsid w:val="005A60D5"/>
    <w:rsid w:val="005A6169"/>
    <w:rsid w:val="005A6221"/>
    <w:rsid w:val="005A62A1"/>
    <w:rsid w:val="005A631B"/>
    <w:rsid w:val="005A6374"/>
    <w:rsid w:val="005A6402"/>
    <w:rsid w:val="005A6439"/>
    <w:rsid w:val="005A64C2"/>
    <w:rsid w:val="005A64F0"/>
    <w:rsid w:val="005A654E"/>
    <w:rsid w:val="005A65C2"/>
    <w:rsid w:val="005A65CC"/>
    <w:rsid w:val="005A6695"/>
    <w:rsid w:val="005A66C0"/>
    <w:rsid w:val="005A66D5"/>
    <w:rsid w:val="005A6720"/>
    <w:rsid w:val="005A674F"/>
    <w:rsid w:val="005A6766"/>
    <w:rsid w:val="005A676D"/>
    <w:rsid w:val="005A67B2"/>
    <w:rsid w:val="005A6868"/>
    <w:rsid w:val="005A688E"/>
    <w:rsid w:val="005A6894"/>
    <w:rsid w:val="005A68E4"/>
    <w:rsid w:val="005A6989"/>
    <w:rsid w:val="005A698A"/>
    <w:rsid w:val="005A69C6"/>
    <w:rsid w:val="005A6A4D"/>
    <w:rsid w:val="005A6AAC"/>
    <w:rsid w:val="005A6AC5"/>
    <w:rsid w:val="005A6B26"/>
    <w:rsid w:val="005A6B7A"/>
    <w:rsid w:val="005A6BAE"/>
    <w:rsid w:val="005A6D23"/>
    <w:rsid w:val="005A6D8B"/>
    <w:rsid w:val="005A6EEA"/>
    <w:rsid w:val="005A6F7B"/>
    <w:rsid w:val="005A6FAD"/>
    <w:rsid w:val="005A7011"/>
    <w:rsid w:val="005A7025"/>
    <w:rsid w:val="005A7053"/>
    <w:rsid w:val="005A70C1"/>
    <w:rsid w:val="005A70D4"/>
    <w:rsid w:val="005A7104"/>
    <w:rsid w:val="005A710F"/>
    <w:rsid w:val="005A71F0"/>
    <w:rsid w:val="005A7216"/>
    <w:rsid w:val="005A7227"/>
    <w:rsid w:val="005A729B"/>
    <w:rsid w:val="005A7313"/>
    <w:rsid w:val="005A7317"/>
    <w:rsid w:val="005A7333"/>
    <w:rsid w:val="005A7355"/>
    <w:rsid w:val="005A742D"/>
    <w:rsid w:val="005A746B"/>
    <w:rsid w:val="005A7478"/>
    <w:rsid w:val="005A751A"/>
    <w:rsid w:val="005A7587"/>
    <w:rsid w:val="005A75C6"/>
    <w:rsid w:val="005A7637"/>
    <w:rsid w:val="005A768A"/>
    <w:rsid w:val="005A76FD"/>
    <w:rsid w:val="005A77E8"/>
    <w:rsid w:val="005A78BF"/>
    <w:rsid w:val="005A78D4"/>
    <w:rsid w:val="005A7929"/>
    <w:rsid w:val="005A7980"/>
    <w:rsid w:val="005A7A21"/>
    <w:rsid w:val="005A7A4C"/>
    <w:rsid w:val="005A7A52"/>
    <w:rsid w:val="005A7AA5"/>
    <w:rsid w:val="005A7B07"/>
    <w:rsid w:val="005A7B0E"/>
    <w:rsid w:val="005A7B4C"/>
    <w:rsid w:val="005A7BFF"/>
    <w:rsid w:val="005A7D7A"/>
    <w:rsid w:val="005A7DEE"/>
    <w:rsid w:val="005A7F16"/>
    <w:rsid w:val="005A7F1C"/>
    <w:rsid w:val="005A7F2F"/>
    <w:rsid w:val="005A7FE5"/>
    <w:rsid w:val="005B0065"/>
    <w:rsid w:val="005B0070"/>
    <w:rsid w:val="005B00FB"/>
    <w:rsid w:val="005B015B"/>
    <w:rsid w:val="005B0393"/>
    <w:rsid w:val="005B042B"/>
    <w:rsid w:val="005B050E"/>
    <w:rsid w:val="005B0580"/>
    <w:rsid w:val="005B05B5"/>
    <w:rsid w:val="005B05C9"/>
    <w:rsid w:val="005B0631"/>
    <w:rsid w:val="005B068A"/>
    <w:rsid w:val="005B06D5"/>
    <w:rsid w:val="005B0718"/>
    <w:rsid w:val="005B07E9"/>
    <w:rsid w:val="005B0874"/>
    <w:rsid w:val="005B0899"/>
    <w:rsid w:val="005B09A8"/>
    <w:rsid w:val="005B09BB"/>
    <w:rsid w:val="005B0B1C"/>
    <w:rsid w:val="005B0B2C"/>
    <w:rsid w:val="005B0B57"/>
    <w:rsid w:val="005B0B67"/>
    <w:rsid w:val="005B0C39"/>
    <w:rsid w:val="005B0C3E"/>
    <w:rsid w:val="005B0C49"/>
    <w:rsid w:val="005B0C61"/>
    <w:rsid w:val="005B0C69"/>
    <w:rsid w:val="005B0C8E"/>
    <w:rsid w:val="005B0CA0"/>
    <w:rsid w:val="005B0D1E"/>
    <w:rsid w:val="005B0D2D"/>
    <w:rsid w:val="005B0DF5"/>
    <w:rsid w:val="005B0E29"/>
    <w:rsid w:val="005B0E69"/>
    <w:rsid w:val="005B0EB9"/>
    <w:rsid w:val="005B0EF7"/>
    <w:rsid w:val="005B0F7B"/>
    <w:rsid w:val="005B0F82"/>
    <w:rsid w:val="005B0FFF"/>
    <w:rsid w:val="005B10C4"/>
    <w:rsid w:val="005B115B"/>
    <w:rsid w:val="005B1206"/>
    <w:rsid w:val="005B1253"/>
    <w:rsid w:val="005B129B"/>
    <w:rsid w:val="005B1349"/>
    <w:rsid w:val="005B1381"/>
    <w:rsid w:val="005B138F"/>
    <w:rsid w:val="005B13FE"/>
    <w:rsid w:val="005B144A"/>
    <w:rsid w:val="005B1486"/>
    <w:rsid w:val="005B152F"/>
    <w:rsid w:val="005B1533"/>
    <w:rsid w:val="005B15C4"/>
    <w:rsid w:val="005B15FC"/>
    <w:rsid w:val="005B1644"/>
    <w:rsid w:val="005B1740"/>
    <w:rsid w:val="005B17D1"/>
    <w:rsid w:val="005B17FF"/>
    <w:rsid w:val="005B1822"/>
    <w:rsid w:val="005B1939"/>
    <w:rsid w:val="005B1948"/>
    <w:rsid w:val="005B1972"/>
    <w:rsid w:val="005B19DB"/>
    <w:rsid w:val="005B19FD"/>
    <w:rsid w:val="005B1A08"/>
    <w:rsid w:val="005B1A60"/>
    <w:rsid w:val="005B1AE2"/>
    <w:rsid w:val="005B1AF3"/>
    <w:rsid w:val="005B1B03"/>
    <w:rsid w:val="005B1B05"/>
    <w:rsid w:val="005B1B11"/>
    <w:rsid w:val="005B1B3B"/>
    <w:rsid w:val="005B1C96"/>
    <w:rsid w:val="005B1CD3"/>
    <w:rsid w:val="005B1D47"/>
    <w:rsid w:val="005B1D66"/>
    <w:rsid w:val="005B1E2F"/>
    <w:rsid w:val="005B1E32"/>
    <w:rsid w:val="005B1E36"/>
    <w:rsid w:val="005B1E54"/>
    <w:rsid w:val="005B1E6C"/>
    <w:rsid w:val="005B1EAC"/>
    <w:rsid w:val="005B1ECD"/>
    <w:rsid w:val="005B1EEF"/>
    <w:rsid w:val="005B1F2C"/>
    <w:rsid w:val="005B201F"/>
    <w:rsid w:val="005B2021"/>
    <w:rsid w:val="005B2032"/>
    <w:rsid w:val="005B204A"/>
    <w:rsid w:val="005B2055"/>
    <w:rsid w:val="005B2070"/>
    <w:rsid w:val="005B20B2"/>
    <w:rsid w:val="005B21A8"/>
    <w:rsid w:val="005B224B"/>
    <w:rsid w:val="005B22AE"/>
    <w:rsid w:val="005B2337"/>
    <w:rsid w:val="005B2360"/>
    <w:rsid w:val="005B23D3"/>
    <w:rsid w:val="005B23EE"/>
    <w:rsid w:val="005B243F"/>
    <w:rsid w:val="005B2469"/>
    <w:rsid w:val="005B24D3"/>
    <w:rsid w:val="005B24DD"/>
    <w:rsid w:val="005B257C"/>
    <w:rsid w:val="005B25D8"/>
    <w:rsid w:val="005B2715"/>
    <w:rsid w:val="005B27BD"/>
    <w:rsid w:val="005B27CB"/>
    <w:rsid w:val="005B2862"/>
    <w:rsid w:val="005B2881"/>
    <w:rsid w:val="005B2961"/>
    <w:rsid w:val="005B29BE"/>
    <w:rsid w:val="005B2A62"/>
    <w:rsid w:val="005B2A94"/>
    <w:rsid w:val="005B2B09"/>
    <w:rsid w:val="005B2B35"/>
    <w:rsid w:val="005B2CDA"/>
    <w:rsid w:val="005B2D05"/>
    <w:rsid w:val="005B2D18"/>
    <w:rsid w:val="005B2D4C"/>
    <w:rsid w:val="005B2D9C"/>
    <w:rsid w:val="005B2E1B"/>
    <w:rsid w:val="005B2E6C"/>
    <w:rsid w:val="005B300B"/>
    <w:rsid w:val="005B3029"/>
    <w:rsid w:val="005B30FF"/>
    <w:rsid w:val="005B31EA"/>
    <w:rsid w:val="005B3258"/>
    <w:rsid w:val="005B32DA"/>
    <w:rsid w:val="005B3302"/>
    <w:rsid w:val="005B330A"/>
    <w:rsid w:val="005B3390"/>
    <w:rsid w:val="005B33D2"/>
    <w:rsid w:val="005B33E4"/>
    <w:rsid w:val="005B3488"/>
    <w:rsid w:val="005B34A7"/>
    <w:rsid w:val="005B350A"/>
    <w:rsid w:val="005B3517"/>
    <w:rsid w:val="005B35F0"/>
    <w:rsid w:val="005B365E"/>
    <w:rsid w:val="005B3685"/>
    <w:rsid w:val="005B370A"/>
    <w:rsid w:val="005B383C"/>
    <w:rsid w:val="005B3866"/>
    <w:rsid w:val="005B3897"/>
    <w:rsid w:val="005B38A7"/>
    <w:rsid w:val="005B38B0"/>
    <w:rsid w:val="005B393E"/>
    <w:rsid w:val="005B3976"/>
    <w:rsid w:val="005B39D0"/>
    <w:rsid w:val="005B39E4"/>
    <w:rsid w:val="005B3A09"/>
    <w:rsid w:val="005B3A76"/>
    <w:rsid w:val="005B3B4F"/>
    <w:rsid w:val="005B3B50"/>
    <w:rsid w:val="005B3BC6"/>
    <w:rsid w:val="005B3BCB"/>
    <w:rsid w:val="005B3C07"/>
    <w:rsid w:val="005B3D3A"/>
    <w:rsid w:val="005B3D77"/>
    <w:rsid w:val="005B3DA8"/>
    <w:rsid w:val="005B3DB5"/>
    <w:rsid w:val="005B3DE6"/>
    <w:rsid w:val="005B3E5A"/>
    <w:rsid w:val="005B3EB4"/>
    <w:rsid w:val="005B3EC7"/>
    <w:rsid w:val="005B3F12"/>
    <w:rsid w:val="005B3F8F"/>
    <w:rsid w:val="005B3F9A"/>
    <w:rsid w:val="005B3FC4"/>
    <w:rsid w:val="005B4010"/>
    <w:rsid w:val="005B404F"/>
    <w:rsid w:val="005B40A5"/>
    <w:rsid w:val="005B40AA"/>
    <w:rsid w:val="005B40FA"/>
    <w:rsid w:val="005B41FF"/>
    <w:rsid w:val="005B429C"/>
    <w:rsid w:val="005B431F"/>
    <w:rsid w:val="005B443D"/>
    <w:rsid w:val="005B44A0"/>
    <w:rsid w:val="005B44B5"/>
    <w:rsid w:val="005B44EF"/>
    <w:rsid w:val="005B4554"/>
    <w:rsid w:val="005B458D"/>
    <w:rsid w:val="005B45CC"/>
    <w:rsid w:val="005B460A"/>
    <w:rsid w:val="005B4650"/>
    <w:rsid w:val="005B476D"/>
    <w:rsid w:val="005B4771"/>
    <w:rsid w:val="005B478E"/>
    <w:rsid w:val="005B485B"/>
    <w:rsid w:val="005B4A2B"/>
    <w:rsid w:val="005B4A6E"/>
    <w:rsid w:val="005B4A93"/>
    <w:rsid w:val="005B4B8F"/>
    <w:rsid w:val="005B4D0D"/>
    <w:rsid w:val="005B4D19"/>
    <w:rsid w:val="005B4EE5"/>
    <w:rsid w:val="005B4F06"/>
    <w:rsid w:val="005B4F17"/>
    <w:rsid w:val="005B4F18"/>
    <w:rsid w:val="005B4FEA"/>
    <w:rsid w:val="005B5050"/>
    <w:rsid w:val="005B5089"/>
    <w:rsid w:val="005B50E9"/>
    <w:rsid w:val="005B51C4"/>
    <w:rsid w:val="005B5220"/>
    <w:rsid w:val="005B5238"/>
    <w:rsid w:val="005B5245"/>
    <w:rsid w:val="005B532E"/>
    <w:rsid w:val="005B536A"/>
    <w:rsid w:val="005B541C"/>
    <w:rsid w:val="005B5444"/>
    <w:rsid w:val="005B544E"/>
    <w:rsid w:val="005B551B"/>
    <w:rsid w:val="005B5524"/>
    <w:rsid w:val="005B5582"/>
    <w:rsid w:val="005B55E4"/>
    <w:rsid w:val="005B5666"/>
    <w:rsid w:val="005B571E"/>
    <w:rsid w:val="005B572E"/>
    <w:rsid w:val="005B575A"/>
    <w:rsid w:val="005B5765"/>
    <w:rsid w:val="005B5788"/>
    <w:rsid w:val="005B5852"/>
    <w:rsid w:val="005B5880"/>
    <w:rsid w:val="005B5897"/>
    <w:rsid w:val="005B58DB"/>
    <w:rsid w:val="005B5931"/>
    <w:rsid w:val="005B5947"/>
    <w:rsid w:val="005B59FF"/>
    <w:rsid w:val="005B5A5A"/>
    <w:rsid w:val="005B5A6B"/>
    <w:rsid w:val="005B5A9B"/>
    <w:rsid w:val="005B5AFB"/>
    <w:rsid w:val="005B5B08"/>
    <w:rsid w:val="005B5B74"/>
    <w:rsid w:val="005B5BCA"/>
    <w:rsid w:val="005B5C12"/>
    <w:rsid w:val="005B5CC6"/>
    <w:rsid w:val="005B5CF5"/>
    <w:rsid w:val="005B5D53"/>
    <w:rsid w:val="005B5D57"/>
    <w:rsid w:val="005B5D87"/>
    <w:rsid w:val="005B5DBF"/>
    <w:rsid w:val="005B5DD3"/>
    <w:rsid w:val="005B5DD6"/>
    <w:rsid w:val="005B5DF3"/>
    <w:rsid w:val="005B5E71"/>
    <w:rsid w:val="005B5E79"/>
    <w:rsid w:val="005B5E80"/>
    <w:rsid w:val="005B5E88"/>
    <w:rsid w:val="005B5E99"/>
    <w:rsid w:val="005B5F26"/>
    <w:rsid w:val="005B5F38"/>
    <w:rsid w:val="005B5F8A"/>
    <w:rsid w:val="005B5FB4"/>
    <w:rsid w:val="005B6018"/>
    <w:rsid w:val="005B602A"/>
    <w:rsid w:val="005B6097"/>
    <w:rsid w:val="005B609E"/>
    <w:rsid w:val="005B6113"/>
    <w:rsid w:val="005B6190"/>
    <w:rsid w:val="005B61D4"/>
    <w:rsid w:val="005B61EB"/>
    <w:rsid w:val="005B6240"/>
    <w:rsid w:val="005B62FF"/>
    <w:rsid w:val="005B6362"/>
    <w:rsid w:val="005B63A3"/>
    <w:rsid w:val="005B63B3"/>
    <w:rsid w:val="005B63C5"/>
    <w:rsid w:val="005B6445"/>
    <w:rsid w:val="005B64B8"/>
    <w:rsid w:val="005B64E5"/>
    <w:rsid w:val="005B6517"/>
    <w:rsid w:val="005B652E"/>
    <w:rsid w:val="005B65D1"/>
    <w:rsid w:val="005B6623"/>
    <w:rsid w:val="005B66F1"/>
    <w:rsid w:val="005B67A5"/>
    <w:rsid w:val="005B67AC"/>
    <w:rsid w:val="005B6960"/>
    <w:rsid w:val="005B6A93"/>
    <w:rsid w:val="005B6AB1"/>
    <w:rsid w:val="005B6ADB"/>
    <w:rsid w:val="005B6AED"/>
    <w:rsid w:val="005B6BB9"/>
    <w:rsid w:val="005B6CB1"/>
    <w:rsid w:val="005B6D02"/>
    <w:rsid w:val="005B6D07"/>
    <w:rsid w:val="005B6E0B"/>
    <w:rsid w:val="005B6E12"/>
    <w:rsid w:val="005B6E66"/>
    <w:rsid w:val="005B6E79"/>
    <w:rsid w:val="005B6E7D"/>
    <w:rsid w:val="005B6ECB"/>
    <w:rsid w:val="005B6ED5"/>
    <w:rsid w:val="005B6EFE"/>
    <w:rsid w:val="005B6F4D"/>
    <w:rsid w:val="005B6F9B"/>
    <w:rsid w:val="005B7065"/>
    <w:rsid w:val="005B7084"/>
    <w:rsid w:val="005B709D"/>
    <w:rsid w:val="005B7102"/>
    <w:rsid w:val="005B7121"/>
    <w:rsid w:val="005B7133"/>
    <w:rsid w:val="005B71BD"/>
    <w:rsid w:val="005B71C5"/>
    <w:rsid w:val="005B721F"/>
    <w:rsid w:val="005B730B"/>
    <w:rsid w:val="005B732C"/>
    <w:rsid w:val="005B733B"/>
    <w:rsid w:val="005B73B4"/>
    <w:rsid w:val="005B7415"/>
    <w:rsid w:val="005B741B"/>
    <w:rsid w:val="005B7425"/>
    <w:rsid w:val="005B742E"/>
    <w:rsid w:val="005B74D2"/>
    <w:rsid w:val="005B74DE"/>
    <w:rsid w:val="005B7518"/>
    <w:rsid w:val="005B7653"/>
    <w:rsid w:val="005B7742"/>
    <w:rsid w:val="005B776E"/>
    <w:rsid w:val="005B7779"/>
    <w:rsid w:val="005B7786"/>
    <w:rsid w:val="005B77FD"/>
    <w:rsid w:val="005B7827"/>
    <w:rsid w:val="005B787C"/>
    <w:rsid w:val="005B7880"/>
    <w:rsid w:val="005B78A3"/>
    <w:rsid w:val="005B792E"/>
    <w:rsid w:val="005B79DF"/>
    <w:rsid w:val="005B7A11"/>
    <w:rsid w:val="005B7A42"/>
    <w:rsid w:val="005B7A82"/>
    <w:rsid w:val="005B7AEF"/>
    <w:rsid w:val="005B7C2D"/>
    <w:rsid w:val="005B7C83"/>
    <w:rsid w:val="005B7E23"/>
    <w:rsid w:val="005B7F79"/>
    <w:rsid w:val="005B7F7F"/>
    <w:rsid w:val="005B7F93"/>
    <w:rsid w:val="005B7F99"/>
    <w:rsid w:val="005B7FE1"/>
    <w:rsid w:val="005C00AD"/>
    <w:rsid w:val="005C00B4"/>
    <w:rsid w:val="005C0180"/>
    <w:rsid w:val="005C01AC"/>
    <w:rsid w:val="005C01E9"/>
    <w:rsid w:val="005C026C"/>
    <w:rsid w:val="005C0343"/>
    <w:rsid w:val="005C0368"/>
    <w:rsid w:val="005C03E1"/>
    <w:rsid w:val="005C03FB"/>
    <w:rsid w:val="005C0484"/>
    <w:rsid w:val="005C048A"/>
    <w:rsid w:val="005C04A5"/>
    <w:rsid w:val="005C06B6"/>
    <w:rsid w:val="005C06D5"/>
    <w:rsid w:val="005C06EE"/>
    <w:rsid w:val="005C0700"/>
    <w:rsid w:val="005C072D"/>
    <w:rsid w:val="005C0766"/>
    <w:rsid w:val="005C07DC"/>
    <w:rsid w:val="005C0811"/>
    <w:rsid w:val="005C0819"/>
    <w:rsid w:val="005C081F"/>
    <w:rsid w:val="005C08C5"/>
    <w:rsid w:val="005C0904"/>
    <w:rsid w:val="005C090A"/>
    <w:rsid w:val="005C095E"/>
    <w:rsid w:val="005C0A29"/>
    <w:rsid w:val="005C0A9F"/>
    <w:rsid w:val="005C0AAE"/>
    <w:rsid w:val="005C0AED"/>
    <w:rsid w:val="005C0AF3"/>
    <w:rsid w:val="005C0AFF"/>
    <w:rsid w:val="005C0B4E"/>
    <w:rsid w:val="005C0BD8"/>
    <w:rsid w:val="005C0C6D"/>
    <w:rsid w:val="005C0E35"/>
    <w:rsid w:val="005C0EB3"/>
    <w:rsid w:val="005C0ECF"/>
    <w:rsid w:val="005C0EF7"/>
    <w:rsid w:val="005C0F73"/>
    <w:rsid w:val="005C0FCC"/>
    <w:rsid w:val="005C10EA"/>
    <w:rsid w:val="005C111C"/>
    <w:rsid w:val="005C11E3"/>
    <w:rsid w:val="005C1281"/>
    <w:rsid w:val="005C13A3"/>
    <w:rsid w:val="005C145F"/>
    <w:rsid w:val="005C146B"/>
    <w:rsid w:val="005C14F2"/>
    <w:rsid w:val="005C1522"/>
    <w:rsid w:val="005C1576"/>
    <w:rsid w:val="005C16E1"/>
    <w:rsid w:val="005C1726"/>
    <w:rsid w:val="005C174A"/>
    <w:rsid w:val="005C1799"/>
    <w:rsid w:val="005C18AA"/>
    <w:rsid w:val="005C18CD"/>
    <w:rsid w:val="005C18F4"/>
    <w:rsid w:val="005C19E3"/>
    <w:rsid w:val="005C19F9"/>
    <w:rsid w:val="005C1A5F"/>
    <w:rsid w:val="005C1AFA"/>
    <w:rsid w:val="005C1AFB"/>
    <w:rsid w:val="005C1B3D"/>
    <w:rsid w:val="005C1B83"/>
    <w:rsid w:val="005C1B84"/>
    <w:rsid w:val="005C1B9E"/>
    <w:rsid w:val="005C1C2C"/>
    <w:rsid w:val="005C1C67"/>
    <w:rsid w:val="005C1D1A"/>
    <w:rsid w:val="005C1E02"/>
    <w:rsid w:val="005C1E8B"/>
    <w:rsid w:val="005C1F30"/>
    <w:rsid w:val="005C1F9D"/>
    <w:rsid w:val="005C1FF7"/>
    <w:rsid w:val="005C1FF8"/>
    <w:rsid w:val="005C1FFF"/>
    <w:rsid w:val="005C200C"/>
    <w:rsid w:val="005C2054"/>
    <w:rsid w:val="005C21C6"/>
    <w:rsid w:val="005C21F3"/>
    <w:rsid w:val="005C2238"/>
    <w:rsid w:val="005C227F"/>
    <w:rsid w:val="005C22D3"/>
    <w:rsid w:val="005C243B"/>
    <w:rsid w:val="005C249C"/>
    <w:rsid w:val="005C2605"/>
    <w:rsid w:val="005C2618"/>
    <w:rsid w:val="005C2650"/>
    <w:rsid w:val="005C267B"/>
    <w:rsid w:val="005C2682"/>
    <w:rsid w:val="005C26C9"/>
    <w:rsid w:val="005C2703"/>
    <w:rsid w:val="005C277C"/>
    <w:rsid w:val="005C27A3"/>
    <w:rsid w:val="005C2859"/>
    <w:rsid w:val="005C288C"/>
    <w:rsid w:val="005C2925"/>
    <w:rsid w:val="005C293B"/>
    <w:rsid w:val="005C2967"/>
    <w:rsid w:val="005C2991"/>
    <w:rsid w:val="005C2A0E"/>
    <w:rsid w:val="005C2BB7"/>
    <w:rsid w:val="005C2C10"/>
    <w:rsid w:val="005C2C53"/>
    <w:rsid w:val="005C2C7E"/>
    <w:rsid w:val="005C2C8A"/>
    <w:rsid w:val="005C2CBD"/>
    <w:rsid w:val="005C2CE8"/>
    <w:rsid w:val="005C2D36"/>
    <w:rsid w:val="005C2DBB"/>
    <w:rsid w:val="005C2E6D"/>
    <w:rsid w:val="005C2EBD"/>
    <w:rsid w:val="005C2EFD"/>
    <w:rsid w:val="005C2F20"/>
    <w:rsid w:val="005C2F52"/>
    <w:rsid w:val="005C2FA2"/>
    <w:rsid w:val="005C2FBC"/>
    <w:rsid w:val="005C3011"/>
    <w:rsid w:val="005C305C"/>
    <w:rsid w:val="005C30A4"/>
    <w:rsid w:val="005C3114"/>
    <w:rsid w:val="005C3120"/>
    <w:rsid w:val="005C31A1"/>
    <w:rsid w:val="005C3222"/>
    <w:rsid w:val="005C3245"/>
    <w:rsid w:val="005C32B6"/>
    <w:rsid w:val="005C33E4"/>
    <w:rsid w:val="005C3445"/>
    <w:rsid w:val="005C3491"/>
    <w:rsid w:val="005C34FA"/>
    <w:rsid w:val="005C359F"/>
    <w:rsid w:val="005C36AB"/>
    <w:rsid w:val="005C3704"/>
    <w:rsid w:val="005C375D"/>
    <w:rsid w:val="005C37A4"/>
    <w:rsid w:val="005C37E3"/>
    <w:rsid w:val="005C37E6"/>
    <w:rsid w:val="005C3858"/>
    <w:rsid w:val="005C3894"/>
    <w:rsid w:val="005C38C7"/>
    <w:rsid w:val="005C38EC"/>
    <w:rsid w:val="005C3984"/>
    <w:rsid w:val="005C3989"/>
    <w:rsid w:val="005C3A30"/>
    <w:rsid w:val="005C3B14"/>
    <w:rsid w:val="005C3B87"/>
    <w:rsid w:val="005C3B8B"/>
    <w:rsid w:val="005C3C48"/>
    <w:rsid w:val="005C3C5E"/>
    <w:rsid w:val="005C3C7D"/>
    <w:rsid w:val="005C3D96"/>
    <w:rsid w:val="005C3E0A"/>
    <w:rsid w:val="005C3E0C"/>
    <w:rsid w:val="005C3E64"/>
    <w:rsid w:val="005C3E8B"/>
    <w:rsid w:val="005C3E8E"/>
    <w:rsid w:val="005C3F1C"/>
    <w:rsid w:val="005C3F60"/>
    <w:rsid w:val="005C3FC2"/>
    <w:rsid w:val="005C3FD1"/>
    <w:rsid w:val="005C403F"/>
    <w:rsid w:val="005C408C"/>
    <w:rsid w:val="005C40C9"/>
    <w:rsid w:val="005C40E0"/>
    <w:rsid w:val="005C4164"/>
    <w:rsid w:val="005C419A"/>
    <w:rsid w:val="005C41CB"/>
    <w:rsid w:val="005C4252"/>
    <w:rsid w:val="005C42FA"/>
    <w:rsid w:val="005C44D0"/>
    <w:rsid w:val="005C4571"/>
    <w:rsid w:val="005C458A"/>
    <w:rsid w:val="005C45BA"/>
    <w:rsid w:val="005C4609"/>
    <w:rsid w:val="005C4699"/>
    <w:rsid w:val="005C4759"/>
    <w:rsid w:val="005C48A0"/>
    <w:rsid w:val="005C48AD"/>
    <w:rsid w:val="005C4911"/>
    <w:rsid w:val="005C4963"/>
    <w:rsid w:val="005C497C"/>
    <w:rsid w:val="005C49FA"/>
    <w:rsid w:val="005C4A5A"/>
    <w:rsid w:val="005C4A5C"/>
    <w:rsid w:val="005C4A8E"/>
    <w:rsid w:val="005C4AE0"/>
    <w:rsid w:val="005C4AEE"/>
    <w:rsid w:val="005C4C2F"/>
    <w:rsid w:val="005C4CC2"/>
    <w:rsid w:val="005C4CDE"/>
    <w:rsid w:val="005C4D5E"/>
    <w:rsid w:val="005C4D5F"/>
    <w:rsid w:val="005C4E52"/>
    <w:rsid w:val="005C4EA3"/>
    <w:rsid w:val="005C4F47"/>
    <w:rsid w:val="005C4FC9"/>
    <w:rsid w:val="005C4FD6"/>
    <w:rsid w:val="005C4FE1"/>
    <w:rsid w:val="005C4FFA"/>
    <w:rsid w:val="005C5032"/>
    <w:rsid w:val="005C506A"/>
    <w:rsid w:val="005C50C8"/>
    <w:rsid w:val="005C50EF"/>
    <w:rsid w:val="005C50FB"/>
    <w:rsid w:val="005C515E"/>
    <w:rsid w:val="005C51A0"/>
    <w:rsid w:val="005C51AF"/>
    <w:rsid w:val="005C51B7"/>
    <w:rsid w:val="005C51F5"/>
    <w:rsid w:val="005C5223"/>
    <w:rsid w:val="005C523C"/>
    <w:rsid w:val="005C5269"/>
    <w:rsid w:val="005C52B8"/>
    <w:rsid w:val="005C5314"/>
    <w:rsid w:val="005C5318"/>
    <w:rsid w:val="005C5336"/>
    <w:rsid w:val="005C53AB"/>
    <w:rsid w:val="005C53FC"/>
    <w:rsid w:val="005C5410"/>
    <w:rsid w:val="005C544C"/>
    <w:rsid w:val="005C5456"/>
    <w:rsid w:val="005C54B3"/>
    <w:rsid w:val="005C559E"/>
    <w:rsid w:val="005C55AF"/>
    <w:rsid w:val="005C5616"/>
    <w:rsid w:val="005C5640"/>
    <w:rsid w:val="005C5707"/>
    <w:rsid w:val="005C5746"/>
    <w:rsid w:val="005C57D2"/>
    <w:rsid w:val="005C5801"/>
    <w:rsid w:val="005C59F1"/>
    <w:rsid w:val="005C5A2D"/>
    <w:rsid w:val="005C5A4D"/>
    <w:rsid w:val="005C5A83"/>
    <w:rsid w:val="005C5AAE"/>
    <w:rsid w:val="005C5AAF"/>
    <w:rsid w:val="005C5B32"/>
    <w:rsid w:val="005C5B66"/>
    <w:rsid w:val="005C5B7C"/>
    <w:rsid w:val="005C5B8F"/>
    <w:rsid w:val="005C5BB8"/>
    <w:rsid w:val="005C5C39"/>
    <w:rsid w:val="005C5CCC"/>
    <w:rsid w:val="005C5D47"/>
    <w:rsid w:val="005C5D87"/>
    <w:rsid w:val="005C5DA2"/>
    <w:rsid w:val="005C5E1B"/>
    <w:rsid w:val="005C5F0D"/>
    <w:rsid w:val="005C5F46"/>
    <w:rsid w:val="005C5F5E"/>
    <w:rsid w:val="005C5F89"/>
    <w:rsid w:val="005C5FB3"/>
    <w:rsid w:val="005C625A"/>
    <w:rsid w:val="005C62CB"/>
    <w:rsid w:val="005C62D2"/>
    <w:rsid w:val="005C62FF"/>
    <w:rsid w:val="005C6317"/>
    <w:rsid w:val="005C63B8"/>
    <w:rsid w:val="005C63BA"/>
    <w:rsid w:val="005C63D0"/>
    <w:rsid w:val="005C6446"/>
    <w:rsid w:val="005C644E"/>
    <w:rsid w:val="005C64F2"/>
    <w:rsid w:val="005C65CA"/>
    <w:rsid w:val="005C6681"/>
    <w:rsid w:val="005C66A6"/>
    <w:rsid w:val="005C674C"/>
    <w:rsid w:val="005C677A"/>
    <w:rsid w:val="005C6821"/>
    <w:rsid w:val="005C684D"/>
    <w:rsid w:val="005C6906"/>
    <w:rsid w:val="005C6944"/>
    <w:rsid w:val="005C6949"/>
    <w:rsid w:val="005C6A0B"/>
    <w:rsid w:val="005C6A1C"/>
    <w:rsid w:val="005C6A2E"/>
    <w:rsid w:val="005C6A2F"/>
    <w:rsid w:val="005C6A5D"/>
    <w:rsid w:val="005C6A6B"/>
    <w:rsid w:val="005C6A79"/>
    <w:rsid w:val="005C6B13"/>
    <w:rsid w:val="005C6B71"/>
    <w:rsid w:val="005C6BA1"/>
    <w:rsid w:val="005C6BB4"/>
    <w:rsid w:val="005C6BD4"/>
    <w:rsid w:val="005C6BED"/>
    <w:rsid w:val="005C6BF8"/>
    <w:rsid w:val="005C6C64"/>
    <w:rsid w:val="005C6D62"/>
    <w:rsid w:val="005C6D6E"/>
    <w:rsid w:val="005C6D7E"/>
    <w:rsid w:val="005C6DBB"/>
    <w:rsid w:val="005C6E03"/>
    <w:rsid w:val="005C6E04"/>
    <w:rsid w:val="005C6E34"/>
    <w:rsid w:val="005C6EED"/>
    <w:rsid w:val="005C6F1F"/>
    <w:rsid w:val="005C6F32"/>
    <w:rsid w:val="005C6F78"/>
    <w:rsid w:val="005C71BE"/>
    <w:rsid w:val="005C71D5"/>
    <w:rsid w:val="005C7275"/>
    <w:rsid w:val="005C75AF"/>
    <w:rsid w:val="005C760F"/>
    <w:rsid w:val="005C7622"/>
    <w:rsid w:val="005C76CA"/>
    <w:rsid w:val="005C7777"/>
    <w:rsid w:val="005C7884"/>
    <w:rsid w:val="005C7944"/>
    <w:rsid w:val="005C7945"/>
    <w:rsid w:val="005C79BE"/>
    <w:rsid w:val="005C7A20"/>
    <w:rsid w:val="005C7A39"/>
    <w:rsid w:val="005C7A48"/>
    <w:rsid w:val="005C7A4E"/>
    <w:rsid w:val="005C7ACF"/>
    <w:rsid w:val="005C7ADC"/>
    <w:rsid w:val="005C7B5A"/>
    <w:rsid w:val="005C7B5C"/>
    <w:rsid w:val="005C7CB4"/>
    <w:rsid w:val="005C7CC0"/>
    <w:rsid w:val="005C7CCB"/>
    <w:rsid w:val="005C7D09"/>
    <w:rsid w:val="005C7D5E"/>
    <w:rsid w:val="005C7D60"/>
    <w:rsid w:val="005C7D61"/>
    <w:rsid w:val="005C7D9E"/>
    <w:rsid w:val="005C7E3A"/>
    <w:rsid w:val="005C7ECD"/>
    <w:rsid w:val="005C7F64"/>
    <w:rsid w:val="005D003B"/>
    <w:rsid w:val="005D0171"/>
    <w:rsid w:val="005D018E"/>
    <w:rsid w:val="005D01CD"/>
    <w:rsid w:val="005D024B"/>
    <w:rsid w:val="005D028E"/>
    <w:rsid w:val="005D0347"/>
    <w:rsid w:val="005D0378"/>
    <w:rsid w:val="005D03A2"/>
    <w:rsid w:val="005D03C4"/>
    <w:rsid w:val="005D040E"/>
    <w:rsid w:val="005D0428"/>
    <w:rsid w:val="005D04B4"/>
    <w:rsid w:val="005D056D"/>
    <w:rsid w:val="005D05C3"/>
    <w:rsid w:val="005D05FE"/>
    <w:rsid w:val="005D0652"/>
    <w:rsid w:val="005D068E"/>
    <w:rsid w:val="005D069B"/>
    <w:rsid w:val="005D0740"/>
    <w:rsid w:val="005D07E7"/>
    <w:rsid w:val="005D07E9"/>
    <w:rsid w:val="005D08F6"/>
    <w:rsid w:val="005D0946"/>
    <w:rsid w:val="005D094C"/>
    <w:rsid w:val="005D0956"/>
    <w:rsid w:val="005D097A"/>
    <w:rsid w:val="005D0997"/>
    <w:rsid w:val="005D09EC"/>
    <w:rsid w:val="005D0A33"/>
    <w:rsid w:val="005D0A6E"/>
    <w:rsid w:val="005D0A9C"/>
    <w:rsid w:val="005D0B04"/>
    <w:rsid w:val="005D0B10"/>
    <w:rsid w:val="005D0BBC"/>
    <w:rsid w:val="005D0BF5"/>
    <w:rsid w:val="005D0BFA"/>
    <w:rsid w:val="005D0C59"/>
    <w:rsid w:val="005D0CD6"/>
    <w:rsid w:val="005D0CDF"/>
    <w:rsid w:val="005D0D52"/>
    <w:rsid w:val="005D0D89"/>
    <w:rsid w:val="005D0E58"/>
    <w:rsid w:val="005D0E59"/>
    <w:rsid w:val="005D0E91"/>
    <w:rsid w:val="005D0F2E"/>
    <w:rsid w:val="005D0F6D"/>
    <w:rsid w:val="005D10BE"/>
    <w:rsid w:val="005D10EB"/>
    <w:rsid w:val="005D114C"/>
    <w:rsid w:val="005D1173"/>
    <w:rsid w:val="005D1181"/>
    <w:rsid w:val="005D11BA"/>
    <w:rsid w:val="005D11CE"/>
    <w:rsid w:val="005D11FD"/>
    <w:rsid w:val="005D125F"/>
    <w:rsid w:val="005D12BA"/>
    <w:rsid w:val="005D1372"/>
    <w:rsid w:val="005D13F7"/>
    <w:rsid w:val="005D1426"/>
    <w:rsid w:val="005D1433"/>
    <w:rsid w:val="005D14F5"/>
    <w:rsid w:val="005D1504"/>
    <w:rsid w:val="005D155D"/>
    <w:rsid w:val="005D1596"/>
    <w:rsid w:val="005D15B0"/>
    <w:rsid w:val="005D16AD"/>
    <w:rsid w:val="005D170F"/>
    <w:rsid w:val="005D17E6"/>
    <w:rsid w:val="005D1856"/>
    <w:rsid w:val="005D18A4"/>
    <w:rsid w:val="005D195D"/>
    <w:rsid w:val="005D1991"/>
    <w:rsid w:val="005D1A1C"/>
    <w:rsid w:val="005D1A3C"/>
    <w:rsid w:val="005D1A9D"/>
    <w:rsid w:val="005D1B07"/>
    <w:rsid w:val="005D1B39"/>
    <w:rsid w:val="005D1B62"/>
    <w:rsid w:val="005D1B97"/>
    <w:rsid w:val="005D1C40"/>
    <w:rsid w:val="005D1D94"/>
    <w:rsid w:val="005D1DD5"/>
    <w:rsid w:val="005D1E18"/>
    <w:rsid w:val="005D1E67"/>
    <w:rsid w:val="005D1ED7"/>
    <w:rsid w:val="005D1EFB"/>
    <w:rsid w:val="005D1F4A"/>
    <w:rsid w:val="005D2022"/>
    <w:rsid w:val="005D20AB"/>
    <w:rsid w:val="005D20D9"/>
    <w:rsid w:val="005D2156"/>
    <w:rsid w:val="005D21BA"/>
    <w:rsid w:val="005D2202"/>
    <w:rsid w:val="005D2205"/>
    <w:rsid w:val="005D220A"/>
    <w:rsid w:val="005D222F"/>
    <w:rsid w:val="005D2261"/>
    <w:rsid w:val="005D2274"/>
    <w:rsid w:val="005D2278"/>
    <w:rsid w:val="005D2312"/>
    <w:rsid w:val="005D2343"/>
    <w:rsid w:val="005D234E"/>
    <w:rsid w:val="005D236D"/>
    <w:rsid w:val="005D23F3"/>
    <w:rsid w:val="005D2408"/>
    <w:rsid w:val="005D246A"/>
    <w:rsid w:val="005D2577"/>
    <w:rsid w:val="005D26E8"/>
    <w:rsid w:val="005D2790"/>
    <w:rsid w:val="005D27B8"/>
    <w:rsid w:val="005D27D1"/>
    <w:rsid w:val="005D2845"/>
    <w:rsid w:val="005D284B"/>
    <w:rsid w:val="005D28FD"/>
    <w:rsid w:val="005D290C"/>
    <w:rsid w:val="005D29D1"/>
    <w:rsid w:val="005D29DB"/>
    <w:rsid w:val="005D2A65"/>
    <w:rsid w:val="005D2A73"/>
    <w:rsid w:val="005D2AAB"/>
    <w:rsid w:val="005D2ABB"/>
    <w:rsid w:val="005D2ABE"/>
    <w:rsid w:val="005D2AE4"/>
    <w:rsid w:val="005D2BB1"/>
    <w:rsid w:val="005D2BCA"/>
    <w:rsid w:val="005D2BD8"/>
    <w:rsid w:val="005D2C3E"/>
    <w:rsid w:val="005D2CC0"/>
    <w:rsid w:val="005D2CEE"/>
    <w:rsid w:val="005D2D4F"/>
    <w:rsid w:val="005D2D63"/>
    <w:rsid w:val="005D2D92"/>
    <w:rsid w:val="005D2DAB"/>
    <w:rsid w:val="005D2DDA"/>
    <w:rsid w:val="005D2DEF"/>
    <w:rsid w:val="005D2ED2"/>
    <w:rsid w:val="005D2F02"/>
    <w:rsid w:val="005D2F27"/>
    <w:rsid w:val="005D2F77"/>
    <w:rsid w:val="005D2F7C"/>
    <w:rsid w:val="005D2FAD"/>
    <w:rsid w:val="005D3014"/>
    <w:rsid w:val="005D3076"/>
    <w:rsid w:val="005D3078"/>
    <w:rsid w:val="005D30FF"/>
    <w:rsid w:val="005D311F"/>
    <w:rsid w:val="005D3188"/>
    <w:rsid w:val="005D3207"/>
    <w:rsid w:val="005D3226"/>
    <w:rsid w:val="005D32DF"/>
    <w:rsid w:val="005D345D"/>
    <w:rsid w:val="005D3492"/>
    <w:rsid w:val="005D34A6"/>
    <w:rsid w:val="005D35E7"/>
    <w:rsid w:val="005D3652"/>
    <w:rsid w:val="005D3723"/>
    <w:rsid w:val="005D3782"/>
    <w:rsid w:val="005D37AA"/>
    <w:rsid w:val="005D37DC"/>
    <w:rsid w:val="005D38B1"/>
    <w:rsid w:val="005D3922"/>
    <w:rsid w:val="005D39CD"/>
    <w:rsid w:val="005D3A84"/>
    <w:rsid w:val="005D3ACB"/>
    <w:rsid w:val="005D3AF4"/>
    <w:rsid w:val="005D3B2F"/>
    <w:rsid w:val="005D3B66"/>
    <w:rsid w:val="005D3BFE"/>
    <w:rsid w:val="005D3C27"/>
    <w:rsid w:val="005D3CDA"/>
    <w:rsid w:val="005D3CE4"/>
    <w:rsid w:val="005D3D79"/>
    <w:rsid w:val="005D3F87"/>
    <w:rsid w:val="005D3FA4"/>
    <w:rsid w:val="005D3FC9"/>
    <w:rsid w:val="005D407E"/>
    <w:rsid w:val="005D40AC"/>
    <w:rsid w:val="005D40BB"/>
    <w:rsid w:val="005D40CF"/>
    <w:rsid w:val="005D40D4"/>
    <w:rsid w:val="005D4178"/>
    <w:rsid w:val="005D4196"/>
    <w:rsid w:val="005D419A"/>
    <w:rsid w:val="005D4273"/>
    <w:rsid w:val="005D42C0"/>
    <w:rsid w:val="005D42C6"/>
    <w:rsid w:val="005D42FC"/>
    <w:rsid w:val="005D4396"/>
    <w:rsid w:val="005D43F0"/>
    <w:rsid w:val="005D4440"/>
    <w:rsid w:val="005D446B"/>
    <w:rsid w:val="005D4542"/>
    <w:rsid w:val="005D457E"/>
    <w:rsid w:val="005D459A"/>
    <w:rsid w:val="005D45D3"/>
    <w:rsid w:val="005D45DC"/>
    <w:rsid w:val="005D467A"/>
    <w:rsid w:val="005D4715"/>
    <w:rsid w:val="005D47B6"/>
    <w:rsid w:val="005D47D6"/>
    <w:rsid w:val="005D48CD"/>
    <w:rsid w:val="005D48F0"/>
    <w:rsid w:val="005D4976"/>
    <w:rsid w:val="005D4A56"/>
    <w:rsid w:val="005D4ADE"/>
    <w:rsid w:val="005D4B6E"/>
    <w:rsid w:val="005D4B86"/>
    <w:rsid w:val="005D4BEA"/>
    <w:rsid w:val="005D4C07"/>
    <w:rsid w:val="005D4C48"/>
    <w:rsid w:val="005D4CAB"/>
    <w:rsid w:val="005D4D02"/>
    <w:rsid w:val="005D4D16"/>
    <w:rsid w:val="005D4D61"/>
    <w:rsid w:val="005D4E17"/>
    <w:rsid w:val="005D4E37"/>
    <w:rsid w:val="005D4F8B"/>
    <w:rsid w:val="005D4F92"/>
    <w:rsid w:val="005D4FA8"/>
    <w:rsid w:val="005D4FC7"/>
    <w:rsid w:val="005D5073"/>
    <w:rsid w:val="005D5156"/>
    <w:rsid w:val="005D5181"/>
    <w:rsid w:val="005D5236"/>
    <w:rsid w:val="005D5272"/>
    <w:rsid w:val="005D52D1"/>
    <w:rsid w:val="005D542A"/>
    <w:rsid w:val="005D544E"/>
    <w:rsid w:val="005D554B"/>
    <w:rsid w:val="005D55B2"/>
    <w:rsid w:val="005D5665"/>
    <w:rsid w:val="005D572F"/>
    <w:rsid w:val="005D573C"/>
    <w:rsid w:val="005D5765"/>
    <w:rsid w:val="005D578B"/>
    <w:rsid w:val="005D59F8"/>
    <w:rsid w:val="005D5A0D"/>
    <w:rsid w:val="005D5A18"/>
    <w:rsid w:val="005D5A1C"/>
    <w:rsid w:val="005D5C9B"/>
    <w:rsid w:val="005D5CA6"/>
    <w:rsid w:val="005D5CBE"/>
    <w:rsid w:val="005D5DBA"/>
    <w:rsid w:val="005D5DF7"/>
    <w:rsid w:val="005D5E10"/>
    <w:rsid w:val="005D5E28"/>
    <w:rsid w:val="005D5E42"/>
    <w:rsid w:val="005D5E7B"/>
    <w:rsid w:val="005D5E8E"/>
    <w:rsid w:val="005D5F5F"/>
    <w:rsid w:val="005D5F97"/>
    <w:rsid w:val="005D5FB0"/>
    <w:rsid w:val="005D6005"/>
    <w:rsid w:val="005D6023"/>
    <w:rsid w:val="005D604A"/>
    <w:rsid w:val="005D60A7"/>
    <w:rsid w:val="005D60B1"/>
    <w:rsid w:val="005D60B5"/>
    <w:rsid w:val="005D60BD"/>
    <w:rsid w:val="005D6170"/>
    <w:rsid w:val="005D617B"/>
    <w:rsid w:val="005D61BB"/>
    <w:rsid w:val="005D61BF"/>
    <w:rsid w:val="005D6255"/>
    <w:rsid w:val="005D628A"/>
    <w:rsid w:val="005D6319"/>
    <w:rsid w:val="005D6385"/>
    <w:rsid w:val="005D64AE"/>
    <w:rsid w:val="005D64B6"/>
    <w:rsid w:val="005D6529"/>
    <w:rsid w:val="005D655C"/>
    <w:rsid w:val="005D656C"/>
    <w:rsid w:val="005D65B3"/>
    <w:rsid w:val="005D6617"/>
    <w:rsid w:val="005D663E"/>
    <w:rsid w:val="005D6766"/>
    <w:rsid w:val="005D67F0"/>
    <w:rsid w:val="005D6838"/>
    <w:rsid w:val="005D68EC"/>
    <w:rsid w:val="005D6908"/>
    <w:rsid w:val="005D6A98"/>
    <w:rsid w:val="005D6AB5"/>
    <w:rsid w:val="005D6ABE"/>
    <w:rsid w:val="005D6B4B"/>
    <w:rsid w:val="005D6BAE"/>
    <w:rsid w:val="005D6BD6"/>
    <w:rsid w:val="005D6C0E"/>
    <w:rsid w:val="005D6C1C"/>
    <w:rsid w:val="005D6C39"/>
    <w:rsid w:val="005D6C6D"/>
    <w:rsid w:val="005D6CB7"/>
    <w:rsid w:val="005D6CD0"/>
    <w:rsid w:val="005D6CF4"/>
    <w:rsid w:val="005D6CF5"/>
    <w:rsid w:val="005D6D9F"/>
    <w:rsid w:val="005D6DD3"/>
    <w:rsid w:val="005D6E85"/>
    <w:rsid w:val="005D6EB1"/>
    <w:rsid w:val="005D6F2C"/>
    <w:rsid w:val="005D6F7B"/>
    <w:rsid w:val="005D6FEC"/>
    <w:rsid w:val="005D703B"/>
    <w:rsid w:val="005D70D7"/>
    <w:rsid w:val="005D70E3"/>
    <w:rsid w:val="005D70E4"/>
    <w:rsid w:val="005D7211"/>
    <w:rsid w:val="005D7245"/>
    <w:rsid w:val="005D7343"/>
    <w:rsid w:val="005D7392"/>
    <w:rsid w:val="005D73E4"/>
    <w:rsid w:val="005D73EC"/>
    <w:rsid w:val="005D74BE"/>
    <w:rsid w:val="005D74BF"/>
    <w:rsid w:val="005D74E2"/>
    <w:rsid w:val="005D7533"/>
    <w:rsid w:val="005D7561"/>
    <w:rsid w:val="005D757D"/>
    <w:rsid w:val="005D75B0"/>
    <w:rsid w:val="005D75B5"/>
    <w:rsid w:val="005D7603"/>
    <w:rsid w:val="005D768F"/>
    <w:rsid w:val="005D7697"/>
    <w:rsid w:val="005D76D6"/>
    <w:rsid w:val="005D7783"/>
    <w:rsid w:val="005D77C0"/>
    <w:rsid w:val="005D786B"/>
    <w:rsid w:val="005D78C5"/>
    <w:rsid w:val="005D7903"/>
    <w:rsid w:val="005D79A8"/>
    <w:rsid w:val="005D79E2"/>
    <w:rsid w:val="005D7A41"/>
    <w:rsid w:val="005D7A7D"/>
    <w:rsid w:val="005D7AA6"/>
    <w:rsid w:val="005D7AAE"/>
    <w:rsid w:val="005D7AC0"/>
    <w:rsid w:val="005D7B0B"/>
    <w:rsid w:val="005D7C0A"/>
    <w:rsid w:val="005D7C72"/>
    <w:rsid w:val="005D7D61"/>
    <w:rsid w:val="005D7D8E"/>
    <w:rsid w:val="005D7DC0"/>
    <w:rsid w:val="005D7DF8"/>
    <w:rsid w:val="005D7E13"/>
    <w:rsid w:val="005D7E4B"/>
    <w:rsid w:val="005D7EB0"/>
    <w:rsid w:val="005D7F94"/>
    <w:rsid w:val="005D7F96"/>
    <w:rsid w:val="005E0067"/>
    <w:rsid w:val="005E0069"/>
    <w:rsid w:val="005E0147"/>
    <w:rsid w:val="005E01A6"/>
    <w:rsid w:val="005E0205"/>
    <w:rsid w:val="005E020B"/>
    <w:rsid w:val="005E02E1"/>
    <w:rsid w:val="005E0312"/>
    <w:rsid w:val="005E042F"/>
    <w:rsid w:val="005E04A5"/>
    <w:rsid w:val="005E0548"/>
    <w:rsid w:val="005E056B"/>
    <w:rsid w:val="005E058B"/>
    <w:rsid w:val="005E0591"/>
    <w:rsid w:val="005E05B9"/>
    <w:rsid w:val="005E0673"/>
    <w:rsid w:val="005E0709"/>
    <w:rsid w:val="005E0729"/>
    <w:rsid w:val="005E082D"/>
    <w:rsid w:val="005E084B"/>
    <w:rsid w:val="005E0863"/>
    <w:rsid w:val="005E089F"/>
    <w:rsid w:val="005E0943"/>
    <w:rsid w:val="005E0A0E"/>
    <w:rsid w:val="005E0A45"/>
    <w:rsid w:val="005E0A4F"/>
    <w:rsid w:val="005E0B99"/>
    <w:rsid w:val="005E0BB2"/>
    <w:rsid w:val="005E0BFA"/>
    <w:rsid w:val="005E0C5D"/>
    <w:rsid w:val="005E0C5F"/>
    <w:rsid w:val="005E0D6A"/>
    <w:rsid w:val="005E0E8C"/>
    <w:rsid w:val="005E0E99"/>
    <w:rsid w:val="005E0F1D"/>
    <w:rsid w:val="005E0F2F"/>
    <w:rsid w:val="005E0FE1"/>
    <w:rsid w:val="005E102D"/>
    <w:rsid w:val="005E1061"/>
    <w:rsid w:val="005E1062"/>
    <w:rsid w:val="005E1123"/>
    <w:rsid w:val="005E113C"/>
    <w:rsid w:val="005E114E"/>
    <w:rsid w:val="005E1154"/>
    <w:rsid w:val="005E1193"/>
    <w:rsid w:val="005E11D1"/>
    <w:rsid w:val="005E11E3"/>
    <w:rsid w:val="005E120A"/>
    <w:rsid w:val="005E1252"/>
    <w:rsid w:val="005E1314"/>
    <w:rsid w:val="005E137D"/>
    <w:rsid w:val="005E13B1"/>
    <w:rsid w:val="005E14D7"/>
    <w:rsid w:val="005E152F"/>
    <w:rsid w:val="005E1533"/>
    <w:rsid w:val="005E15A7"/>
    <w:rsid w:val="005E15B4"/>
    <w:rsid w:val="005E1633"/>
    <w:rsid w:val="005E164A"/>
    <w:rsid w:val="005E16AD"/>
    <w:rsid w:val="005E1744"/>
    <w:rsid w:val="005E1754"/>
    <w:rsid w:val="005E177D"/>
    <w:rsid w:val="005E177F"/>
    <w:rsid w:val="005E17F8"/>
    <w:rsid w:val="005E1843"/>
    <w:rsid w:val="005E185B"/>
    <w:rsid w:val="005E1893"/>
    <w:rsid w:val="005E1906"/>
    <w:rsid w:val="005E1913"/>
    <w:rsid w:val="005E191D"/>
    <w:rsid w:val="005E1A9B"/>
    <w:rsid w:val="005E1B3D"/>
    <w:rsid w:val="005E1BA1"/>
    <w:rsid w:val="005E1C15"/>
    <w:rsid w:val="005E1C71"/>
    <w:rsid w:val="005E1D02"/>
    <w:rsid w:val="005E1D43"/>
    <w:rsid w:val="005E1DC7"/>
    <w:rsid w:val="005E1EAC"/>
    <w:rsid w:val="005E1EB4"/>
    <w:rsid w:val="005E1ED6"/>
    <w:rsid w:val="005E1F2F"/>
    <w:rsid w:val="005E1F98"/>
    <w:rsid w:val="005E2037"/>
    <w:rsid w:val="005E2047"/>
    <w:rsid w:val="005E207C"/>
    <w:rsid w:val="005E207D"/>
    <w:rsid w:val="005E20C0"/>
    <w:rsid w:val="005E2164"/>
    <w:rsid w:val="005E2197"/>
    <w:rsid w:val="005E21C5"/>
    <w:rsid w:val="005E2266"/>
    <w:rsid w:val="005E22B1"/>
    <w:rsid w:val="005E23A1"/>
    <w:rsid w:val="005E23AE"/>
    <w:rsid w:val="005E23EC"/>
    <w:rsid w:val="005E255C"/>
    <w:rsid w:val="005E2591"/>
    <w:rsid w:val="005E25B8"/>
    <w:rsid w:val="005E260B"/>
    <w:rsid w:val="005E264A"/>
    <w:rsid w:val="005E265A"/>
    <w:rsid w:val="005E266C"/>
    <w:rsid w:val="005E26AD"/>
    <w:rsid w:val="005E2810"/>
    <w:rsid w:val="005E283D"/>
    <w:rsid w:val="005E288C"/>
    <w:rsid w:val="005E28C1"/>
    <w:rsid w:val="005E2965"/>
    <w:rsid w:val="005E299C"/>
    <w:rsid w:val="005E29D9"/>
    <w:rsid w:val="005E29ED"/>
    <w:rsid w:val="005E29FB"/>
    <w:rsid w:val="005E2A55"/>
    <w:rsid w:val="005E2A78"/>
    <w:rsid w:val="005E2BE6"/>
    <w:rsid w:val="005E2C3D"/>
    <w:rsid w:val="005E2C9B"/>
    <w:rsid w:val="005E2CCB"/>
    <w:rsid w:val="005E2DB7"/>
    <w:rsid w:val="005E2E03"/>
    <w:rsid w:val="005E2E48"/>
    <w:rsid w:val="005E2EA7"/>
    <w:rsid w:val="005E2EF6"/>
    <w:rsid w:val="005E2F7A"/>
    <w:rsid w:val="005E2F82"/>
    <w:rsid w:val="005E2FA5"/>
    <w:rsid w:val="005E30FF"/>
    <w:rsid w:val="005E3116"/>
    <w:rsid w:val="005E3122"/>
    <w:rsid w:val="005E3268"/>
    <w:rsid w:val="005E328C"/>
    <w:rsid w:val="005E32C6"/>
    <w:rsid w:val="005E335F"/>
    <w:rsid w:val="005E3399"/>
    <w:rsid w:val="005E34E3"/>
    <w:rsid w:val="005E353F"/>
    <w:rsid w:val="005E3553"/>
    <w:rsid w:val="005E3607"/>
    <w:rsid w:val="005E3611"/>
    <w:rsid w:val="005E36C0"/>
    <w:rsid w:val="005E36F6"/>
    <w:rsid w:val="005E37C7"/>
    <w:rsid w:val="005E3855"/>
    <w:rsid w:val="005E3894"/>
    <w:rsid w:val="005E38D6"/>
    <w:rsid w:val="005E38DD"/>
    <w:rsid w:val="005E38F0"/>
    <w:rsid w:val="005E3938"/>
    <w:rsid w:val="005E39D8"/>
    <w:rsid w:val="005E3A4F"/>
    <w:rsid w:val="005E3A66"/>
    <w:rsid w:val="005E3A73"/>
    <w:rsid w:val="005E3A7B"/>
    <w:rsid w:val="005E3B34"/>
    <w:rsid w:val="005E3BA8"/>
    <w:rsid w:val="005E3BFC"/>
    <w:rsid w:val="005E3C1E"/>
    <w:rsid w:val="005E3CA3"/>
    <w:rsid w:val="005E3DCF"/>
    <w:rsid w:val="005E3E2A"/>
    <w:rsid w:val="005E3E59"/>
    <w:rsid w:val="005E3E81"/>
    <w:rsid w:val="005E3EA4"/>
    <w:rsid w:val="005E3FE6"/>
    <w:rsid w:val="005E41D0"/>
    <w:rsid w:val="005E41FC"/>
    <w:rsid w:val="005E422A"/>
    <w:rsid w:val="005E422E"/>
    <w:rsid w:val="005E424F"/>
    <w:rsid w:val="005E4291"/>
    <w:rsid w:val="005E42BC"/>
    <w:rsid w:val="005E42EC"/>
    <w:rsid w:val="005E432B"/>
    <w:rsid w:val="005E434B"/>
    <w:rsid w:val="005E4373"/>
    <w:rsid w:val="005E43FC"/>
    <w:rsid w:val="005E4414"/>
    <w:rsid w:val="005E446F"/>
    <w:rsid w:val="005E4543"/>
    <w:rsid w:val="005E45D6"/>
    <w:rsid w:val="005E4625"/>
    <w:rsid w:val="005E4642"/>
    <w:rsid w:val="005E46BA"/>
    <w:rsid w:val="005E46C8"/>
    <w:rsid w:val="005E4715"/>
    <w:rsid w:val="005E47C8"/>
    <w:rsid w:val="005E4837"/>
    <w:rsid w:val="005E4879"/>
    <w:rsid w:val="005E48F4"/>
    <w:rsid w:val="005E4952"/>
    <w:rsid w:val="005E498C"/>
    <w:rsid w:val="005E49B3"/>
    <w:rsid w:val="005E49BA"/>
    <w:rsid w:val="005E4A04"/>
    <w:rsid w:val="005E4A9D"/>
    <w:rsid w:val="005E4B2C"/>
    <w:rsid w:val="005E4B38"/>
    <w:rsid w:val="005E4C3D"/>
    <w:rsid w:val="005E4CFF"/>
    <w:rsid w:val="005E4D00"/>
    <w:rsid w:val="005E4D1F"/>
    <w:rsid w:val="005E4D36"/>
    <w:rsid w:val="005E4DBB"/>
    <w:rsid w:val="005E4DD0"/>
    <w:rsid w:val="005E4E4F"/>
    <w:rsid w:val="005E4E79"/>
    <w:rsid w:val="005E4EBD"/>
    <w:rsid w:val="005E4EC5"/>
    <w:rsid w:val="005E4F04"/>
    <w:rsid w:val="005E4F2D"/>
    <w:rsid w:val="005E5097"/>
    <w:rsid w:val="005E50C8"/>
    <w:rsid w:val="005E512D"/>
    <w:rsid w:val="005E51B0"/>
    <w:rsid w:val="005E521A"/>
    <w:rsid w:val="005E5274"/>
    <w:rsid w:val="005E52A8"/>
    <w:rsid w:val="005E5388"/>
    <w:rsid w:val="005E54A4"/>
    <w:rsid w:val="005E55AF"/>
    <w:rsid w:val="005E5631"/>
    <w:rsid w:val="005E56AE"/>
    <w:rsid w:val="005E5798"/>
    <w:rsid w:val="005E5809"/>
    <w:rsid w:val="005E581B"/>
    <w:rsid w:val="005E58E3"/>
    <w:rsid w:val="005E58E5"/>
    <w:rsid w:val="005E594B"/>
    <w:rsid w:val="005E596D"/>
    <w:rsid w:val="005E5A41"/>
    <w:rsid w:val="005E5A80"/>
    <w:rsid w:val="005E5AA2"/>
    <w:rsid w:val="005E5AB8"/>
    <w:rsid w:val="005E5AD1"/>
    <w:rsid w:val="005E5C62"/>
    <w:rsid w:val="005E5C71"/>
    <w:rsid w:val="005E5CB5"/>
    <w:rsid w:val="005E5CF7"/>
    <w:rsid w:val="005E5D0C"/>
    <w:rsid w:val="005E5EFC"/>
    <w:rsid w:val="005E5F22"/>
    <w:rsid w:val="005E5FAE"/>
    <w:rsid w:val="005E5FB1"/>
    <w:rsid w:val="005E5FBD"/>
    <w:rsid w:val="005E5FC8"/>
    <w:rsid w:val="005E5FCE"/>
    <w:rsid w:val="005E601A"/>
    <w:rsid w:val="005E6067"/>
    <w:rsid w:val="005E60DA"/>
    <w:rsid w:val="005E6164"/>
    <w:rsid w:val="005E6186"/>
    <w:rsid w:val="005E61A4"/>
    <w:rsid w:val="005E61AB"/>
    <w:rsid w:val="005E625A"/>
    <w:rsid w:val="005E62DD"/>
    <w:rsid w:val="005E634A"/>
    <w:rsid w:val="005E6390"/>
    <w:rsid w:val="005E6397"/>
    <w:rsid w:val="005E63FD"/>
    <w:rsid w:val="005E6421"/>
    <w:rsid w:val="005E645C"/>
    <w:rsid w:val="005E64A2"/>
    <w:rsid w:val="005E654B"/>
    <w:rsid w:val="005E65AD"/>
    <w:rsid w:val="005E670A"/>
    <w:rsid w:val="005E672A"/>
    <w:rsid w:val="005E672B"/>
    <w:rsid w:val="005E67D0"/>
    <w:rsid w:val="005E685A"/>
    <w:rsid w:val="005E696D"/>
    <w:rsid w:val="005E6A04"/>
    <w:rsid w:val="005E6A1F"/>
    <w:rsid w:val="005E6A58"/>
    <w:rsid w:val="005E6AFA"/>
    <w:rsid w:val="005E6B0A"/>
    <w:rsid w:val="005E6B0D"/>
    <w:rsid w:val="005E6BC7"/>
    <w:rsid w:val="005E6BD6"/>
    <w:rsid w:val="005E6BF8"/>
    <w:rsid w:val="005E6C41"/>
    <w:rsid w:val="005E6D19"/>
    <w:rsid w:val="005E6D2D"/>
    <w:rsid w:val="005E6D5A"/>
    <w:rsid w:val="005E6DD6"/>
    <w:rsid w:val="005E6E97"/>
    <w:rsid w:val="005E6EC2"/>
    <w:rsid w:val="005E6F23"/>
    <w:rsid w:val="005E6F57"/>
    <w:rsid w:val="005E6F60"/>
    <w:rsid w:val="005E6F7C"/>
    <w:rsid w:val="005E70C0"/>
    <w:rsid w:val="005E70C7"/>
    <w:rsid w:val="005E7135"/>
    <w:rsid w:val="005E71E9"/>
    <w:rsid w:val="005E71EA"/>
    <w:rsid w:val="005E72DC"/>
    <w:rsid w:val="005E731E"/>
    <w:rsid w:val="005E736E"/>
    <w:rsid w:val="005E7381"/>
    <w:rsid w:val="005E7396"/>
    <w:rsid w:val="005E739F"/>
    <w:rsid w:val="005E7414"/>
    <w:rsid w:val="005E7538"/>
    <w:rsid w:val="005E761A"/>
    <w:rsid w:val="005E7646"/>
    <w:rsid w:val="005E7701"/>
    <w:rsid w:val="005E7758"/>
    <w:rsid w:val="005E77D6"/>
    <w:rsid w:val="005E7821"/>
    <w:rsid w:val="005E78F2"/>
    <w:rsid w:val="005E79B7"/>
    <w:rsid w:val="005E7A15"/>
    <w:rsid w:val="005E7AA9"/>
    <w:rsid w:val="005E7AF6"/>
    <w:rsid w:val="005E7B35"/>
    <w:rsid w:val="005E7B5C"/>
    <w:rsid w:val="005E7B77"/>
    <w:rsid w:val="005E7B8C"/>
    <w:rsid w:val="005E7DCB"/>
    <w:rsid w:val="005E7FC1"/>
    <w:rsid w:val="005E7FC7"/>
    <w:rsid w:val="005F006B"/>
    <w:rsid w:val="005F0094"/>
    <w:rsid w:val="005F0139"/>
    <w:rsid w:val="005F01A4"/>
    <w:rsid w:val="005F01C6"/>
    <w:rsid w:val="005F01D0"/>
    <w:rsid w:val="005F02DB"/>
    <w:rsid w:val="005F0331"/>
    <w:rsid w:val="005F037E"/>
    <w:rsid w:val="005F03AE"/>
    <w:rsid w:val="005F046F"/>
    <w:rsid w:val="005F04BE"/>
    <w:rsid w:val="005F0555"/>
    <w:rsid w:val="005F0567"/>
    <w:rsid w:val="005F05AA"/>
    <w:rsid w:val="005F071A"/>
    <w:rsid w:val="005F073B"/>
    <w:rsid w:val="005F076A"/>
    <w:rsid w:val="005F079B"/>
    <w:rsid w:val="005F07A9"/>
    <w:rsid w:val="005F07B7"/>
    <w:rsid w:val="005F07BC"/>
    <w:rsid w:val="005F0894"/>
    <w:rsid w:val="005F08CF"/>
    <w:rsid w:val="005F08EF"/>
    <w:rsid w:val="005F08FE"/>
    <w:rsid w:val="005F0907"/>
    <w:rsid w:val="005F0929"/>
    <w:rsid w:val="005F0951"/>
    <w:rsid w:val="005F09BA"/>
    <w:rsid w:val="005F09D7"/>
    <w:rsid w:val="005F09E9"/>
    <w:rsid w:val="005F09F7"/>
    <w:rsid w:val="005F0A49"/>
    <w:rsid w:val="005F0A5E"/>
    <w:rsid w:val="005F0AC8"/>
    <w:rsid w:val="005F0B08"/>
    <w:rsid w:val="005F0B54"/>
    <w:rsid w:val="005F0BB0"/>
    <w:rsid w:val="005F0BE2"/>
    <w:rsid w:val="005F0D80"/>
    <w:rsid w:val="005F0DAD"/>
    <w:rsid w:val="005F0DD9"/>
    <w:rsid w:val="005F0E00"/>
    <w:rsid w:val="005F0E1E"/>
    <w:rsid w:val="005F0E2A"/>
    <w:rsid w:val="005F0EF4"/>
    <w:rsid w:val="005F0EF6"/>
    <w:rsid w:val="005F0F24"/>
    <w:rsid w:val="005F0F45"/>
    <w:rsid w:val="005F0F49"/>
    <w:rsid w:val="005F0F57"/>
    <w:rsid w:val="005F0FE4"/>
    <w:rsid w:val="005F1062"/>
    <w:rsid w:val="005F106E"/>
    <w:rsid w:val="005F1097"/>
    <w:rsid w:val="005F10B5"/>
    <w:rsid w:val="005F119B"/>
    <w:rsid w:val="005F11AB"/>
    <w:rsid w:val="005F11B5"/>
    <w:rsid w:val="005F123D"/>
    <w:rsid w:val="005F12FA"/>
    <w:rsid w:val="005F1317"/>
    <w:rsid w:val="005F1381"/>
    <w:rsid w:val="005F142A"/>
    <w:rsid w:val="005F165C"/>
    <w:rsid w:val="005F1681"/>
    <w:rsid w:val="005F16D8"/>
    <w:rsid w:val="005F16E2"/>
    <w:rsid w:val="005F16F3"/>
    <w:rsid w:val="005F1728"/>
    <w:rsid w:val="005F178B"/>
    <w:rsid w:val="005F179A"/>
    <w:rsid w:val="005F17BE"/>
    <w:rsid w:val="005F17F4"/>
    <w:rsid w:val="005F1949"/>
    <w:rsid w:val="005F194D"/>
    <w:rsid w:val="005F197B"/>
    <w:rsid w:val="005F1990"/>
    <w:rsid w:val="005F1A1F"/>
    <w:rsid w:val="005F1A5D"/>
    <w:rsid w:val="005F1B02"/>
    <w:rsid w:val="005F1B64"/>
    <w:rsid w:val="005F1CBC"/>
    <w:rsid w:val="005F1D0F"/>
    <w:rsid w:val="005F1D1E"/>
    <w:rsid w:val="005F1EFA"/>
    <w:rsid w:val="005F1F52"/>
    <w:rsid w:val="005F1FA6"/>
    <w:rsid w:val="005F20AD"/>
    <w:rsid w:val="005F20D5"/>
    <w:rsid w:val="005F20E9"/>
    <w:rsid w:val="005F2123"/>
    <w:rsid w:val="005F2167"/>
    <w:rsid w:val="005F220A"/>
    <w:rsid w:val="005F2236"/>
    <w:rsid w:val="005F2273"/>
    <w:rsid w:val="005F22E4"/>
    <w:rsid w:val="005F22F4"/>
    <w:rsid w:val="005F24A7"/>
    <w:rsid w:val="005F2623"/>
    <w:rsid w:val="005F277E"/>
    <w:rsid w:val="005F27F1"/>
    <w:rsid w:val="005F2802"/>
    <w:rsid w:val="005F2810"/>
    <w:rsid w:val="005F2879"/>
    <w:rsid w:val="005F2A06"/>
    <w:rsid w:val="005F2A36"/>
    <w:rsid w:val="005F2A70"/>
    <w:rsid w:val="005F2AAA"/>
    <w:rsid w:val="005F2B7C"/>
    <w:rsid w:val="005F2B88"/>
    <w:rsid w:val="005F2C9E"/>
    <w:rsid w:val="005F2CAE"/>
    <w:rsid w:val="005F2D00"/>
    <w:rsid w:val="005F2D15"/>
    <w:rsid w:val="005F2D48"/>
    <w:rsid w:val="005F2D4B"/>
    <w:rsid w:val="005F2DCC"/>
    <w:rsid w:val="005F2DF2"/>
    <w:rsid w:val="005F2E24"/>
    <w:rsid w:val="005F2ED8"/>
    <w:rsid w:val="005F2FCE"/>
    <w:rsid w:val="005F2FE1"/>
    <w:rsid w:val="005F3066"/>
    <w:rsid w:val="005F3168"/>
    <w:rsid w:val="005F31E5"/>
    <w:rsid w:val="005F3239"/>
    <w:rsid w:val="005F324A"/>
    <w:rsid w:val="005F3287"/>
    <w:rsid w:val="005F32A9"/>
    <w:rsid w:val="005F32C2"/>
    <w:rsid w:val="005F32D4"/>
    <w:rsid w:val="005F3301"/>
    <w:rsid w:val="005F336E"/>
    <w:rsid w:val="005F3384"/>
    <w:rsid w:val="005F33AD"/>
    <w:rsid w:val="005F33B2"/>
    <w:rsid w:val="005F3536"/>
    <w:rsid w:val="005F356A"/>
    <w:rsid w:val="005F35D8"/>
    <w:rsid w:val="005F35EB"/>
    <w:rsid w:val="005F363E"/>
    <w:rsid w:val="005F36A0"/>
    <w:rsid w:val="005F3729"/>
    <w:rsid w:val="005F383A"/>
    <w:rsid w:val="005F3894"/>
    <w:rsid w:val="005F38B9"/>
    <w:rsid w:val="005F3942"/>
    <w:rsid w:val="005F3965"/>
    <w:rsid w:val="005F3A91"/>
    <w:rsid w:val="005F3A94"/>
    <w:rsid w:val="005F3AB8"/>
    <w:rsid w:val="005F3AE7"/>
    <w:rsid w:val="005F3BFE"/>
    <w:rsid w:val="005F3C24"/>
    <w:rsid w:val="005F3C31"/>
    <w:rsid w:val="005F3C66"/>
    <w:rsid w:val="005F3D76"/>
    <w:rsid w:val="005F3D78"/>
    <w:rsid w:val="005F3D90"/>
    <w:rsid w:val="005F3D96"/>
    <w:rsid w:val="005F3E2C"/>
    <w:rsid w:val="005F3E7D"/>
    <w:rsid w:val="005F3F06"/>
    <w:rsid w:val="005F3FA2"/>
    <w:rsid w:val="005F3FFC"/>
    <w:rsid w:val="005F4062"/>
    <w:rsid w:val="005F413F"/>
    <w:rsid w:val="005F4257"/>
    <w:rsid w:val="005F435F"/>
    <w:rsid w:val="005F43A0"/>
    <w:rsid w:val="005F43B1"/>
    <w:rsid w:val="005F43D7"/>
    <w:rsid w:val="005F4421"/>
    <w:rsid w:val="005F44E0"/>
    <w:rsid w:val="005F4505"/>
    <w:rsid w:val="005F450A"/>
    <w:rsid w:val="005F4524"/>
    <w:rsid w:val="005F4529"/>
    <w:rsid w:val="005F4531"/>
    <w:rsid w:val="005F455C"/>
    <w:rsid w:val="005F4576"/>
    <w:rsid w:val="005F4594"/>
    <w:rsid w:val="005F461B"/>
    <w:rsid w:val="005F4657"/>
    <w:rsid w:val="005F46E6"/>
    <w:rsid w:val="005F4708"/>
    <w:rsid w:val="005F4793"/>
    <w:rsid w:val="005F4829"/>
    <w:rsid w:val="005F4896"/>
    <w:rsid w:val="005F48A1"/>
    <w:rsid w:val="005F48D9"/>
    <w:rsid w:val="005F492B"/>
    <w:rsid w:val="005F4977"/>
    <w:rsid w:val="005F4A6A"/>
    <w:rsid w:val="005F4AB7"/>
    <w:rsid w:val="005F4AF2"/>
    <w:rsid w:val="005F4B4B"/>
    <w:rsid w:val="005F4B64"/>
    <w:rsid w:val="005F4B8E"/>
    <w:rsid w:val="005F4BCE"/>
    <w:rsid w:val="005F4C39"/>
    <w:rsid w:val="005F4C56"/>
    <w:rsid w:val="005F4C61"/>
    <w:rsid w:val="005F4C6C"/>
    <w:rsid w:val="005F4CB1"/>
    <w:rsid w:val="005F4D84"/>
    <w:rsid w:val="005F4DD9"/>
    <w:rsid w:val="005F4E6A"/>
    <w:rsid w:val="005F4E7A"/>
    <w:rsid w:val="005F4EE1"/>
    <w:rsid w:val="005F4F34"/>
    <w:rsid w:val="005F4F77"/>
    <w:rsid w:val="005F4FA8"/>
    <w:rsid w:val="005F4FC1"/>
    <w:rsid w:val="005F4FC4"/>
    <w:rsid w:val="005F5004"/>
    <w:rsid w:val="005F50BA"/>
    <w:rsid w:val="005F5197"/>
    <w:rsid w:val="005F519E"/>
    <w:rsid w:val="005F52CD"/>
    <w:rsid w:val="005F541F"/>
    <w:rsid w:val="005F5469"/>
    <w:rsid w:val="005F5526"/>
    <w:rsid w:val="005F5546"/>
    <w:rsid w:val="005F5578"/>
    <w:rsid w:val="005F55F2"/>
    <w:rsid w:val="005F55F6"/>
    <w:rsid w:val="005F5669"/>
    <w:rsid w:val="005F56B8"/>
    <w:rsid w:val="005F56C5"/>
    <w:rsid w:val="005F5700"/>
    <w:rsid w:val="005F5770"/>
    <w:rsid w:val="005F57BD"/>
    <w:rsid w:val="005F580B"/>
    <w:rsid w:val="005F5865"/>
    <w:rsid w:val="005F5AE3"/>
    <w:rsid w:val="005F5B13"/>
    <w:rsid w:val="005F5B95"/>
    <w:rsid w:val="005F5CDB"/>
    <w:rsid w:val="005F5D47"/>
    <w:rsid w:val="005F5D58"/>
    <w:rsid w:val="005F5D5C"/>
    <w:rsid w:val="005F5D7C"/>
    <w:rsid w:val="005F5E25"/>
    <w:rsid w:val="005F5E51"/>
    <w:rsid w:val="005F5E74"/>
    <w:rsid w:val="005F5EFC"/>
    <w:rsid w:val="005F5FF2"/>
    <w:rsid w:val="005F5FF5"/>
    <w:rsid w:val="005F603F"/>
    <w:rsid w:val="005F605F"/>
    <w:rsid w:val="005F610C"/>
    <w:rsid w:val="005F61C8"/>
    <w:rsid w:val="005F61FD"/>
    <w:rsid w:val="005F62E2"/>
    <w:rsid w:val="005F639C"/>
    <w:rsid w:val="005F63E6"/>
    <w:rsid w:val="005F6454"/>
    <w:rsid w:val="005F645E"/>
    <w:rsid w:val="005F64C1"/>
    <w:rsid w:val="005F6510"/>
    <w:rsid w:val="005F651A"/>
    <w:rsid w:val="005F662E"/>
    <w:rsid w:val="005F66DE"/>
    <w:rsid w:val="005F6732"/>
    <w:rsid w:val="005F6811"/>
    <w:rsid w:val="005F6820"/>
    <w:rsid w:val="005F6838"/>
    <w:rsid w:val="005F68D7"/>
    <w:rsid w:val="005F68FE"/>
    <w:rsid w:val="005F6980"/>
    <w:rsid w:val="005F69CE"/>
    <w:rsid w:val="005F69F0"/>
    <w:rsid w:val="005F6A94"/>
    <w:rsid w:val="005F6AA3"/>
    <w:rsid w:val="005F6B2C"/>
    <w:rsid w:val="005F6B7A"/>
    <w:rsid w:val="005F6B84"/>
    <w:rsid w:val="005F6BAB"/>
    <w:rsid w:val="005F6C00"/>
    <w:rsid w:val="005F6C4F"/>
    <w:rsid w:val="005F6C7C"/>
    <w:rsid w:val="005F6C8F"/>
    <w:rsid w:val="005F6CA1"/>
    <w:rsid w:val="005F6D3A"/>
    <w:rsid w:val="005F6D4B"/>
    <w:rsid w:val="005F6D6B"/>
    <w:rsid w:val="005F6EF6"/>
    <w:rsid w:val="005F6F2F"/>
    <w:rsid w:val="005F6F59"/>
    <w:rsid w:val="005F6FF8"/>
    <w:rsid w:val="005F7061"/>
    <w:rsid w:val="005F7159"/>
    <w:rsid w:val="005F71EF"/>
    <w:rsid w:val="005F726D"/>
    <w:rsid w:val="005F72B0"/>
    <w:rsid w:val="005F731C"/>
    <w:rsid w:val="005F7346"/>
    <w:rsid w:val="005F7395"/>
    <w:rsid w:val="005F739F"/>
    <w:rsid w:val="005F74CF"/>
    <w:rsid w:val="005F758C"/>
    <w:rsid w:val="005F75B5"/>
    <w:rsid w:val="005F7675"/>
    <w:rsid w:val="005F7755"/>
    <w:rsid w:val="005F7868"/>
    <w:rsid w:val="005F78BC"/>
    <w:rsid w:val="005F78D5"/>
    <w:rsid w:val="005F7982"/>
    <w:rsid w:val="005F7994"/>
    <w:rsid w:val="005F7998"/>
    <w:rsid w:val="005F79B0"/>
    <w:rsid w:val="005F79FB"/>
    <w:rsid w:val="005F7A3A"/>
    <w:rsid w:val="005F7B95"/>
    <w:rsid w:val="005F7B96"/>
    <w:rsid w:val="005F7BA9"/>
    <w:rsid w:val="005F7BF0"/>
    <w:rsid w:val="005F7C3F"/>
    <w:rsid w:val="005F7C63"/>
    <w:rsid w:val="005F7C99"/>
    <w:rsid w:val="005F7CDB"/>
    <w:rsid w:val="005F7DA0"/>
    <w:rsid w:val="005F7DEA"/>
    <w:rsid w:val="005F7E6A"/>
    <w:rsid w:val="005F7F4E"/>
    <w:rsid w:val="00600025"/>
    <w:rsid w:val="00600073"/>
    <w:rsid w:val="006000A8"/>
    <w:rsid w:val="006000D3"/>
    <w:rsid w:val="00600157"/>
    <w:rsid w:val="00600210"/>
    <w:rsid w:val="00600237"/>
    <w:rsid w:val="006002EF"/>
    <w:rsid w:val="00600310"/>
    <w:rsid w:val="0060032A"/>
    <w:rsid w:val="00600345"/>
    <w:rsid w:val="0060038C"/>
    <w:rsid w:val="006004F8"/>
    <w:rsid w:val="00600517"/>
    <w:rsid w:val="00600555"/>
    <w:rsid w:val="00600578"/>
    <w:rsid w:val="006006EE"/>
    <w:rsid w:val="00600750"/>
    <w:rsid w:val="006007DF"/>
    <w:rsid w:val="00600814"/>
    <w:rsid w:val="006008A4"/>
    <w:rsid w:val="006008D0"/>
    <w:rsid w:val="006009E7"/>
    <w:rsid w:val="00600AF0"/>
    <w:rsid w:val="00600B3B"/>
    <w:rsid w:val="00600B54"/>
    <w:rsid w:val="00600C68"/>
    <w:rsid w:val="00600C70"/>
    <w:rsid w:val="00600D86"/>
    <w:rsid w:val="00600DD5"/>
    <w:rsid w:val="00600E1E"/>
    <w:rsid w:val="00600E5E"/>
    <w:rsid w:val="00600EE4"/>
    <w:rsid w:val="00600F11"/>
    <w:rsid w:val="00601006"/>
    <w:rsid w:val="0060108A"/>
    <w:rsid w:val="0060112F"/>
    <w:rsid w:val="00601169"/>
    <w:rsid w:val="006011EF"/>
    <w:rsid w:val="0060122C"/>
    <w:rsid w:val="00601241"/>
    <w:rsid w:val="00601291"/>
    <w:rsid w:val="0060139C"/>
    <w:rsid w:val="00601591"/>
    <w:rsid w:val="006015F5"/>
    <w:rsid w:val="00601675"/>
    <w:rsid w:val="006016A7"/>
    <w:rsid w:val="0060180C"/>
    <w:rsid w:val="0060186B"/>
    <w:rsid w:val="006018B0"/>
    <w:rsid w:val="006018D7"/>
    <w:rsid w:val="0060193B"/>
    <w:rsid w:val="0060194A"/>
    <w:rsid w:val="006019AB"/>
    <w:rsid w:val="00601A67"/>
    <w:rsid w:val="00601A74"/>
    <w:rsid w:val="00601AE2"/>
    <w:rsid w:val="00601B53"/>
    <w:rsid w:val="00601B58"/>
    <w:rsid w:val="00601C12"/>
    <w:rsid w:val="00601C5E"/>
    <w:rsid w:val="00601CE5"/>
    <w:rsid w:val="00601CE7"/>
    <w:rsid w:val="00601D30"/>
    <w:rsid w:val="00601DB1"/>
    <w:rsid w:val="00601DF8"/>
    <w:rsid w:val="00601EEF"/>
    <w:rsid w:val="00601F94"/>
    <w:rsid w:val="00602043"/>
    <w:rsid w:val="00602089"/>
    <w:rsid w:val="006020CC"/>
    <w:rsid w:val="006020CE"/>
    <w:rsid w:val="00602192"/>
    <w:rsid w:val="006021D7"/>
    <w:rsid w:val="00602227"/>
    <w:rsid w:val="00602239"/>
    <w:rsid w:val="00602273"/>
    <w:rsid w:val="006022A0"/>
    <w:rsid w:val="00602314"/>
    <w:rsid w:val="0060234D"/>
    <w:rsid w:val="00602360"/>
    <w:rsid w:val="0060245F"/>
    <w:rsid w:val="00602460"/>
    <w:rsid w:val="00602540"/>
    <w:rsid w:val="00602558"/>
    <w:rsid w:val="00602763"/>
    <w:rsid w:val="0060278A"/>
    <w:rsid w:val="006027A4"/>
    <w:rsid w:val="006027E1"/>
    <w:rsid w:val="006028C5"/>
    <w:rsid w:val="00602A91"/>
    <w:rsid w:val="00602B22"/>
    <w:rsid w:val="00602B51"/>
    <w:rsid w:val="00602C05"/>
    <w:rsid w:val="00602C5D"/>
    <w:rsid w:val="00602D3F"/>
    <w:rsid w:val="00602ECC"/>
    <w:rsid w:val="00602ED0"/>
    <w:rsid w:val="00602EE9"/>
    <w:rsid w:val="00602F0F"/>
    <w:rsid w:val="00602F1E"/>
    <w:rsid w:val="00602F30"/>
    <w:rsid w:val="00602F88"/>
    <w:rsid w:val="00603035"/>
    <w:rsid w:val="0060307B"/>
    <w:rsid w:val="006030EE"/>
    <w:rsid w:val="00603116"/>
    <w:rsid w:val="00603142"/>
    <w:rsid w:val="00603169"/>
    <w:rsid w:val="0060316E"/>
    <w:rsid w:val="006031F9"/>
    <w:rsid w:val="00603264"/>
    <w:rsid w:val="006032B6"/>
    <w:rsid w:val="006032BA"/>
    <w:rsid w:val="00603305"/>
    <w:rsid w:val="00603392"/>
    <w:rsid w:val="006033C4"/>
    <w:rsid w:val="0060344B"/>
    <w:rsid w:val="00603454"/>
    <w:rsid w:val="006034F4"/>
    <w:rsid w:val="0060352F"/>
    <w:rsid w:val="006035C4"/>
    <w:rsid w:val="006036B0"/>
    <w:rsid w:val="006036B6"/>
    <w:rsid w:val="00603731"/>
    <w:rsid w:val="00603770"/>
    <w:rsid w:val="006037DA"/>
    <w:rsid w:val="006037E5"/>
    <w:rsid w:val="00603812"/>
    <w:rsid w:val="00603817"/>
    <w:rsid w:val="006038C9"/>
    <w:rsid w:val="00603968"/>
    <w:rsid w:val="00603A7B"/>
    <w:rsid w:val="00603B81"/>
    <w:rsid w:val="00603C71"/>
    <w:rsid w:val="00603D25"/>
    <w:rsid w:val="00603D82"/>
    <w:rsid w:val="00603E09"/>
    <w:rsid w:val="00603E9A"/>
    <w:rsid w:val="00603EE3"/>
    <w:rsid w:val="00603FC0"/>
    <w:rsid w:val="00604001"/>
    <w:rsid w:val="0060401E"/>
    <w:rsid w:val="00604027"/>
    <w:rsid w:val="00604030"/>
    <w:rsid w:val="0060403C"/>
    <w:rsid w:val="00604070"/>
    <w:rsid w:val="00604074"/>
    <w:rsid w:val="00604128"/>
    <w:rsid w:val="0060419C"/>
    <w:rsid w:val="00604272"/>
    <w:rsid w:val="00604282"/>
    <w:rsid w:val="00604294"/>
    <w:rsid w:val="006042D7"/>
    <w:rsid w:val="00604313"/>
    <w:rsid w:val="00604373"/>
    <w:rsid w:val="0060438A"/>
    <w:rsid w:val="006043BC"/>
    <w:rsid w:val="006043D8"/>
    <w:rsid w:val="0060443C"/>
    <w:rsid w:val="0060448B"/>
    <w:rsid w:val="0060448C"/>
    <w:rsid w:val="00604529"/>
    <w:rsid w:val="00604592"/>
    <w:rsid w:val="0060459B"/>
    <w:rsid w:val="006045F7"/>
    <w:rsid w:val="00604672"/>
    <w:rsid w:val="0060468D"/>
    <w:rsid w:val="006046BD"/>
    <w:rsid w:val="006048BF"/>
    <w:rsid w:val="00604960"/>
    <w:rsid w:val="006049E1"/>
    <w:rsid w:val="00604A3D"/>
    <w:rsid w:val="00604A77"/>
    <w:rsid w:val="00604AB2"/>
    <w:rsid w:val="00604B00"/>
    <w:rsid w:val="00604B15"/>
    <w:rsid w:val="00604B4C"/>
    <w:rsid w:val="00604B5D"/>
    <w:rsid w:val="00604BA0"/>
    <w:rsid w:val="00604BBA"/>
    <w:rsid w:val="00604BBC"/>
    <w:rsid w:val="00604C16"/>
    <w:rsid w:val="00604C2D"/>
    <w:rsid w:val="00604C51"/>
    <w:rsid w:val="00604CBD"/>
    <w:rsid w:val="00604D4E"/>
    <w:rsid w:val="00604D5E"/>
    <w:rsid w:val="00604D7B"/>
    <w:rsid w:val="00604D89"/>
    <w:rsid w:val="00604DD4"/>
    <w:rsid w:val="00604E31"/>
    <w:rsid w:val="00604E5C"/>
    <w:rsid w:val="00604E7B"/>
    <w:rsid w:val="00604E96"/>
    <w:rsid w:val="00604EB1"/>
    <w:rsid w:val="00604EE8"/>
    <w:rsid w:val="00604F7C"/>
    <w:rsid w:val="00604FFD"/>
    <w:rsid w:val="0060501E"/>
    <w:rsid w:val="0060505A"/>
    <w:rsid w:val="00605138"/>
    <w:rsid w:val="0060515A"/>
    <w:rsid w:val="00605166"/>
    <w:rsid w:val="0060518E"/>
    <w:rsid w:val="006051AC"/>
    <w:rsid w:val="00605304"/>
    <w:rsid w:val="0060530C"/>
    <w:rsid w:val="0060531B"/>
    <w:rsid w:val="006053B8"/>
    <w:rsid w:val="00605428"/>
    <w:rsid w:val="006054E8"/>
    <w:rsid w:val="006054F5"/>
    <w:rsid w:val="0060554A"/>
    <w:rsid w:val="006056BF"/>
    <w:rsid w:val="00605765"/>
    <w:rsid w:val="00605797"/>
    <w:rsid w:val="006057AB"/>
    <w:rsid w:val="006057C6"/>
    <w:rsid w:val="0060589B"/>
    <w:rsid w:val="006058BA"/>
    <w:rsid w:val="0060593C"/>
    <w:rsid w:val="0060598E"/>
    <w:rsid w:val="006059AA"/>
    <w:rsid w:val="006059C5"/>
    <w:rsid w:val="006059E2"/>
    <w:rsid w:val="00605A2B"/>
    <w:rsid w:val="00605BB1"/>
    <w:rsid w:val="00605C12"/>
    <w:rsid w:val="00605C6E"/>
    <w:rsid w:val="00605D39"/>
    <w:rsid w:val="00605D4A"/>
    <w:rsid w:val="00605D52"/>
    <w:rsid w:val="00605DB9"/>
    <w:rsid w:val="00605DBB"/>
    <w:rsid w:val="00605DE2"/>
    <w:rsid w:val="00605E48"/>
    <w:rsid w:val="00605EAB"/>
    <w:rsid w:val="00605EC7"/>
    <w:rsid w:val="00605ED2"/>
    <w:rsid w:val="0060604D"/>
    <w:rsid w:val="00606199"/>
    <w:rsid w:val="00606227"/>
    <w:rsid w:val="0060625C"/>
    <w:rsid w:val="0060628B"/>
    <w:rsid w:val="006062C8"/>
    <w:rsid w:val="0060634C"/>
    <w:rsid w:val="006063C4"/>
    <w:rsid w:val="006064A1"/>
    <w:rsid w:val="006064E1"/>
    <w:rsid w:val="00606502"/>
    <w:rsid w:val="00606513"/>
    <w:rsid w:val="006065E2"/>
    <w:rsid w:val="006066AD"/>
    <w:rsid w:val="0060671E"/>
    <w:rsid w:val="00606738"/>
    <w:rsid w:val="0060675A"/>
    <w:rsid w:val="006067D2"/>
    <w:rsid w:val="00606830"/>
    <w:rsid w:val="00606892"/>
    <w:rsid w:val="00606902"/>
    <w:rsid w:val="00606921"/>
    <w:rsid w:val="0060695F"/>
    <w:rsid w:val="0060698A"/>
    <w:rsid w:val="00606A3D"/>
    <w:rsid w:val="00606A8C"/>
    <w:rsid w:val="00606AAB"/>
    <w:rsid w:val="00606AC6"/>
    <w:rsid w:val="00606ACB"/>
    <w:rsid w:val="00606AF3"/>
    <w:rsid w:val="00606D38"/>
    <w:rsid w:val="00606D90"/>
    <w:rsid w:val="00606DE8"/>
    <w:rsid w:val="00606E3B"/>
    <w:rsid w:val="00606E8D"/>
    <w:rsid w:val="00606EC5"/>
    <w:rsid w:val="00606F0C"/>
    <w:rsid w:val="00606F3E"/>
    <w:rsid w:val="00606F5C"/>
    <w:rsid w:val="00606F6A"/>
    <w:rsid w:val="00606F6B"/>
    <w:rsid w:val="00607044"/>
    <w:rsid w:val="0060706D"/>
    <w:rsid w:val="00607166"/>
    <w:rsid w:val="006071C4"/>
    <w:rsid w:val="0060722B"/>
    <w:rsid w:val="0060728E"/>
    <w:rsid w:val="00607302"/>
    <w:rsid w:val="0060731F"/>
    <w:rsid w:val="006073B8"/>
    <w:rsid w:val="00607403"/>
    <w:rsid w:val="006074BD"/>
    <w:rsid w:val="006074C2"/>
    <w:rsid w:val="006074E5"/>
    <w:rsid w:val="00607528"/>
    <w:rsid w:val="00607551"/>
    <w:rsid w:val="00607557"/>
    <w:rsid w:val="00607599"/>
    <w:rsid w:val="00607602"/>
    <w:rsid w:val="0060767C"/>
    <w:rsid w:val="006076D5"/>
    <w:rsid w:val="0060773C"/>
    <w:rsid w:val="006077B0"/>
    <w:rsid w:val="0060783B"/>
    <w:rsid w:val="00607891"/>
    <w:rsid w:val="00607918"/>
    <w:rsid w:val="00607A68"/>
    <w:rsid w:val="00607BAE"/>
    <w:rsid w:val="00607C5E"/>
    <w:rsid w:val="00607C76"/>
    <w:rsid w:val="00607CAA"/>
    <w:rsid w:val="00607CCB"/>
    <w:rsid w:val="00607D1D"/>
    <w:rsid w:val="00607D31"/>
    <w:rsid w:val="00607ED3"/>
    <w:rsid w:val="00607EE6"/>
    <w:rsid w:val="00607F17"/>
    <w:rsid w:val="00607F4A"/>
    <w:rsid w:val="00607F9E"/>
    <w:rsid w:val="00610020"/>
    <w:rsid w:val="00610033"/>
    <w:rsid w:val="006101B4"/>
    <w:rsid w:val="006101B6"/>
    <w:rsid w:val="00610211"/>
    <w:rsid w:val="0061022F"/>
    <w:rsid w:val="0061023D"/>
    <w:rsid w:val="006102F1"/>
    <w:rsid w:val="006103DF"/>
    <w:rsid w:val="006103E7"/>
    <w:rsid w:val="00610403"/>
    <w:rsid w:val="00610570"/>
    <w:rsid w:val="00610593"/>
    <w:rsid w:val="006105AF"/>
    <w:rsid w:val="006105E0"/>
    <w:rsid w:val="006105ED"/>
    <w:rsid w:val="00610617"/>
    <w:rsid w:val="00610671"/>
    <w:rsid w:val="00610678"/>
    <w:rsid w:val="006106A1"/>
    <w:rsid w:val="006106D3"/>
    <w:rsid w:val="006107BD"/>
    <w:rsid w:val="006107F4"/>
    <w:rsid w:val="00610828"/>
    <w:rsid w:val="00610829"/>
    <w:rsid w:val="0061083D"/>
    <w:rsid w:val="006108BA"/>
    <w:rsid w:val="006109A1"/>
    <w:rsid w:val="00610A10"/>
    <w:rsid w:val="00610A1B"/>
    <w:rsid w:val="00610B1F"/>
    <w:rsid w:val="00610B80"/>
    <w:rsid w:val="00610BBC"/>
    <w:rsid w:val="00610D14"/>
    <w:rsid w:val="00610D22"/>
    <w:rsid w:val="00610DD5"/>
    <w:rsid w:val="00610E0D"/>
    <w:rsid w:val="00610E82"/>
    <w:rsid w:val="00610ED3"/>
    <w:rsid w:val="00610EEC"/>
    <w:rsid w:val="00610F62"/>
    <w:rsid w:val="00610FB5"/>
    <w:rsid w:val="00610FBE"/>
    <w:rsid w:val="00610FEF"/>
    <w:rsid w:val="00611011"/>
    <w:rsid w:val="0061103D"/>
    <w:rsid w:val="00611077"/>
    <w:rsid w:val="00611094"/>
    <w:rsid w:val="00611103"/>
    <w:rsid w:val="0061110A"/>
    <w:rsid w:val="006111B1"/>
    <w:rsid w:val="00611209"/>
    <w:rsid w:val="0061124C"/>
    <w:rsid w:val="0061125D"/>
    <w:rsid w:val="006112C9"/>
    <w:rsid w:val="006112E8"/>
    <w:rsid w:val="00611321"/>
    <w:rsid w:val="00611337"/>
    <w:rsid w:val="006113DA"/>
    <w:rsid w:val="00611431"/>
    <w:rsid w:val="00611547"/>
    <w:rsid w:val="006115C4"/>
    <w:rsid w:val="006115F8"/>
    <w:rsid w:val="00611610"/>
    <w:rsid w:val="0061161F"/>
    <w:rsid w:val="006116CA"/>
    <w:rsid w:val="00611764"/>
    <w:rsid w:val="006117C0"/>
    <w:rsid w:val="006117CD"/>
    <w:rsid w:val="006117E8"/>
    <w:rsid w:val="0061184F"/>
    <w:rsid w:val="0061186F"/>
    <w:rsid w:val="0061190F"/>
    <w:rsid w:val="0061199D"/>
    <w:rsid w:val="00611A04"/>
    <w:rsid w:val="00611A16"/>
    <w:rsid w:val="00611A82"/>
    <w:rsid w:val="00611AEA"/>
    <w:rsid w:val="00611AFB"/>
    <w:rsid w:val="00611B2F"/>
    <w:rsid w:val="00611BF2"/>
    <w:rsid w:val="00611C81"/>
    <w:rsid w:val="00611C83"/>
    <w:rsid w:val="00611CAF"/>
    <w:rsid w:val="00611D50"/>
    <w:rsid w:val="00611D9E"/>
    <w:rsid w:val="00611DA9"/>
    <w:rsid w:val="00611ED4"/>
    <w:rsid w:val="00611F1A"/>
    <w:rsid w:val="00611F52"/>
    <w:rsid w:val="00612055"/>
    <w:rsid w:val="006120A3"/>
    <w:rsid w:val="006120D2"/>
    <w:rsid w:val="00612116"/>
    <w:rsid w:val="00612160"/>
    <w:rsid w:val="006121E3"/>
    <w:rsid w:val="006121F8"/>
    <w:rsid w:val="00612291"/>
    <w:rsid w:val="00612341"/>
    <w:rsid w:val="00612371"/>
    <w:rsid w:val="00612388"/>
    <w:rsid w:val="0061248F"/>
    <w:rsid w:val="0061252B"/>
    <w:rsid w:val="00612560"/>
    <w:rsid w:val="00612582"/>
    <w:rsid w:val="00612604"/>
    <w:rsid w:val="0061260C"/>
    <w:rsid w:val="0061263B"/>
    <w:rsid w:val="0061264A"/>
    <w:rsid w:val="00612742"/>
    <w:rsid w:val="00612800"/>
    <w:rsid w:val="0061284A"/>
    <w:rsid w:val="006128CC"/>
    <w:rsid w:val="00612996"/>
    <w:rsid w:val="006129FA"/>
    <w:rsid w:val="00612AA8"/>
    <w:rsid w:val="00612B6D"/>
    <w:rsid w:val="00612B75"/>
    <w:rsid w:val="00612B80"/>
    <w:rsid w:val="00612B94"/>
    <w:rsid w:val="00612C06"/>
    <w:rsid w:val="00612CFE"/>
    <w:rsid w:val="00612E89"/>
    <w:rsid w:val="00612F06"/>
    <w:rsid w:val="00612F1B"/>
    <w:rsid w:val="006130DF"/>
    <w:rsid w:val="00613136"/>
    <w:rsid w:val="006131A9"/>
    <w:rsid w:val="006131BB"/>
    <w:rsid w:val="006131DF"/>
    <w:rsid w:val="00613236"/>
    <w:rsid w:val="0061334D"/>
    <w:rsid w:val="006133F4"/>
    <w:rsid w:val="006134D4"/>
    <w:rsid w:val="00613557"/>
    <w:rsid w:val="006135C3"/>
    <w:rsid w:val="00613657"/>
    <w:rsid w:val="006136AF"/>
    <w:rsid w:val="00613719"/>
    <w:rsid w:val="00613762"/>
    <w:rsid w:val="00613786"/>
    <w:rsid w:val="00613788"/>
    <w:rsid w:val="006137C7"/>
    <w:rsid w:val="00613893"/>
    <w:rsid w:val="006138B9"/>
    <w:rsid w:val="006138ED"/>
    <w:rsid w:val="0061391B"/>
    <w:rsid w:val="006139A8"/>
    <w:rsid w:val="00613A32"/>
    <w:rsid w:val="00613AFF"/>
    <w:rsid w:val="00613B77"/>
    <w:rsid w:val="00613BED"/>
    <w:rsid w:val="00613C43"/>
    <w:rsid w:val="00613C60"/>
    <w:rsid w:val="00613C61"/>
    <w:rsid w:val="00613CCE"/>
    <w:rsid w:val="00613D0F"/>
    <w:rsid w:val="00613DD8"/>
    <w:rsid w:val="00613E67"/>
    <w:rsid w:val="00613EB3"/>
    <w:rsid w:val="00613EE0"/>
    <w:rsid w:val="00613F7E"/>
    <w:rsid w:val="00613FE2"/>
    <w:rsid w:val="0061400D"/>
    <w:rsid w:val="0061403C"/>
    <w:rsid w:val="00614084"/>
    <w:rsid w:val="00614320"/>
    <w:rsid w:val="0061434A"/>
    <w:rsid w:val="00614366"/>
    <w:rsid w:val="0061437E"/>
    <w:rsid w:val="0061439D"/>
    <w:rsid w:val="00614435"/>
    <w:rsid w:val="006144B8"/>
    <w:rsid w:val="006146AE"/>
    <w:rsid w:val="006146E1"/>
    <w:rsid w:val="006146FD"/>
    <w:rsid w:val="00614726"/>
    <w:rsid w:val="00614738"/>
    <w:rsid w:val="006147D0"/>
    <w:rsid w:val="006147F8"/>
    <w:rsid w:val="0061488D"/>
    <w:rsid w:val="006148A6"/>
    <w:rsid w:val="006148F2"/>
    <w:rsid w:val="00614986"/>
    <w:rsid w:val="006149A1"/>
    <w:rsid w:val="006149A6"/>
    <w:rsid w:val="00614A0B"/>
    <w:rsid w:val="00614A33"/>
    <w:rsid w:val="00614AB1"/>
    <w:rsid w:val="00614B5C"/>
    <w:rsid w:val="00614C2D"/>
    <w:rsid w:val="00614C3E"/>
    <w:rsid w:val="00614D01"/>
    <w:rsid w:val="00614D07"/>
    <w:rsid w:val="00614E16"/>
    <w:rsid w:val="00614E25"/>
    <w:rsid w:val="00614EAF"/>
    <w:rsid w:val="00614EBB"/>
    <w:rsid w:val="00614F49"/>
    <w:rsid w:val="00614F4A"/>
    <w:rsid w:val="006150A1"/>
    <w:rsid w:val="00615164"/>
    <w:rsid w:val="00615196"/>
    <w:rsid w:val="0061519B"/>
    <w:rsid w:val="006151DA"/>
    <w:rsid w:val="00615218"/>
    <w:rsid w:val="0061523F"/>
    <w:rsid w:val="00615286"/>
    <w:rsid w:val="006153FD"/>
    <w:rsid w:val="00615421"/>
    <w:rsid w:val="00615441"/>
    <w:rsid w:val="006154A2"/>
    <w:rsid w:val="006154C4"/>
    <w:rsid w:val="006154D5"/>
    <w:rsid w:val="006154DC"/>
    <w:rsid w:val="006154E1"/>
    <w:rsid w:val="00615586"/>
    <w:rsid w:val="0061561A"/>
    <w:rsid w:val="00615635"/>
    <w:rsid w:val="00615649"/>
    <w:rsid w:val="006156BE"/>
    <w:rsid w:val="006156E7"/>
    <w:rsid w:val="0061576F"/>
    <w:rsid w:val="006157B6"/>
    <w:rsid w:val="006157BC"/>
    <w:rsid w:val="006158E0"/>
    <w:rsid w:val="00615906"/>
    <w:rsid w:val="00615994"/>
    <w:rsid w:val="006159B3"/>
    <w:rsid w:val="006159BD"/>
    <w:rsid w:val="00615A1E"/>
    <w:rsid w:val="00615A8C"/>
    <w:rsid w:val="00615A8F"/>
    <w:rsid w:val="00615B92"/>
    <w:rsid w:val="00615B9A"/>
    <w:rsid w:val="00615BC9"/>
    <w:rsid w:val="00615C49"/>
    <w:rsid w:val="00615C9D"/>
    <w:rsid w:val="00615CB0"/>
    <w:rsid w:val="00615CFD"/>
    <w:rsid w:val="00615D2A"/>
    <w:rsid w:val="00615D77"/>
    <w:rsid w:val="0061607C"/>
    <w:rsid w:val="006160DB"/>
    <w:rsid w:val="0061617E"/>
    <w:rsid w:val="00616223"/>
    <w:rsid w:val="006162AD"/>
    <w:rsid w:val="00616370"/>
    <w:rsid w:val="006163A8"/>
    <w:rsid w:val="0061645C"/>
    <w:rsid w:val="006164C8"/>
    <w:rsid w:val="006165C4"/>
    <w:rsid w:val="006165D1"/>
    <w:rsid w:val="0061661A"/>
    <w:rsid w:val="00616632"/>
    <w:rsid w:val="00616656"/>
    <w:rsid w:val="0061667A"/>
    <w:rsid w:val="00616694"/>
    <w:rsid w:val="00616695"/>
    <w:rsid w:val="00616726"/>
    <w:rsid w:val="00616753"/>
    <w:rsid w:val="006168AB"/>
    <w:rsid w:val="00616976"/>
    <w:rsid w:val="006169F2"/>
    <w:rsid w:val="00616BC0"/>
    <w:rsid w:val="00616BCB"/>
    <w:rsid w:val="00616BE3"/>
    <w:rsid w:val="00616C14"/>
    <w:rsid w:val="00616C7A"/>
    <w:rsid w:val="00616C80"/>
    <w:rsid w:val="00616D19"/>
    <w:rsid w:val="00616D1D"/>
    <w:rsid w:val="00616D2C"/>
    <w:rsid w:val="00616D4A"/>
    <w:rsid w:val="00616D82"/>
    <w:rsid w:val="00616E86"/>
    <w:rsid w:val="00616F56"/>
    <w:rsid w:val="00617007"/>
    <w:rsid w:val="00617021"/>
    <w:rsid w:val="00617073"/>
    <w:rsid w:val="006170CB"/>
    <w:rsid w:val="006170DB"/>
    <w:rsid w:val="00617163"/>
    <w:rsid w:val="006171FB"/>
    <w:rsid w:val="00617236"/>
    <w:rsid w:val="0061723C"/>
    <w:rsid w:val="0061725C"/>
    <w:rsid w:val="006172E3"/>
    <w:rsid w:val="0061736C"/>
    <w:rsid w:val="00617383"/>
    <w:rsid w:val="00617422"/>
    <w:rsid w:val="00617458"/>
    <w:rsid w:val="006174DD"/>
    <w:rsid w:val="006174EF"/>
    <w:rsid w:val="00617520"/>
    <w:rsid w:val="006175AD"/>
    <w:rsid w:val="006175D9"/>
    <w:rsid w:val="006175DC"/>
    <w:rsid w:val="0061760E"/>
    <w:rsid w:val="006176E1"/>
    <w:rsid w:val="0061770B"/>
    <w:rsid w:val="00617710"/>
    <w:rsid w:val="0061771B"/>
    <w:rsid w:val="006177BF"/>
    <w:rsid w:val="00617830"/>
    <w:rsid w:val="00617862"/>
    <w:rsid w:val="00617876"/>
    <w:rsid w:val="00617AA0"/>
    <w:rsid w:val="00617B18"/>
    <w:rsid w:val="00617B4F"/>
    <w:rsid w:val="00617B68"/>
    <w:rsid w:val="00617BBA"/>
    <w:rsid w:val="00617C1F"/>
    <w:rsid w:val="00617C57"/>
    <w:rsid w:val="00617C5F"/>
    <w:rsid w:val="00617CC7"/>
    <w:rsid w:val="00617CD3"/>
    <w:rsid w:val="00617D25"/>
    <w:rsid w:val="00617D65"/>
    <w:rsid w:val="00617E40"/>
    <w:rsid w:val="00617EE5"/>
    <w:rsid w:val="00617F85"/>
    <w:rsid w:val="00617FE9"/>
    <w:rsid w:val="0062008B"/>
    <w:rsid w:val="006200D2"/>
    <w:rsid w:val="006200F2"/>
    <w:rsid w:val="00620155"/>
    <w:rsid w:val="006201B3"/>
    <w:rsid w:val="0062021D"/>
    <w:rsid w:val="0062029E"/>
    <w:rsid w:val="0062048C"/>
    <w:rsid w:val="00620497"/>
    <w:rsid w:val="00620505"/>
    <w:rsid w:val="0062052E"/>
    <w:rsid w:val="00620546"/>
    <w:rsid w:val="00620565"/>
    <w:rsid w:val="00620566"/>
    <w:rsid w:val="006205D0"/>
    <w:rsid w:val="00620636"/>
    <w:rsid w:val="00620647"/>
    <w:rsid w:val="00620667"/>
    <w:rsid w:val="0062066F"/>
    <w:rsid w:val="006206B0"/>
    <w:rsid w:val="00620700"/>
    <w:rsid w:val="00620744"/>
    <w:rsid w:val="00620785"/>
    <w:rsid w:val="006207D3"/>
    <w:rsid w:val="006207E7"/>
    <w:rsid w:val="00620897"/>
    <w:rsid w:val="0062089F"/>
    <w:rsid w:val="0062090F"/>
    <w:rsid w:val="00620916"/>
    <w:rsid w:val="00620CAE"/>
    <w:rsid w:val="00620DCD"/>
    <w:rsid w:val="00620EED"/>
    <w:rsid w:val="00620FC6"/>
    <w:rsid w:val="00620FD3"/>
    <w:rsid w:val="00621035"/>
    <w:rsid w:val="00621036"/>
    <w:rsid w:val="0062107E"/>
    <w:rsid w:val="006210AB"/>
    <w:rsid w:val="006210FC"/>
    <w:rsid w:val="00621146"/>
    <w:rsid w:val="006211F3"/>
    <w:rsid w:val="0062123D"/>
    <w:rsid w:val="00621351"/>
    <w:rsid w:val="0062136A"/>
    <w:rsid w:val="006213A3"/>
    <w:rsid w:val="006213B7"/>
    <w:rsid w:val="006213F7"/>
    <w:rsid w:val="00621458"/>
    <w:rsid w:val="0062149C"/>
    <w:rsid w:val="00621522"/>
    <w:rsid w:val="00621538"/>
    <w:rsid w:val="00621725"/>
    <w:rsid w:val="00621729"/>
    <w:rsid w:val="0062178A"/>
    <w:rsid w:val="00621797"/>
    <w:rsid w:val="006217CE"/>
    <w:rsid w:val="006217FF"/>
    <w:rsid w:val="0062190A"/>
    <w:rsid w:val="0062194C"/>
    <w:rsid w:val="00621B3E"/>
    <w:rsid w:val="00621C05"/>
    <w:rsid w:val="00621C77"/>
    <w:rsid w:val="00621D0C"/>
    <w:rsid w:val="00621D97"/>
    <w:rsid w:val="00621D9C"/>
    <w:rsid w:val="00621E0A"/>
    <w:rsid w:val="00621E12"/>
    <w:rsid w:val="00621E35"/>
    <w:rsid w:val="00621F88"/>
    <w:rsid w:val="0062201D"/>
    <w:rsid w:val="0062207A"/>
    <w:rsid w:val="006220C1"/>
    <w:rsid w:val="006220D3"/>
    <w:rsid w:val="00622140"/>
    <w:rsid w:val="006221C0"/>
    <w:rsid w:val="00622213"/>
    <w:rsid w:val="006222C4"/>
    <w:rsid w:val="00622305"/>
    <w:rsid w:val="00622306"/>
    <w:rsid w:val="00622316"/>
    <w:rsid w:val="0062231C"/>
    <w:rsid w:val="006223C4"/>
    <w:rsid w:val="006223D4"/>
    <w:rsid w:val="006223E4"/>
    <w:rsid w:val="0062242E"/>
    <w:rsid w:val="0062256C"/>
    <w:rsid w:val="00622589"/>
    <w:rsid w:val="006225E4"/>
    <w:rsid w:val="0062273A"/>
    <w:rsid w:val="006227A7"/>
    <w:rsid w:val="006227C4"/>
    <w:rsid w:val="006227E6"/>
    <w:rsid w:val="006229DE"/>
    <w:rsid w:val="006229EC"/>
    <w:rsid w:val="00622A14"/>
    <w:rsid w:val="00622A3E"/>
    <w:rsid w:val="00622A93"/>
    <w:rsid w:val="00622C0E"/>
    <w:rsid w:val="00622CB6"/>
    <w:rsid w:val="00622D0E"/>
    <w:rsid w:val="00622D29"/>
    <w:rsid w:val="00622DEE"/>
    <w:rsid w:val="00622E55"/>
    <w:rsid w:val="00622E57"/>
    <w:rsid w:val="00622EC9"/>
    <w:rsid w:val="00622EEC"/>
    <w:rsid w:val="00622F13"/>
    <w:rsid w:val="00622F2C"/>
    <w:rsid w:val="00622F44"/>
    <w:rsid w:val="00622F9F"/>
    <w:rsid w:val="0062303D"/>
    <w:rsid w:val="00623046"/>
    <w:rsid w:val="00623082"/>
    <w:rsid w:val="00623119"/>
    <w:rsid w:val="0062318A"/>
    <w:rsid w:val="006231E9"/>
    <w:rsid w:val="00623253"/>
    <w:rsid w:val="00623263"/>
    <w:rsid w:val="0062328B"/>
    <w:rsid w:val="006232D7"/>
    <w:rsid w:val="00623392"/>
    <w:rsid w:val="0062339C"/>
    <w:rsid w:val="006233A8"/>
    <w:rsid w:val="006233E6"/>
    <w:rsid w:val="006234A6"/>
    <w:rsid w:val="0062350D"/>
    <w:rsid w:val="00623518"/>
    <w:rsid w:val="006235AF"/>
    <w:rsid w:val="006235E7"/>
    <w:rsid w:val="006236B5"/>
    <w:rsid w:val="0062371D"/>
    <w:rsid w:val="00623758"/>
    <w:rsid w:val="0062375A"/>
    <w:rsid w:val="006237CD"/>
    <w:rsid w:val="0062381A"/>
    <w:rsid w:val="0062382B"/>
    <w:rsid w:val="0062384B"/>
    <w:rsid w:val="006238B8"/>
    <w:rsid w:val="006239AD"/>
    <w:rsid w:val="006239EB"/>
    <w:rsid w:val="00623A0D"/>
    <w:rsid w:val="00623AD3"/>
    <w:rsid w:val="00623AEE"/>
    <w:rsid w:val="00623AEF"/>
    <w:rsid w:val="00623B97"/>
    <w:rsid w:val="00623BB4"/>
    <w:rsid w:val="00623BCC"/>
    <w:rsid w:val="00623C87"/>
    <w:rsid w:val="00623D0A"/>
    <w:rsid w:val="00623E4A"/>
    <w:rsid w:val="00623E4C"/>
    <w:rsid w:val="00623F85"/>
    <w:rsid w:val="0062400D"/>
    <w:rsid w:val="00624057"/>
    <w:rsid w:val="0062414A"/>
    <w:rsid w:val="00624178"/>
    <w:rsid w:val="00624189"/>
    <w:rsid w:val="006241B7"/>
    <w:rsid w:val="006241D6"/>
    <w:rsid w:val="00624243"/>
    <w:rsid w:val="006242AC"/>
    <w:rsid w:val="0062433A"/>
    <w:rsid w:val="0062435B"/>
    <w:rsid w:val="0062436E"/>
    <w:rsid w:val="006243D8"/>
    <w:rsid w:val="0062443B"/>
    <w:rsid w:val="0062445E"/>
    <w:rsid w:val="00624469"/>
    <w:rsid w:val="006244F1"/>
    <w:rsid w:val="006244F9"/>
    <w:rsid w:val="00624553"/>
    <w:rsid w:val="00624584"/>
    <w:rsid w:val="006245E8"/>
    <w:rsid w:val="0062471D"/>
    <w:rsid w:val="00624776"/>
    <w:rsid w:val="006247AC"/>
    <w:rsid w:val="006248B7"/>
    <w:rsid w:val="006248ED"/>
    <w:rsid w:val="00624901"/>
    <w:rsid w:val="00624962"/>
    <w:rsid w:val="00624A36"/>
    <w:rsid w:val="00624AFE"/>
    <w:rsid w:val="00624B76"/>
    <w:rsid w:val="00624C58"/>
    <w:rsid w:val="00624DB9"/>
    <w:rsid w:val="00624ECF"/>
    <w:rsid w:val="00624F69"/>
    <w:rsid w:val="00624F6E"/>
    <w:rsid w:val="0062513D"/>
    <w:rsid w:val="0062525C"/>
    <w:rsid w:val="00625413"/>
    <w:rsid w:val="00625449"/>
    <w:rsid w:val="0062549E"/>
    <w:rsid w:val="006254AC"/>
    <w:rsid w:val="00625503"/>
    <w:rsid w:val="006255A8"/>
    <w:rsid w:val="006255EE"/>
    <w:rsid w:val="006256FD"/>
    <w:rsid w:val="00625717"/>
    <w:rsid w:val="00625775"/>
    <w:rsid w:val="00625778"/>
    <w:rsid w:val="0062577B"/>
    <w:rsid w:val="0062577D"/>
    <w:rsid w:val="00625785"/>
    <w:rsid w:val="006257D3"/>
    <w:rsid w:val="006257D5"/>
    <w:rsid w:val="00625812"/>
    <w:rsid w:val="00625824"/>
    <w:rsid w:val="006258CE"/>
    <w:rsid w:val="006258DC"/>
    <w:rsid w:val="00625933"/>
    <w:rsid w:val="006259AE"/>
    <w:rsid w:val="006259D9"/>
    <w:rsid w:val="00625B70"/>
    <w:rsid w:val="00625B94"/>
    <w:rsid w:val="00625BA9"/>
    <w:rsid w:val="00625BBF"/>
    <w:rsid w:val="00625BE6"/>
    <w:rsid w:val="00625CC7"/>
    <w:rsid w:val="00625D0C"/>
    <w:rsid w:val="00625D15"/>
    <w:rsid w:val="00625DA0"/>
    <w:rsid w:val="00625DD3"/>
    <w:rsid w:val="00625EFC"/>
    <w:rsid w:val="00625F2A"/>
    <w:rsid w:val="00625F6D"/>
    <w:rsid w:val="00625F7F"/>
    <w:rsid w:val="0062609D"/>
    <w:rsid w:val="006260C5"/>
    <w:rsid w:val="00626150"/>
    <w:rsid w:val="00626171"/>
    <w:rsid w:val="006262B8"/>
    <w:rsid w:val="006262C6"/>
    <w:rsid w:val="006262C9"/>
    <w:rsid w:val="00626330"/>
    <w:rsid w:val="0062639A"/>
    <w:rsid w:val="00626430"/>
    <w:rsid w:val="00626444"/>
    <w:rsid w:val="006264CB"/>
    <w:rsid w:val="006264CC"/>
    <w:rsid w:val="006264EA"/>
    <w:rsid w:val="006264F7"/>
    <w:rsid w:val="00626573"/>
    <w:rsid w:val="006265C7"/>
    <w:rsid w:val="006265F6"/>
    <w:rsid w:val="00626646"/>
    <w:rsid w:val="0062678B"/>
    <w:rsid w:val="006267B6"/>
    <w:rsid w:val="00626800"/>
    <w:rsid w:val="0062685D"/>
    <w:rsid w:val="00626872"/>
    <w:rsid w:val="006268E5"/>
    <w:rsid w:val="00626986"/>
    <w:rsid w:val="006269A0"/>
    <w:rsid w:val="00626A9E"/>
    <w:rsid w:val="00626AC8"/>
    <w:rsid w:val="00626B37"/>
    <w:rsid w:val="00626B64"/>
    <w:rsid w:val="00626C01"/>
    <w:rsid w:val="00626C07"/>
    <w:rsid w:val="00626C2B"/>
    <w:rsid w:val="00626DFE"/>
    <w:rsid w:val="00626EB6"/>
    <w:rsid w:val="00626EE0"/>
    <w:rsid w:val="00626FF4"/>
    <w:rsid w:val="00626FF7"/>
    <w:rsid w:val="0062705C"/>
    <w:rsid w:val="00627170"/>
    <w:rsid w:val="00627181"/>
    <w:rsid w:val="0062721A"/>
    <w:rsid w:val="00627223"/>
    <w:rsid w:val="00627239"/>
    <w:rsid w:val="00627254"/>
    <w:rsid w:val="00627328"/>
    <w:rsid w:val="006273DD"/>
    <w:rsid w:val="0062740F"/>
    <w:rsid w:val="00627433"/>
    <w:rsid w:val="0062749A"/>
    <w:rsid w:val="006274E9"/>
    <w:rsid w:val="0062760B"/>
    <w:rsid w:val="00627621"/>
    <w:rsid w:val="0062767D"/>
    <w:rsid w:val="0062773E"/>
    <w:rsid w:val="006277B2"/>
    <w:rsid w:val="006277C4"/>
    <w:rsid w:val="00627850"/>
    <w:rsid w:val="00627852"/>
    <w:rsid w:val="00627965"/>
    <w:rsid w:val="0062798B"/>
    <w:rsid w:val="00627993"/>
    <w:rsid w:val="00627A81"/>
    <w:rsid w:val="00627B23"/>
    <w:rsid w:val="00627B89"/>
    <w:rsid w:val="00627D3B"/>
    <w:rsid w:val="00627D42"/>
    <w:rsid w:val="00627E15"/>
    <w:rsid w:val="00627E27"/>
    <w:rsid w:val="00627E60"/>
    <w:rsid w:val="00627E91"/>
    <w:rsid w:val="00627EA1"/>
    <w:rsid w:val="00627F95"/>
    <w:rsid w:val="00630039"/>
    <w:rsid w:val="0063005A"/>
    <w:rsid w:val="00630086"/>
    <w:rsid w:val="006300E7"/>
    <w:rsid w:val="00630139"/>
    <w:rsid w:val="00630168"/>
    <w:rsid w:val="00630197"/>
    <w:rsid w:val="00630241"/>
    <w:rsid w:val="0063028F"/>
    <w:rsid w:val="006302AE"/>
    <w:rsid w:val="00630333"/>
    <w:rsid w:val="0063036B"/>
    <w:rsid w:val="00630587"/>
    <w:rsid w:val="00630716"/>
    <w:rsid w:val="0063073D"/>
    <w:rsid w:val="0063093A"/>
    <w:rsid w:val="0063097C"/>
    <w:rsid w:val="00630991"/>
    <w:rsid w:val="006309CB"/>
    <w:rsid w:val="006309F9"/>
    <w:rsid w:val="00630A0F"/>
    <w:rsid w:val="00630ADE"/>
    <w:rsid w:val="00630B51"/>
    <w:rsid w:val="00630B5F"/>
    <w:rsid w:val="00630C48"/>
    <w:rsid w:val="00630CAC"/>
    <w:rsid w:val="00630DA7"/>
    <w:rsid w:val="00630DCC"/>
    <w:rsid w:val="00630DE7"/>
    <w:rsid w:val="00630EB9"/>
    <w:rsid w:val="00630F3A"/>
    <w:rsid w:val="00630F44"/>
    <w:rsid w:val="00630F55"/>
    <w:rsid w:val="00630F94"/>
    <w:rsid w:val="00630FE5"/>
    <w:rsid w:val="00631033"/>
    <w:rsid w:val="0063104B"/>
    <w:rsid w:val="00631077"/>
    <w:rsid w:val="006310F6"/>
    <w:rsid w:val="00631141"/>
    <w:rsid w:val="006312A2"/>
    <w:rsid w:val="00631300"/>
    <w:rsid w:val="006313D3"/>
    <w:rsid w:val="006313DC"/>
    <w:rsid w:val="0063143B"/>
    <w:rsid w:val="00631473"/>
    <w:rsid w:val="00631478"/>
    <w:rsid w:val="006314C3"/>
    <w:rsid w:val="006314C9"/>
    <w:rsid w:val="006314E0"/>
    <w:rsid w:val="00631555"/>
    <w:rsid w:val="0063164E"/>
    <w:rsid w:val="00631653"/>
    <w:rsid w:val="0063165C"/>
    <w:rsid w:val="006316C0"/>
    <w:rsid w:val="00631747"/>
    <w:rsid w:val="00631771"/>
    <w:rsid w:val="00631773"/>
    <w:rsid w:val="00631859"/>
    <w:rsid w:val="006318C3"/>
    <w:rsid w:val="006318E1"/>
    <w:rsid w:val="006318E5"/>
    <w:rsid w:val="00631A07"/>
    <w:rsid w:val="00631A10"/>
    <w:rsid w:val="00631A39"/>
    <w:rsid w:val="00631AC2"/>
    <w:rsid w:val="00631AE9"/>
    <w:rsid w:val="00631B06"/>
    <w:rsid w:val="00631B6E"/>
    <w:rsid w:val="00631C54"/>
    <w:rsid w:val="00631CB1"/>
    <w:rsid w:val="00631D99"/>
    <w:rsid w:val="00631DAB"/>
    <w:rsid w:val="00631E83"/>
    <w:rsid w:val="00631F2F"/>
    <w:rsid w:val="00631F58"/>
    <w:rsid w:val="00631FA1"/>
    <w:rsid w:val="00632059"/>
    <w:rsid w:val="0063208D"/>
    <w:rsid w:val="00632135"/>
    <w:rsid w:val="00632196"/>
    <w:rsid w:val="006321C3"/>
    <w:rsid w:val="006321D9"/>
    <w:rsid w:val="00632234"/>
    <w:rsid w:val="00632236"/>
    <w:rsid w:val="00632260"/>
    <w:rsid w:val="00632267"/>
    <w:rsid w:val="0063236F"/>
    <w:rsid w:val="0063239A"/>
    <w:rsid w:val="00632424"/>
    <w:rsid w:val="00632464"/>
    <w:rsid w:val="006324A1"/>
    <w:rsid w:val="006324EF"/>
    <w:rsid w:val="006324F7"/>
    <w:rsid w:val="0063250D"/>
    <w:rsid w:val="00632585"/>
    <w:rsid w:val="00632609"/>
    <w:rsid w:val="00632699"/>
    <w:rsid w:val="0063269D"/>
    <w:rsid w:val="00632701"/>
    <w:rsid w:val="00632705"/>
    <w:rsid w:val="00632707"/>
    <w:rsid w:val="0063281C"/>
    <w:rsid w:val="00632867"/>
    <w:rsid w:val="006328C0"/>
    <w:rsid w:val="00632958"/>
    <w:rsid w:val="00632A0D"/>
    <w:rsid w:val="00632AA2"/>
    <w:rsid w:val="00632B34"/>
    <w:rsid w:val="00632CB8"/>
    <w:rsid w:val="00632D05"/>
    <w:rsid w:val="00632D7E"/>
    <w:rsid w:val="00632D89"/>
    <w:rsid w:val="00632E29"/>
    <w:rsid w:val="00632F80"/>
    <w:rsid w:val="00632FEF"/>
    <w:rsid w:val="00633027"/>
    <w:rsid w:val="0063303E"/>
    <w:rsid w:val="00633046"/>
    <w:rsid w:val="00633068"/>
    <w:rsid w:val="0063309E"/>
    <w:rsid w:val="00633116"/>
    <w:rsid w:val="00633125"/>
    <w:rsid w:val="0063323F"/>
    <w:rsid w:val="00633281"/>
    <w:rsid w:val="00633291"/>
    <w:rsid w:val="006332BA"/>
    <w:rsid w:val="006332CF"/>
    <w:rsid w:val="006332D5"/>
    <w:rsid w:val="00633453"/>
    <w:rsid w:val="00633461"/>
    <w:rsid w:val="00633469"/>
    <w:rsid w:val="00633487"/>
    <w:rsid w:val="0063350A"/>
    <w:rsid w:val="0063352D"/>
    <w:rsid w:val="006335B2"/>
    <w:rsid w:val="006335DF"/>
    <w:rsid w:val="0063367F"/>
    <w:rsid w:val="00633692"/>
    <w:rsid w:val="006336E4"/>
    <w:rsid w:val="006336E5"/>
    <w:rsid w:val="00633718"/>
    <w:rsid w:val="00633741"/>
    <w:rsid w:val="00633793"/>
    <w:rsid w:val="006337B1"/>
    <w:rsid w:val="006337E9"/>
    <w:rsid w:val="006337EA"/>
    <w:rsid w:val="006337F2"/>
    <w:rsid w:val="00633802"/>
    <w:rsid w:val="00633836"/>
    <w:rsid w:val="0063386A"/>
    <w:rsid w:val="00633872"/>
    <w:rsid w:val="0063387F"/>
    <w:rsid w:val="006339B2"/>
    <w:rsid w:val="006339D6"/>
    <w:rsid w:val="00633A3A"/>
    <w:rsid w:val="00633A63"/>
    <w:rsid w:val="00633A84"/>
    <w:rsid w:val="00633A88"/>
    <w:rsid w:val="00633AA5"/>
    <w:rsid w:val="00633B14"/>
    <w:rsid w:val="00633B56"/>
    <w:rsid w:val="00633B5B"/>
    <w:rsid w:val="00633B72"/>
    <w:rsid w:val="00633C07"/>
    <w:rsid w:val="00633C20"/>
    <w:rsid w:val="00633D3A"/>
    <w:rsid w:val="00633D95"/>
    <w:rsid w:val="00633EA7"/>
    <w:rsid w:val="00633F78"/>
    <w:rsid w:val="00633F8B"/>
    <w:rsid w:val="00633FEE"/>
    <w:rsid w:val="00634036"/>
    <w:rsid w:val="00634110"/>
    <w:rsid w:val="00634168"/>
    <w:rsid w:val="006341EE"/>
    <w:rsid w:val="0063420B"/>
    <w:rsid w:val="0063420E"/>
    <w:rsid w:val="0063427D"/>
    <w:rsid w:val="006342B3"/>
    <w:rsid w:val="0063433C"/>
    <w:rsid w:val="0063438C"/>
    <w:rsid w:val="00634490"/>
    <w:rsid w:val="0063450A"/>
    <w:rsid w:val="0063457B"/>
    <w:rsid w:val="006345BF"/>
    <w:rsid w:val="0063467A"/>
    <w:rsid w:val="006346AD"/>
    <w:rsid w:val="006346B4"/>
    <w:rsid w:val="00634710"/>
    <w:rsid w:val="00634726"/>
    <w:rsid w:val="00634787"/>
    <w:rsid w:val="00634859"/>
    <w:rsid w:val="00634880"/>
    <w:rsid w:val="006348DB"/>
    <w:rsid w:val="0063494B"/>
    <w:rsid w:val="00634973"/>
    <w:rsid w:val="00634A13"/>
    <w:rsid w:val="00634A38"/>
    <w:rsid w:val="00634A56"/>
    <w:rsid w:val="00634A8B"/>
    <w:rsid w:val="00634AB4"/>
    <w:rsid w:val="00634B6E"/>
    <w:rsid w:val="00634BBC"/>
    <w:rsid w:val="00634C2B"/>
    <w:rsid w:val="00634C96"/>
    <w:rsid w:val="00634C97"/>
    <w:rsid w:val="00634CA5"/>
    <w:rsid w:val="00634D12"/>
    <w:rsid w:val="00634D51"/>
    <w:rsid w:val="00634D63"/>
    <w:rsid w:val="00634D64"/>
    <w:rsid w:val="00634D7D"/>
    <w:rsid w:val="00634D9E"/>
    <w:rsid w:val="00634DCE"/>
    <w:rsid w:val="00634DF6"/>
    <w:rsid w:val="00634E11"/>
    <w:rsid w:val="00634E49"/>
    <w:rsid w:val="00634E79"/>
    <w:rsid w:val="00634E89"/>
    <w:rsid w:val="00634EBE"/>
    <w:rsid w:val="00634EFC"/>
    <w:rsid w:val="00634F36"/>
    <w:rsid w:val="00634F43"/>
    <w:rsid w:val="00634F4A"/>
    <w:rsid w:val="00635056"/>
    <w:rsid w:val="006350A0"/>
    <w:rsid w:val="006350D7"/>
    <w:rsid w:val="0063510E"/>
    <w:rsid w:val="0063513B"/>
    <w:rsid w:val="006351A1"/>
    <w:rsid w:val="006351AC"/>
    <w:rsid w:val="006351F0"/>
    <w:rsid w:val="00635284"/>
    <w:rsid w:val="006352D7"/>
    <w:rsid w:val="0063543A"/>
    <w:rsid w:val="006354FF"/>
    <w:rsid w:val="00635533"/>
    <w:rsid w:val="0063554B"/>
    <w:rsid w:val="00635574"/>
    <w:rsid w:val="0063557B"/>
    <w:rsid w:val="00635623"/>
    <w:rsid w:val="0063562A"/>
    <w:rsid w:val="00635666"/>
    <w:rsid w:val="00635748"/>
    <w:rsid w:val="00635832"/>
    <w:rsid w:val="00635884"/>
    <w:rsid w:val="006358AF"/>
    <w:rsid w:val="0063592B"/>
    <w:rsid w:val="00635963"/>
    <w:rsid w:val="006359A6"/>
    <w:rsid w:val="00635A1B"/>
    <w:rsid w:val="00635BD2"/>
    <w:rsid w:val="00635C21"/>
    <w:rsid w:val="00635C5B"/>
    <w:rsid w:val="00635C68"/>
    <w:rsid w:val="00635CC1"/>
    <w:rsid w:val="00635D6D"/>
    <w:rsid w:val="00635DD4"/>
    <w:rsid w:val="00635E5E"/>
    <w:rsid w:val="00635E9D"/>
    <w:rsid w:val="00635EFE"/>
    <w:rsid w:val="00635F27"/>
    <w:rsid w:val="00635F6C"/>
    <w:rsid w:val="00636044"/>
    <w:rsid w:val="00636079"/>
    <w:rsid w:val="00636159"/>
    <w:rsid w:val="00636167"/>
    <w:rsid w:val="006361C2"/>
    <w:rsid w:val="0063623C"/>
    <w:rsid w:val="00636302"/>
    <w:rsid w:val="00636370"/>
    <w:rsid w:val="006363A7"/>
    <w:rsid w:val="006363C7"/>
    <w:rsid w:val="006363DF"/>
    <w:rsid w:val="006363E6"/>
    <w:rsid w:val="00636495"/>
    <w:rsid w:val="006364D9"/>
    <w:rsid w:val="00636507"/>
    <w:rsid w:val="006365DD"/>
    <w:rsid w:val="006365FC"/>
    <w:rsid w:val="00636608"/>
    <w:rsid w:val="006366A3"/>
    <w:rsid w:val="00636745"/>
    <w:rsid w:val="0063676E"/>
    <w:rsid w:val="0063690E"/>
    <w:rsid w:val="00636916"/>
    <w:rsid w:val="00636929"/>
    <w:rsid w:val="00636942"/>
    <w:rsid w:val="0063699C"/>
    <w:rsid w:val="006369B6"/>
    <w:rsid w:val="00636AD0"/>
    <w:rsid w:val="00636C3D"/>
    <w:rsid w:val="00636D6C"/>
    <w:rsid w:val="00636E93"/>
    <w:rsid w:val="00636F4F"/>
    <w:rsid w:val="00637004"/>
    <w:rsid w:val="0063708F"/>
    <w:rsid w:val="00637099"/>
    <w:rsid w:val="006370DD"/>
    <w:rsid w:val="00637138"/>
    <w:rsid w:val="00637194"/>
    <w:rsid w:val="006371C0"/>
    <w:rsid w:val="0063723D"/>
    <w:rsid w:val="00637267"/>
    <w:rsid w:val="006372B3"/>
    <w:rsid w:val="006372CC"/>
    <w:rsid w:val="00637386"/>
    <w:rsid w:val="006373BA"/>
    <w:rsid w:val="006374D1"/>
    <w:rsid w:val="0063750C"/>
    <w:rsid w:val="00637616"/>
    <w:rsid w:val="006376B5"/>
    <w:rsid w:val="006377A7"/>
    <w:rsid w:val="006377BA"/>
    <w:rsid w:val="006377C0"/>
    <w:rsid w:val="00637848"/>
    <w:rsid w:val="006378C3"/>
    <w:rsid w:val="0063793B"/>
    <w:rsid w:val="0063795C"/>
    <w:rsid w:val="0063797D"/>
    <w:rsid w:val="0063799E"/>
    <w:rsid w:val="006379DD"/>
    <w:rsid w:val="00637A44"/>
    <w:rsid w:val="00637A51"/>
    <w:rsid w:val="00637B0C"/>
    <w:rsid w:val="00637B79"/>
    <w:rsid w:val="00637BB3"/>
    <w:rsid w:val="00637BFB"/>
    <w:rsid w:val="00637C75"/>
    <w:rsid w:val="00637CF3"/>
    <w:rsid w:val="00637D52"/>
    <w:rsid w:val="00637D93"/>
    <w:rsid w:val="00637DA2"/>
    <w:rsid w:val="00637DD0"/>
    <w:rsid w:val="00637E29"/>
    <w:rsid w:val="00637E2B"/>
    <w:rsid w:val="00637E49"/>
    <w:rsid w:val="00637E7E"/>
    <w:rsid w:val="00637E86"/>
    <w:rsid w:val="00637E9C"/>
    <w:rsid w:val="00637EA6"/>
    <w:rsid w:val="00637EB0"/>
    <w:rsid w:val="00637F30"/>
    <w:rsid w:val="00637FE4"/>
    <w:rsid w:val="0064006A"/>
    <w:rsid w:val="0064007E"/>
    <w:rsid w:val="006400BE"/>
    <w:rsid w:val="006400D2"/>
    <w:rsid w:val="00640157"/>
    <w:rsid w:val="0064017F"/>
    <w:rsid w:val="00640261"/>
    <w:rsid w:val="0064028D"/>
    <w:rsid w:val="006402D8"/>
    <w:rsid w:val="006402F9"/>
    <w:rsid w:val="00640385"/>
    <w:rsid w:val="006403CD"/>
    <w:rsid w:val="006403DB"/>
    <w:rsid w:val="00640449"/>
    <w:rsid w:val="0064047D"/>
    <w:rsid w:val="0064053C"/>
    <w:rsid w:val="00640593"/>
    <w:rsid w:val="0064062E"/>
    <w:rsid w:val="006406CD"/>
    <w:rsid w:val="006406D1"/>
    <w:rsid w:val="006406EF"/>
    <w:rsid w:val="00640725"/>
    <w:rsid w:val="0064074B"/>
    <w:rsid w:val="006407E0"/>
    <w:rsid w:val="00640848"/>
    <w:rsid w:val="006409AB"/>
    <w:rsid w:val="006409FE"/>
    <w:rsid w:val="00640A3F"/>
    <w:rsid w:val="00640A52"/>
    <w:rsid w:val="00640AFB"/>
    <w:rsid w:val="00640B40"/>
    <w:rsid w:val="00640BF5"/>
    <w:rsid w:val="00640C0D"/>
    <w:rsid w:val="00640C61"/>
    <w:rsid w:val="00640D04"/>
    <w:rsid w:val="00640D13"/>
    <w:rsid w:val="00640D44"/>
    <w:rsid w:val="00640D55"/>
    <w:rsid w:val="00640D6D"/>
    <w:rsid w:val="00640DAA"/>
    <w:rsid w:val="00640DDC"/>
    <w:rsid w:val="00640E4C"/>
    <w:rsid w:val="00640E9F"/>
    <w:rsid w:val="00640F11"/>
    <w:rsid w:val="00640F8A"/>
    <w:rsid w:val="00640FAC"/>
    <w:rsid w:val="006410D8"/>
    <w:rsid w:val="006410DA"/>
    <w:rsid w:val="00641202"/>
    <w:rsid w:val="0064121D"/>
    <w:rsid w:val="00641222"/>
    <w:rsid w:val="0064122B"/>
    <w:rsid w:val="00641241"/>
    <w:rsid w:val="0064126C"/>
    <w:rsid w:val="006414B8"/>
    <w:rsid w:val="006414F8"/>
    <w:rsid w:val="00641549"/>
    <w:rsid w:val="0064158A"/>
    <w:rsid w:val="006415BB"/>
    <w:rsid w:val="00641608"/>
    <w:rsid w:val="00641643"/>
    <w:rsid w:val="00641657"/>
    <w:rsid w:val="006416B9"/>
    <w:rsid w:val="006416DC"/>
    <w:rsid w:val="006417C4"/>
    <w:rsid w:val="006417E1"/>
    <w:rsid w:val="00641865"/>
    <w:rsid w:val="00641866"/>
    <w:rsid w:val="0064189E"/>
    <w:rsid w:val="0064191D"/>
    <w:rsid w:val="00641AAE"/>
    <w:rsid w:val="00641AD3"/>
    <w:rsid w:val="00641B74"/>
    <w:rsid w:val="00641B9A"/>
    <w:rsid w:val="00641BC8"/>
    <w:rsid w:val="00641C70"/>
    <w:rsid w:val="00641C78"/>
    <w:rsid w:val="00641CC6"/>
    <w:rsid w:val="00641D00"/>
    <w:rsid w:val="00641E05"/>
    <w:rsid w:val="00641E1A"/>
    <w:rsid w:val="00641F8F"/>
    <w:rsid w:val="00642004"/>
    <w:rsid w:val="00642009"/>
    <w:rsid w:val="00642046"/>
    <w:rsid w:val="006420CC"/>
    <w:rsid w:val="00642185"/>
    <w:rsid w:val="006421B2"/>
    <w:rsid w:val="006421F7"/>
    <w:rsid w:val="0064221B"/>
    <w:rsid w:val="00642264"/>
    <w:rsid w:val="0064226E"/>
    <w:rsid w:val="0064240B"/>
    <w:rsid w:val="00642441"/>
    <w:rsid w:val="00642453"/>
    <w:rsid w:val="00642549"/>
    <w:rsid w:val="00642596"/>
    <w:rsid w:val="006425B3"/>
    <w:rsid w:val="006425B4"/>
    <w:rsid w:val="006425ED"/>
    <w:rsid w:val="0064260B"/>
    <w:rsid w:val="006426AF"/>
    <w:rsid w:val="006426E6"/>
    <w:rsid w:val="00642768"/>
    <w:rsid w:val="00642771"/>
    <w:rsid w:val="006428D3"/>
    <w:rsid w:val="006428D7"/>
    <w:rsid w:val="006428F3"/>
    <w:rsid w:val="0064298A"/>
    <w:rsid w:val="006429EA"/>
    <w:rsid w:val="00642A1F"/>
    <w:rsid w:val="00642ABB"/>
    <w:rsid w:val="00642C36"/>
    <w:rsid w:val="00642C72"/>
    <w:rsid w:val="00642CC1"/>
    <w:rsid w:val="00642DFE"/>
    <w:rsid w:val="00642EC0"/>
    <w:rsid w:val="00642F4A"/>
    <w:rsid w:val="00642F7B"/>
    <w:rsid w:val="00643022"/>
    <w:rsid w:val="0064308A"/>
    <w:rsid w:val="0064308B"/>
    <w:rsid w:val="00643186"/>
    <w:rsid w:val="006431E1"/>
    <w:rsid w:val="00643214"/>
    <w:rsid w:val="00643220"/>
    <w:rsid w:val="0064329E"/>
    <w:rsid w:val="006432A3"/>
    <w:rsid w:val="006433D8"/>
    <w:rsid w:val="006433E5"/>
    <w:rsid w:val="00643443"/>
    <w:rsid w:val="00643468"/>
    <w:rsid w:val="0064348E"/>
    <w:rsid w:val="006434F0"/>
    <w:rsid w:val="0064358B"/>
    <w:rsid w:val="006435A7"/>
    <w:rsid w:val="00643639"/>
    <w:rsid w:val="006436FB"/>
    <w:rsid w:val="0064371B"/>
    <w:rsid w:val="006437B7"/>
    <w:rsid w:val="00643812"/>
    <w:rsid w:val="0064385E"/>
    <w:rsid w:val="0064387D"/>
    <w:rsid w:val="0064387F"/>
    <w:rsid w:val="006438F1"/>
    <w:rsid w:val="006438FE"/>
    <w:rsid w:val="00643920"/>
    <w:rsid w:val="00643A2B"/>
    <w:rsid w:val="00643A2D"/>
    <w:rsid w:val="00643A7F"/>
    <w:rsid w:val="00643AC7"/>
    <w:rsid w:val="00643B00"/>
    <w:rsid w:val="00643B93"/>
    <w:rsid w:val="00643C0B"/>
    <w:rsid w:val="00643C54"/>
    <w:rsid w:val="00643D44"/>
    <w:rsid w:val="00643D69"/>
    <w:rsid w:val="00643DB7"/>
    <w:rsid w:val="00643DCB"/>
    <w:rsid w:val="00643E06"/>
    <w:rsid w:val="00643E07"/>
    <w:rsid w:val="00643E31"/>
    <w:rsid w:val="00643F1C"/>
    <w:rsid w:val="00643F59"/>
    <w:rsid w:val="00643FDF"/>
    <w:rsid w:val="0064403C"/>
    <w:rsid w:val="0064406E"/>
    <w:rsid w:val="00644097"/>
    <w:rsid w:val="006440AD"/>
    <w:rsid w:val="0064411E"/>
    <w:rsid w:val="0064426E"/>
    <w:rsid w:val="006442BF"/>
    <w:rsid w:val="006442CE"/>
    <w:rsid w:val="0064432A"/>
    <w:rsid w:val="00644456"/>
    <w:rsid w:val="00644525"/>
    <w:rsid w:val="006446CE"/>
    <w:rsid w:val="006446DB"/>
    <w:rsid w:val="00644763"/>
    <w:rsid w:val="006447CF"/>
    <w:rsid w:val="0064488A"/>
    <w:rsid w:val="0064489C"/>
    <w:rsid w:val="00644909"/>
    <w:rsid w:val="00644959"/>
    <w:rsid w:val="0064495F"/>
    <w:rsid w:val="006449CB"/>
    <w:rsid w:val="00644A97"/>
    <w:rsid w:val="00644AAB"/>
    <w:rsid w:val="00644B46"/>
    <w:rsid w:val="00644BE4"/>
    <w:rsid w:val="00644BE5"/>
    <w:rsid w:val="00644BF3"/>
    <w:rsid w:val="00644BF4"/>
    <w:rsid w:val="00644C17"/>
    <w:rsid w:val="00644E3A"/>
    <w:rsid w:val="00644EA3"/>
    <w:rsid w:val="00644EE9"/>
    <w:rsid w:val="00644F35"/>
    <w:rsid w:val="00644F95"/>
    <w:rsid w:val="00644F9E"/>
    <w:rsid w:val="00644FD6"/>
    <w:rsid w:val="0064501F"/>
    <w:rsid w:val="00645037"/>
    <w:rsid w:val="00645044"/>
    <w:rsid w:val="0064512E"/>
    <w:rsid w:val="00645153"/>
    <w:rsid w:val="00645162"/>
    <w:rsid w:val="00645174"/>
    <w:rsid w:val="00645275"/>
    <w:rsid w:val="006452A2"/>
    <w:rsid w:val="00645335"/>
    <w:rsid w:val="00645388"/>
    <w:rsid w:val="006453AE"/>
    <w:rsid w:val="006453B9"/>
    <w:rsid w:val="0064540D"/>
    <w:rsid w:val="0064543D"/>
    <w:rsid w:val="00645456"/>
    <w:rsid w:val="00645539"/>
    <w:rsid w:val="00645555"/>
    <w:rsid w:val="006455CA"/>
    <w:rsid w:val="006456E3"/>
    <w:rsid w:val="0064577B"/>
    <w:rsid w:val="006457BA"/>
    <w:rsid w:val="006457D4"/>
    <w:rsid w:val="00645839"/>
    <w:rsid w:val="006458B1"/>
    <w:rsid w:val="006458DC"/>
    <w:rsid w:val="006458F7"/>
    <w:rsid w:val="00645985"/>
    <w:rsid w:val="006459A7"/>
    <w:rsid w:val="006459F2"/>
    <w:rsid w:val="00645A3F"/>
    <w:rsid w:val="00645ADF"/>
    <w:rsid w:val="00645B5F"/>
    <w:rsid w:val="00645B62"/>
    <w:rsid w:val="00645C66"/>
    <w:rsid w:val="00645C74"/>
    <w:rsid w:val="00645C75"/>
    <w:rsid w:val="00645CEC"/>
    <w:rsid w:val="00645D02"/>
    <w:rsid w:val="00645D34"/>
    <w:rsid w:val="00645D3E"/>
    <w:rsid w:val="00645D66"/>
    <w:rsid w:val="00645D83"/>
    <w:rsid w:val="00645D8A"/>
    <w:rsid w:val="00645D8B"/>
    <w:rsid w:val="00645DA4"/>
    <w:rsid w:val="00645DA7"/>
    <w:rsid w:val="00645DD4"/>
    <w:rsid w:val="00645DD9"/>
    <w:rsid w:val="00645E5F"/>
    <w:rsid w:val="00645E69"/>
    <w:rsid w:val="00645E96"/>
    <w:rsid w:val="00645E9B"/>
    <w:rsid w:val="00645EBA"/>
    <w:rsid w:val="00645EE2"/>
    <w:rsid w:val="00645F5C"/>
    <w:rsid w:val="00645FAC"/>
    <w:rsid w:val="0064603B"/>
    <w:rsid w:val="00646045"/>
    <w:rsid w:val="006460CC"/>
    <w:rsid w:val="00646153"/>
    <w:rsid w:val="006461C4"/>
    <w:rsid w:val="006461F9"/>
    <w:rsid w:val="00646238"/>
    <w:rsid w:val="0064628F"/>
    <w:rsid w:val="006462B0"/>
    <w:rsid w:val="00646302"/>
    <w:rsid w:val="00646314"/>
    <w:rsid w:val="006463C1"/>
    <w:rsid w:val="0064641F"/>
    <w:rsid w:val="0064643D"/>
    <w:rsid w:val="006464F9"/>
    <w:rsid w:val="00646534"/>
    <w:rsid w:val="00646535"/>
    <w:rsid w:val="00646540"/>
    <w:rsid w:val="006465FD"/>
    <w:rsid w:val="006465FF"/>
    <w:rsid w:val="00646655"/>
    <w:rsid w:val="006466F7"/>
    <w:rsid w:val="006466FC"/>
    <w:rsid w:val="006467B1"/>
    <w:rsid w:val="00646875"/>
    <w:rsid w:val="0064689A"/>
    <w:rsid w:val="006468A5"/>
    <w:rsid w:val="00646901"/>
    <w:rsid w:val="0064692D"/>
    <w:rsid w:val="006469B8"/>
    <w:rsid w:val="00646A1E"/>
    <w:rsid w:val="00646AA8"/>
    <w:rsid w:val="00646AAE"/>
    <w:rsid w:val="00646B0A"/>
    <w:rsid w:val="00646C02"/>
    <w:rsid w:val="00646D96"/>
    <w:rsid w:val="00646DA4"/>
    <w:rsid w:val="00646E0C"/>
    <w:rsid w:val="00646F22"/>
    <w:rsid w:val="00646FA4"/>
    <w:rsid w:val="00647059"/>
    <w:rsid w:val="00647071"/>
    <w:rsid w:val="006470F8"/>
    <w:rsid w:val="006470FD"/>
    <w:rsid w:val="00647110"/>
    <w:rsid w:val="00647111"/>
    <w:rsid w:val="0064713F"/>
    <w:rsid w:val="006471A7"/>
    <w:rsid w:val="006471DD"/>
    <w:rsid w:val="0064720B"/>
    <w:rsid w:val="006472FA"/>
    <w:rsid w:val="0064735F"/>
    <w:rsid w:val="006473B2"/>
    <w:rsid w:val="006473C3"/>
    <w:rsid w:val="00647461"/>
    <w:rsid w:val="00647489"/>
    <w:rsid w:val="00647611"/>
    <w:rsid w:val="00647729"/>
    <w:rsid w:val="00647748"/>
    <w:rsid w:val="006477E1"/>
    <w:rsid w:val="0064780A"/>
    <w:rsid w:val="0064789D"/>
    <w:rsid w:val="006479CC"/>
    <w:rsid w:val="00647A0C"/>
    <w:rsid w:val="00647AD4"/>
    <w:rsid w:val="00647AD6"/>
    <w:rsid w:val="00647AF3"/>
    <w:rsid w:val="00647B39"/>
    <w:rsid w:val="00647BAC"/>
    <w:rsid w:val="00647BB3"/>
    <w:rsid w:val="00647BF6"/>
    <w:rsid w:val="00647C0A"/>
    <w:rsid w:val="00647C91"/>
    <w:rsid w:val="00647E7C"/>
    <w:rsid w:val="00647EA9"/>
    <w:rsid w:val="00647F59"/>
    <w:rsid w:val="00647F88"/>
    <w:rsid w:val="00647FA8"/>
    <w:rsid w:val="00650019"/>
    <w:rsid w:val="0065006B"/>
    <w:rsid w:val="00650171"/>
    <w:rsid w:val="006501AA"/>
    <w:rsid w:val="006501BD"/>
    <w:rsid w:val="006501D6"/>
    <w:rsid w:val="006501E8"/>
    <w:rsid w:val="0065021E"/>
    <w:rsid w:val="00650279"/>
    <w:rsid w:val="0065030C"/>
    <w:rsid w:val="006503A4"/>
    <w:rsid w:val="006503AC"/>
    <w:rsid w:val="006503BA"/>
    <w:rsid w:val="00650446"/>
    <w:rsid w:val="0065045F"/>
    <w:rsid w:val="00650496"/>
    <w:rsid w:val="006504BB"/>
    <w:rsid w:val="00650585"/>
    <w:rsid w:val="006506AE"/>
    <w:rsid w:val="00650740"/>
    <w:rsid w:val="00650750"/>
    <w:rsid w:val="0065075F"/>
    <w:rsid w:val="0065090C"/>
    <w:rsid w:val="00650A69"/>
    <w:rsid w:val="00650AC4"/>
    <w:rsid w:val="00650C6A"/>
    <w:rsid w:val="00650CA7"/>
    <w:rsid w:val="00650D04"/>
    <w:rsid w:val="00650DA5"/>
    <w:rsid w:val="00650DDD"/>
    <w:rsid w:val="00650E79"/>
    <w:rsid w:val="00650EAD"/>
    <w:rsid w:val="00651011"/>
    <w:rsid w:val="00651014"/>
    <w:rsid w:val="006510AE"/>
    <w:rsid w:val="006510B7"/>
    <w:rsid w:val="006510F2"/>
    <w:rsid w:val="00651114"/>
    <w:rsid w:val="006511AC"/>
    <w:rsid w:val="006511AE"/>
    <w:rsid w:val="006511DF"/>
    <w:rsid w:val="00651240"/>
    <w:rsid w:val="00651264"/>
    <w:rsid w:val="0065129F"/>
    <w:rsid w:val="0065130A"/>
    <w:rsid w:val="00651342"/>
    <w:rsid w:val="0065139E"/>
    <w:rsid w:val="006513B5"/>
    <w:rsid w:val="006513C4"/>
    <w:rsid w:val="006515CA"/>
    <w:rsid w:val="00651744"/>
    <w:rsid w:val="006517F3"/>
    <w:rsid w:val="0065189F"/>
    <w:rsid w:val="006518B0"/>
    <w:rsid w:val="006519C5"/>
    <w:rsid w:val="006519DF"/>
    <w:rsid w:val="00651A5A"/>
    <w:rsid w:val="00651A6E"/>
    <w:rsid w:val="00651B7F"/>
    <w:rsid w:val="00651C53"/>
    <w:rsid w:val="00651CF2"/>
    <w:rsid w:val="00651D09"/>
    <w:rsid w:val="00651D88"/>
    <w:rsid w:val="00651E13"/>
    <w:rsid w:val="00651EA4"/>
    <w:rsid w:val="00651F34"/>
    <w:rsid w:val="00651F7F"/>
    <w:rsid w:val="00651FBC"/>
    <w:rsid w:val="00651FC3"/>
    <w:rsid w:val="00652011"/>
    <w:rsid w:val="00652064"/>
    <w:rsid w:val="00652109"/>
    <w:rsid w:val="0065211B"/>
    <w:rsid w:val="0065215B"/>
    <w:rsid w:val="00652198"/>
    <w:rsid w:val="006521C5"/>
    <w:rsid w:val="006521D7"/>
    <w:rsid w:val="006522DC"/>
    <w:rsid w:val="0065232B"/>
    <w:rsid w:val="006523BD"/>
    <w:rsid w:val="006523C3"/>
    <w:rsid w:val="006524CB"/>
    <w:rsid w:val="00652506"/>
    <w:rsid w:val="006525DB"/>
    <w:rsid w:val="00652623"/>
    <w:rsid w:val="0065273C"/>
    <w:rsid w:val="006527DB"/>
    <w:rsid w:val="00652820"/>
    <w:rsid w:val="006528A0"/>
    <w:rsid w:val="00652995"/>
    <w:rsid w:val="00652B14"/>
    <w:rsid w:val="00652B42"/>
    <w:rsid w:val="00652B68"/>
    <w:rsid w:val="00652B87"/>
    <w:rsid w:val="00652BDB"/>
    <w:rsid w:val="00652BE4"/>
    <w:rsid w:val="00652BFF"/>
    <w:rsid w:val="00652CDC"/>
    <w:rsid w:val="00652EBD"/>
    <w:rsid w:val="0065300D"/>
    <w:rsid w:val="006530B9"/>
    <w:rsid w:val="006531EE"/>
    <w:rsid w:val="00653381"/>
    <w:rsid w:val="006533EF"/>
    <w:rsid w:val="0065345C"/>
    <w:rsid w:val="0065345D"/>
    <w:rsid w:val="00653493"/>
    <w:rsid w:val="006534A6"/>
    <w:rsid w:val="006534A8"/>
    <w:rsid w:val="0065356D"/>
    <w:rsid w:val="00653576"/>
    <w:rsid w:val="006536DA"/>
    <w:rsid w:val="006536E9"/>
    <w:rsid w:val="00653815"/>
    <w:rsid w:val="006538B0"/>
    <w:rsid w:val="00653988"/>
    <w:rsid w:val="006539AF"/>
    <w:rsid w:val="00653A10"/>
    <w:rsid w:val="00653A24"/>
    <w:rsid w:val="00653A67"/>
    <w:rsid w:val="00653A73"/>
    <w:rsid w:val="00653B2A"/>
    <w:rsid w:val="00653B3F"/>
    <w:rsid w:val="00653C34"/>
    <w:rsid w:val="00653C90"/>
    <w:rsid w:val="00653CD6"/>
    <w:rsid w:val="00653CD9"/>
    <w:rsid w:val="00653D08"/>
    <w:rsid w:val="00653E01"/>
    <w:rsid w:val="00653E7C"/>
    <w:rsid w:val="00653EC5"/>
    <w:rsid w:val="00653F12"/>
    <w:rsid w:val="00653F1A"/>
    <w:rsid w:val="00654036"/>
    <w:rsid w:val="00654037"/>
    <w:rsid w:val="006540B4"/>
    <w:rsid w:val="006540DB"/>
    <w:rsid w:val="006541A6"/>
    <w:rsid w:val="006541AC"/>
    <w:rsid w:val="00654212"/>
    <w:rsid w:val="00654217"/>
    <w:rsid w:val="00654273"/>
    <w:rsid w:val="006542C1"/>
    <w:rsid w:val="006542D1"/>
    <w:rsid w:val="006542F3"/>
    <w:rsid w:val="0065430E"/>
    <w:rsid w:val="0065431C"/>
    <w:rsid w:val="0065436E"/>
    <w:rsid w:val="006543D0"/>
    <w:rsid w:val="00654502"/>
    <w:rsid w:val="0065458E"/>
    <w:rsid w:val="0065459B"/>
    <w:rsid w:val="006545CA"/>
    <w:rsid w:val="00654662"/>
    <w:rsid w:val="0065468A"/>
    <w:rsid w:val="006546B6"/>
    <w:rsid w:val="006546D0"/>
    <w:rsid w:val="006546E4"/>
    <w:rsid w:val="006546EB"/>
    <w:rsid w:val="0065477F"/>
    <w:rsid w:val="00654793"/>
    <w:rsid w:val="006547B7"/>
    <w:rsid w:val="006547CF"/>
    <w:rsid w:val="006547EA"/>
    <w:rsid w:val="006547ED"/>
    <w:rsid w:val="006547F7"/>
    <w:rsid w:val="0065481A"/>
    <w:rsid w:val="00654882"/>
    <w:rsid w:val="0065488F"/>
    <w:rsid w:val="006548E7"/>
    <w:rsid w:val="00654910"/>
    <w:rsid w:val="006549FC"/>
    <w:rsid w:val="00654A8C"/>
    <w:rsid w:val="00654A9A"/>
    <w:rsid w:val="00654AD5"/>
    <w:rsid w:val="00654AE1"/>
    <w:rsid w:val="00654B17"/>
    <w:rsid w:val="00654C67"/>
    <w:rsid w:val="00654CEA"/>
    <w:rsid w:val="00654D37"/>
    <w:rsid w:val="00654DB0"/>
    <w:rsid w:val="00654DF1"/>
    <w:rsid w:val="00654EF9"/>
    <w:rsid w:val="00654F75"/>
    <w:rsid w:val="00654FD6"/>
    <w:rsid w:val="006550FF"/>
    <w:rsid w:val="00655182"/>
    <w:rsid w:val="0065519F"/>
    <w:rsid w:val="006551A6"/>
    <w:rsid w:val="00655204"/>
    <w:rsid w:val="00655207"/>
    <w:rsid w:val="006552BC"/>
    <w:rsid w:val="006553A3"/>
    <w:rsid w:val="006553B0"/>
    <w:rsid w:val="006553DB"/>
    <w:rsid w:val="006553E2"/>
    <w:rsid w:val="0065540D"/>
    <w:rsid w:val="006555BB"/>
    <w:rsid w:val="006555E5"/>
    <w:rsid w:val="006555FF"/>
    <w:rsid w:val="006556B0"/>
    <w:rsid w:val="006556E1"/>
    <w:rsid w:val="00655780"/>
    <w:rsid w:val="006557A5"/>
    <w:rsid w:val="006557B2"/>
    <w:rsid w:val="00655805"/>
    <w:rsid w:val="006558B9"/>
    <w:rsid w:val="006558F5"/>
    <w:rsid w:val="0065592F"/>
    <w:rsid w:val="0065597C"/>
    <w:rsid w:val="00655988"/>
    <w:rsid w:val="006559F3"/>
    <w:rsid w:val="00655A04"/>
    <w:rsid w:val="00655A47"/>
    <w:rsid w:val="00655AB6"/>
    <w:rsid w:val="00655AF6"/>
    <w:rsid w:val="00655C0F"/>
    <w:rsid w:val="00655C47"/>
    <w:rsid w:val="00655CAB"/>
    <w:rsid w:val="00655D6B"/>
    <w:rsid w:val="00655D98"/>
    <w:rsid w:val="00655DD8"/>
    <w:rsid w:val="00655DD9"/>
    <w:rsid w:val="00655E07"/>
    <w:rsid w:val="00655F28"/>
    <w:rsid w:val="0065601B"/>
    <w:rsid w:val="00656025"/>
    <w:rsid w:val="006560FE"/>
    <w:rsid w:val="0065612F"/>
    <w:rsid w:val="006561B2"/>
    <w:rsid w:val="006561E6"/>
    <w:rsid w:val="00656261"/>
    <w:rsid w:val="0065626E"/>
    <w:rsid w:val="006562D7"/>
    <w:rsid w:val="00656375"/>
    <w:rsid w:val="006563B0"/>
    <w:rsid w:val="0065642C"/>
    <w:rsid w:val="00656452"/>
    <w:rsid w:val="00656492"/>
    <w:rsid w:val="006564A8"/>
    <w:rsid w:val="006564B6"/>
    <w:rsid w:val="00656579"/>
    <w:rsid w:val="0065657E"/>
    <w:rsid w:val="006565CD"/>
    <w:rsid w:val="006565E6"/>
    <w:rsid w:val="006565FF"/>
    <w:rsid w:val="00656641"/>
    <w:rsid w:val="0065664B"/>
    <w:rsid w:val="006566A6"/>
    <w:rsid w:val="006566C6"/>
    <w:rsid w:val="006566CE"/>
    <w:rsid w:val="00656748"/>
    <w:rsid w:val="00656777"/>
    <w:rsid w:val="006567CD"/>
    <w:rsid w:val="00656863"/>
    <w:rsid w:val="00656864"/>
    <w:rsid w:val="00656901"/>
    <w:rsid w:val="00656913"/>
    <w:rsid w:val="0065696F"/>
    <w:rsid w:val="00656998"/>
    <w:rsid w:val="006569A2"/>
    <w:rsid w:val="00656A69"/>
    <w:rsid w:val="00656A99"/>
    <w:rsid w:val="00656B0A"/>
    <w:rsid w:val="00656B73"/>
    <w:rsid w:val="00656C19"/>
    <w:rsid w:val="00656CE9"/>
    <w:rsid w:val="00656E2C"/>
    <w:rsid w:val="00656E4D"/>
    <w:rsid w:val="00656E4F"/>
    <w:rsid w:val="00656EF3"/>
    <w:rsid w:val="00656F08"/>
    <w:rsid w:val="00656F94"/>
    <w:rsid w:val="00656FC0"/>
    <w:rsid w:val="006570E2"/>
    <w:rsid w:val="00657208"/>
    <w:rsid w:val="00657236"/>
    <w:rsid w:val="006572C7"/>
    <w:rsid w:val="00657332"/>
    <w:rsid w:val="0065733A"/>
    <w:rsid w:val="006575C4"/>
    <w:rsid w:val="00657609"/>
    <w:rsid w:val="006576AD"/>
    <w:rsid w:val="006576E0"/>
    <w:rsid w:val="00657805"/>
    <w:rsid w:val="00657855"/>
    <w:rsid w:val="0065786D"/>
    <w:rsid w:val="006578D0"/>
    <w:rsid w:val="006578DB"/>
    <w:rsid w:val="0065790B"/>
    <w:rsid w:val="00657940"/>
    <w:rsid w:val="00657976"/>
    <w:rsid w:val="006579A4"/>
    <w:rsid w:val="006579E0"/>
    <w:rsid w:val="00657A55"/>
    <w:rsid w:val="00657A6C"/>
    <w:rsid w:val="00657B02"/>
    <w:rsid w:val="00657B9B"/>
    <w:rsid w:val="00657BD3"/>
    <w:rsid w:val="00657CCB"/>
    <w:rsid w:val="00657DC1"/>
    <w:rsid w:val="00657E1C"/>
    <w:rsid w:val="00657E62"/>
    <w:rsid w:val="00657EE1"/>
    <w:rsid w:val="00660055"/>
    <w:rsid w:val="006600BB"/>
    <w:rsid w:val="006600CA"/>
    <w:rsid w:val="0066020C"/>
    <w:rsid w:val="006602F8"/>
    <w:rsid w:val="00660342"/>
    <w:rsid w:val="006603EC"/>
    <w:rsid w:val="00660514"/>
    <w:rsid w:val="0066051C"/>
    <w:rsid w:val="00660535"/>
    <w:rsid w:val="00660564"/>
    <w:rsid w:val="006605A2"/>
    <w:rsid w:val="006605CA"/>
    <w:rsid w:val="00660653"/>
    <w:rsid w:val="006606AE"/>
    <w:rsid w:val="006606C5"/>
    <w:rsid w:val="006606F0"/>
    <w:rsid w:val="00660737"/>
    <w:rsid w:val="006607FC"/>
    <w:rsid w:val="00660838"/>
    <w:rsid w:val="00660849"/>
    <w:rsid w:val="00660866"/>
    <w:rsid w:val="006608C1"/>
    <w:rsid w:val="0066094C"/>
    <w:rsid w:val="006609BB"/>
    <w:rsid w:val="00660C50"/>
    <w:rsid w:val="00660C92"/>
    <w:rsid w:val="00660D2D"/>
    <w:rsid w:val="00660DDC"/>
    <w:rsid w:val="00660E07"/>
    <w:rsid w:val="00660EA8"/>
    <w:rsid w:val="00660ED2"/>
    <w:rsid w:val="00660EDB"/>
    <w:rsid w:val="00660EF1"/>
    <w:rsid w:val="00660F89"/>
    <w:rsid w:val="0066104E"/>
    <w:rsid w:val="00661076"/>
    <w:rsid w:val="006610A2"/>
    <w:rsid w:val="006610F0"/>
    <w:rsid w:val="00661146"/>
    <w:rsid w:val="00661153"/>
    <w:rsid w:val="00661281"/>
    <w:rsid w:val="006612D4"/>
    <w:rsid w:val="006612F2"/>
    <w:rsid w:val="0066135D"/>
    <w:rsid w:val="00661379"/>
    <w:rsid w:val="006613D7"/>
    <w:rsid w:val="006613DC"/>
    <w:rsid w:val="006613E7"/>
    <w:rsid w:val="0066144B"/>
    <w:rsid w:val="00661463"/>
    <w:rsid w:val="00661484"/>
    <w:rsid w:val="00661511"/>
    <w:rsid w:val="00661553"/>
    <w:rsid w:val="0066158E"/>
    <w:rsid w:val="006615E7"/>
    <w:rsid w:val="0066163C"/>
    <w:rsid w:val="0066165C"/>
    <w:rsid w:val="00661677"/>
    <w:rsid w:val="00661713"/>
    <w:rsid w:val="0066177A"/>
    <w:rsid w:val="0066178F"/>
    <w:rsid w:val="00661846"/>
    <w:rsid w:val="006618DA"/>
    <w:rsid w:val="00661924"/>
    <w:rsid w:val="00661987"/>
    <w:rsid w:val="006619CA"/>
    <w:rsid w:val="00661B64"/>
    <w:rsid w:val="00661B67"/>
    <w:rsid w:val="00661B9B"/>
    <w:rsid w:val="00661C12"/>
    <w:rsid w:val="00661CFA"/>
    <w:rsid w:val="00661D15"/>
    <w:rsid w:val="00661D60"/>
    <w:rsid w:val="00661D71"/>
    <w:rsid w:val="00661DA4"/>
    <w:rsid w:val="00661F71"/>
    <w:rsid w:val="00661FFC"/>
    <w:rsid w:val="00662050"/>
    <w:rsid w:val="00662066"/>
    <w:rsid w:val="00662069"/>
    <w:rsid w:val="00662100"/>
    <w:rsid w:val="00662165"/>
    <w:rsid w:val="006622E5"/>
    <w:rsid w:val="0066233C"/>
    <w:rsid w:val="006623CD"/>
    <w:rsid w:val="0066244D"/>
    <w:rsid w:val="0066248D"/>
    <w:rsid w:val="006624DD"/>
    <w:rsid w:val="00662503"/>
    <w:rsid w:val="0066253C"/>
    <w:rsid w:val="0066256B"/>
    <w:rsid w:val="006625C3"/>
    <w:rsid w:val="006625DB"/>
    <w:rsid w:val="0066262B"/>
    <w:rsid w:val="00662688"/>
    <w:rsid w:val="006626CC"/>
    <w:rsid w:val="006627B5"/>
    <w:rsid w:val="006627B6"/>
    <w:rsid w:val="0066282C"/>
    <w:rsid w:val="0066282F"/>
    <w:rsid w:val="00662843"/>
    <w:rsid w:val="006629B2"/>
    <w:rsid w:val="00662A6A"/>
    <w:rsid w:val="00662AA5"/>
    <w:rsid w:val="00662AA9"/>
    <w:rsid w:val="00662B31"/>
    <w:rsid w:val="00662B5E"/>
    <w:rsid w:val="00662B7A"/>
    <w:rsid w:val="00662B7B"/>
    <w:rsid w:val="00662BA5"/>
    <w:rsid w:val="00662C2A"/>
    <w:rsid w:val="00662CA3"/>
    <w:rsid w:val="00662D59"/>
    <w:rsid w:val="00662D90"/>
    <w:rsid w:val="00662DBB"/>
    <w:rsid w:val="00662DD5"/>
    <w:rsid w:val="00662E3C"/>
    <w:rsid w:val="00662E6E"/>
    <w:rsid w:val="00662FBF"/>
    <w:rsid w:val="006630AC"/>
    <w:rsid w:val="00663213"/>
    <w:rsid w:val="006632DB"/>
    <w:rsid w:val="00663364"/>
    <w:rsid w:val="006633CD"/>
    <w:rsid w:val="006633ED"/>
    <w:rsid w:val="006634EB"/>
    <w:rsid w:val="006634EF"/>
    <w:rsid w:val="0066352B"/>
    <w:rsid w:val="00663555"/>
    <w:rsid w:val="006635B2"/>
    <w:rsid w:val="006635E6"/>
    <w:rsid w:val="00663696"/>
    <w:rsid w:val="006636E8"/>
    <w:rsid w:val="006636F4"/>
    <w:rsid w:val="00663706"/>
    <w:rsid w:val="00663709"/>
    <w:rsid w:val="0066372E"/>
    <w:rsid w:val="0066375B"/>
    <w:rsid w:val="00663895"/>
    <w:rsid w:val="0066389C"/>
    <w:rsid w:val="006638A1"/>
    <w:rsid w:val="0066396B"/>
    <w:rsid w:val="0066398C"/>
    <w:rsid w:val="006639EE"/>
    <w:rsid w:val="00663A1C"/>
    <w:rsid w:val="00663A4D"/>
    <w:rsid w:val="00663A84"/>
    <w:rsid w:val="00663AA7"/>
    <w:rsid w:val="00663B03"/>
    <w:rsid w:val="00663BA0"/>
    <w:rsid w:val="00663BCA"/>
    <w:rsid w:val="00663C67"/>
    <w:rsid w:val="00663C81"/>
    <w:rsid w:val="00663D2B"/>
    <w:rsid w:val="00663DAF"/>
    <w:rsid w:val="00663DCD"/>
    <w:rsid w:val="00663E3B"/>
    <w:rsid w:val="00663E67"/>
    <w:rsid w:val="00663E7A"/>
    <w:rsid w:val="00663EA1"/>
    <w:rsid w:val="00663FF1"/>
    <w:rsid w:val="0066407F"/>
    <w:rsid w:val="006640FB"/>
    <w:rsid w:val="0066418A"/>
    <w:rsid w:val="006641A8"/>
    <w:rsid w:val="006641C1"/>
    <w:rsid w:val="006641E3"/>
    <w:rsid w:val="0066420F"/>
    <w:rsid w:val="0066426A"/>
    <w:rsid w:val="00664282"/>
    <w:rsid w:val="006642A3"/>
    <w:rsid w:val="0066430B"/>
    <w:rsid w:val="00664487"/>
    <w:rsid w:val="006644C4"/>
    <w:rsid w:val="006644E5"/>
    <w:rsid w:val="00664570"/>
    <w:rsid w:val="006645C8"/>
    <w:rsid w:val="006645CC"/>
    <w:rsid w:val="00664655"/>
    <w:rsid w:val="00664682"/>
    <w:rsid w:val="006646CE"/>
    <w:rsid w:val="0066471B"/>
    <w:rsid w:val="006647B1"/>
    <w:rsid w:val="006647E2"/>
    <w:rsid w:val="00664836"/>
    <w:rsid w:val="00664847"/>
    <w:rsid w:val="0066486B"/>
    <w:rsid w:val="0066488F"/>
    <w:rsid w:val="0066489E"/>
    <w:rsid w:val="0066489F"/>
    <w:rsid w:val="006648D4"/>
    <w:rsid w:val="0066491C"/>
    <w:rsid w:val="006649A9"/>
    <w:rsid w:val="006649CC"/>
    <w:rsid w:val="00664A3D"/>
    <w:rsid w:val="00664A55"/>
    <w:rsid w:val="00664AEA"/>
    <w:rsid w:val="00664BB8"/>
    <w:rsid w:val="00664BC3"/>
    <w:rsid w:val="00664C2F"/>
    <w:rsid w:val="00664D55"/>
    <w:rsid w:val="00664DD1"/>
    <w:rsid w:val="00664F36"/>
    <w:rsid w:val="00664F7C"/>
    <w:rsid w:val="00664F89"/>
    <w:rsid w:val="00664FF3"/>
    <w:rsid w:val="0066500A"/>
    <w:rsid w:val="00665085"/>
    <w:rsid w:val="006650AA"/>
    <w:rsid w:val="006650EC"/>
    <w:rsid w:val="00665122"/>
    <w:rsid w:val="0066527A"/>
    <w:rsid w:val="006652A1"/>
    <w:rsid w:val="006652E0"/>
    <w:rsid w:val="00665332"/>
    <w:rsid w:val="0066533D"/>
    <w:rsid w:val="0066534B"/>
    <w:rsid w:val="0066544B"/>
    <w:rsid w:val="006654A8"/>
    <w:rsid w:val="00665525"/>
    <w:rsid w:val="00665558"/>
    <w:rsid w:val="0066556A"/>
    <w:rsid w:val="00665593"/>
    <w:rsid w:val="006655AC"/>
    <w:rsid w:val="00665692"/>
    <w:rsid w:val="006656B0"/>
    <w:rsid w:val="006656E7"/>
    <w:rsid w:val="006656F1"/>
    <w:rsid w:val="006656F8"/>
    <w:rsid w:val="006657CD"/>
    <w:rsid w:val="006657F9"/>
    <w:rsid w:val="00665800"/>
    <w:rsid w:val="00665816"/>
    <w:rsid w:val="00665837"/>
    <w:rsid w:val="00665864"/>
    <w:rsid w:val="006658AB"/>
    <w:rsid w:val="006659A7"/>
    <w:rsid w:val="006659FE"/>
    <w:rsid w:val="00665A54"/>
    <w:rsid w:val="00665A64"/>
    <w:rsid w:val="00665B3C"/>
    <w:rsid w:val="00665B51"/>
    <w:rsid w:val="00665BA9"/>
    <w:rsid w:val="00665C1E"/>
    <w:rsid w:val="00665C92"/>
    <w:rsid w:val="00665CCE"/>
    <w:rsid w:val="00665D88"/>
    <w:rsid w:val="00665E27"/>
    <w:rsid w:val="00665E8A"/>
    <w:rsid w:val="00665E96"/>
    <w:rsid w:val="00665ED0"/>
    <w:rsid w:val="00665EED"/>
    <w:rsid w:val="00665FB7"/>
    <w:rsid w:val="00665FC3"/>
    <w:rsid w:val="00665FC9"/>
    <w:rsid w:val="00666007"/>
    <w:rsid w:val="0066613C"/>
    <w:rsid w:val="00666190"/>
    <w:rsid w:val="0066624F"/>
    <w:rsid w:val="00666322"/>
    <w:rsid w:val="00666393"/>
    <w:rsid w:val="006664BE"/>
    <w:rsid w:val="00666512"/>
    <w:rsid w:val="0066657E"/>
    <w:rsid w:val="006665CF"/>
    <w:rsid w:val="006665DC"/>
    <w:rsid w:val="00666625"/>
    <w:rsid w:val="0066668B"/>
    <w:rsid w:val="0066669F"/>
    <w:rsid w:val="006666A1"/>
    <w:rsid w:val="006667A5"/>
    <w:rsid w:val="006667AB"/>
    <w:rsid w:val="006667F0"/>
    <w:rsid w:val="006667FE"/>
    <w:rsid w:val="0066680D"/>
    <w:rsid w:val="00666860"/>
    <w:rsid w:val="0066691D"/>
    <w:rsid w:val="00666950"/>
    <w:rsid w:val="00666956"/>
    <w:rsid w:val="0066695C"/>
    <w:rsid w:val="00666998"/>
    <w:rsid w:val="0066699E"/>
    <w:rsid w:val="006669D5"/>
    <w:rsid w:val="006669E2"/>
    <w:rsid w:val="00666A9C"/>
    <w:rsid w:val="00666B02"/>
    <w:rsid w:val="00666B3E"/>
    <w:rsid w:val="00666BB5"/>
    <w:rsid w:val="00666BB9"/>
    <w:rsid w:val="00666C3E"/>
    <w:rsid w:val="00666CA4"/>
    <w:rsid w:val="00666CB4"/>
    <w:rsid w:val="00666D01"/>
    <w:rsid w:val="00666D36"/>
    <w:rsid w:val="00666D5E"/>
    <w:rsid w:val="00666DB2"/>
    <w:rsid w:val="00666DC3"/>
    <w:rsid w:val="00666E6D"/>
    <w:rsid w:val="00666F09"/>
    <w:rsid w:val="00666F3F"/>
    <w:rsid w:val="0066703C"/>
    <w:rsid w:val="006670A0"/>
    <w:rsid w:val="00667191"/>
    <w:rsid w:val="006671B0"/>
    <w:rsid w:val="006671B1"/>
    <w:rsid w:val="006671D7"/>
    <w:rsid w:val="006671F6"/>
    <w:rsid w:val="00667219"/>
    <w:rsid w:val="006672D4"/>
    <w:rsid w:val="0066733D"/>
    <w:rsid w:val="0066739A"/>
    <w:rsid w:val="006673CF"/>
    <w:rsid w:val="0066745A"/>
    <w:rsid w:val="00667475"/>
    <w:rsid w:val="0066759A"/>
    <w:rsid w:val="006675CD"/>
    <w:rsid w:val="00667750"/>
    <w:rsid w:val="0066779F"/>
    <w:rsid w:val="006677B7"/>
    <w:rsid w:val="006677D8"/>
    <w:rsid w:val="00667884"/>
    <w:rsid w:val="006678D3"/>
    <w:rsid w:val="00667942"/>
    <w:rsid w:val="00667964"/>
    <w:rsid w:val="00667A52"/>
    <w:rsid w:val="00667AB4"/>
    <w:rsid w:val="00667AD5"/>
    <w:rsid w:val="00667C92"/>
    <w:rsid w:val="00667CA2"/>
    <w:rsid w:val="00667CAD"/>
    <w:rsid w:val="00667CB2"/>
    <w:rsid w:val="00667CDD"/>
    <w:rsid w:val="00667CE0"/>
    <w:rsid w:val="00667CF2"/>
    <w:rsid w:val="00667CFA"/>
    <w:rsid w:val="00667D33"/>
    <w:rsid w:val="00667DB5"/>
    <w:rsid w:val="00667E06"/>
    <w:rsid w:val="00667E23"/>
    <w:rsid w:val="00667E4E"/>
    <w:rsid w:val="00667E5E"/>
    <w:rsid w:val="00667EFD"/>
    <w:rsid w:val="00667F38"/>
    <w:rsid w:val="00667F9A"/>
    <w:rsid w:val="00670037"/>
    <w:rsid w:val="00670075"/>
    <w:rsid w:val="006700C5"/>
    <w:rsid w:val="006700D1"/>
    <w:rsid w:val="00670166"/>
    <w:rsid w:val="00670190"/>
    <w:rsid w:val="00670266"/>
    <w:rsid w:val="00670345"/>
    <w:rsid w:val="00670369"/>
    <w:rsid w:val="006703EF"/>
    <w:rsid w:val="0067044D"/>
    <w:rsid w:val="006704B8"/>
    <w:rsid w:val="00670507"/>
    <w:rsid w:val="00670529"/>
    <w:rsid w:val="0067058F"/>
    <w:rsid w:val="0067062F"/>
    <w:rsid w:val="00670718"/>
    <w:rsid w:val="00670826"/>
    <w:rsid w:val="00670951"/>
    <w:rsid w:val="006709AB"/>
    <w:rsid w:val="00670A5D"/>
    <w:rsid w:val="00670AD8"/>
    <w:rsid w:val="00670B45"/>
    <w:rsid w:val="00670B50"/>
    <w:rsid w:val="00670B9D"/>
    <w:rsid w:val="00670BDC"/>
    <w:rsid w:val="00670C07"/>
    <w:rsid w:val="00670C94"/>
    <w:rsid w:val="00670D88"/>
    <w:rsid w:val="00670DEC"/>
    <w:rsid w:val="00670E0D"/>
    <w:rsid w:val="00670E67"/>
    <w:rsid w:val="00670E8E"/>
    <w:rsid w:val="00670EB2"/>
    <w:rsid w:val="00670EC3"/>
    <w:rsid w:val="00671079"/>
    <w:rsid w:val="0067112A"/>
    <w:rsid w:val="0067116A"/>
    <w:rsid w:val="0067119C"/>
    <w:rsid w:val="006711C6"/>
    <w:rsid w:val="006711DF"/>
    <w:rsid w:val="00671333"/>
    <w:rsid w:val="006713CD"/>
    <w:rsid w:val="00671435"/>
    <w:rsid w:val="0067145A"/>
    <w:rsid w:val="00671547"/>
    <w:rsid w:val="006715C9"/>
    <w:rsid w:val="006715E3"/>
    <w:rsid w:val="0067164B"/>
    <w:rsid w:val="0067166D"/>
    <w:rsid w:val="006716C4"/>
    <w:rsid w:val="0067170D"/>
    <w:rsid w:val="00671721"/>
    <w:rsid w:val="00671725"/>
    <w:rsid w:val="00671762"/>
    <w:rsid w:val="00671786"/>
    <w:rsid w:val="00671834"/>
    <w:rsid w:val="006718A0"/>
    <w:rsid w:val="006718E5"/>
    <w:rsid w:val="0067199F"/>
    <w:rsid w:val="00671A27"/>
    <w:rsid w:val="00671A86"/>
    <w:rsid w:val="00671B01"/>
    <w:rsid w:val="00671B3C"/>
    <w:rsid w:val="00671BDE"/>
    <w:rsid w:val="00671C99"/>
    <w:rsid w:val="00671D44"/>
    <w:rsid w:val="00671E26"/>
    <w:rsid w:val="00671E66"/>
    <w:rsid w:val="00671ECC"/>
    <w:rsid w:val="00671ED3"/>
    <w:rsid w:val="00671F1D"/>
    <w:rsid w:val="00671F76"/>
    <w:rsid w:val="0067207D"/>
    <w:rsid w:val="0067208A"/>
    <w:rsid w:val="0067209F"/>
    <w:rsid w:val="00672161"/>
    <w:rsid w:val="006721E4"/>
    <w:rsid w:val="0067223E"/>
    <w:rsid w:val="00672286"/>
    <w:rsid w:val="00672327"/>
    <w:rsid w:val="006723B3"/>
    <w:rsid w:val="00672437"/>
    <w:rsid w:val="00672497"/>
    <w:rsid w:val="00672611"/>
    <w:rsid w:val="00672700"/>
    <w:rsid w:val="0067271A"/>
    <w:rsid w:val="00672757"/>
    <w:rsid w:val="00672787"/>
    <w:rsid w:val="0067283B"/>
    <w:rsid w:val="006728A9"/>
    <w:rsid w:val="00672943"/>
    <w:rsid w:val="0067295F"/>
    <w:rsid w:val="0067299B"/>
    <w:rsid w:val="006729E0"/>
    <w:rsid w:val="006729E5"/>
    <w:rsid w:val="00672A2A"/>
    <w:rsid w:val="00672A44"/>
    <w:rsid w:val="00672A7D"/>
    <w:rsid w:val="00672A8C"/>
    <w:rsid w:val="00672ABC"/>
    <w:rsid w:val="00672AE7"/>
    <w:rsid w:val="00672B4F"/>
    <w:rsid w:val="00672B87"/>
    <w:rsid w:val="00672B92"/>
    <w:rsid w:val="00672BC7"/>
    <w:rsid w:val="00672BE3"/>
    <w:rsid w:val="00672C1D"/>
    <w:rsid w:val="00672C2F"/>
    <w:rsid w:val="00672C43"/>
    <w:rsid w:val="00672C51"/>
    <w:rsid w:val="00672CEC"/>
    <w:rsid w:val="00672DC5"/>
    <w:rsid w:val="00672E66"/>
    <w:rsid w:val="00672E7B"/>
    <w:rsid w:val="00672EAE"/>
    <w:rsid w:val="00672EB9"/>
    <w:rsid w:val="00672EDB"/>
    <w:rsid w:val="00672FD0"/>
    <w:rsid w:val="00673022"/>
    <w:rsid w:val="0067303A"/>
    <w:rsid w:val="0067304C"/>
    <w:rsid w:val="00673063"/>
    <w:rsid w:val="0067306C"/>
    <w:rsid w:val="006730A8"/>
    <w:rsid w:val="006730B8"/>
    <w:rsid w:val="00673109"/>
    <w:rsid w:val="006731A4"/>
    <w:rsid w:val="00673243"/>
    <w:rsid w:val="006732A6"/>
    <w:rsid w:val="006732D9"/>
    <w:rsid w:val="006732FC"/>
    <w:rsid w:val="00673347"/>
    <w:rsid w:val="0067337A"/>
    <w:rsid w:val="006733C8"/>
    <w:rsid w:val="00673430"/>
    <w:rsid w:val="0067344F"/>
    <w:rsid w:val="006736B9"/>
    <w:rsid w:val="0067377C"/>
    <w:rsid w:val="00673780"/>
    <w:rsid w:val="006737A1"/>
    <w:rsid w:val="00673800"/>
    <w:rsid w:val="00673821"/>
    <w:rsid w:val="0067391A"/>
    <w:rsid w:val="006739B3"/>
    <w:rsid w:val="006739C0"/>
    <w:rsid w:val="00673AB6"/>
    <w:rsid w:val="00673AD9"/>
    <w:rsid w:val="00673ADF"/>
    <w:rsid w:val="00673AE0"/>
    <w:rsid w:val="00673B2F"/>
    <w:rsid w:val="00673B85"/>
    <w:rsid w:val="00673C7F"/>
    <w:rsid w:val="00673E3B"/>
    <w:rsid w:val="00673F31"/>
    <w:rsid w:val="00673FF3"/>
    <w:rsid w:val="00674008"/>
    <w:rsid w:val="00674056"/>
    <w:rsid w:val="0067406E"/>
    <w:rsid w:val="00674106"/>
    <w:rsid w:val="0067418E"/>
    <w:rsid w:val="006741B8"/>
    <w:rsid w:val="00674274"/>
    <w:rsid w:val="00674307"/>
    <w:rsid w:val="0067446D"/>
    <w:rsid w:val="0067453C"/>
    <w:rsid w:val="00674680"/>
    <w:rsid w:val="00674705"/>
    <w:rsid w:val="00674732"/>
    <w:rsid w:val="0067477F"/>
    <w:rsid w:val="00674788"/>
    <w:rsid w:val="006747A0"/>
    <w:rsid w:val="00674903"/>
    <w:rsid w:val="00674956"/>
    <w:rsid w:val="006749E5"/>
    <w:rsid w:val="006749F1"/>
    <w:rsid w:val="00674A69"/>
    <w:rsid w:val="00674A76"/>
    <w:rsid w:val="00674ADE"/>
    <w:rsid w:val="00674B7A"/>
    <w:rsid w:val="00674C09"/>
    <w:rsid w:val="00674C3D"/>
    <w:rsid w:val="00674D20"/>
    <w:rsid w:val="00674D4D"/>
    <w:rsid w:val="00674D67"/>
    <w:rsid w:val="00674DEB"/>
    <w:rsid w:val="00674E87"/>
    <w:rsid w:val="00674F70"/>
    <w:rsid w:val="00674FB9"/>
    <w:rsid w:val="00675032"/>
    <w:rsid w:val="00675089"/>
    <w:rsid w:val="006751C7"/>
    <w:rsid w:val="006752D2"/>
    <w:rsid w:val="0067531E"/>
    <w:rsid w:val="0067533A"/>
    <w:rsid w:val="0067539A"/>
    <w:rsid w:val="006753ED"/>
    <w:rsid w:val="0067543A"/>
    <w:rsid w:val="00675568"/>
    <w:rsid w:val="00675584"/>
    <w:rsid w:val="0067569F"/>
    <w:rsid w:val="006756ED"/>
    <w:rsid w:val="0067572A"/>
    <w:rsid w:val="00675744"/>
    <w:rsid w:val="00675781"/>
    <w:rsid w:val="00675786"/>
    <w:rsid w:val="00675790"/>
    <w:rsid w:val="006757E5"/>
    <w:rsid w:val="00675856"/>
    <w:rsid w:val="006758F1"/>
    <w:rsid w:val="00675904"/>
    <w:rsid w:val="00675957"/>
    <w:rsid w:val="00675983"/>
    <w:rsid w:val="0067598D"/>
    <w:rsid w:val="006759FA"/>
    <w:rsid w:val="00675A48"/>
    <w:rsid w:val="00675AD6"/>
    <w:rsid w:val="00675B9E"/>
    <w:rsid w:val="00675BBB"/>
    <w:rsid w:val="00675BDD"/>
    <w:rsid w:val="00675C52"/>
    <w:rsid w:val="00675C5C"/>
    <w:rsid w:val="00675C72"/>
    <w:rsid w:val="00675D75"/>
    <w:rsid w:val="00675D77"/>
    <w:rsid w:val="00675D97"/>
    <w:rsid w:val="00675DEA"/>
    <w:rsid w:val="00675E7C"/>
    <w:rsid w:val="00676035"/>
    <w:rsid w:val="00676052"/>
    <w:rsid w:val="00676082"/>
    <w:rsid w:val="006760EC"/>
    <w:rsid w:val="0067615D"/>
    <w:rsid w:val="0067619C"/>
    <w:rsid w:val="00676256"/>
    <w:rsid w:val="00676298"/>
    <w:rsid w:val="0067629E"/>
    <w:rsid w:val="0067631A"/>
    <w:rsid w:val="006763A0"/>
    <w:rsid w:val="006763CA"/>
    <w:rsid w:val="006763D0"/>
    <w:rsid w:val="0067641D"/>
    <w:rsid w:val="00676455"/>
    <w:rsid w:val="0067647A"/>
    <w:rsid w:val="00676493"/>
    <w:rsid w:val="00676494"/>
    <w:rsid w:val="006764FE"/>
    <w:rsid w:val="00676534"/>
    <w:rsid w:val="0067659E"/>
    <w:rsid w:val="0067661B"/>
    <w:rsid w:val="0067664C"/>
    <w:rsid w:val="00676653"/>
    <w:rsid w:val="00676709"/>
    <w:rsid w:val="0067676C"/>
    <w:rsid w:val="00676780"/>
    <w:rsid w:val="0067679C"/>
    <w:rsid w:val="006767B7"/>
    <w:rsid w:val="006767D3"/>
    <w:rsid w:val="006767E9"/>
    <w:rsid w:val="00676804"/>
    <w:rsid w:val="0067681F"/>
    <w:rsid w:val="006768CA"/>
    <w:rsid w:val="006768DE"/>
    <w:rsid w:val="00676939"/>
    <w:rsid w:val="00676987"/>
    <w:rsid w:val="0067699C"/>
    <w:rsid w:val="006769B5"/>
    <w:rsid w:val="00676A07"/>
    <w:rsid w:val="00676A28"/>
    <w:rsid w:val="00676AC8"/>
    <w:rsid w:val="00676AD2"/>
    <w:rsid w:val="00676B32"/>
    <w:rsid w:val="00676BE6"/>
    <w:rsid w:val="00676C6F"/>
    <w:rsid w:val="00676CB1"/>
    <w:rsid w:val="00676D08"/>
    <w:rsid w:val="00676D1B"/>
    <w:rsid w:val="00676D74"/>
    <w:rsid w:val="00676DC8"/>
    <w:rsid w:val="00676E8C"/>
    <w:rsid w:val="00676F27"/>
    <w:rsid w:val="00676F43"/>
    <w:rsid w:val="00676FD2"/>
    <w:rsid w:val="0067708E"/>
    <w:rsid w:val="006770DD"/>
    <w:rsid w:val="00677119"/>
    <w:rsid w:val="0067722B"/>
    <w:rsid w:val="00677247"/>
    <w:rsid w:val="006772C6"/>
    <w:rsid w:val="006773E0"/>
    <w:rsid w:val="006774B4"/>
    <w:rsid w:val="006775FA"/>
    <w:rsid w:val="006776A5"/>
    <w:rsid w:val="00677701"/>
    <w:rsid w:val="00677754"/>
    <w:rsid w:val="006777BD"/>
    <w:rsid w:val="0067783A"/>
    <w:rsid w:val="0067783F"/>
    <w:rsid w:val="00677872"/>
    <w:rsid w:val="00677904"/>
    <w:rsid w:val="0067797C"/>
    <w:rsid w:val="00677997"/>
    <w:rsid w:val="00677A04"/>
    <w:rsid w:val="00677A52"/>
    <w:rsid w:val="00677A86"/>
    <w:rsid w:val="00677B75"/>
    <w:rsid w:val="00677B79"/>
    <w:rsid w:val="00677C25"/>
    <w:rsid w:val="00677CE9"/>
    <w:rsid w:val="00677DF4"/>
    <w:rsid w:val="00677DF8"/>
    <w:rsid w:val="00677E04"/>
    <w:rsid w:val="00677E4D"/>
    <w:rsid w:val="00677E87"/>
    <w:rsid w:val="00677ED2"/>
    <w:rsid w:val="00677F7F"/>
    <w:rsid w:val="00677FBB"/>
    <w:rsid w:val="00677FD4"/>
    <w:rsid w:val="00680023"/>
    <w:rsid w:val="006800D3"/>
    <w:rsid w:val="00680105"/>
    <w:rsid w:val="00680169"/>
    <w:rsid w:val="00680193"/>
    <w:rsid w:val="0068020D"/>
    <w:rsid w:val="0068020E"/>
    <w:rsid w:val="00680239"/>
    <w:rsid w:val="006802A8"/>
    <w:rsid w:val="0068034D"/>
    <w:rsid w:val="00680354"/>
    <w:rsid w:val="00680370"/>
    <w:rsid w:val="0068037F"/>
    <w:rsid w:val="006803BE"/>
    <w:rsid w:val="006803C4"/>
    <w:rsid w:val="006803CC"/>
    <w:rsid w:val="006804B4"/>
    <w:rsid w:val="0068051A"/>
    <w:rsid w:val="0068051C"/>
    <w:rsid w:val="0068051E"/>
    <w:rsid w:val="0068052E"/>
    <w:rsid w:val="0068055F"/>
    <w:rsid w:val="00680615"/>
    <w:rsid w:val="0068061C"/>
    <w:rsid w:val="0068065A"/>
    <w:rsid w:val="0068068A"/>
    <w:rsid w:val="006806AC"/>
    <w:rsid w:val="00680712"/>
    <w:rsid w:val="0068074E"/>
    <w:rsid w:val="00680752"/>
    <w:rsid w:val="006807A9"/>
    <w:rsid w:val="00680808"/>
    <w:rsid w:val="006808AD"/>
    <w:rsid w:val="006808D5"/>
    <w:rsid w:val="006808DE"/>
    <w:rsid w:val="0068091A"/>
    <w:rsid w:val="006809A4"/>
    <w:rsid w:val="006809C7"/>
    <w:rsid w:val="00680ACF"/>
    <w:rsid w:val="00680B14"/>
    <w:rsid w:val="00680B22"/>
    <w:rsid w:val="00680B4A"/>
    <w:rsid w:val="00680BD8"/>
    <w:rsid w:val="00680BF4"/>
    <w:rsid w:val="00680C2A"/>
    <w:rsid w:val="00680C5F"/>
    <w:rsid w:val="00680CC2"/>
    <w:rsid w:val="00680D19"/>
    <w:rsid w:val="00680D43"/>
    <w:rsid w:val="00680D44"/>
    <w:rsid w:val="00680D46"/>
    <w:rsid w:val="00680D69"/>
    <w:rsid w:val="00680D7C"/>
    <w:rsid w:val="00680E44"/>
    <w:rsid w:val="00680E6A"/>
    <w:rsid w:val="00680EFF"/>
    <w:rsid w:val="00680FB5"/>
    <w:rsid w:val="00680FBC"/>
    <w:rsid w:val="00681038"/>
    <w:rsid w:val="00681135"/>
    <w:rsid w:val="00681139"/>
    <w:rsid w:val="0068114F"/>
    <w:rsid w:val="00681201"/>
    <w:rsid w:val="0068120C"/>
    <w:rsid w:val="0068121E"/>
    <w:rsid w:val="0068125F"/>
    <w:rsid w:val="00681274"/>
    <w:rsid w:val="006812B9"/>
    <w:rsid w:val="006812C2"/>
    <w:rsid w:val="0068138F"/>
    <w:rsid w:val="00681390"/>
    <w:rsid w:val="006813DA"/>
    <w:rsid w:val="006813E1"/>
    <w:rsid w:val="0068142F"/>
    <w:rsid w:val="00681551"/>
    <w:rsid w:val="0068155B"/>
    <w:rsid w:val="0068160B"/>
    <w:rsid w:val="0068163E"/>
    <w:rsid w:val="0068166D"/>
    <w:rsid w:val="0068168D"/>
    <w:rsid w:val="0068169C"/>
    <w:rsid w:val="006816E4"/>
    <w:rsid w:val="0068176B"/>
    <w:rsid w:val="0068179A"/>
    <w:rsid w:val="006817B0"/>
    <w:rsid w:val="006817BF"/>
    <w:rsid w:val="006817F8"/>
    <w:rsid w:val="00681866"/>
    <w:rsid w:val="00681888"/>
    <w:rsid w:val="00681963"/>
    <w:rsid w:val="00681A14"/>
    <w:rsid w:val="00681A46"/>
    <w:rsid w:val="00681A6E"/>
    <w:rsid w:val="00681AB5"/>
    <w:rsid w:val="00681B42"/>
    <w:rsid w:val="00681C2B"/>
    <w:rsid w:val="00681CF3"/>
    <w:rsid w:val="00681E31"/>
    <w:rsid w:val="00681E9A"/>
    <w:rsid w:val="00681EEF"/>
    <w:rsid w:val="00681F68"/>
    <w:rsid w:val="00681FA8"/>
    <w:rsid w:val="00682008"/>
    <w:rsid w:val="00682085"/>
    <w:rsid w:val="006820D3"/>
    <w:rsid w:val="006820E7"/>
    <w:rsid w:val="00682116"/>
    <w:rsid w:val="006821ED"/>
    <w:rsid w:val="0068222B"/>
    <w:rsid w:val="006822AB"/>
    <w:rsid w:val="0068233F"/>
    <w:rsid w:val="0068237C"/>
    <w:rsid w:val="00682500"/>
    <w:rsid w:val="0068254E"/>
    <w:rsid w:val="00682551"/>
    <w:rsid w:val="00682560"/>
    <w:rsid w:val="0068261B"/>
    <w:rsid w:val="0068267A"/>
    <w:rsid w:val="0068272D"/>
    <w:rsid w:val="0068273C"/>
    <w:rsid w:val="00682749"/>
    <w:rsid w:val="00682848"/>
    <w:rsid w:val="00682855"/>
    <w:rsid w:val="0068285C"/>
    <w:rsid w:val="006828BF"/>
    <w:rsid w:val="006828C1"/>
    <w:rsid w:val="0068294F"/>
    <w:rsid w:val="00682967"/>
    <w:rsid w:val="0068297C"/>
    <w:rsid w:val="006829FA"/>
    <w:rsid w:val="00682B9B"/>
    <w:rsid w:val="00682BB1"/>
    <w:rsid w:val="00682CCC"/>
    <w:rsid w:val="00682CF5"/>
    <w:rsid w:val="00682DDC"/>
    <w:rsid w:val="00682DEA"/>
    <w:rsid w:val="00682E96"/>
    <w:rsid w:val="00682EBC"/>
    <w:rsid w:val="00682F13"/>
    <w:rsid w:val="00682FD7"/>
    <w:rsid w:val="00682FDA"/>
    <w:rsid w:val="0068308A"/>
    <w:rsid w:val="006830B3"/>
    <w:rsid w:val="0068326B"/>
    <w:rsid w:val="00683383"/>
    <w:rsid w:val="0068338C"/>
    <w:rsid w:val="006833A3"/>
    <w:rsid w:val="006833AA"/>
    <w:rsid w:val="006833B3"/>
    <w:rsid w:val="00683404"/>
    <w:rsid w:val="006834C7"/>
    <w:rsid w:val="006835C4"/>
    <w:rsid w:val="006835E6"/>
    <w:rsid w:val="0068371E"/>
    <w:rsid w:val="0068380A"/>
    <w:rsid w:val="0068380C"/>
    <w:rsid w:val="0068381C"/>
    <w:rsid w:val="00683856"/>
    <w:rsid w:val="00683877"/>
    <w:rsid w:val="0068393C"/>
    <w:rsid w:val="00683958"/>
    <w:rsid w:val="00683996"/>
    <w:rsid w:val="00683A1A"/>
    <w:rsid w:val="00683A1C"/>
    <w:rsid w:val="00683A7C"/>
    <w:rsid w:val="00683BCA"/>
    <w:rsid w:val="00683C12"/>
    <w:rsid w:val="00683C14"/>
    <w:rsid w:val="00683C46"/>
    <w:rsid w:val="00683C6B"/>
    <w:rsid w:val="00683C6C"/>
    <w:rsid w:val="00683CD5"/>
    <w:rsid w:val="00683CE8"/>
    <w:rsid w:val="00683D02"/>
    <w:rsid w:val="00683D49"/>
    <w:rsid w:val="00683D99"/>
    <w:rsid w:val="00683EDB"/>
    <w:rsid w:val="00683EEF"/>
    <w:rsid w:val="00683F59"/>
    <w:rsid w:val="00683F86"/>
    <w:rsid w:val="00683FCA"/>
    <w:rsid w:val="00683FD1"/>
    <w:rsid w:val="00683FD2"/>
    <w:rsid w:val="006840D7"/>
    <w:rsid w:val="00684148"/>
    <w:rsid w:val="0068416A"/>
    <w:rsid w:val="006841A5"/>
    <w:rsid w:val="006841CE"/>
    <w:rsid w:val="00684235"/>
    <w:rsid w:val="00684288"/>
    <w:rsid w:val="006842CE"/>
    <w:rsid w:val="006843A9"/>
    <w:rsid w:val="0068448C"/>
    <w:rsid w:val="006844AB"/>
    <w:rsid w:val="006844B3"/>
    <w:rsid w:val="006844BC"/>
    <w:rsid w:val="006844F9"/>
    <w:rsid w:val="00684501"/>
    <w:rsid w:val="006845BB"/>
    <w:rsid w:val="00684624"/>
    <w:rsid w:val="00684661"/>
    <w:rsid w:val="0068468F"/>
    <w:rsid w:val="00684745"/>
    <w:rsid w:val="006847E0"/>
    <w:rsid w:val="006847F3"/>
    <w:rsid w:val="006847FE"/>
    <w:rsid w:val="006848FC"/>
    <w:rsid w:val="0068492E"/>
    <w:rsid w:val="006849B2"/>
    <w:rsid w:val="00684B15"/>
    <w:rsid w:val="00684B52"/>
    <w:rsid w:val="00684B88"/>
    <w:rsid w:val="00684BBC"/>
    <w:rsid w:val="00684C0C"/>
    <w:rsid w:val="00684C23"/>
    <w:rsid w:val="00684C4F"/>
    <w:rsid w:val="00684CD1"/>
    <w:rsid w:val="00684D39"/>
    <w:rsid w:val="00684D4D"/>
    <w:rsid w:val="00684D7F"/>
    <w:rsid w:val="00684DBA"/>
    <w:rsid w:val="00684E0D"/>
    <w:rsid w:val="00684E2B"/>
    <w:rsid w:val="00684EB3"/>
    <w:rsid w:val="00684F40"/>
    <w:rsid w:val="00684F5D"/>
    <w:rsid w:val="00684F73"/>
    <w:rsid w:val="00684F76"/>
    <w:rsid w:val="006850C5"/>
    <w:rsid w:val="006852F6"/>
    <w:rsid w:val="00685385"/>
    <w:rsid w:val="006853FF"/>
    <w:rsid w:val="00685413"/>
    <w:rsid w:val="00685493"/>
    <w:rsid w:val="006854FD"/>
    <w:rsid w:val="00685532"/>
    <w:rsid w:val="006855F0"/>
    <w:rsid w:val="0068561B"/>
    <w:rsid w:val="0068568B"/>
    <w:rsid w:val="006856E4"/>
    <w:rsid w:val="00685721"/>
    <w:rsid w:val="0068578D"/>
    <w:rsid w:val="006857B1"/>
    <w:rsid w:val="00685866"/>
    <w:rsid w:val="006858AD"/>
    <w:rsid w:val="006858F1"/>
    <w:rsid w:val="0068593C"/>
    <w:rsid w:val="006859C3"/>
    <w:rsid w:val="00685A29"/>
    <w:rsid w:val="00685A2C"/>
    <w:rsid w:val="00685A3B"/>
    <w:rsid w:val="00685ADD"/>
    <w:rsid w:val="00685B81"/>
    <w:rsid w:val="00685B84"/>
    <w:rsid w:val="00685C17"/>
    <w:rsid w:val="00685C21"/>
    <w:rsid w:val="00685C9F"/>
    <w:rsid w:val="00685CB5"/>
    <w:rsid w:val="00685CF8"/>
    <w:rsid w:val="00685D72"/>
    <w:rsid w:val="00685DD5"/>
    <w:rsid w:val="00685F0E"/>
    <w:rsid w:val="00685F30"/>
    <w:rsid w:val="00685FD1"/>
    <w:rsid w:val="00686033"/>
    <w:rsid w:val="00686038"/>
    <w:rsid w:val="0068607F"/>
    <w:rsid w:val="0068608F"/>
    <w:rsid w:val="0068609C"/>
    <w:rsid w:val="00686107"/>
    <w:rsid w:val="006861E8"/>
    <w:rsid w:val="006861F5"/>
    <w:rsid w:val="00686232"/>
    <w:rsid w:val="00686258"/>
    <w:rsid w:val="006862A2"/>
    <w:rsid w:val="006862C9"/>
    <w:rsid w:val="00686343"/>
    <w:rsid w:val="0068638F"/>
    <w:rsid w:val="006863C9"/>
    <w:rsid w:val="006864E8"/>
    <w:rsid w:val="006866A9"/>
    <w:rsid w:val="006866CF"/>
    <w:rsid w:val="00686701"/>
    <w:rsid w:val="0068673A"/>
    <w:rsid w:val="00686766"/>
    <w:rsid w:val="006867BD"/>
    <w:rsid w:val="00686814"/>
    <w:rsid w:val="00686857"/>
    <w:rsid w:val="006868F8"/>
    <w:rsid w:val="00686995"/>
    <w:rsid w:val="006869C9"/>
    <w:rsid w:val="006869E8"/>
    <w:rsid w:val="00686A12"/>
    <w:rsid w:val="00686A58"/>
    <w:rsid w:val="00686A7B"/>
    <w:rsid w:val="00686A98"/>
    <w:rsid w:val="00686AFF"/>
    <w:rsid w:val="00686B69"/>
    <w:rsid w:val="00686B89"/>
    <w:rsid w:val="00686BEC"/>
    <w:rsid w:val="00686C14"/>
    <w:rsid w:val="00686C66"/>
    <w:rsid w:val="00686CDE"/>
    <w:rsid w:val="00686CFA"/>
    <w:rsid w:val="00686D55"/>
    <w:rsid w:val="00686E21"/>
    <w:rsid w:val="00686EED"/>
    <w:rsid w:val="00686FEC"/>
    <w:rsid w:val="00686FF2"/>
    <w:rsid w:val="00686FF9"/>
    <w:rsid w:val="0068711D"/>
    <w:rsid w:val="0068717A"/>
    <w:rsid w:val="006871B8"/>
    <w:rsid w:val="006871EF"/>
    <w:rsid w:val="00687206"/>
    <w:rsid w:val="006872D6"/>
    <w:rsid w:val="0068736A"/>
    <w:rsid w:val="006873DE"/>
    <w:rsid w:val="00687407"/>
    <w:rsid w:val="006874A5"/>
    <w:rsid w:val="006874DA"/>
    <w:rsid w:val="00687509"/>
    <w:rsid w:val="00687533"/>
    <w:rsid w:val="00687548"/>
    <w:rsid w:val="00687561"/>
    <w:rsid w:val="00687625"/>
    <w:rsid w:val="00687627"/>
    <w:rsid w:val="0068764C"/>
    <w:rsid w:val="00687693"/>
    <w:rsid w:val="006876A2"/>
    <w:rsid w:val="00687711"/>
    <w:rsid w:val="0068774E"/>
    <w:rsid w:val="006877F6"/>
    <w:rsid w:val="00687817"/>
    <w:rsid w:val="00687881"/>
    <w:rsid w:val="006878B4"/>
    <w:rsid w:val="006878B7"/>
    <w:rsid w:val="00687945"/>
    <w:rsid w:val="0068795A"/>
    <w:rsid w:val="0068795B"/>
    <w:rsid w:val="0068797B"/>
    <w:rsid w:val="00687990"/>
    <w:rsid w:val="00687A2F"/>
    <w:rsid w:val="00687A53"/>
    <w:rsid w:val="00687B66"/>
    <w:rsid w:val="00687B8E"/>
    <w:rsid w:val="00687B9E"/>
    <w:rsid w:val="00687BFE"/>
    <w:rsid w:val="00687C3E"/>
    <w:rsid w:val="00687C63"/>
    <w:rsid w:val="00687CAA"/>
    <w:rsid w:val="00687CBB"/>
    <w:rsid w:val="00687CBF"/>
    <w:rsid w:val="00687D2C"/>
    <w:rsid w:val="00687D36"/>
    <w:rsid w:val="00687DD2"/>
    <w:rsid w:val="00687DDF"/>
    <w:rsid w:val="00687DFB"/>
    <w:rsid w:val="00687E3A"/>
    <w:rsid w:val="00687E8A"/>
    <w:rsid w:val="00687EC3"/>
    <w:rsid w:val="00687EE5"/>
    <w:rsid w:val="00687EF4"/>
    <w:rsid w:val="00687F2C"/>
    <w:rsid w:val="00687F5B"/>
    <w:rsid w:val="00687F6D"/>
    <w:rsid w:val="0069005A"/>
    <w:rsid w:val="00690110"/>
    <w:rsid w:val="00690170"/>
    <w:rsid w:val="006901A2"/>
    <w:rsid w:val="0069026B"/>
    <w:rsid w:val="006902BA"/>
    <w:rsid w:val="006903ED"/>
    <w:rsid w:val="0069046C"/>
    <w:rsid w:val="00690480"/>
    <w:rsid w:val="006904CD"/>
    <w:rsid w:val="0069050D"/>
    <w:rsid w:val="00690532"/>
    <w:rsid w:val="0069059C"/>
    <w:rsid w:val="006906C8"/>
    <w:rsid w:val="0069071D"/>
    <w:rsid w:val="0069073B"/>
    <w:rsid w:val="00690794"/>
    <w:rsid w:val="0069080E"/>
    <w:rsid w:val="00690813"/>
    <w:rsid w:val="00690874"/>
    <w:rsid w:val="006908AE"/>
    <w:rsid w:val="006908BE"/>
    <w:rsid w:val="00690911"/>
    <w:rsid w:val="00690914"/>
    <w:rsid w:val="006909D7"/>
    <w:rsid w:val="00690A3D"/>
    <w:rsid w:val="00690A46"/>
    <w:rsid w:val="00690A89"/>
    <w:rsid w:val="00690A8F"/>
    <w:rsid w:val="00690A9F"/>
    <w:rsid w:val="00690AC6"/>
    <w:rsid w:val="00690AD2"/>
    <w:rsid w:val="00690B13"/>
    <w:rsid w:val="00690B67"/>
    <w:rsid w:val="00690B8B"/>
    <w:rsid w:val="00690C4A"/>
    <w:rsid w:val="00690DA7"/>
    <w:rsid w:val="00690E15"/>
    <w:rsid w:val="00690EAE"/>
    <w:rsid w:val="00690EBD"/>
    <w:rsid w:val="00690F18"/>
    <w:rsid w:val="00690F6F"/>
    <w:rsid w:val="00691099"/>
    <w:rsid w:val="0069110B"/>
    <w:rsid w:val="0069118C"/>
    <w:rsid w:val="00691201"/>
    <w:rsid w:val="00691258"/>
    <w:rsid w:val="00691297"/>
    <w:rsid w:val="00691314"/>
    <w:rsid w:val="00691330"/>
    <w:rsid w:val="00691332"/>
    <w:rsid w:val="006913EC"/>
    <w:rsid w:val="00691449"/>
    <w:rsid w:val="006914C3"/>
    <w:rsid w:val="00691523"/>
    <w:rsid w:val="00691539"/>
    <w:rsid w:val="00691552"/>
    <w:rsid w:val="006915F0"/>
    <w:rsid w:val="0069167B"/>
    <w:rsid w:val="006916E4"/>
    <w:rsid w:val="00691737"/>
    <w:rsid w:val="00691758"/>
    <w:rsid w:val="0069177B"/>
    <w:rsid w:val="00691798"/>
    <w:rsid w:val="00691844"/>
    <w:rsid w:val="0069184D"/>
    <w:rsid w:val="0069186F"/>
    <w:rsid w:val="006918A3"/>
    <w:rsid w:val="0069192E"/>
    <w:rsid w:val="00691932"/>
    <w:rsid w:val="00691A0C"/>
    <w:rsid w:val="00691A66"/>
    <w:rsid w:val="00691A7B"/>
    <w:rsid w:val="00691B73"/>
    <w:rsid w:val="00691BD1"/>
    <w:rsid w:val="00691BD6"/>
    <w:rsid w:val="00691C0F"/>
    <w:rsid w:val="00691C38"/>
    <w:rsid w:val="00691CBE"/>
    <w:rsid w:val="00691D3B"/>
    <w:rsid w:val="00691DA8"/>
    <w:rsid w:val="00691DD5"/>
    <w:rsid w:val="00691E0C"/>
    <w:rsid w:val="00691EB3"/>
    <w:rsid w:val="00691FA0"/>
    <w:rsid w:val="00691FF0"/>
    <w:rsid w:val="0069202A"/>
    <w:rsid w:val="00692139"/>
    <w:rsid w:val="0069213B"/>
    <w:rsid w:val="0069216A"/>
    <w:rsid w:val="0069219C"/>
    <w:rsid w:val="00692222"/>
    <w:rsid w:val="00692250"/>
    <w:rsid w:val="006922DD"/>
    <w:rsid w:val="00692355"/>
    <w:rsid w:val="00692366"/>
    <w:rsid w:val="00692396"/>
    <w:rsid w:val="006923B2"/>
    <w:rsid w:val="006923DD"/>
    <w:rsid w:val="0069248B"/>
    <w:rsid w:val="006924AE"/>
    <w:rsid w:val="006924D4"/>
    <w:rsid w:val="006924F9"/>
    <w:rsid w:val="0069251A"/>
    <w:rsid w:val="00692520"/>
    <w:rsid w:val="006925DD"/>
    <w:rsid w:val="00692703"/>
    <w:rsid w:val="00692801"/>
    <w:rsid w:val="0069295E"/>
    <w:rsid w:val="006929BD"/>
    <w:rsid w:val="00692A50"/>
    <w:rsid w:val="00692A77"/>
    <w:rsid w:val="00692A79"/>
    <w:rsid w:val="00692AC5"/>
    <w:rsid w:val="00692ADE"/>
    <w:rsid w:val="00692B30"/>
    <w:rsid w:val="00692C71"/>
    <w:rsid w:val="00692D17"/>
    <w:rsid w:val="00692D7A"/>
    <w:rsid w:val="00692DE9"/>
    <w:rsid w:val="00692E0D"/>
    <w:rsid w:val="00692E2D"/>
    <w:rsid w:val="00692E34"/>
    <w:rsid w:val="00692F0C"/>
    <w:rsid w:val="00692F95"/>
    <w:rsid w:val="00692FE8"/>
    <w:rsid w:val="00693080"/>
    <w:rsid w:val="006930CE"/>
    <w:rsid w:val="0069318F"/>
    <w:rsid w:val="006931C8"/>
    <w:rsid w:val="00693262"/>
    <w:rsid w:val="00693277"/>
    <w:rsid w:val="006933D4"/>
    <w:rsid w:val="00693403"/>
    <w:rsid w:val="006934C5"/>
    <w:rsid w:val="00693512"/>
    <w:rsid w:val="00693571"/>
    <w:rsid w:val="00693575"/>
    <w:rsid w:val="00693586"/>
    <w:rsid w:val="006935C3"/>
    <w:rsid w:val="006935CE"/>
    <w:rsid w:val="006935FD"/>
    <w:rsid w:val="00693662"/>
    <w:rsid w:val="0069369B"/>
    <w:rsid w:val="006936AE"/>
    <w:rsid w:val="00693749"/>
    <w:rsid w:val="0069374B"/>
    <w:rsid w:val="0069378E"/>
    <w:rsid w:val="0069379C"/>
    <w:rsid w:val="006937E3"/>
    <w:rsid w:val="00693829"/>
    <w:rsid w:val="00693854"/>
    <w:rsid w:val="00693869"/>
    <w:rsid w:val="0069390E"/>
    <w:rsid w:val="00693A3E"/>
    <w:rsid w:val="00693A78"/>
    <w:rsid w:val="00693A9C"/>
    <w:rsid w:val="00693B74"/>
    <w:rsid w:val="00693BE3"/>
    <w:rsid w:val="00693BF0"/>
    <w:rsid w:val="00693C85"/>
    <w:rsid w:val="00693CB7"/>
    <w:rsid w:val="00693D1D"/>
    <w:rsid w:val="00693D45"/>
    <w:rsid w:val="00693DB4"/>
    <w:rsid w:val="00693E7E"/>
    <w:rsid w:val="00693E7F"/>
    <w:rsid w:val="00693E8D"/>
    <w:rsid w:val="00693F01"/>
    <w:rsid w:val="00693F2F"/>
    <w:rsid w:val="0069403B"/>
    <w:rsid w:val="0069403D"/>
    <w:rsid w:val="00694045"/>
    <w:rsid w:val="00694073"/>
    <w:rsid w:val="00694125"/>
    <w:rsid w:val="00694145"/>
    <w:rsid w:val="0069416A"/>
    <w:rsid w:val="006941A5"/>
    <w:rsid w:val="006941DE"/>
    <w:rsid w:val="0069422C"/>
    <w:rsid w:val="006942A5"/>
    <w:rsid w:val="006942EB"/>
    <w:rsid w:val="00694328"/>
    <w:rsid w:val="00694380"/>
    <w:rsid w:val="006944B8"/>
    <w:rsid w:val="006944BE"/>
    <w:rsid w:val="00694543"/>
    <w:rsid w:val="0069455E"/>
    <w:rsid w:val="00694572"/>
    <w:rsid w:val="00694573"/>
    <w:rsid w:val="00694578"/>
    <w:rsid w:val="00694599"/>
    <w:rsid w:val="006945B6"/>
    <w:rsid w:val="006945D3"/>
    <w:rsid w:val="00694638"/>
    <w:rsid w:val="00694678"/>
    <w:rsid w:val="006946B3"/>
    <w:rsid w:val="006946E4"/>
    <w:rsid w:val="006946FF"/>
    <w:rsid w:val="0069471D"/>
    <w:rsid w:val="00694732"/>
    <w:rsid w:val="0069475C"/>
    <w:rsid w:val="0069479D"/>
    <w:rsid w:val="00694831"/>
    <w:rsid w:val="00694985"/>
    <w:rsid w:val="006949A5"/>
    <w:rsid w:val="006949C9"/>
    <w:rsid w:val="006949D4"/>
    <w:rsid w:val="006949D5"/>
    <w:rsid w:val="00694A41"/>
    <w:rsid w:val="00694B09"/>
    <w:rsid w:val="00694B17"/>
    <w:rsid w:val="00694B4B"/>
    <w:rsid w:val="00694BD1"/>
    <w:rsid w:val="00694C64"/>
    <w:rsid w:val="00694D81"/>
    <w:rsid w:val="00694DB7"/>
    <w:rsid w:val="00694DD7"/>
    <w:rsid w:val="00694DF9"/>
    <w:rsid w:val="00694E28"/>
    <w:rsid w:val="00694EBA"/>
    <w:rsid w:val="00694F37"/>
    <w:rsid w:val="00694F88"/>
    <w:rsid w:val="00694FD3"/>
    <w:rsid w:val="00694FD5"/>
    <w:rsid w:val="00695050"/>
    <w:rsid w:val="006950FA"/>
    <w:rsid w:val="006951A9"/>
    <w:rsid w:val="00695254"/>
    <w:rsid w:val="0069526D"/>
    <w:rsid w:val="00695373"/>
    <w:rsid w:val="0069537F"/>
    <w:rsid w:val="0069539C"/>
    <w:rsid w:val="006953B9"/>
    <w:rsid w:val="00695423"/>
    <w:rsid w:val="00695425"/>
    <w:rsid w:val="006954E8"/>
    <w:rsid w:val="00695511"/>
    <w:rsid w:val="0069551B"/>
    <w:rsid w:val="0069554F"/>
    <w:rsid w:val="006955C9"/>
    <w:rsid w:val="0069562A"/>
    <w:rsid w:val="00695689"/>
    <w:rsid w:val="006956C3"/>
    <w:rsid w:val="0069576C"/>
    <w:rsid w:val="006957AA"/>
    <w:rsid w:val="006957B5"/>
    <w:rsid w:val="006957CE"/>
    <w:rsid w:val="006958B9"/>
    <w:rsid w:val="006958F5"/>
    <w:rsid w:val="006958FF"/>
    <w:rsid w:val="00695A14"/>
    <w:rsid w:val="00695B4D"/>
    <w:rsid w:val="00695BBD"/>
    <w:rsid w:val="00695BF3"/>
    <w:rsid w:val="00695C73"/>
    <w:rsid w:val="00695C95"/>
    <w:rsid w:val="00695CA7"/>
    <w:rsid w:val="00695CFA"/>
    <w:rsid w:val="00695D1D"/>
    <w:rsid w:val="00695D6A"/>
    <w:rsid w:val="00695DFC"/>
    <w:rsid w:val="00695E23"/>
    <w:rsid w:val="00695E2D"/>
    <w:rsid w:val="00695EAC"/>
    <w:rsid w:val="00695EAD"/>
    <w:rsid w:val="00695EEA"/>
    <w:rsid w:val="00695F55"/>
    <w:rsid w:val="00695F72"/>
    <w:rsid w:val="00695F99"/>
    <w:rsid w:val="00696000"/>
    <w:rsid w:val="0069607F"/>
    <w:rsid w:val="006960E6"/>
    <w:rsid w:val="006961C2"/>
    <w:rsid w:val="00696202"/>
    <w:rsid w:val="0069626B"/>
    <w:rsid w:val="0069626F"/>
    <w:rsid w:val="00696310"/>
    <w:rsid w:val="00696417"/>
    <w:rsid w:val="00696423"/>
    <w:rsid w:val="006964C9"/>
    <w:rsid w:val="006965C2"/>
    <w:rsid w:val="006965DC"/>
    <w:rsid w:val="00696700"/>
    <w:rsid w:val="006967A9"/>
    <w:rsid w:val="006967AF"/>
    <w:rsid w:val="006967B2"/>
    <w:rsid w:val="006967E1"/>
    <w:rsid w:val="0069682B"/>
    <w:rsid w:val="006968A0"/>
    <w:rsid w:val="00696950"/>
    <w:rsid w:val="0069695E"/>
    <w:rsid w:val="00696978"/>
    <w:rsid w:val="006969B3"/>
    <w:rsid w:val="00696A5B"/>
    <w:rsid w:val="00696AA6"/>
    <w:rsid w:val="00696B18"/>
    <w:rsid w:val="00696B36"/>
    <w:rsid w:val="00696B37"/>
    <w:rsid w:val="00696B38"/>
    <w:rsid w:val="00696B57"/>
    <w:rsid w:val="00696B85"/>
    <w:rsid w:val="00696BB9"/>
    <w:rsid w:val="00696C38"/>
    <w:rsid w:val="00696C4B"/>
    <w:rsid w:val="00696CBF"/>
    <w:rsid w:val="00696D0B"/>
    <w:rsid w:val="00696D58"/>
    <w:rsid w:val="00696DE2"/>
    <w:rsid w:val="00696E53"/>
    <w:rsid w:val="00696E55"/>
    <w:rsid w:val="00696E7A"/>
    <w:rsid w:val="00696FA4"/>
    <w:rsid w:val="00696FBB"/>
    <w:rsid w:val="00696FC4"/>
    <w:rsid w:val="00696FF0"/>
    <w:rsid w:val="00697002"/>
    <w:rsid w:val="00697084"/>
    <w:rsid w:val="00697109"/>
    <w:rsid w:val="0069720D"/>
    <w:rsid w:val="00697247"/>
    <w:rsid w:val="006972ED"/>
    <w:rsid w:val="006972EF"/>
    <w:rsid w:val="0069737E"/>
    <w:rsid w:val="006974FE"/>
    <w:rsid w:val="006975F7"/>
    <w:rsid w:val="0069765B"/>
    <w:rsid w:val="006976B9"/>
    <w:rsid w:val="006976BC"/>
    <w:rsid w:val="006976C2"/>
    <w:rsid w:val="0069774E"/>
    <w:rsid w:val="006977F7"/>
    <w:rsid w:val="006977FF"/>
    <w:rsid w:val="00697845"/>
    <w:rsid w:val="00697856"/>
    <w:rsid w:val="006978A5"/>
    <w:rsid w:val="006978AE"/>
    <w:rsid w:val="006978E7"/>
    <w:rsid w:val="00697901"/>
    <w:rsid w:val="00697906"/>
    <w:rsid w:val="00697A23"/>
    <w:rsid w:val="00697A3A"/>
    <w:rsid w:val="00697A5A"/>
    <w:rsid w:val="00697BB1"/>
    <w:rsid w:val="00697BB5"/>
    <w:rsid w:val="00697BC5"/>
    <w:rsid w:val="00697BE2"/>
    <w:rsid w:val="00697BE3"/>
    <w:rsid w:val="00697C15"/>
    <w:rsid w:val="00697C65"/>
    <w:rsid w:val="00697D94"/>
    <w:rsid w:val="00697DC3"/>
    <w:rsid w:val="00697E31"/>
    <w:rsid w:val="00697EB6"/>
    <w:rsid w:val="00697F4A"/>
    <w:rsid w:val="00697F70"/>
    <w:rsid w:val="00697F8F"/>
    <w:rsid w:val="00697FD8"/>
    <w:rsid w:val="00697FE3"/>
    <w:rsid w:val="006A000E"/>
    <w:rsid w:val="006A003B"/>
    <w:rsid w:val="006A00C2"/>
    <w:rsid w:val="006A00D9"/>
    <w:rsid w:val="006A011C"/>
    <w:rsid w:val="006A01FC"/>
    <w:rsid w:val="006A021F"/>
    <w:rsid w:val="006A026D"/>
    <w:rsid w:val="006A02C7"/>
    <w:rsid w:val="006A036E"/>
    <w:rsid w:val="006A0372"/>
    <w:rsid w:val="006A0434"/>
    <w:rsid w:val="006A04C5"/>
    <w:rsid w:val="006A0547"/>
    <w:rsid w:val="006A059E"/>
    <w:rsid w:val="006A05C8"/>
    <w:rsid w:val="006A0614"/>
    <w:rsid w:val="006A061A"/>
    <w:rsid w:val="006A0633"/>
    <w:rsid w:val="006A066A"/>
    <w:rsid w:val="006A0673"/>
    <w:rsid w:val="006A067B"/>
    <w:rsid w:val="006A0846"/>
    <w:rsid w:val="006A0854"/>
    <w:rsid w:val="006A086C"/>
    <w:rsid w:val="006A08E3"/>
    <w:rsid w:val="006A0901"/>
    <w:rsid w:val="006A098E"/>
    <w:rsid w:val="006A09F1"/>
    <w:rsid w:val="006A0A1E"/>
    <w:rsid w:val="006A0ADA"/>
    <w:rsid w:val="006A0B87"/>
    <w:rsid w:val="006A0BC7"/>
    <w:rsid w:val="006A0BE0"/>
    <w:rsid w:val="006A0CDD"/>
    <w:rsid w:val="006A0D0A"/>
    <w:rsid w:val="006A0D8D"/>
    <w:rsid w:val="006A0D9B"/>
    <w:rsid w:val="006A0DFD"/>
    <w:rsid w:val="006A0E1E"/>
    <w:rsid w:val="006A0E53"/>
    <w:rsid w:val="006A0FC7"/>
    <w:rsid w:val="006A0FD1"/>
    <w:rsid w:val="006A102F"/>
    <w:rsid w:val="006A1089"/>
    <w:rsid w:val="006A10FA"/>
    <w:rsid w:val="006A11D3"/>
    <w:rsid w:val="006A11F3"/>
    <w:rsid w:val="006A1256"/>
    <w:rsid w:val="006A1259"/>
    <w:rsid w:val="006A1268"/>
    <w:rsid w:val="006A129B"/>
    <w:rsid w:val="006A12D2"/>
    <w:rsid w:val="006A1332"/>
    <w:rsid w:val="006A13B5"/>
    <w:rsid w:val="006A141F"/>
    <w:rsid w:val="006A1431"/>
    <w:rsid w:val="006A14B6"/>
    <w:rsid w:val="006A150C"/>
    <w:rsid w:val="006A1544"/>
    <w:rsid w:val="006A154B"/>
    <w:rsid w:val="006A15EC"/>
    <w:rsid w:val="006A1640"/>
    <w:rsid w:val="006A164E"/>
    <w:rsid w:val="006A16A6"/>
    <w:rsid w:val="006A16DE"/>
    <w:rsid w:val="006A16E6"/>
    <w:rsid w:val="006A16EC"/>
    <w:rsid w:val="006A1705"/>
    <w:rsid w:val="006A170C"/>
    <w:rsid w:val="006A170F"/>
    <w:rsid w:val="006A1723"/>
    <w:rsid w:val="006A1798"/>
    <w:rsid w:val="006A17BB"/>
    <w:rsid w:val="006A181B"/>
    <w:rsid w:val="006A183B"/>
    <w:rsid w:val="006A1847"/>
    <w:rsid w:val="006A1883"/>
    <w:rsid w:val="006A18A5"/>
    <w:rsid w:val="006A18CA"/>
    <w:rsid w:val="006A1A6C"/>
    <w:rsid w:val="006A1A97"/>
    <w:rsid w:val="006A1B33"/>
    <w:rsid w:val="006A1B35"/>
    <w:rsid w:val="006A1B6F"/>
    <w:rsid w:val="006A1BBF"/>
    <w:rsid w:val="006A1BE6"/>
    <w:rsid w:val="006A1C67"/>
    <w:rsid w:val="006A1C99"/>
    <w:rsid w:val="006A1CA7"/>
    <w:rsid w:val="006A1CCA"/>
    <w:rsid w:val="006A1D80"/>
    <w:rsid w:val="006A1D95"/>
    <w:rsid w:val="006A1DB7"/>
    <w:rsid w:val="006A1E1E"/>
    <w:rsid w:val="006A1EB0"/>
    <w:rsid w:val="006A1F48"/>
    <w:rsid w:val="006A2036"/>
    <w:rsid w:val="006A2047"/>
    <w:rsid w:val="006A20F5"/>
    <w:rsid w:val="006A21C3"/>
    <w:rsid w:val="006A2372"/>
    <w:rsid w:val="006A2548"/>
    <w:rsid w:val="006A2647"/>
    <w:rsid w:val="006A268C"/>
    <w:rsid w:val="006A26B0"/>
    <w:rsid w:val="006A274B"/>
    <w:rsid w:val="006A2795"/>
    <w:rsid w:val="006A27E8"/>
    <w:rsid w:val="006A28AA"/>
    <w:rsid w:val="006A28D5"/>
    <w:rsid w:val="006A28D9"/>
    <w:rsid w:val="006A2921"/>
    <w:rsid w:val="006A29C9"/>
    <w:rsid w:val="006A29EF"/>
    <w:rsid w:val="006A2A00"/>
    <w:rsid w:val="006A2A4A"/>
    <w:rsid w:val="006A2ACB"/>
    <w:rsid w:val="006A2AD8"/>
    <w:rsid w:val="006A2BAC"/>
    <w:rsid w:val="006A2BDC"/>
    <w:rsid w:val="006A2C0C"/>
    <w:rsid w:val="006A2CBC"/>
    <w:rsid w:val="006A2CEB"/>
    <w:rsid w:val="006A2D13"/>
    <w:rsid w:val="006A2D82"/>
    <w:rsid w:val="006A2E6F"/>
    <w:rsid w:val="006A2EAB"/>
    <w:rsid w:val="006A2ECA"/>
    <w:rsid w:val="006A2F33"/>
    <w:rsid w:val="006A2F49"/>
    <w:rsid w:val="006A2F57"/>
    <w:rsid w:val="006A2F8E"/>
    <w:rsid w:val="006A2F90"/>
    <w:rsid w:val="006A2FC4"/>
    <w:rsid w:val="006A2FF8"/>
    <w:rsid w:val="006A301D"/>
    <w:rsid w:val="006A3029"/>
    <w:rsid w:val="006A30AD"/>
    <w:rsid w:val="006A30AF"/>
    <w:rsid w:val="006A3152"/>
    <w:rsid w:val="006A3158"/>
    <w:rsid w:val="006A315B"/>
    <w:rsid w:val="006A31E5"/>
    <w:rsid w:val="006A31F3"/>
    <w:rsid w:val="006A322C"/>
    <w:rsid w:val="006A3248"/>
    <w:rsid w:val="006A3259"/>
    <w:rsid w:val="006A3268"/>
    <w:rsid w:val="006A326B"/>
    <w:rsid w:val="006A32AF"/>
    <w:rsid w:val="006A32B5"/>
    <w:rsid w:val="006A333F"/>
    <w:rsid w:val="006A3355"/>
    <w:rsid w:val="006A33F3"/>
    <w:rsid w:val="006A33F4"/>
    <w:rsid w:val="006A3544"/>
    <w:rsid w:val="006A35D4"/>
    <w:rsid w:val="006A3694"/>
    <w:rsid w:val="006A37EE"/>
    <w:rsid w:val="006A3878"/>
    <w:rsid w:val="006A3A7B"/>
    <w:rsid w:val="006A3B08"/>
    <w:rsid w:val="006A3B30"/>
    <w:rsid w:val="006A3B79"/>
    <w:rsid w:val="006A3B95"/>
    <w:rsid w:val="006A3BC2"/>
    <w:rsid w:val="006A3C92"/>
    <w:rsid w:val="006A3CB2"/>
    <w:rsid w:val="006A3CB6"/>
    <w:rsid w:val="006A3CEA"/>
    <w:rsid w:val="006A3D6B"/>
    <w:rsid w:val="006A3DA8"/>
    <w:rsid w:val="006A3DEA"/>
    <w:rsid w:val="006A3E24"/>
    <w:rsid w:val="006A3E45"/>
    <w:rsid w:val="006A3EF3"/>
    <w:rsid w:val="006A3F67"/>
    <w:rsid w:val="006A3F9C"/>
    <w:rsid w:val="006A3FA8"/>
    <w:rsid w:val="006A4004"/>
    <w:rsid w:val="006A402D"/>
    <w:rsid w:val="006A4148"/>
    <w:rsid w:val="006A437B"/>
    <w:rsid w:val="006A4460"/>
    <w:rsid w:val="006A44E2"/>
    <w:rsid w:val="006A453E"/>
    <w:rsid w:val="006A4690"/>
    <w:rsid w:val="006A4703"/>
    <w:rsid w:val="006A471A"/>
    <w:rsid w:val="006A471C"/>
    <w:rsid w:val="006A47B0"/>
    <w:rsid w:val="006A485F"/>
    <w:rsid w:val="006A487E"/>
    <w:rsid w:val="006A48E5"/>
    <w:rsid w:val="006A4945"/>
    <w:rsid w:val="006A4983"/>
    <w:rsid w:val="006A49E0"/>
    <w:rsid w:val="006A4A37"/>
    <w:rsid w:val="006A4AC3"/>
    <w:rsid w:val="006A4AFB"/>
    <w:rsid w:val="006A4B55"/>
    <w:rsid w:val="006A4B5F"/>
    <w:rsid w:val="006A4C7A"/>
    <w:rsid w:val="006A4C89"/>
    <w:rsid w:val="006A4CBC"/>
    <w:rsid w:val="006A4D0E"/>
    <w:rsid w:val="006A4D63"/>
    <w:rsid w:val="006A4D95"/>
    <w:rsid w:val="006A4DC4"/>
    <w:rsid w:val="006A4E35"/>
    <w:rsid w:val="006A4E66"/>
    <w:rsid w:val="006A4E9E"/>
    <w:rsid w:val="006A4EDC"/>
    <w:rsid w:val="006A4EFB"/>
    <w:rsid w:val="006A4F2C"/>
    <w:rsid w:val="006A4FFA"/>
    <w:rsid w:val="006A500D"/>
    <w:rsid w:val="006A5072"/>
    <w:rsid w:val="006A512E"/>
    <w:rsid w:val="006A5193"/>
    <w:rsid w:val="006A51C8"/>
    <w:rsid w:val="006A5348"/>
    <w:rsid w:val="006A5372"/>
    <w:rsid w:val="006A5399"/>
    <w:rsid w:val="006A5505"/>
    <w:rsid w:val="006A5614"/>
    <w:rsid w:val="006A5619"/>
    <w:rsid w:val="006A5634"/>
    <w:rsid w:val="006A56BE"/>
    <w:rsid w:val="006A56D2"/>
    <w:rsid w:val="006A56D9"/>
    <w:rsid w:val="006A576E"/>
    <w:rsid w:val="006A57A0"/>
    <w:rsid w:val="006A589B"/>
    <w:rsid w:val="006A58BB"/>
    <w:rsid w:val="006A5936"/>
    <w:rsid w:val="006A593E"/>
    <w:rsid w:val="006A5948"/>
    <w:rsid w:val="006A5968"/>
    <w:rsid w:val="006A5A3D"/>
    <w:rsid w:val="006A5A5F"/>
    <w:rsid w:val="006A5A9F"/>
    <w:rsid w:val="006A5AF8"/>
    <w:rsid w:val="006A5AF9"/>
    <w:rsid w:val="006A5C9C"/>
    <w:rsid w:val="006A5CB8"/>
    <w:rsid w:val="006A5CE3"/>
    <w:rsid w:val="006A5D12"/>
    <w:rsid w:val="006A5D25"/>
    <w:rsid w:val="006A5D85"/>
    <w:rsid w:val="006A5D9C"/>
    <w:rsid w:val="006A5DB7"/>
    <w:rsid w:val="006A5E0D"/>
    <w:rsid w:val="006A5E2F"/>
    <w:rsid w:val="006A5F22"/>
    <w:rsid w:val="006A5F6A"/>
    <w:rsid w:val="006A6000"/>
    <w:rsid w:val="006A607D"/>
    <w:rsid w:val="006A60C3"/>
    <w:rsid w:val="006A6148"/>
    <w:rsid w:val="006A61A3"/>
    <w:rsid w:val="006A6258"/>
    <w:rsid w:val="006A6283"/>
    <w:rsid w:val="006A628C"/>
    <w:rsid w:val="006A62FF"/>
    <w:rsid w:val="006A635C"/>
    <w:rsid w:val="006A639F"/>
    <w:rsid w:val="006A63F5"/>
    <w:rsid w:val="006A6400"/>
    <w:rsid w:val="006A6482"/>
    <w:rsid w:val="006A6491"/>
    <w:rsid w:val="006A64CC"/>
    <w:rsid w:val="006A651F"/>
    <w:rsid w:val="006A65BE"/>
    <w:rsid w:val="006A66D7"/>
    <w:rsid w:val="006A66F5"/>
    <w:rsid w:val="006A67E3"/>
    <w:rsid w:val="006A686E"/>
    <w:rsid w:val="006A68DD"/>
    <w:rsid w:val="006A68FB"/>
    <w:rsid w:val="006A694B"/>
    <w:rsid w:val="006A6981"/>
    <w:rsid w:val="006A69A0"/>
    <w:rsid w:val="006A69FA"/>
    <w:rsid w:val="006A6A18"/>
    <w:rsid w:val="006A6B36"/>
    <w:rsid w:val="006A6BE0"/>
    <w:rsid w:val="006A6D26"/>
    <w:rsid w:val="006A6DBF"/>
    <w:rsid w:val="006A6E0B"/>
    <w:rsid w:val="006A6E96"/>
    <w:rsid w:val="006A6E9E"/>
    <w:rsid w:val="006A6F21"/>
    <w:rsid w:val="006A6F68"/>
    <w:rsid w:val="006A6FBE"/>
    <w:rsid w:val="006A7060"/>
    <w:rsid w:val="006A7081"/>
    <w:rsid w:val="006A716E"/>
    <w:rsid w:val="006A7192"/>
    <w:rsid w:val="006A720A"/>
    <w:rsid w:val="006A726D"/>
    <w:rsid w:val="006A72C6"/>
    <w:rsid w:val="006A72ED"/>
    <w:rsid w:val="006A72FD"/>
    <w:rsid w:val="006A7325"/>
    <w:rsid w:val="006A737D"/>
    <w:rsid w:val="006A74C6"/>
    <w:rsid w:val="006A74EB"/>
    <w:rsid w:val="006A74FA"/>
    <w:rsid w:val="006A7566"/>
    <w:rsid w:val="006A7574"/>
    <w:rsid w:val="006A75FA"/>
    <w:rsid w:val="006A7630"/>
    <w:rsid w:val="006A766E"/>
    <w:rsid w:val="006A76C7"/>
    <w:rsid w:val="006A76D4"/>
    <w:rsid w:val="006A77B5"/>
    <w:rsid w:val="006A77F3"/>
    <w:rsid w:val="006A794F"/>
    <w:rsid w:val="006A7966"/>
    <w:rsid w:val="006A7975"/>
    <w:rsid w:val="006A7C82"/>
    <w:rsid w:val="006A7C8B"/>
    <w:rsid w:val="006A7CA0"/>
    <w:rsid w:val="006A7CC0"/>
    <w:rsid w:val="006A7CDC"/>
    <w:rsid w:val="006A7D28"/>
    <w:rsid w:val="006A7E09"/>
    <w:rsid w:val="006A7E37"/>
    <w:rsid w:val="006A7E78"/>
    <w:rsid w:val="006A7F99"/>
    <w:rsid w:val="006A7FFD"/>
    <w:rsid w:val="006B004A"/>
    <w:rsid w:val="006B00D7"/>
    <w:rsid w:val="006B00F1"/>
    <w:rsid w:val="006B010F"/>
    <w:rsid w:val="006B0131"/>
    <w:rsid w:val="006B014E"/>
    <w:rsid w:val="006B01D9"/>
    <w:rsid w:val="006B0211"/>
    <w:rsid w:val="006B0293"/>
    <w:rsid w:val="006B0317"/>
    <w:rsid w:val="006B03AC"/>
    <w:rsid w:val="006B03B7"/>
    <w:rsid w:val="006B03FB"/>
    <w:rsid w:val="006B0476"/>
    <w:rsid w:val="006B051F"/>
    <w:rsid w:val="006B0539"/>
    <w:rsid w:val="006B054A"/>
    <w:rsid w:val="006B0621"/>
    <w:rsid w:val="006B0646"/>
    <w:rsid w:val="006B06A9"/>
    <w:rsid w:val="006B07AB"/>
    <w:rsid w:val="006B080C"/>
    <w:rsid w:val="006B0834"/>
    <w:rsid w:val="006B08A4"/>
    <w:rsid w:val="006B0956"/>
    <w:rsid w:val="006B0986"/>
    <w:rsid w:val="006B09F0"/>
    <w:rsid w:val="006B0A01"/>
    <w:rsid w:val="006B0A12"/>
    <w:rsid w:val="006B0ABB"/>
    <w:rsid w:val="006B0AC8"/>
    <w:rsid w:val="006B0ADE"/>
    <w:rsid w:val="006B0B0D"/>
    <w:rsid w:val="006B0B1C"/>
    <w:rsid w:val="006B0B40"/>
    <w:rsid w:val="006B0BD8"/>
    <w:rsid w:val="006B0C03"/>
    <w:rsid w:val="006B0C63"/>
    <w:rsid w:val="006B0C7F"/>
    <w:rsid w:val="006B0CE4"/>
    <w:rsid w:val="006B0DEA"/>
    <w:rsid w:val="006B0E34"/>
    <w:rsid w:val="006B0E5C"/>
    <w:rsid w:val="006B0E6C"/>
    <w:rsid w:val="006B0E93"/>
    <w:rsid w:val="006B0EE6"/>
    <w:rsid w:val="006B0FA9"/>
    <w:rsid w:val="006B0FFD"/>
    <w:rsid w:val="006B112C"/>
    <w:rsid w:val="006B116D"/>
    <w:rsid w:val="006B11A6"/>
    <w:rsid w:val="006B1205"/>
    <w:rsid w:val="006B120C"/>
    <w:rsid w:val="006B1228"/>
    <w:rsid w:val="006B1277"/>
    <w:rsid w:val="006B127E"/>
    <w:rsid w:val="006B12FD"/>
    <w:rsid w:val="006B140F"/>
    <w:rsid w:val="006B149B"/>
    <w:rsid w:val="006B1513"/>
    <w:rsid w:val="006B154A"/>
    <w:rsid w:val="006B1599"/>
    <w:rsid w:val="006B161F"/>
    <w:rsid w:val="006B1623"/>
    <w:rsid w:val="006B1629"/>
    <w:rsid w:val="006B1700"/>
    <w:rsid w:val="006B1713"/>
    <w:rsid w:val="006B17BD"/>
    <w:rsid w:val="006B1856"/>
    <w:rsid w:val="006B18BC"/>
    <w:rsid w:val="006B19C0"/>
    <w:rsid w:val="006B19CA"/>
    <w:rsid w:val="006B19CD"/>
    <w:rsid w:val="006B1A56"/>
    <w:rsid w:val="006B1A83"/>
    <w:rsid w:val="006B1A9D"/>
    <w:rsid w:val="006B1ABC"/>
    <w:rsid w:val="006B1AC1"/>
    <w:rsid w:val="006B1AEF"/>
    <w:rsid w:val="006B1AFB"/>
    <w:rsid w:val="006B1B77"/>
    <w:rsid w:val="006B1B9C"/>
    <w:rsid w:val="006B1CBA"/>
    <w:rsid w:val="006B1CCA"/>
    <w:rsid w:val="006B1D39"/>
    <w:rsid w:val="006B1D6A"/>
    <w:rsid w:val="006B1DE8"/>
    <w:rsid w:val="006B1DFE"/>
    <w:rsid w:val="006B1E05"/>
    <w:rsid w:val="006B1E46"/>
    <w:rsid w:val="006B1F29"/>
    <w:rsid w:val="006B2035"/>
    <w:rsid w:val="006B214C"/>
    <w:rsid w:val="006B216F"/>
    <w:rsid w:val="006B2205"/>
    <w:rsid w:val="006B2244"/>
    <w:rsid w:val="006B228E"/>
    <w:rsid w:val="006B2293"/>
    <w:rsid w:val="006B2298"/>
    <w:rsid w:val="006B2363"/>
    <w:rsid w:val="006B2367"/>
    <w:rsid w:val="006B2397"/>
    <w:rsid w:val="006B23DA"/>
    <w:rsid w:val="006B2433"/>
    <w:rsid w:val="006B24B8"/>
    <w:rsid w:val="006B24D6"/>
    <w:rsid w:val="006B24E0"/>
    <w:rsid w:val="006B24FD"/>
    <w:rsid w:val="006B2594"/>
    <w:rsid w:val="006B25C2"/>
    <w:rsid w:val="006B25C5"/>
    <w:rsid w:val="006B25F7"/>
    <w:rsid w:val="006B2662"/>
    <w:rsid w:val="006B26B9"/>
    <w:rsid w:val="006B26CA"/>
    <w:rsid w:val="006B2766"/>
    <w:rsid w:val="006B27EF"/>
    <w:rsid w:val="006B28F3"/>
    <w:rsid w:val="006B2954"/>
    <w:rsid w:val="006B2984"/>
    <w:rsid w:val="006B29F2"/>
    <w:rsid w:val="006B2A12"/>
    <w:rsid w:val="006B2C87"/>
    <w:rsid w:val="006B2CA5"/>
    <w:rsid w:val="006B2CE1"/>
    <w:rsid w:val="006B2D88"/>
    <w:rsid w:val="006B2EA5"/>
    <w:rsid w:val="006B2EAE"/>
    <w:rsid w:val="006B2FBC"/>
    <w:rsid w:val="006B317B"/>
    <w:rsid w:val="006B31B2"/>
    <w:rsid w:val="006B31D0"/>
    <w:rsid w:val="006B327B"/>
    <w:rsid w:val="006B32AD"/>
    <w:rsid w:val="006B32E1"/>
    <w:rsid w:val="006B3351"/>
    <w:rsid w:val="006B33B5"/>
    <w:rsid w:val="006B3419"/>
    <w:rsid w:val="006B345B"/>
    <w:rsid w:val="006B34BB"/>
    <w:rsid w:val="006B34EF"/>
    <w:rsid w:val="006B3530"/>
    <w:rsid w:val="006B3558"/>
    <w:rsid w:val="006B356A"/>
    <w:rsid w:val="006B3575"/>
    <w:rsid w:val="006B35D1"/>
    <w:rsid w:val="006B36A4"/>
    <w:rsid w:val="006B36DA"/>
    <w:rsid w:val="006B3722"/>
    <w:rsid w:val="006B376F"/>
    <w:rsid w:val="006B3779"/>
    <w:rsid w:val="006B37D0"/>
    <w:rsid w:val="006B37FB"/>
    <w:rsid w:val="006B3812"/>
    <w:rsid w:val="006B384F"/>
    <w:rsid w:val="006B3951"/>
    <w:rsid w:val="006B396E"/>
    <w:rsid w:val="006B3997"/>
    <w:rsid w:val="006B3A17"/>
    <w:rsid w:val="006B3AB7"/>
    <w:rsid w:val="006B3C18"/>
    <w:rsid w:val="006B3C61"/>
    <w:rsid w:val="006B3E30"/>
    <w:rsid w:val="006B3FA3"/>
    <w:rsid w:val="006B3FE7"/>
    <w:rsid w:val="006B4095"/>
    <w:rsid w:val="006B40D3"/>
    <w:rsid w:val="006B40F2"/>
    <w:rsid w:val="006B41F6"/>
    <w:rsid w:val="006B420D"/>
    <w:rsid w:val="006B4269"/>
    <w:rsid w:val="006B4396"/>
    <w:rsid w:val="006B4411"/>
    <w:rsid w:val="006B44AB"/>
    <w:rsid w:val="006B4548"/>
    <w:rsid w:val="006B45EE"/>
    <w:rsid w:val="006B4644"/>
    <w:rsid w:val="006B4695"/>
    <w:rsid w:val="006B46F4"/>
    <w:rsid w:val="006B475B"/>
    <w:rsid w:val="006B4781"/>
    <w:rsid w:val="006B487C"/>
    <w:rsid w:val="006B4983"/>
    <w:rsid w:val="006B4A36"/>
    <w:rsid w:val="006B4A60"/>
    <w:rsid w:val="006B4A8C"/>
    <w:rsid w:val="006B4AB7"/>
    <w:rsid w:val="006B4AD5"/>
    <w:rsid w:val="006B4AE5"/>
    <w:rsid w:val="006B4AF6"/>
    <w:rsid w:val="006B4B08"/>
    <w:rsid w:val="006B4C11"/>
    <w:rsid w:val="006B4D0C"/>
    <w:rsid w:val="006B4D33"/>
    <w:rsid w:val="006B4DE0"/>
    <w:rsid w:val="006B4DF5"/>
    <w:rsid w:val="006B4E6B"/>
    <w:rsid w:val="006B4EEB"/>
    <w:rsid w:val="006B4F53"/>
    <w:rsid w:val="006B4F89"/>
    <w:rsid w:val="006B4FCA"/>
    <w:rsid w:val="006B501D"/>
    <w:rsid w:val="006B508D"/>
    <w:rsid w:val="006B51E3"/>
    <w:rsid w:val="006B524D"/>
    <w:rsid w:val="006B525B"/>
    <w:rsid w:val="006B5277"/>
    <w:rsid w:val="006B52E4"/>
    <w:rsid w:val="006B535D"/>
    <w:rsid w:val="006B5362"/>
    <w:rsid w:val="006B536A"/>
    <w:rsid w:val="006B5399"/>
    <w:rsid w:val="006B53D4"/>
    <w:rsid w:val="006B5427"/>
    <w:rsid w:val="006B5468"/>
    <w:rsid w:val="006B54A7"/>
    <w:rsid w:val="006B5502"/>
    <w:rsid w:val="006B55F7"/>
    <w:rsid w:val="006B5649"/>
    <w:rsid w:val="006B567A"/>
    <w:rsid w:val="006B56A3"/>
    <w:rsid w:val="006B5757"/>
    <w:rsid w:val="006B575E"/>
    <w:rsid w:val="006B57B0"/>
    <w:rsid w:val="006B5820"/>
    <w:rsid w:val="006B597B"/>
    <w:rsid w:val="006B597D"/>
    <w:rsid w:val="006B59AA"/>
    <w:rsid w:val="006B59EB"/>
    <w:rsid w:val="006B5A10"/>
    <w:rsid w:val="006B5B70"/>
    <w:rsid w:val="006B5B72"/>
    <w:rsid w:val="006B5B9E"/>
    <w:rsid w:val="006B5BA7"/>
    <w:rsid w:val="006B5BD7"/>
    <w:rsid w:val="006B5C70"/>
    <w:rsid w:val="006B5C79"/>
    <w:rsid w:val="006B5D93"/>
    <w:rsid w:val="006B5D9A"/>
    <w:rsid w:val="006B5E48"/>
    <w:rsid w:val="006B5F70"/>
    <w:rsid w:val="006B5FBC"/>
    <w:rsid w:val="006B6007"/>
    <w:rsid w:val="006B6033"/>
    <w:rsid w:val="006B606C"/>
    <w:rsid w:val="006B60F3"/>
    <w:rsid w:val="006B61AC"/>
    <w:rsid w:val="006B61D5"/>
    <w:rsid w:val="006B6299"/>
    <w:rsid w:val="006B62CF"/>
    <w:rsid w:val="006B631D"/>
    <w:rsid w:val="006B6437"/>
    <w:rsid w:val="006B644E"/>
    <w:rsid w:val="006B6521"/>
    <w:rsid w:val="006B652D"/>
    <w:rsid w:val="006B65AC"/>
    <w:rsid w:val="006B6622"/>
    <w:rsid w:val="006B6663"/>
    <w:rsid w:val="006B6810"/>
    <w:rsid w:val="006B6825"/>
    <w:rsid w:val="006B6877"/>
    <w:rsid w:val="006B6879"/>
    <w:rsid w:val="006B68F8"/>
    <w:rsid w:val="006B69A8"/>
    <w:rsid w:val="006B69DD"/>
    <w:rsid w:val="006B6A03"/>
    <w:rsid w:val="006B6A45"/>
    <w:rsid w:val="006B6A5D"/>
    <w:rsid w:val="006B6B1B"/>
    <w:rsid w:val="006B6B2F"/>
    <w:rsid w:val="006B6BC3"/>
    <w:rsid w:val="006B6BD5"/>
    <w:rsid w:val="006B6BFA"/>
    <w:rsid w:val="006B6C27"/>
    <w:rsid w:val="006B6CB2"/>
    <w:rsid w:val="006B6E71"/>
    <w:rsid w:val="006B6EF1"/>
    <w:rsid w:val="006B6F1E"/>
    <w:rsid w:val="006B6F57"/>
    <w:rsid w:val="006B6FFC"/>
    <w:rsid w:val="006B703A"/>
    <w:rsid w:val="006B703F"/>
    <w:rsid w:val="006B70FF"/>
    <w:rsid w:val="006B7123"/>
    <w:rsid w:val="006B71E3"/>
    <w:rsid w:val="006B71F3"/>
    <w:rsid w:val="006B7208"/>
    <w:rsid w:val="006B7243"/>
    <w:rsid w:val="006B72DB"/>
    <w:rsid w:val="006B7340"/>
    <w:rsid w:val="006B735C"/>
    <w:rsid w:val="006B739F"/>
    <w:rsid w:val="006B73B8"/>
    <w:rsid w:val="006B7467"/>
    <w:rsid w:val="006B7472"/>
    <w:rsid w:val="006B748C"/>
    <w:rsid w:val="006B74F0"/>
    <w:rsid w:val="006B75AE"/>
    <w:rsid w:val="006B75DD"/>
    <w:rsid w:val="006B75EB"/>
    <w:rsid w:val="006B7679"/>
    <w:rsid w:val="006B76A6"/>
    <w:rsid w:val="006B76DD"/>
    <w:rsid w:val="006B76E1"/>
    <w:rsid w:val="006B76E4"/>
    <w:rsid w:val="006B76EC"/>
    <w:rsid w:val="006B7747"/>
    <w:rsid w:val="006B782E"/>
    <w:rsid w:val="006B784E"/>
    <w:rsid w:val="006B7856"/>
    <w:rsid w:val="006B7857"/>
    <w:rsid w:val="006B78D0"/>
    <w:rsid w:val="006B7970"/>
    <w:rsid w:val="006B797B"/>
    <w:rsid w:val="006B7982"/>
    <w:rsid w:val="006B79A7"/>
    <w:rsid w:val="006B79AD"/>
    <w:rsid w:val="006B79C5"/>
    <w:rsid w:val="006B79F4"/>
    <w:rsid w:val="006B7A11"/>
    <w:rsid w:val="006B7A3E"/>
    <w:rsid w:val="006B7A78"/>
    <w:rsid w:val="006B7AF1"/>
    <w:rsid w:val="006B7B09"/>
    <w:rsid w:val="006B7B92"/>
    <w:rsid w:val="006B7BFB"/>
    <w:rsid w:val="006B7C6E"/>
    <w:rsid w:val="006B7C86"/>
    <w:rsid w:val="006B7CC3"/>
    <w:rsid w:val="006B7CCA"/>
    <w:rsid w:val="006B7CFB"/>
    <w:rsid w:val="006B7D3A"/>
    <w:rsid w:val="006B7D73"/>
    <w:rsid w:val="006B7DF9"/>
    <w:rsid w:val="006B7EA1"/>
    <w:rsid w:val="006B7EEE"/>
    <w:rsid w:val="006B7F51"/>
    <w:rsid w:val="006B7FED"/>
    <w:rsid w:val="006B7FFA"/>
    <w:rsid w:val="006C000D"/>
    <w:rsid w:val="006C0017"/>
    <w:rsid w:val="006C0027"/>
    <w:rsid w:val="006C00A4"/>
    <w:rsid w:val="006C00AD"/>
    <w:rsid w:val="006C012D"/>
    <w:rsid w:val="006C0192"/>
    <w:rsid w:val="006C0195"/>
    <w:rsid w:val="006C01CB"/>
    <w:rsid w:val="006C020C"/>
    <w:rsid w:val="006C03FE"/>
    <w:rsid w:val="006C0424"/>
    <w:rsid w:val="006C04DA"/>
    <w:rsid w:val="006C04E8"/>
    <w:rsid w:val="006C050D"/>
    <w:rsid w:val="006C064D"/>
    <w:rsid w:val="006C06BE"/>
    <w:rsid w:val="006C06C7"/>
    <w:rsid w:val="006C06FF"/>
    <w:rsid w:val="006C071D"/>
    <w:rsid w:val="006C074C"/>
    <w:rsid w:val="006C07B4"/>
    <w:rsid w:val="006C07F6"/>
    <w:rsid w:val="006C0818"/>
    <w:rsid w:val="006C084C"/>
    <w:rsid w:val="006C0858"/>
    <w:rsid w:val="006C0879"/>
    <w:rsid w:val="006C08C7"/>
    <w:rsid w:val="006C0A5F"/>
    <w:rsid w:val="006C0B24"/>
    <w:rsid w:val="006C0B4E"/>
    <w:rsid w:val="006C0B5C"/>
    <w:rsid w:val="006C0B65"/>
    <w:rsid w:val="006C0B73"/>
    <w:rsid w:val="006C0B98"/>
    <w:rsid w:val="006C0BE0"/>
    <w:rsid w:val="006C0D22"/>
    <w:rsid w:val="006C0D38"/>
    <w:rsid w:val="006C0D90"/>
    <w:rsid w:val="006C0E93"/>
    <w:rsid w:val="006C0EA2"/>
    <w:rsid w:val="006C0EB8"/>
    <w:rsid w:val="006C0F3B"/>
    <w:rsid w:val="006C0F52"/>
    <w:rsid w:val="006C0FCB"/>
    <w:rsid w:val="006C101B"/>
    <w:rsid w:val="006C1029"/>
    <w:rsid w:val="006C111A"/>
    <w:rsid w:val="006C1235"/>
    <w:rsid w:val="006C126B"/>
    <w:rsid w:val="006C1285"/>
    <w:rsid w:val="006C134D"/>
    <w:rsid w:val="006C1385"/>
    <w:rsid w:val="006C14B2"/>
    <w:rsid w:val="006C1554"/>
    <w:rsid w:val="006C15AB"/>
    <w:rsid w:val="006C15E7"/>
    <w:rsid w:val="006C1630"/>
    <w:rsid w:val="006C16CF"/>
    <w:rsid w:val="006C16FA"/>
    <w:rsid w:val="006C16FC"/>
    <w:rsid w:val="006C17C1"/>
    <w:rsid w:val="006C181C"/>
    <w:rsid w:val="006C1863"/>
    <w:rsid w:val="006C18CB"/>
    <w:rsid w:val="006C18E3"/>
    <w:rsid w:val="006C1969"/>
    <w:rsid w:val="006C19B7"/>
    <w:rsid w:val="006C1A4B"/>
    <w:rsid w:val="006C1AD2"/>
    <w:rsid w:val="006C1AF0"/>
    <w:rsid w:val="006C1B1A"/>
    <w:rsid w:val="006C1B69"/>
    <w:rsid w:val="006C1B7B"/>
    <w:rsid w:val="006C1C28"/>
    <w:rsid w:val="006C1D85"/>
    <w:rsid w:val="006C1D8E"/>
    <w:rsid w:val="006C1D99"/>
    <w:rsid w:val="006C1DAD"/>
    <w:rsid w:val="006C1DB2"/>
    <w:rsid w:val="006C1E29"/>
    <w:rsid w:val="006C1E33"/>
    <w:rsid w:val="006C1E99"/>
    <w:rsid w:val="006C1EA0"/>
    <w:rsid w:val="006C1ECC"/>
    <w:rsid w:val="006C1EFE"/>
    <w:rsid w:val="006C1F4B"/>
    <w:rsid w:val="006C1F84"/>
    <w:rsid w:val="006C2047"/>
    <w:rsid w:val="006C212E"/>
    <w:rsid w:val="006C219D"/>
    <w:rsid w:val="006C21BB"/>
    <w:rsid w:val="006C21EF"/>
    <w:rsid w:val="006C221A"/>
    <w:rsid w:val="006C2267"/>
    <w:rsid w:val="006C226C"/>
    <w:rsid w:val="006C2333"/>
    <w:rsid w:val="006C2388"/>
    <w:rsid w:val="006C2391"/>
    <w:rsid w:val="006C23F3"/>
    <w:rsid w:val="006C2474"/>
    <w:rsid w:val="006C2480"/>
    <w:rsid w:val="006C248E"/>
    <w:rsid w:val="006C24A9"/>
    <w:rsid w:val="006C24FF"/>
    <w:rsid w:val="006C250C"/>
    <w:rsid w:val="006C2526"/>
    <w:rsid w:val="006C2546"/>
    <w:rsid w:val="006C25D5"/>
    <w:rsid w:val="006C27FC"/>
    <w:rsid w:val="006C2846"/>
    <w:rsid w:val="006C28BE"/>
    <w:rsid w:val="006C28DA"/>
    <w:rsid w:val="006C2902"/>
    <w:rsid w:val="006C2995"/>
    <w:rsid w:val="006C29F8"/>
    <w:rsid w:val="006C2A11"/>
    <w:rsid w:val="006C2AA2"/>
    <w:rsid w:val="006C2AD9"/>
    <w:rsid w:val="006C2AF9"/>
    <w:rsid w:val="006C2B14"/>
    <w:rsid w:val="006C2B6D"/>
    <w:rsid w:val="006C2B83"/>
    <w:rsid w:val="006C2BB9"/>
    <w:rsid w:val="006C2BCE"/>
    <w:rsid w:val="006C2C6F"/>
    <w:rsid w:val="006C2CD0"/>
    <w:rsid w:val="006C2CE3"/>
    <w:rsid w:val="006C2D54"/>
    <w:rsid w:val="006C2D62"/>
    <w:rsid w:val="006C2F66"/>
    <w:rsid w:val="006C2F8D"/>
    <w:rsid w:val="006C2FCA"/>
    <w:rsid w:val="006C302A"/>
    <w:rsid w:val="006C307A"/>
    <w:rsid w:val="006C30A6"/>
    <w:rsid w:val="006C30B0"/>
    <w:rsid w:val="006C30C8"/>
    <w:rsid w:val="006C3102"/>
    <w:rsid w:val="006C310C"/>
    <w:rsid w:val="006C3113"/>
    <w:rsid w:val="006C3140"/>
    <w:rsid w:val="006C323A"/>
    <w:rsid w:val="006C3268"/>
    <w:rsid w:val="006C32A6"/>
    <w:rsid w:val="006C32C5"/>
    <w:rsid w:val="006C3342"/>
    <w:rsid w:val="006C3361"/>
    <w:rsid w:val="006C3378"/>
    <w:rsid w:val="006C33B5"/>
    <w:rsid w:val="006C33B7"/>
    <w:rsid w:val="006C3415"/>
    <w:rsid w:val="006C346B"/>
    <w:rsid w:val="006C3487"/>
    <w:rsid w:val="006C3488"/>
    <w:rsid w:val="006C35B1"/>
    <w:rsid w:val="006C35C9"/>
    <w:rsid w:val="006C360A"/>
    <w:rsid w:val="006C365A"/>
    <w:rsid w:val="006C366B"/>
    <w:rsid w:val="006C3688"/>
    <w:rsid w:val="006C36E7"/>
    <w:rsid w:val="006C37DC"/>
    <w:rsid w:val="006C3828"/>
    <w:rsid w:val="006C3858"/>
    <w:rsid w:val="006C3968"/>
    <w:rsid w:val="006C39A3"/>
    <w:rsid w:val="006C39D6"/>
    <w:rsid w:val="006C39DB"/>
    <w:rsid w:val="006C3A11"/>
    <w:rsid w:val="006C3A8D"/>
    <w:rsid w:val="006C3C3B"/>
    <w:rsid w:val="006C3D06"/>
    <w:rsid w:val="006C3D66"/>
    <w:rsid w:val="006C3E30"/>
    <w:rsid w:val="006C3E78"/>
    <w:rsid w:val="006C3E8E"/>
    <w:rsid w:val="006C3EA2"/>
    <w:rsid w:val="006C3EE2"/>
    <w:rsid w:val="006C3EF7"/>
    <w:rsid w:val="006C3F5C"/>
    <w:rsid w:val="006C3FE3"/>
    <w:rsid w:val="006C3FEA"/>
    <w:rsid w:val="006C4061"/>
    <w:rsid w:val="006C40CE"/>
    <w:rsid w:val="006C4103"/>
    <w:rsid w:val="006C4115"/>
    <w:rsid w:val="006C411F"/>
    <w:rsid w:val="006C413B"/>
    <w:rsid w:val="006C4242"/>
    <w:rsid w:val="006C4247"/>
    <w:rsid w:val="006C4256"/>
    <w:rsid w:val="006C425A"/>
    <w:rsid w:val="006C4262"/>
    <w:rsid w:val="006C428F"/>
    <w:rsid w:val="006C4317"/>
    <w:rsid w:val="006C4345"/>
    <w:rsid w:val="006C4393"/>
    <w:rsid w:val="006C43BE"/>
    <w:rsid w:val="006C43F1"/>
    <w:rsid w:val="006C44DF"/>
    <w:rsid w:val="006C4507"/>
    <w:rsid w:val="006C4513"/>
    <w:rsid w:val="006C4536"/>
    <w:rsid w:val="006C4548"/>
    <w:rsid w:val="006C4639"/>
    <w:rsid w:val="006C4645"/>
    <w:rsid w:val="006C469F"/>
    <w:rsid w:val="006C47D9"/>
    <w:rsid w:val="006C48C3"/>
    <w:rsid w:val="006C4904"/>
    <w:rsid w:val="006C4964"/>
    <w:rsid w:val="006C498E"/>
    <w:rsid w:val="006C49B5"/>
    <w:rsid w:val="006C4A0C"/>
    <w:rsid w:val="006C4A58"/>
    <w:rsid w:val="006C4A5F"/>
    <w:rsid w:val="006C4A86"/>
    <w:rsid w:val="006C4AEB"/>
    <w:rsid w:val="006C4B86"/>
    <w:rsid w:val="006C4C01"/>
    <w:rsid w:val="006C4C2F"/>
    <w:rsid w:val="006C4CC6"/>
    <w:rsid w:val="006C4E28"/>
    <w:rsid w:val="006C4E61"/>
    <w:rsid w:val="006C4E75"/>
    <w:rsid w:val="006C4EB6"/>
    <w:rsid w:val="006C4ED9"/>
    <w:rsid w:val="006C4F91"/>
    <w:rsid w:val="006C4F9E"/>
    <w:rsid w:val="006C507E"/>
    <w:rsid w:val="006C50A3"/>
    <w:rsid w:val="006C50BD"/>
    <w:rsid w:val="006C5145"/>
    <w:rsid w:val="006C5183"/>
    <w:rsid w:val="006C51FB"/>
    <w:rsid w:val="006C52FA"/>
    <w:rsid w:val="006C533B"/>
    <w:rsid w:val="006C5368"/>
    <w:rsid w:val="006C5374"/>
    <w:rsid w:val="006C5380"/>
    <w:rsid w:val="006C53C9"/>
    <w:rsid w:val="006C53EE"/>
    <w:rsid w:val="006C5424"/>
    <w:rsid w:val="006C54C8"/>
    <w:rsid w:val="006C54F5"/>
    <w:rsid w:val="006C551D"/>
    <w:rsid w:val="006C556E"/>
    <w:rsid w:val="006C5575"/>
    <w:rsid w:val="006C557F"/>
    <w:rsid w:val="006C55F8"/>
    <w:rsid w:val="006C56D3"/>
    <w:rsid w:val="006C5786"/>
    <w:rsid w:val="006C5849"/>
    <w:rsid w:val="006C5855"/>
    <w:rsid w:val="006C5882"/>
    <w:rsid w:val="006C5990"/>
    <w:rsid w:val="006C59AE"/>
    <w:rsid w:val="006C5A64"/>
    <w:rsid w:val="006C5AEE"/>
    <w:rsid w:val="006C5B10"/>
    <w:rsid w:val="006C5B44"/>
    <w:rsid w:val="006C5BB5"/>
    <w:rsid w:val="006C5BB8"/>
    <w:rsid w:val="006C5CA7"/>
    <w:rsid w:val="006C5CCD"/>
    <w:rsid w:val="006C5CDA"/>
    <w:rsid w:val="006C5CEA"/>
    <w:rsid w:val="006C5CF9"/>
    <w:rsid w:val="006C5DFB"/>
    <w:rsid w:val="006C5E69"/>
    <w:rsid w:val="006C5E8D"/>
    <w:rsid w:val="006C5ED1"/>
    <w:rsid w:val="006C5F06"/>
    <w:rsid w:val="006C5F26"/>
    <w:rsid w:val="006C5F47"/>
    <w:rsid w:val="006C5F51"/>
    <w:rsid w:val="006C6009"/>
    <w:rsid w:val="006C6021"/>
    <w:rsid w:val="006C6035"/>
    <w:rsid w:val="006C6038"/>
    <w:rsid w:val="006C604A"/>
    <w:rsid w:val="006C607B"/>
    <w:rsid w:val="006C60AD"/>
    <w:rsid w:val="006C61C2"/>
    <w:rsid w:val="006C6210"/>
    <w:rsid w:val="006C622F"/>
    <w:rsid w:val="006C627B"/>
    <w:rsid w:val="006C63FB"/>
    <w:rsid w:val="006C6404"/>
    <w:rsid w:val="006C6421"/>
    <w:rsid w:val="006C647F"/>
    <w:rsid w:val="006C64B5"/>
    <w:rsid w:val="006C64BD"/>
    <w:rsid w:val="006C6516"/>
    <w:rsid w:val="006C6613"/>
    <w:rsid w:val="006C6616"/>
    <w:rsid w:val="006C666F"/>
    <w:rsid w:val="006C6673"/>
    <w:rsid w:val="006C66C0"/>
    <w:rsid w:val="006C6745"/>
    <w:rsid w:val="006C67BC"/>
    <w:rsid w:val="006C67DB"/>
    <w:rsid w:val="006C687A"/>
    <w:rsid w:val="006C6931"/>
    <w:rsid w:val="006C6943"/>
    <w:rsid w:val="006C69EF"/>
    <w:rsid w:val="006C6AAE"/>
    <w:rsid w:val="006C6B83"/>
    <w:rsid w:val="006C6B91"/>
    <w:rsid w:val="006C6BAF"/>
    <w:rsid w:val="006C6C0B"/>
    <w:rsid w:val="006C6D47"/>
    <w:rsid w:val="006C6D55"/>
    <w:rsid w:val="006C6E55"/>
    <w:rsid w:val="006C6E7C"/>
    <w:rsid w:val="006C6EFA"/>
    <w:rsid w:val="006C6F44"/>
    <w:rsid w:val="006C6FA2"/>
    <w:rsid w:val="006C7024"/>
    <w:rsid w:val="006C7064"/>
    <w:rsid w:val="006C70C8"/>
    <w:rsid w:val="006C70CB"/>
    <w:rsid w:val="006C71D2"/>
    <w:rsid w:val="006C71DD"/>
    <w:rsid w:val="006C722F"/>
    <w:rsid w:val="006C724D"/>
    <w:rsid w:val="006C7323"/>
    <w:rsid w:val="006C7408"/>
    <w:rsid w:val="006C740F"/>
    <w:rsid w:val="006C745C"/>
    <w:rsid w:val="006C74D0"/>
    <w:rsid w:val="006C74D6"/>
    <w:rsid w:val="006C74D8"/>
    <w:rsid w:val="006C751A"/>
    <w:rsid w:val="006C75BB"/>
    <w:rsid w:val="006C75F6"/>
    <w:rsid w:val="006C7611"/>
    <w:rsid w:val="006C761A"/>
    <w:rsid w:val="006C7677"/>
    <w:rsid w:val="006C7683"/>
    <w:rsid w:val="006C770D"/>
    <w:rsid w:val="006C77B6"/>
    <w:rsid w:val="006C77D5"/>
    <w:rsid w:val="006C77DB"/>
    <w:rsid w:val="006C77E5"/>
    <w:rsid w:val="006C77FB"/>
    <w:rsid w:val="006C7858"/>
    <w:rsid w:val="006C78C2"/>
    <w:rsid w:val="006C79A3"/>
    <w:rsid w:val="006C7A2B"/>
    <w:rsid w:val="006C7AED"/>
    <w:rsid w:val="006C7B04"/>
    <w:rsid w:val="006C7BD8"/>
    <w:rsid w:val="006C7BDB"/>
    <w:rsid w:val="006C7C0B"/>
    <w:rsid w:val="006C7C4A"/>
    <w:rsid w:val="006C7C61"/>
    <w:rsid w:val="006C7C62"/>
    <w:rsid w:val="006C7C65"/>
    <w:rsid w:val="006C7C86"/>
    <w:rsid w:val="006C7CC3"/>
    <w:rsid w:val="006C7D30"/>
    <w:rsid w:val="006C7D4F"/>
    <w:rsid w:val="006C7D6A"/>
    <w:rsid w:val="006C7E83"/>
    <w:rsid w:val="006C7F3E"/>
    <w:rsid w:val="006C7F83"/>
    <w:rsid w:val="006C7F8A"/>
    <w:rsid w:val="006D001C"/>
    <w:rsid w:val="006D0059"/>
    <w:rsid w:val="006D00D1"/>
    <w:rsid w:val="006D0116"/>
    <w:rsid w:val="006D01C8"/>
    <w:rsid w:val="006D0213"/>
    <w:rsid w:val="006D021E"/>
    <w:rsid w:val="006D0263"/>
    <w:rsid w:val="006D0288"/>
    <w:rsid w:val="006D02EC"/>
    <w:rsid w:val="006D02FE"/>
    <w:rsid w:val="006D036A"/>
    <w:rsid w:val="006D03D6"/>
    <w:rsid w:val="006D0439"/>
    <w:rsid w:val="006D0494"/>
    <w:rsid w:val="006D05C2"/>
    <w:rsid w:val="006D07EC"/>
    <w:rsid w:val="006D0818"/>
    <w:rsid w:val="006D0881"/>
    <w:rsid w:val="006D089D"/>
    <w:rsid w:val="006D08E3"/>
    <w:rsid w:val="006D0919"/>
    <w:rsid w:val="006D0992"/>
    <w:rsid w:val="006D09E1"/>
    <w:rsid w:val="006D09E2"/>
    <w:rsid w:val="006D0A5E"/>
    <w:rsid w:val="006D0AA2"/>
    <w:rsid w:val="006D0B60"/>
    <w:rsid w:val="006D0BC5"/>
    <w:rsid w:val="006D0BC9"/>
    <w:rsid w:val="006D0C21"/>
    <w:rsid w:val="006D0C26"/>
    <w:rsid w:val="006D0C4B"/>
    <w:rsid w:val="006D0CFB"/>
    <w:rsid w:val="006D0D24"/>
    <w:rsid w:val="006D0D2A"/>
    <w:rsid w:val="006D0D35"/>
    <w:rsid w:val="006D0D61"/>
    <w:rsid w:val="006D0D97"/>
    <w:rsid w:val="006D0DCC"/>
    <w:rsid w:val="006D0DE0"/>
    <w:rsid w:val="006D0E32"/>
    <w:rsid w:val="006D0EE8"/>
    <w:rsid w:val="006D0F24"/>
    <w:rsid w:val="006D0F51"/>
    <w:rsid w:val="006D0F91"/>
    <w:rsid w:val="006D0FDF"/>
    <w:rsid w:val="006D1029"/>
    <w:rsid w:val="006D1077"/>
    <w:rsid w:val="006D10C7"/>
    <w:rsid w:val="006D1110"/>
    <w:rsid w:val="006D1136"/>
    <w:rsid w:val="006D11A7"/>
    <w:rsid w:val="006D121B"/>
    <w:rsid w:val="006D1266"/>
    <w:rsid w:val="006D1425"/>
    <w:rsid w:val="006D142F"/>
    <w:rsid w:val="006D155B"/>
    <w:rsid w:val="006D15BB"/>
    <w:rsid w:val="006D15D7"/>
    <w:rsid w:val="006D15F1"/>
    <w:rsid w:val="006D164D"/>
    <w:rsid w:val="006D16AE"/>
    <w:rsid w:val="006D16BD"/>
    <w:rsid w:val="006D16F6"/>
    <w:rsid w:val="006D1737"/>
    <w:rsid w:val="006D173A"/>
    <w:rsid w:val="006D179D"/>
    <w:rsid w:val="006D17E4"/>
    <w:rsid w:val="006D1868"/>
    <w:rsid w:val="006D189C"/>
    <w:rsid w:val="006D18A0"/>
    <w:rsid w:val="006D18D4"/>
    <w:rsid w:val="006D199E"/>
    <w:rsid w:val="006D1A6C"/>
    <w:rsid w:val="006D1AFE"/>
    <w:rsid w:val="006D1B00"/>
    <w:rsid w:val="006D1B08"/>
    <w:rsid w:val="006D1B86"/>
    <w:rsid w:val="006D1BE0"/>
    <w:rsid w:val="006D1C0C"/>
    <w:rsid w:val="006D1C1B"/>
    <w:rsid w:val="006D1C7A"/>
    <w:rsid w:val="006D1CFA"/>
    <w:rsid w:val="006D1D61"/>
    <w:rsid w:val="006D1E20"/>
    <w:rsid w:val="006D1EBF"/>
    <w:rsid w:val="006D1EDE"/>
    <w:rsid w:val="006D1EF5"/>
    <w:rsid w:val="006D1FD6"/>
    <w:rsid w:val="006D201D"/>
    <w:rsid w:val="006D2141"/>
    <w:rsid w:val="006D2147"/>
    <w:rsid w:val="006D2153"/>
    <w:rsid w:val="006D2159"/>
    <w:rsid w:val="006D21AE"/>
    <w:rsid w:val="006D21E2"/>
    <w:rsid w:val="006D21E9"/>
    <w:rsid w:val="006D22C9"/>
    <w:rsid w:val="006D22EA"/>
    <w:rsid w:val="006D2304"/>
    <w:rsid w:val="006D233D"/>
    <w:rsid w:val="006D235A"/>
    <w:rsid w:val="006D23A6"/>
    <w:rsid w:val="006D2481"/>
    <w:rsid w:val="006D2492"/>
    <w:rsid w:val="006D24B5"/>
    <w:rsid w:val="006D2612"/>
    <w:rsid w:val="006D264E"/>
    <w:rsid w:val="006D2660"/>
    <w:rsid w:val="006D26C6"/>
    <w:rsid w:val="006D26EE"/>
    <w:rsid w:val="006D271D"/>
    <w:rsid w:val="006D27AE"/>
    <w:rsid w:val="006D27E4"/>
    <w:rsid w:val="006D2892"/>
    <w:rsid w:val="006D28C2"/>
    <w:rsid w:val="006D28E0"/>
    <w:rsid w:val="006D2A33"/>
    <w:rsid w:val="006D2A3A"/>
    <w:rsid w:val="006D2A3C"/>
    <w:rsid w:val="006D2AE3"/>
    <w:rsid w:val="006D2B3A"/>
    <w:rsid w:val="006D2B52"/>
    <w:rsid w:val="006D2B85"/>
    <w:rsid w:val="006D2B90"/>
    <w:rsid w:val="006D2BDA"/>
    <w:rsid w:val="006D2CF2"/>
    <w:rsid w:val="006D2DF7"/>
    <w:rsid w:val="006D2E02"/>
    <w:rsid w:val="006D2E1A"/>
    <w:rsid w:val="006D2E84"/>
    <w:rsid w:val="006D2EB5"/>
    <w:rsid w:val="006D2F15"/>
    <w:rsid w:val="006D2F47"/>
    <w:rsid w:val="006D2F5E"/>
    <w:rsid w:val="006D2F9B"/>
    <w:rsid w:val="006D2F9C"/>
    <w:rsid w:val="006D2FC8"/>
    <w:rsid w:val="006D304F"/>
    <w:rsid w:val="006D309F"/>
    <w:rsid w:val="006D30BC"/>
    <w:rsid w:val="006D30C4"/>
    <w:rsid w:val="006D30F9"/>
    <w:rsid w:val="006D310A"/>
    <w:rsid w:val="006D314F"/>
    <w:rsid w:val="006D320F"/>
    <w:rsid w:val="006D32E0"/>
    <w:rsid w:val="006D3369"/>
    <w:rsid w:val="006D33BB"/>
    <w:rsid w:val="006D348D"/>
    <w:rsid w:val="006D3494"/>
    <w:rsid w:val="006D352B"/>
    <w:rsid w:val="006D365C"/>
    <w:rsid w:val="006D3673"/>
    <w:rsid w:val="006D373F"/>
    <w:rsid w:val="006D3754"/>
    <w:rsid w:val="006D3761"/>
    <w:rsid w:val="006D3796"/>
    <w:rsid w:val="006D37AB"/>
    <w:rsid w:val="006D37E2"/>
    <w:rsid w:val="006D3806"/>
    <w:rsid w:val="006D388A"/>
    <w:rsid w:val="006D38E6"/>
    <w:rsid w:val="006D3A56"/>
    <w:rsid w:val="006D3AD4"/>
    <w:rsid w:val="006D3AED"/>
    <w:rsid w:val="006D3B8E"/>
    <w:rsid w:val="006D3BAC"/>
    <w:rsid w:val="006D3CCC"/>
    <w:rsid w:val="006D3CF3"/>
    <w:rsid w:val="006D3D25"/>
    <w:rsid w:val="006D3E27"/>
    <w:rsid w:val="006D3E3A"/>
    <w:rsid w:val="006D3E52"/>
    <w:rsid w:val="006D4044"/>
    <w:rsid w:val="006D4110"/>
    <w:rsid w:val="006D418D"/>
    <w:rsid w:val="006D4215"/>
    <w:rsid w:val="006D431C"/>
    <w:rsid w:val="006D4325"/>
    <w:rsid w:val="006D4358"/>
    <w:rsid w:val="006D439A"/>
    <w:rsid w:val="006D4442"/>
    <w:rsid w:val="006D4473"/>
    <w:rsid w:val="006D4483"/>
    <w:rsid w:val="006D4497"/>
    <w:rsid w:val="006D44E3"/>
    <w:rsid w:val="006D4587"/>
    <w:rsid w:val="006D464C"/>
    <w:rsid w:val="006D4653"/>
    <w:rsid w:val="006D46BE"/>
    <w:rsid w:val="006D4776"/>
    <w:rsid w:val="006D4842"/>
    <w:rsid w:val="006D48E0"/>
    <w:rsid w:val="006D48FE"/>
    <w:rsid w:val="006D4A77"/>
    <w:rsid w:val="006D4B85"/>
    <w:rsid w:val="006D4C0A"/>
    <w:rsid w:val="006D4C20"/>
    <w:rsid w:val="006D4C51"/>
    <w:rsid w:val="006D4C80"/>
    <w:rsid w:val="006D4CD9"/>
    <w:rsid w:val="006D4CEC"/>
    <w:rsid w:val="006D4D17"/>
    <w:rsid w:val="006D4EBE"/>
    <w:rsid w:val="006D4ED1"/>
    <w:rsid w:val="006D4F9F"/>
    <w:rsid w:val="006D4FF4"/>
    <w:rsid w:val="006D5092"/>
    <w:rsid w:val="006D50A2"/>
    <w:rsid w:val="006D5139"/>
    <w:rsid w:val="006D5157"/>
    <w:rsid w:val="006D5158"/>
    <w:rsid w:val="006D515C"/>
    <w:rsid w:val="006D51A0"/>
    <w:rsid w:val="006D51B1"/>
    <w:rsid w:val="006D51D9"/>
    <w:rsid w:val="006D5205"/>
    <w:rsid w:val="006D521D"/>
    <w:rsid w:val="006D5228"/>
    <w:rsid w:val="006D5241"/>
    <w:rsid w:val="006D5290"/>
    <w:rsid w:val="006D52A4"/>
    <w:rsid w:val="006D52CE"/>
    <w:rsid w:val="006D52D3"/>
    <w:rsid w:val="006D5307"/>
    <w:rsid w:val="006D53CB"/>
    <w:rsid w:val="006D544C"/>
    <w:rsid w:val="006D5492"/>
    <w:rsid w:val="006D5518"/>
    <w:rsid w:val="006D5520"/>
    <w:rsid w:val="006D555F"/>
    <w:rsid w:val="006D5573"/>
    <w:rsid w:val="006D557D"/>
    <w:rsid w:val="006D558E"/>
    <w:rsid w:val="006D55B9"/>
    <w:rsid w:val="006D55D7"/>
    <w:rsid w:val="006D55E0"/>
    <w:rsid w:val="006D55F8"/>
    <w:rsid w:val="006D560D"/>
    <w:rsid w:val="006D5614"/>
    <w:rsid w:val="006D562B"/>
    <w:rsid w:val="006D5662"/>
    <w:rsid w:val="006D5683"/>
    <w:rsid w:val="006D56D3"/>
    <w:rsid w:val="006D57F8"/>
    <w:rsid w:val="006D5892"/>
    <w:rsid w:val="006D5897"/>
    <w:rsid w:val="006D5951"/>
    <w:rsid w:val="006D5990"/>
    <w:rsid w:val="006D59A0"/>
    <w:rsid w:val="006D59B1"/>
    <w:rsid w:val="006D59D0"/>
    <w:rsid w:val="006D5B0F"/>
    <w:rsid w:val="006D5B10"/>
    <w:rsid w:val="006D5B5E"/>
    <w:rsid w:val="006D5C42"/>
    <w:rsid w:val="006D5CBF"/>
    <w:rsid w:val="006D5D37"/>
    <w:rsid w:val="006D5D65"/>
    <w:rsid w:val="006D5E78"/>
    <w:rsid w:val="006D5E92"/>
    <w:rsid w:val="006D5EC5"/>
    <w:rsid w:val="006D5ECF"/>
    <w:rsid w:val="006D5F4D"/>
    <w:rsid w:val="006D6004"/>
    <w:rsid w:val="006D6048"/>
    <w:rsid w:val="006D611A"/>
    <w:rsid w:val="006D61E1"/>
    <w:rsid w:val="006D635B"/>
    <w:rsid w:val="006D638F"/>
    <w:rsid w:val="006D6393"/>
    <w:rsid w:val="006D63F1"/>
    <w:rsid w:val="006D63F4"/>
    <w:rsid w:val="006D6516"/>
    <w:rsid w:val="006D652D"/>
    <w:rsid w:val="006D654D"/>
    <w:rsid w:val="006D655D"/>
    <w:rsid w:val="006D6567"/>
    <w:rsid w:val="006D65C2"/>
    <w:rsid w:val="006D65C6"/>
    <w:rsid w:val="006D65F6"/>
    <w:rsid w:val="006D6693"/>
    <w:rsid w:val="006D6710"/>
    <w:rsid w:val="006D676A"/>
    <w:rsid w:val="006D67F0"/>
    <w:rsid w:val="006D6829"/>
    <w:rsid w:val="006D683B"/>
    <w:rsid w:val="006D6843"/>
    <w:rsid w:val="006D6864"/>
    <w:rsid w:val="006D68E4"/>
    <w:rsid w:val="006D68E6"/>
    <w:rsid w:val="006D6965"/>
    <w:rsid w:val="006D69EA"/>
    <w:rsid w:val="006D69EC"/>
    <w:rsid w:val="006D6A6D"/>
    <w:rsid w:val="006D6AB7"/>
    <w:rsid w:val="006D6AFF"/>
    <w:rsid w:val="006D6B28"/>
    <w:rsid w:val="006D6B53"/>
    <w:rsid w:val="006D6B95"/>
    <w:rsid w:val="006D6BF3"/>
    <w:rsid w:val="006D6C0D"/>
    <w:rsid w:val="006D6C47"/>
    <w:rsid w:val="006D6CA9"/>
    <w:rsid w:val="006D6D01"/>
    <w:rsid w:val="006D6E5A"/>
    <w:rsid w:val="006D6E84"/>
    <w:rsid w:val="006D6EEA"/>
    <w:rsid w:val="006D6F90"/>
    <w:rsid w:val="006D6FA3"/>
    <w:rsid w:val="006D7079"/>
    <w:rsid w:val="006D7093"/>
    <w:rsid w:val="006D7135"/>
    <w:rsid w:val="006D7155"/>
    <w:rsid w:val="006D717D"/>
    <w:rsid w:val="006D71EB"/>
    <w:rsid w:val="006D72A6"/>
    <w:rsid w:val="006D72D2"/>
    <w:rsid w:val="006D72EA"/>
    <w:rsid w:val="006D739F"/>
    <w:rsid w:val="006D73B3"/>
    <w:rsid w:val="006D7418"/>
    <w:rsid w:val="006D7455"/>
    <w:rsid w:val="006D754F"/>
    <w:rsid w:val="006D7579"/>
    <w:rsid w:val="006D7592"/>
    <w:rsid w:val="006D75FB"/>
    <w:rsid w:val="006D77B2"/>
    <w:rsid w:val="006D7834"/>
    <w:rsid w:val="006D7850"/>
    <w:rsid w:val="006D7866"/>
    <w:rsid w:val="006D78F3"/>
    <w:rsid w:val="006D7972"/>
    <w:rsid w:val="006D79AA"/>
    <w:rsid w:val="006D79C7"/>
    <w:rsid w:val="006D7A2C"/>
    <w:rsid w:val="006D7A32"/>
    <w:rsid w:val="006D7ACB"/>
    <w:rsid w:val="006D7AEA"/>
    <w:rsid w:val="006D7AFD"/>
    <w:rsid w:val="006D7B3E"/>
    <w:rsid w:val="006D7B57"/>
    <w:rsid w:val="006D7C07"/>
    <w:rsid w:val="006D7C24"/>
    <w:rsid w:val="006D7C2E"/>
    <w:rsid w:val="006D7C5C"/>
    <w:rsid w:val="006D7CB5"/>
    <w:rsid w:val="006D7CB6"/>
    <w:rsid w:val="006D7D23"/>
    <w:rsid w:val="006D7D44"/>
    <w:rsid w:val="006D7D9F"/>
    <w:rsid w:val="006D7E64"/>
    <w:rsid w:val="006D7EBC"/>
    <w:rsid w:val="006D7EFE"/>
    <w:rsid w:val="006E0066"/>
    <w:rsid w:val="006E01B0"/>
    <w:rsid w:val="006E0210"/>
    <w:rsid w:val="006E0276"/>
    <w:rsid w:val="006E02B9"/>
    <w:rsid w:val="006E0326"/>
    <w:rsid w:val="006E0340"/>
    <w:rsid w:val="006E0350"/>
    <w:rsid w:val="006E036B"/>
    <w:rsid w:val="006E0409"/>
    <w:rsid w:val="006E04D2"/>
    <w:rsid w:val="006E05E6"/>
    <w:rsid w:val="006E0608"/>
    <w:rsid w:val="006E0630"/>
    <w:rsid w:val="006E0663"/>
    <w:rsid w:val="006E0676"/>
    <w:rsid w:val="006E069C"/>
    <w:rsid w:val="006E0704"/>
    <w:rsid w:val="006E07AA"/>
    <w:rsid w:val="006E07B3"/>
    <w:rsid w:val="006E07F9"/>
    <w:rsid w:val="006E08A5"/>
    <w:rsid w:val="006E08DE"/>
    <w:rsid w:val="006E0904"/>
    <w:rsid w:val="006E0977"/>
    <w:rsid w:val="006E099B"/>
    <w:rsid w:val="006E0A1B"/>
    <w:rsid w:val="006E0AD4"/>
    <w:rsid w:val="006E0AF4"/>
    <w:rsid w:val="006E0B88"/>
    <w:rsid w:val="006E0BAB"/>
    <w:rsid w:val="006E0BED"/>
    <w:rsid w:val="006E0C83"/>
    <w:rsid w:val="006E0C8A"/>
    <w:rsid w:val="006E0CB7"/>
    <w:rsid w:val="006E0CD9"/>
    <w:rsid w:val="006E0D17"/>
    <w:rsid w:val="006E0E08"/>
    <w:rsid w:val="006E0E60"/>
    <w:rsid w:val="006E0E8A"/>
    <w:rsid w:val="006E0EA3"/>
    <w:rsid w:val="006E0F14"/>
    <w:rsid w:val="006E0F97"/>
    <w:rsid w:val="006E0F9C"/>
    <w:rsid w:val="006E0FFE"/>
    <w:rsid w:val="006E10BF"/>
    <w:rsid w:val="006E10CF"/>
    <w:rsid w:val="006E119C"/>
    <w:rsid w:val="006E11E4"/>
    <w:rsid w:val="006E120F"/>
    <w:rsid w:val="006E1243"/>
    <w:rsid w:val="006E12CC"/>
    <w:rsid w:val="006E13D1"/>
    <w:rsid w:val="006E13DC"/>
    <w:rsid w:val="006E140E"/>
    <w:rsid w:val="006E1474"/>
    <w:rsid w:val="006E1562"/>
    <w:rsid w:val="006E1581"/>
    <w:rsid w:val="006E15D2"/>
    <w:rsid w:val="006E15DF"/>
    <w:rsid w:val="006E1678"/>
    <w:rsid w:val="006E173D"/>
    <w:rsid w:val="006E1754"/>
    <w:rsid w:val="006E179B"/>
    <w:rsid w:val="006E1844"/>
    <w:rsid w:val="006E186D"/>
    <w:rsid w:val="006E1963"/>
    <w:rsid w:val="006E1AC8"/>
    <w:rsid w:val="006E1BA3"/>
    <w:rsid w:val="006E1BB0"/>
    <w:rsid w:val="006E1BC1"/>
    <w:rsid w:val="006E1C1D"/>
    <w:rsid w:val="006E1C2A"/>
    <w:rsid w:val="006E1C39"/>
    <w:rsid w:val="006E1D9F"/>
    <w:rsid w:val="006E1DF3"/>
    <w:rsid w:val="006E1F3D"/>
    <w:rsid w:val="006E1F9F"/>
    <w:rsid w:val="006E1FDD"/>
    <w:rsid w:val="006E20CC"/>
    <w:rsid w:val="006E20D6"/>
    <w:rsid w:val="006E21F7"/>
    <w:rsid w:val="006E2334"/>
    <w:rsid w:val="006E239B"/>
    <w:rsid w:val="006E23E8"/>
    <w:rsid w:val="006E2409"/>
    <w:rsid w:val="006E246A"/>
    <w:rsid w:val="006E248C"/>
    <w:rsid w:val="006E24D3"/>
    <w:rsid w:val="006E250C"/>
    <w:rsid w:val="006E255F"/>
    <w:rsid w:val="006E2566"/>
    <w:rsid w:val="006E256B"/>
    <w:rsid w:val="006E25A5"/>
    <w:rsid w:val="006E25A9"/>
    <w:rsid w:val="006E25AA"/>
    <w:rsid w:val="006E25C1"/>
    <w:rsid w:val="006E260E"/>
    <w:rsid w:val="006E2690"/>
    <w:rsid w:val="006E270E"/>
    <w:rsid w:val="006E27B5"/>
    <w:rsid w:val="006E28A0"/>
    <w:rsid w:val="006E2937"/>
    <w:rsid w:val="006E2A0A"/>
    <w:rsid w:val="006E2A21"/>
    <w:rsid w:val="006E2A4C"/>
    <w:rsid w:val="006E2A60"/>
    <w:rsid w:val="006E2A9B"/>
    <w:rsid w:val="006E2B29"/>
    <w:rsid w:val="006E2B57"/>
    <w:rsid w:val="006E2BE4"/>
    <w:rsid w:val="006E2BE5"/>
    <w:rsid w:val="006E2CB7"/>
    <w:rsid w:val="006E2CE2"/>
    <w:rsid w:val="006E2D57"/>
    <w:rsid w:val="006E2DF9"/>
    <w:rsid w:val="006E2E5F"/>
    <w:rsid w:val="006E2E6B"/>
    <w:rsid w:val="006E2F99"/>
    <w:rsid w:val="006E2FB3"/>
    <w:rsid w:val="006E301E"/>
    <w:rsid w:val="006E3069"/>
    <w:rsid w:val="006E306C"/>
    <w:rsid w:val="006E317B"/>
    <w:rsid w:val="006E318E"/>
    <w:rsid w:val="006E3205"/>
    <w:rsid w:val="006E327C"/>
    <w:rsid w:val="006E327F"/>
    <w:rsid w:val="006E3282"/>
    <w:rsid w:val="006E32A1"/>
    <w:rsid w:val="006E32B4"/>
    <w:rsid w:val="006E32D9"/>
    <w:rsid w:val="006E32EB"/>
    <w:rsid w:val="006E33E7"/>
    <w:rsid w:val="006E346E"/>
    <w:rsid w:val="006E347D"/>
    <w:rsid w:val="006E3497"/>
    <w:rsid w:val="006E34A8"/>
    <w:rsid w:val="006E351D"/>
    <w:rsid w:val="006E3611"/>
    <w:rsid w:val="006E3660"/>
    <w:rsid w:val="006E3741"/>
    <w:rsid w:val="006E374E"/>
    <w:rsid w:val="006E37AB"/>
    <w:rsid w:val="006E3804"/>
    <w:rsid w:val="006E3863"/>
    <w:rsid w:val="006E3875"/>
    <w:rsid w:val="006E38B3"/>
    <w:rsid w:val="006E39A7"/>
    <w:rsid w:val="006E39AE"/>
    <w:rsid w:val="006E39E2"/>
    <w:rsid w:val="006E3A78"/>
    <w:rsid w:val="006E3B2C"/>
    <w:rsid w:val="006E3C46"/>
    <w:rsid w:val="006E3C71"/>
    <w:rsid w:val="006E3D34"/>
    <w:rsid w:val="006E3E27"/>
    <w:rsid w:val="006E3EB0"/>
    <w:rsid w:val="006E3EE4"/>
    <w:rsid w:val="006E3F02"/>
    <w:rsid w:val="006E3F9C"/>
    <w:rsid w:val="006E3FAF"/>
    <w:rsid w:val="006E404E"/>
    <w:rsid w:val="006E4055"/>
    <w:rsid w:val="006E4057"/>
    <w:rsid w:val="006E4068"/>
    <w:rsid w:val="006E40DF"/>
    <w:rsid w:val="006E41C3"/>
    <w:rsid w:val="006E422D"/>
    <w:rsid w:val="006E42A1"/>
    <w:rsid w:val="006E445E"/>
    <w:rsid w:val="006E4495"/>
    <w:rsid w:val="006E44C7"/>
    <w:rsid w:val="006E44DD"/>
    <w:rsid w:val="006E4501"/>
    <w:rsid w:val="006E46A1"/>
    <w:rsid w:val="006E4706"/>
    <w:rsid w:val="006E4806"/>
    <w:rsid w:val="006E482D"/>
    <w:rsid w:val="006E490F"/>
    <w:rsid w:val="006E492E"/>
    <w:rsid w:val="006E4A5B"/>
    <w:rsid w:val="006E4AA5"/>
    <w:rsid w:val="006E4AFA"/>
    <w:rsid w:val="006E4B1E"/>
    <w:rsid w:val="006E4B65"/>
    <w:rsid w:val="006E4B95"/>
    <w:rsid w:val="006E4BE1"/>
    <w:rsid w:val="006E4C47"/>
    <w:rsid w:val="006E4C6E"/>
    <w:rsid w:val="006E4D49"/>
    <w:rsid w:val="006E4DBB"/>
    <w:rsid w:val="006E4E1B"/>
    <w:rsid w:val="006E4E7D"/>
    <w:rsid w:val="006E4EEE"/>
    <w:rsid w:val="006E4F10"/>
    <w:rsid w:val="006E4F56"/>
    <w:rsid w:val="006E4F72"/>
    <w:rsid w:val="006E4F82"/>
    <w:rsid w:val="006E502E"/>
    <w:rsid w:val="006E5056"/>
    <w:rsid w:val="006E509D"/>
    <w:rsid w:val="006E50B1"/>
    <w:rsid w:val="006E50BB"/>
    <w:rsid w:val="006E513D"/>
    <w:rsid w:val="006E514E"/>
    <w:rsid w:val="006E5184"/>
    <w:rsid w:val="006E5192"/>
    <w:rsid w:val="006E51AD"/>
    <w:rsid w:val="006E51D7"/>
    <w:rsid w:val="006E5220"/>
    <w:rsid w:val="006E52A0"/>
    <w:rsid w:val="006E52B8"/>
    <w:rsid w:val="006E5317"/>
    <w:rsid w:val="006E531A"/>
    <w:rsid w:val="006E535C"/>
    <w:rsid w:val="006E53EF"/>
    <w:rsid w:val="006E546D"/>
    <w:rsid w:val="006E54BE"/>
    <w:rsid w:val="006E54C1"/>
    <w:rsid w:val="006E558D"/>
    <w:rsid w:val="006E559C"/>
    <w:rsid w:val="006E55D6"/>
    <w:rsid w:val="006E5663"/>
    <w:rsid w:val="006E5670"/>
    <w:rsid w:val="006E56AC"/>
    <w:rsid w:val="006E56E9"/>
    <w:rsid w:val="006E5859"/>
    <w:rsid w:val="006E5960"/>
    <w:rsid w:val="006E59A1"/>
    <w:rsid w:val="006E5A70"/>
    <w:rsid w:val="006E5A7E"/>
    <w:rsid w:val="006E5A87"/>
    <w:rsid w:val="006E5A9E"/>
    <w:rsid w:val="006E5B12"/>
    <w:rsid w:val="006E5B4A"/>
    <w:rsid w:val="006E5B77"/>
    <w:rsid w:val="006E5C5F"/>
    <w:rsid w:val="006E5C8F"/>
    <w:rsid w:val="006E5C93"/>
    <w:rsid w:val="006E5CC8"/>
    <w:rsid w:val="006E5D0E"/>
    <w:rsid w:val="006E5DD3"/>
    <w:rsid w:val="006E5DD9"/>
    <w:rsid w:val="006E5DDC"/>
    <w:rsid w:val="006E5E36"/>
    <w:rsid w:val="006E5E39"/>
    <w:rsid w:val="006E5E44"/>
    <w:rsid w:val="006E5F08"/>
    <w:rsid w:val="006E60E2"/>
    <w:rsid w:val="006E60E7"/>
    <w:rsid w:val="006E6177"/>
    <w:rsid w:val="006E629B"/>
    <w:rsid w:val="006E6363"/>
    <w:rsid w:val="006E63A9"/>
    <w:rsid w:val="006E63EF"/>
    <w:rsid w:val="006E63F0"/>
    <w:rsid w:val="006E6427"/>
    <w:rsid w:val="006E6470"/>
    <w:rsid w:val="006E64FF"/>
    <w:rsid w:val="006E6549"/>
    <w:rsid w:val="006E65E5"/>
    <w:rsid w:val="006E6615"/>
    <w:rsid w:val="006E6676"/>
    <w:rsid w:val="006E678E"/>
    <w:rsid w:val="006E6886"/>
    <w:rsid w:val="006E6903"/>
    <w:rsid w:val="006E6914"/>
    <w:rsid w:val="006E6929"/>
    <w:rsid w:val="006E6945"/>
    <w:rsid w:val="006E694E"/>
    <w:rsid w:val="006E695C"/>
    <w:rsid w:val="006E6971"/>
    <w:rsid w:val="006E69B9"/>
    <w:rsid w:val="006E6A4D"/>
    <w:rsid w:val="006E6A7C"/>
    <w:rsid w:val="006E6AE9"/>
    <w:rsid w:val="006E6AEF"/>
    <w:rsid w:val="006E6B2B"/>
    <w:rsid w:val="006E6B34"/>
    <w:rsid w:val="006E6BCF"/>
    <w:rsid w:val="006E6C2E"/>
    <w:rsid w:val="006E6C51"/>
    <w:rsid w:val="006E6CAE"/>
    <w:rsid w:val="006E6D1B"/>
    <w:rsid w:val="006E6DB0"/>
    <w:rsid w:val="006E6E31"/>
    <w:rsid w:val="006E6F13"/>
    <w:rsid w:val="006E6FA2"/>
    <w:rsid w:val="006E6FAE"/>
    <w:rsid w:val="006E7070"/>
    <w:rsid w:val="006E7082"/>
    <w:rsid w:val="006E7146"/>
    <w:rsid w:val="006E716F"/>
    <w:rsid w:val="006E71A6"/>
    <w:rsid w:val="006E71BE"/>
    <w:rsid w:val="006E71C0"/>
    <w:rsid w:val="006E71F4"/>
    <w:rsid w:val="006E7216"/>
    <w:rsid w:val="006E72E2"/>
    <w:rsid w:val="006E7356"/>
    <w:rsid w:val="006E738C"/>
    <w:rsid w:val="006E746F"/>
    <w:rsid w:val="006E7500"/>
    <w:rsid w:val="006E7519"/>
    <w:rsid w:val="006E751F"/>
    <w:rsid w:val="006E7569"/>
    <w:rsid w:val="006E7725"/>
    <w:rsid w:val="006E775C"/>
    <w:rsid w:val="006E776D"/>
    <w:rsid w:val="006E778D"/>
    <w:rsid w:val="006E77B1"/>
    <w:rsid w:val="006E77E3"/>
    <w:rsid w:val="006E77FF"/>
    <w:rsid w:val="006E786E"/>
    <w:rsid w:val="006E7985"/>
    <w:rsid w:val="006E79DE"/>
    <w:rsid w:val="006E7A06"/>
    <w:rsid w:val="006E7A1C"/>
    <w:rsid w:val="006E7A34"/>
    <w:rsid w:val="006E7A75"/>
    <w:rsid w:val="006E7AB3"/>
    <w:rsid w:val="006E7ACC"/>
    <w:rsid w:val="006E7B1C"/>
    <w:rsid w:val="006E7B95"/>
    <w:rsid w:val="006E7BA3"/>
    <w:rsid w:val="006E7C11"/>
    <w:rsid w:val="006E7CDF"/>
    <w:rsid w:val="006E7EF8"/>
    <w:rsid w:val="006E7F10"/>
    <w:rsid w:val="006E7F6D"/>
    <w:rsid w:val="006E7FA8"/>
    <w:rsid w:val="006F008A"/>
    <w:rsid w:val="006F00B9"/>
    <w:rsid w:val="006F0144"/>
    <w:rsid w:val="006F01C4"/>
    <w:rsid w:val="006F0256"/>
    <w:rsid w:val="006F02F1"/>
    <w:rsid w:val="006F02F6"/>
    <w:rsid w:val="006F0321"/>
    <w:rsid w:val="006F046C"/>
    <w:rsid w:val="006F04B3"/>
    <w:rsid w:val="006F053E"/>
    <w:rsid w:val="006F05C2"/>
    <w:rsid w:val="006F05C6"/>
    <w:rsid w:val="006F066E"/>
    <w:rsid w:val="006F06CC"/>
    <w:rsid w:val="006F06F7"/>
    <w:rsid w:val="006F070E"/>
    <w:rsid w:val="006F07F5"/>
    <w:rsid w:val="006F082B"/>
    <w:rsid w:val="006F084A"/>
    <w:rsid w:val="006F085F"/>
    <w:rsid w:val="006F0928"/>
    <w:rsid w:val="006F09EB"/>
    <w:rsid w:val="006F09F2"/>
    <w:rsid w:val="006F0AAB"/>
    <w:rsid w:val="006F0AB5"/>
    <w:rsid w:val="006F0ABF"/>
    <w:rsid w:val="006F0AE1"/>
    <w:rsid w:val="006F0B0C"/>
    <w:rsid w:val="006F0B16"/>
    <w:rsid w:val="006F0C1E"/>
    <w:rsid w:val="006F0C5B"/>
    <w:rsid w:val="006F0CAC"/>
    <w:rsid w:val="006F0CB4"/>
    <w:rsid w:val="006F0CB9"/>
    <w:rsid w:val="006F0D43"/>
    <w:rsid w:val="006F0E50"/>
    <w:rsid w:val="006F0E65"/>
    <w:rsid w:val="006F0E9E"/>
    <w:rsid w:val="006F0EA5"/>
    <w:rsid w:val="006F0EFA"/>
    <w:rsid w:val="006F0F07"/>
    <w:rsid w:val="006F0F43"/>
    <w:rsid w:val="006F0FD8"/>
    <w:rsid w:val="006F102D"/>
    <w:rsid w:val="006F1111"/>
    <w:rsid w:val="006F112E"/>
    <w:rsid w:val="006F1143"/>
    <w:rsid w:val="006F11AF"/>
    <w:rsid w:val="006F11B7"/>
    <w:rsid w:val="006F127E"/>
    <w:rsid w:val="006F1310"/>
    <w:rsid w:val="006F1329"/>
    <w:rsid w:val="006F13B1"/>
    <w:rsid w:val="006F14A3"/>
    <w:rsid w:val="006F14A7"/>
    <w:rsid w:val="006F14B6"/>
    <w:rsid w:val="006F1513"/>
    <w:rsid w:val="006F151C"/>
    <w:rsid w:val="006F1530"/>
    <w:rsid w:val="006F15CB"/>
    <w:rsid w:val="006F1685"/>
    <w:rsid w:val="006F168C"/>
    <w:rsid w:val="006F16AC"/>
    <w:rsid w:val="006F16B2"/>
    <w:rsid w:val="006F1721"/>
    <w:rsid w:val="006F1747"/>
    <w:rsid w:val="006F176B"/>
    <w:rsid w:val="006F17BB"/>
    <w:rsid w:val="006F17C4"/>
    <w:rsid w:val="006F17F1"/>
    <w:rsid w:val="006F183A"/>
    <w:rsid w:val="006F18CA"/>
    <w:rsid w:val="006F18F6"/>
    <w:rsid w:val="006F196F"/>
    <w:rsid w:val="006F1A19"/>
    <w:rsid w:val="006F1A75"/>
    <w:rsid w:val="006F1ADC"/>
    <w:rsid w:val="006F1B3B"/>
    <w:rsid w:val="006F1BA2"/>
    <w:rsid w:val="006F1BAA"/>
    <w:rsid w:val="006F1BCA"/>
    <w:rsid w:val="006F1CA5"/>
    <w:rsid w:val="006F1D3F"/>
    <w:rsid w:val="006F1E08"/>
    <w:rsid w:val="006F1E81"/>
    <w:rsid w:val="006F1F24"/>
    <w:rsid w:val="006F1F4C"/>
    <w:rsid w:val="006F1FAF"/>
    <w:rsid w:val="006F1FB5"/>
    <w:rsid w:val="006F1FEF"/>
    <w:rsid w:val="006F200B"/>
    <w:rsid w:val="006F2098"/>
    <w:rsid w:val="006F20E0"/>
    <w:rsid w:val="006F211B"/>
    <w:rsid w:val="006F2208"/>
    <w:rsid w:val="006F2235"/>
    <w:rsid w:val="006F2287"/>
    <w:rsid w:val="006F22F0"/>
    <w:rsid w:val="006F22FB"/>
    <w:rsid w:val="006F2365"/>
    <w:rsid w:val="006F2397"/>
    <w:rsid w:val="006F23CC"/>
    <w:rsid w:val="006F23F5"/>
    <w:rsid w:val="006F2435"/>
    <w:rsid w:val="006F249D"/>
    <w:rsid w:val="006F24B1"/>
    <w:rsid w:val="006F24D6"/>
    <w:rsid w:val="006F2578"/>
    <w:rsid w:val="006F258F"/>
    <w:rsid w:val="006F2661"/>
    <w:rsid w:val="006F268B"/>
    <w:rsid w:val="006F26F1"/>
    <w:rsid w:val="006F272E"/>
    <w:rsid w:val="006F2737"/>
    <w:rsid w:val="006F2788"/>
    <w:rsid w:val="006F2795"/>
    <w:rsid w:val="006F2846"/>
    <w:rsid w:val="006F28A7"/>
    <w:rsid w:val="006F28A9"/>
    <w:rsid w:val="006F29EA"/>
    <w:rsid w:val="006F2ADD"/>
    <w:rsid w:val="006F2B5A"/>
    <w:rsid w:val="006F2BCC"/>
    <w:rsid w:val="006F2BDF"/>
    <w:rsid w:val="006F2BFA"/>
    <w:rsid w:val="006F2DA5"/>
    <w:rsid w:val="006F2DBF"/>
    <w:rsid w:val="006F2DD0"/>
    <w:rsid w:val="006F2E13"/>
    <w:rsid w:val="006F2E80"/>
    <w:rsid w:val="006F2E9E"/>
    <w:rsid w:val="006F2EAF"/>
    <w:rsid w:val="006F2EB9"/>
    <w:rsid w:val="006F2F3E"/>
    <w:rsid w:val="006F2FA8"/>
    <w:rsid w:val="006F2FCD"/>
    <w:rsid w:val="006F3077"/>
    <w:rsid w:val="006F308B"/>
    <w:rsid w:val="006F308E"/>
    <w:rsid w:val="006F316D"/>
    <w:rsid w:val="006F3196"/>
    <w:rsid w:val="006F320E"/>
    <w:rsid w:val="006F3410"/>
    <w:rsid w:val="006F341A"/>
    <w:rsid w:val="006F3470"/>
    <w:rsid w:val="006F351A"/>
    <w:rsid w:val="006F354C"/>
    <w:rsid w:val="006F3573"/>
    <w:rsid w:val="006F36A7"/>
    <w:rsid w:val="006F36D2"/>
    <w:rsid w:val="006F36D7"/>
    <w:rsid w:val="006F3705"/>
    <w:rsid w:val="006F3788"/>
    <w:rsid w:val="006F3848"/>
    <w:rsid w:val="006F386F"/>
    <w:rsid w:val="006F38B9"/>
    <w:rsid w:val="006F38BE"/>
    <w:rsid w:val="006F3904"/>
    <w:rsid w:val="006F3983"/>
    <w:rsid w:val="006F39C8"/>
    <w:rsid w:val="006F39DD"/>
    <w:rsid w:val="006F39E5"/>
    <w:rsid w:val="006F3A5D"/>
    <w:rsid w:val="006F3ACD"/>
    <w:rsid w:val="006F3B0E"/>
    <w:rsid w:val="006F3B56"/>
    <w:rsid w:val="006F3B61"/>
    <w:rsid w:val="006F3BAB"/>
    <w:rsid w:val="006F3BD7"/>
    <w:rsid w:val="006F3C94"/>
    <w:rsid w:val="006F3CC9"/>
    <w:rsid w:val="006F3CE2"/>
    <w:rsid w:val="006F3CED"/>
    <w:rsid w:val="006F3D0C"/>
    <w:rsid w:val="006F3D26"/>
    <w:rsid w:val="006F3D2E"/>
    <w:rsid w:val="006F3D5E"/>
    <w:rsid w:val="006F3E59"/>
    <w:rsid w:val="006F3F6B"/>
    <w:rsid w:val="006F3F7C"/>
    <w:rsid w:val="006F3F83"/>
    <w:rsid w:val="006F401C"/>
    <w:rsid w:val="006F4053"/>
    <w:rsid w:val="006F40A7"/>
    <w:rsid w:val="006F40D5"/>
    <w:rsid w:val="006F4127"/>
    <w:rsid w:val="006F4136"/>
    <w:rsid w:val="006F41A9"/>
    <w:rsid w:val="006F41FB"/>
    <w:rsid w:val="006F4200"/>
    <w:rsid w:val="006F4257"/>
    <w:rsid w:val="006F4261"/>
    <w:rsid w:val="006F43BF"/>
    <w:rsid w:val="006F4420"/>
    <w:rsid w:val="006F444E"/>
    <w:rsid w:val="006F4471"/>
    <w:rsid w:val="006F450F"/>
    <w:rsid w:val="006F4527"/>
    <w:rsid w:val="006F454F"/>
    <w:rsid w:val="006F4551"/>
    <w:rsid w:val="006F45A8"/>
    <w:rsid w:val="006F4653"/>
    <w:rsid w:val="006F4686"/>
    <w:rsid w:val="006F46D3"/>
    <w:rsid w:val="006F481C"/>
    <w:rsid w:val="006F4872"/>
    <w:rsid w:val="006F4955"/>
    <w:rsid w:val="006F49F5"/>
    <w:rsid w:val="006F4A41"/>
    <w:rsid w:val="006F4AF2"/>
    <w:rsid w:val="006F4B3F"/>
    <w:rsid w:val="006F4BB0"/>
    <w:rsid w:val="006F4BD7"/>
    <w:rsid w:val="006F4BE2"/>
    <w:rsid w:val="006F4C01"/>
    <w:rsid w:val="006F4C1A"/>
    <w:rsid w:val="006F4CD9"/>
    <w:rsid w:val="006F4D17"/>
    <w:rsid w:val="006F4D3A"/>
    <w:rsid w:val="006F4D97"/>
    <w:rsid w:val="006F4DD9"/>
    <w:rsid w:val="006F4DED"/>
    <w:rsid w:val="006F4DFE"/>
    <w:rsid w:val="006F4E41"/>
    <w:rsid w:val="006F4E4F"/>
    <w:rsid w:val="006F4EE9"/>
    <w:rsid w:val="006F4F40"/>
    <w:rsid w:val="006F4F6B"/>
    <w:rsid w:val="006F4FE5"/>
    <w:rsid w:val="006F50F2"/>
    <w:rsid w:val="006F515C"/>
    <w:rsid w:val="006F51DE"/>
    <w:rsid w:val="006F51E5"/>
    <w:rsid w:val="006F5278"/>
    <w:rsid w:val="006F5284"/>
    <w:rsid w:val="006F52FF"/>
    <w:rsid w:val="006F53BB"/>
    <w:rsid w:val="006F53DF"/>
    <w:rsid w:val="006F54E7"/>
    <w:rsid w:val="006F54F2"/>
    <w:rsid w:val="006F557F"/>
    <w:rsid w:val="006F55AE"/>
    <w:rsid w:val="006F5604"/>
    <w:rsid w:val="006F5641"/>
    <w:rsid w:val="006F5661"/>
    <w:rsid w:val="006F56C5"/>
    <w:rsid w:val="006F56F2"/>
    <w:rsid w:val="006F5739"/>
    <w:rsid w:val="006F574D"/>
    <w:rsid w:val="006F5759"/>
    <w:rsid w:val="006F579B"/>
    <w:rsid w:val="006F5865"/>
    <w:rsid w:val="006F5942"/>
    <w:rsid w:val="006F5950"/>
    <w:rsid w:val="006F5982"/>
    <w:rsid w:val="006F59F2"/>
    <w:rsid w:val="006F5A41"/>
    <w:rsid w:val="006F5ABD"/>
    <w:rsid w:val="006F5AC4"/>
    <w:rsid w:val="006F5B10"/>
    <w:rsid w:val="006F5B20"/>
    <w:rsid w:val="006F5B38"/>
    <w:rsid w:val="006F5B3E"/>
    <w:rsid w:val="006F5BD1"/>
    <w:rsid w:val="006F5C58"/>
    <w:rsid w:val="006F5CED"/>
    <w:rsid w:val="006F5D6D"/>
    <w:rsid w:val="006F5E30"/>
    <w:rsid w:val="006F5EEF"/>
    <w:rsid w:val="006F5F69"/>
    <w:rsid w:val="006F605A"/>
    <w:rsid w:val="006F608E"/>
    <w:rsid w:val="006F6094"/>
    <w:rsid w:val="006F60DF"/>
    <w:rsid w:val="006F615E"/>
    <w:rsid w:val="006F621D"/>
    <w:rsid w:val="006F621F"/>
    <w:rsid w:val="006F623F"/>
    <w:rsid w:val="006F6269"/>
    <w:rsid w:val="006F628E"/>
    <w:rsid w:val="006F62AF"/>
    <w:rsid w:val="006F62DE"/>
    <w:rsid w:val="006F636B"/>
    <w:rsid w:val="006F6385"/>
    <w:rsid w:val="006F639D"/>
    <w:rsid w:val="006F63A0"/>
    <w:rsid w:val="006F63AE"/>
    <w:rsid w:val="006F63FF"/>
    <w:rsid w:val="006F641D"/>
    <w:rsid w:val="006F64BF"/>
    <w:rsid w:val="006F64FF"/>
    <w:rsid w:val="006F6524"/>
    <w:rsid w:val="006F664E"/>
    <w:rsid w:val="006F6701"/>
    <w:rsid w:val="006F6742"/>
    <w:rsid w:val="006F674A"/>
    <w:rsid w:val="006F6827"/>
    <w:rsid w:val="006F6840"/>
    <w:rsid w:val="006F6845"/>
    <w:rsid w:val="006F68BD"/>
    <w:rsid w:val="006F68C2"/>
    <w:rsid w:val="006F6930"/>
    <w:rsid w:val="006F69DD"/>
    <w:rsid w:val="006F6A1F"/>
    <w:rsid w:val="006F6AEC"/>
    <w:rsid w:val="006F6AFF"/>
    <w:rsid w:val="006F6B9A"/>
    <w:rsid w:val="006F6BAC"/>
    <w:rsid w:val="006F6C66"/>
    <w:rsid w:val="006F6CB4"/>
    <w:rsid w:val="006F6D9F"/>
    <w:rsid w:val="006F6DB4"/>
    <w:rsid w:val="006F6DD1"/>
    <w:rsid w:val="006F6EB0"/>
    <w:rsid w:val="006F6EB1"/>
    <w:rsid w:val="006F6EC6"/>
    <w:rsid w:val="006F6EF9"/>
    <w:rsid w:val="006F6F27"/>
    <w:rsid w:val="006F6F7B"/>
    <w:rsid w:val="006F7085"/>
    <w:rsid w:val="006F70C4"/>
    <w:rsid w:val="006F70CD"/>
    <w:rsid w:val="006F716F"/>
    <w:rsid w:val="006F71B9"/>
    <w:rsid w:val="006F7237"/>
    <w:rsid w:val="006F7282"/>
    <w:rsid w:val="006F72AC"/>
    <w:rsid w:val="006F7319"/>
    <w:rsid w:val="006F7348"/>
    <w:rsid w:val="006F7355"/>
    <w:rsid w:val="006F7405"/>
    <w:rsid w:val="006F741C"/>
    <w:rsid w:val="006F742F"/>
    <w:rsid w:val="006F74D6"/>
    <w:rsid w:val="006F754B"/>
    <w:rsid w:val="006F75E0"/>
    <w:rsid w:val="006F7617"/>
    <w:rsid w:val="006F7638"/>
    <w:rsid w:val="006F765A"/>
    <w:rsid w:val="006F76A6"/>
    <w:rsid w:val="006F76F2"/>
    <w:rsid w:val="006F7751"/>
    <w:rsid w:val="006F77B5"/>
    <w:rsid w:val="006F77B8"/>
    <w:rsid w:val="006F780C"/>
    <w:rsid w:val="006F7879"/>
    <w:rsid w:val="006F7897"/>
    <w:rsid w:val="006F78CA"/>
    <w:rsid w:val="006F79DE"/>
    <w:rsid w:val="006F7A23"/>
    <w:rsid w:val="006F7AA6"/>
    <w:rsid w:val="006F7B46"/>
    <w:rsid w:val="006F7BA6"/>
    <w:rsid w:val="006F7BAC"/>
    <w:rsid w:val="006F7BAD"/>
    <w:rsid w:val="006F7BB7"/>
    <w:rsid w:val="006F7C26"/>
    <w:rsid w:val="006F7C3C"/>
    <w:rsid w:val="006F7C8A"/>
    <w:rsid w:val="006F7CB6"/>
    <w:rsid w:val="006F7CDA"/>
    <w:rsid w:val="006F7CF0"/>
    <w:rsid w:val="006F7D39"/>
    <w:rsid w:val="006F7D6F"/>
    <w:rsid w:val="006F7D93"/>
    <w:rsid w:val="006F7DD5"/>
    <w:rsid w:val="006F7E32"/>
    <w:rsid w:val="006F7ECD"/>
    <w:rsid w:val="006F7F20"/>
    <w:rsid w:val="006F7F4D"/>
    <w:rsid w:val="006F7F60"/>
    <w:rsid w:val="006F7F6C"/>
    <w:rsid w:val="006F7F9B"/>
    <w:rsid w:val="006F7FD3"/>
    <w:rsid w:val="006F7FDF"/>
    <w:rsid w:val="0070005B"/>
    <w:rsid w:val="00700094"/>
    <w:rsid w:val="00700097"/>
    <w:rsid w:val="00700168"/>
    <w:rsid w:val="007001DC"/>
    <w:rsid w:val="0070025F"/>
    <w:rsid w:val="007002FD"/>
    <w:rsid w:val="0070033C"/>
    <w:rsid w:val="007003C9"/>
    <w:rsid w:val="007003EB"/>
    <w:rsid w:val="0070040B"/>
    <w:rsid w:val="00700425"/>
    <w:rsid w:val="00700443"/>
    <w:rsid w:val="00700572"/>
    <w:rsid w:val="007005A2"/>
    <w:rsid w:val="007005E7"/>
    <w:rsid w:val="0070066A"/>
    <w:rsid w:val="00700789"/>
    <w:rsid w:val="007007F4"/>
    <w:rsid w:val="00700896"/>
    <w:rsid w:val="007008A0"/>
    <w:rsid w:val="007008E2"/>
    <w:rsid w:val="007008EB"/>
    <w:rsid w:val="007008F9"/>
    <w:rsid w:val="007009C2"/>
    <w:rsid w:val="007009DC"/>
    <w:rsid w:val="007009E3"/>
    <w:rsid w:val="00700A5A"/>
    <w:rsid w:val="00700B3B"/>
    <w:rsid w:val="00700B50"/>
    <w:rsid w:val="00700BBB"/>
    <w:rsid w:val="00700BED"/>
    <w:rsid w:val="00700C11"/>
    <w:rsid w:val="00700C47"/>
    <w:rsid w:val="00700C53"/>
    <w:rsid w:val="00700C7B"/>
    <w:rsid w:val="00700CBF"/>
    <w:rsid w:val="00700CD9"/>
    <w:rsid w:val="00700D4D"/>
    <w:rsid w:val="00700D63"/>
    <w:rsid w:val="00700D75"/>
    <w:rsid w:val="00700E01"/>
    <w:rsid w:val="00700E3E"/>
    <w:rsid w:val="00700E86"/>
    <w:rsid w:val="00700EA4"/>
    <w:rsid w:val="00700FAD"/>
    <w:rsid w:val="00700FBA"/>
    <w:rsid w:val="00700FF0"/>
    <w:rsid w:val="00700FF9"/>
    <w:rsid w:val="00701047"/>
    <w:rsid w:val="00701098"/>
    <w:rsid w:val="0070110C"/>
    <w:rsid w:val="0070114D"/>
    <w:rsid w:val="007011D8"/>
    <w:rsid w:val="0070128F"/>
    <w:rsid w:val="00701327"/>
    <w:rsid w:val="00701357"/>
    <w:rsid w:val="0070135C"/>
    <w:rsid w:val="00701399"/>
    <w:rsid w:val="007013C5"/>
    <w:rsid w:val="007013FE"/>
    <w:rsid w:val="00701423"/>
    <w:rsid w:val="00701456"/>
    <w:rsid w:val="00701460"/>
    <w:rsid w:val="00701464"/>
    <w:rsid w:val="0070153D"/>
    <w:rsid w:val="0070162B"/>
    <w:rsid w:val="00701630"/>
    <w:rsid w:val="007017F2"/>
    <w:rsid w:val="007017FA"/>
    <w:rsid w:val="00701898"/>
    <w:rsid w:val="007018E2"/>
    <w:rsid w:val="00701A25"/>
    <w:rsid w:val="00701A6A"/>
    <w:rsid w:val="00701A6E"/>
    <w:rsid w:val="00701A79"/>
    <w:rsid w:val="00701B18"/>
    <w:rsid w:val="00701B39"/>
    <w:rsid w:val="00701B40"/>
    <w:rsid w:val="00701B74"/>
    <w:rsid w:val="00701C11"/>
    <w:rsid w:val="00701CBA"/>
    <w:rsid w:val="00701D0E"/>
    <w:rsid w:val="00701D2E"/>
    <w:rsid w:val="00701E41"/>
    <w:rsid w:val="00701EF3"/>
    <w:rsid w:val="00701FB1"/>
    <w:rsid w:val="00702040"/>
    <w:rsid w:val="0070208D"/>
    <w:rsid w:val="00702091"/>
    <w:rsid w:val="0070210D"/>
    <w:rsid w:val="00702162"/>
    <w:rsid w:val="00702168"/>
    <w:rsid w:val="00702194"/>
    <w:rsid w:val="00702284"/>
    <w:rsid w:val="0070229C"/>
    <w:rsid w:val="00702300"/>
    <w:rsid w:val="00702356"/>
    <w:rsid w:val="0070236A"/>
    <w:rsid w:val="007023FD"/>
    <w:rsid w:val="00702415"/>
    <w:rsid w:val="0070243A"/>
    <w:rsid w:val="00702498"/>
    <w:rsid w:val="007024A0"/>
    <w:rsid w:val="007024A4"/>
    <w:rsid w:val="0070253F"/>
    <w:rsid w:val="00702585"/>
    <w:rsid w:val="007025EC"/>
    <w:rsid w:val="00702607"/>
    <w:rsid w:val="00702729"/>
    <w:rsid w:val="00702747"/>
    <w:rsid w:val="0070278C"/>
    <w:rsid w:val="007027A9"/>
    <w:rsid w:val="007027BE"/>
    <w:rsid w:val="007027FF"/>
    <w:rsid w:val="00702920"/>
    <w:rsid w:val="00702954"/>
    <w:rsid w:val="00702990"/>
    <w:rsid w:val="00702A57"/>
    <w:rsid w:val="00702AB9"/>
    <w:rsid w:val="00702B1D"/>
    <w:rsid w:val="00702C73"/>
    <w:rsid w:val="00702CD9"/>
    <w:rsid w:val="00702D24"/>
    <w:rsid w:val="00702D77"/>
    <w:rsid w:val="00702DC4"/>
    <w:rsid w:val="00702DF0"/>
    <w:rsid w:val="00702DF4"/>
    <w:rsid w:val="00702DF5"/>
    <w:rsid w:val="00702E5E"/>
    <w:rsid w:val="00702E6C"/>
    <w:rsid w:val="00702E7E"/>
    <w:rsid w:val="00702E95"/>
    <w:rsid w:val="00702EBA"/>
    <w:rsid w:val="00702EFC"/>
    <w:rsid w:val="00702F00"/>
    <w:rsid w:val="00702F13"/>
    <w:rsid w:val="00702F22"/>
    <w:rsid w:val="00702F42"/>
    <w:rsid w:val="00702FD1"/>
    <w:rsid w:val="00702FDF"/>
    <w:rsid w:val="0070300B"/>
    <w:rsid w:val="0070301D"/>
    <w:rsid w:val="007030D8"/>
    <w:rsid w:val="00703149"/>
    <w:rsid w:val="00703261"/>
    <w:rsid w:val="00703359"/>
    <w:rsid w:val="0070336E"/>
    <w:rsid w:val="007033F1"/>
    <w:rsid w:val="0070343F"/>
    <w:rsid w:val="007034DB"/>
    <w:rsid w:val="007035A4"/>
    <w:rsid w:val="0070364F"/>
    <w:rsid w:val="0070367C"/>
    <w:rsid w:val="007036C4"/>
    <w:rsid w:val="007036D1"/>
    <w:rsid w:val="00703715"/>
    <w:rsid w:val="00703846"/>
    <w:rsid w:val="00703877"/>
    <w:rsid w:val="00703956"/>
    <w:rsid w:val="007039DE"/>
    <w:rsid w:val="007039EA"/>
    <w:rsid w:val="007039F5"/>
    <w:rsid w:val="00703AFA"/>
    <w:rsid w:val="00703BEA"/>
    <w:rsid w:val="00703C67"/>
    <w:rsid w:val="00703CB1"/>
    <w:rsid w:val="00703D84"/>
    <w:rsid w:val="00703DB2"/>
    <w:rsid w:val="00703E9B"/>
    <w:rsid w:val="00703ECD"/>
    <w:rsid w:val="00704016"/>
    <w:rsid w:val="00704024"/>
    <w:rsid w:val="0070404A"/>
    <w:rsid w:val="00704056"/>
    <w:rsid w:val="0070408C"/>
    <w:rsid w:val="00704091"/>
    <w:rsid w:val="007041B0"/>
    <w:rsid w:val="007041E0"/>
    <w:rsid w:val="0070421D"/>
    <w:rsid w:val="00704282"/>
    <w:rsid w:val="007042C9"/>
    <w:rsid w:val="00704309"/>
    <w:rsid w:val="0070432F"/>
    <w:rsid w:val="0070437F"/>
    <w:rsid w:val="007043A8"/>
    <w:rsid w:val="007043E6"/>
    <w:rsid w:val="007043E8"/>
    <w:rsid w:val="007043EC"/>
    <w:rsid w:val="00704540"/>
    <w:rsid w:val="00704577"/>
    <w:rsid w:val="007045C5"/>
    <w:rsid w:val="0070466A"/>
    <w:rsid w:val="007046F0"/>
    <w:rsid w:val="007046F2"/>
    <w:rsid w:val="00704739"/>
    <w:rsid w:val="00704751"/>
    <w:rsid w:val="007047AB"/>
    <w:rsid w:val="007047D0"/>
    <w:rsid w:val="00704837"/>
    <w:rsid w:val="0070483E"/>
    <w:rsid w:val="0070496B"/>
    <w:rsid w:val="00704983"/>
    <w:rsid w:val="007049AA"/>
    <w:rsid w:val="007049C9"/>
    <w:rsid w:val="00704A4F"/>
    <w:rsid w:val="00704AF3"/>
    <w:rsid w:val="00704B22"/>
    <w:rsid w:val="00704B80"/>
    <w:rsid w:val="00704D06"/>
    <w:rsid w:val="00704D1C"/>
    <w:rsid w:val="00704EC8"/>
    <w:rsid w:val="00704EF9"/>
    <w:rsid w:val="00704FBC"/>
    <w:rsid w:val="00705069"/>
    <w:rsid w:val="007050D8"/>
    <w:rsid w:val="007051B5"/>
    <w:rsid w:val="007051D0"/>
    <w:rsid w:val="007051FB"/>
    <w:rsid w:val="00705269"/>
    <w:rsid w:val="00705361"/>
    <w:rsid w:val="00705390"/>
    <w:rsid w:val="007053DF"/>
    <w:rsid w:val="0070542F"/>
    <w:rsid w:val="00705437"/>
    <w:rsid w:val="00705470"/>
    <w:rsid w:val="0070557B"/>
    <w:rsid w:val="007057A9"/>
    <w:rsid w:val="00705906"/>
    <w:rsid w:val="00705966"/>
    <w:rsid w:val="007059F1"/>
    <w:rsid w:val="00705A6A"/>
    <w:rsid w:val="00705A8C"/>
    <w:rsid w:val="00705B38"/>
    <w:rsid w:val="00705BD0"/>
    <w:rsid w:val="00705C0E"/>
    <w:rsid w:val="00705D9A"/>
    <w:rsid w:val="00705DC8"/>
    <w:rsid w:val="00705E1D"/>
    <w:rsid w:val="00705E28"/>
    <w:rsid w:val="00705E3D"/>
    <w:rsid w:val="00705E5D"/>
    <w:rsid w:val="00705F1A"/>
    <w:rsid w:val="00705F6F"/>
    <w:rsid w:val="00705FB5"/>
    <w:rsid w:val="0070608B"/>
    <w:rsid w:val="007060E7"/>
    <w:rsid w:val="007060FE"/>
    <w:rsid w:val="0070615D"/>
    <w:rsid w:val="00706169"/>
    <w:rsid w:val="007061E5"/>
    <w:rsid w:val="00706306"/>
    <w:rsid w:val="00706312"/>
    <w:rsid w:val="0070632B"/>
    <w:rsid w:val="00706374"/>
    <w:rsid w:val="007063C9"/>
    <w:rsid w:val="007063CF"/>
    <w:rsid w:val="00706439"/>
    <w:rsid w:val="00706441"/>
    <w:rsid w:val="007064F6"/>
    <w:rsid w:val="007065F5"/>
    <w:rsid w:val="00706699"/>
    <w:rsid w:val="007066AA"/>
    <w:rsid w:val="007066F2"/>
    <w:rsid w:val="00706745"/>
    <w:rsid w:val="00706781"/>
    <w:rsid w:val="007067E6"/>
    <w:rsid w:val="007067EA"/>
    <w:rsid w:val="0070681C"/>
    <w:rsid w:val="0070682E"/>
    <w:rsid w:val="00706888"/>
    <w:rsid w:val="0070688A"/>
    <w:rsid w:val="00706906"/>
    <w:rsid w:val="00706A0E"/>
    <w:rsid w:val="00706A5E"/>
    <w:rsid w:val="00706B0A"/>
    <w:rsid w:val="00706B25"/>
    <w:rsid w:val="00706B3C"/>
    <w:rsid w:val="00706C88"/>
    <w:rsid w:val="00706C95"/>
    <w:rsid w:val="00706CA6"/>
    <w:rsid w:val="00706CB6"/>
    <w:rsid w:val="00706D0C"/>
    <w:rsid w:val="00706D59"/>
    <w:rsid w:val="00706DA9"/>
    <w:rsid w:val="00706DC1"/>
    <w:rsid w:val="00706DD2"/>
    <w:rsid w:val="00706E83"/>
    <w:rsid w:val="00706F07"/>
    <w:rsid w:val="00706F0D"/>
    <w:rsid w:val="00706F41"/>
    <w:rsid w:val="00706F75"/>
    <w:rsid w:val="00706FAB"/>
    <w:rsid w:val="007070A4"/>
    <w:rsid w:val="00707126"/>
    <w:rsid w:val="0070713E"/>
    <w:rsid w:val="00707142"/>
    <w:rsid w:val="007071A4"/>
    <w:rsid w:val="00707217"/>
    <w:rsid w:val="00707247"/>
    <w:rsid w:val="0070725E"/>
    <w:rsid w:val="007072FE"/>
    <w:rsid w:val="00707328"/>
    <w:rsid w:val="00707384"/>
    <w:rsid w:val="0070739C"/>
    <w:rsid w:val="007073A4"/>
    <w:rsid w:val="0070742C"/>
    <w:rsid w:val="007074C2"/>
    <w:rsid w:val="007074CB"/>
    <w:rsid w:val="007074E1"/>
    <w:rsid w:val="007075B1"/>
    <w:rsid w:val="007075FA"/>
    <w:rsid w:val="007076AB"/>
    <w:rsid w:val="00707727"/>
    <w:rsid w:val="00707787"/>
    <w:rsid w:val="00707807"/>
    <w:rsid w:val="0070781A"/>
    <w:rsid w:val="0070786A"/>
    <w:rsid w:val="0070786E"/>
    <w:rsid w:val="0070788C"/>
    <w:rsid w:val="00707892"/>
    <w:rsid w:val="007078B8"/>
    <w:rsid w:val="007078D4"/>
    <w:rsid w:val="00707906"/>
    <w:rsid w:val="00707941"/>
    <w:rsid w:val="007079DE"/>
    <w:rsid w:val="00707B2F"/>
    <w:rsid w:val="00707B74"/>
    <w:rsid w:val="00707BB6"/>
    <w:rsid w:val="00707BC5"/>
    <w:rsid w:val="00707BD7"/>
    <w:rsid w:val="00707BE6"/>
    <w:rsid w:val="00707C51"/>
    <w:rsid w:val="00707C76"/>
    <w:rsid w:val="00707C93"/>
    <w:rsid w:val="00707D45"/>
    <w:rsid w:val="00707DD4"/>
    <w:rsid w:val="00707E76"/>
    <w:rsid w:val="00707E89"/>
    <w:rsid w:val="00707ED1"/>
    <w:rsid w:val="00707F50"/>
    <w:rsid w:val="00710069"/>
    <w:rsid w:val="00710074"/>
    <w:rsid w:val="00710095"/>
    <w:rsid w:val="007100CF"/>
    <w:rsid w:val="00710170"/>
    <w:rsid w:val="00710204"/>
    <w:rsid w:val="0071034A"/>
    <w:rsid w:val="007103BA"/>
    <w:rsid w:val="007103C7"/>
    <w:rsid w:val="007103FC"/>
    <w:rsid w:val="00710411"/>
    <w:rsid w:val="00710505"/>
    <w:rsid w:val="007105F7"/>
    <w:rsid w:val="0071064D"/>
    <w:rsid w:val="00710675"/>
    <w:rsid w:val="007106EA"/>
    <w:rsid w:val="007106F6"/>
    <w:rsid w:val="00710792"/>
    <w:rsid w:val="00710866"/>
    <w:rsid w:val="00710882"/>
    <w:rsid w:val="00710883"/>
    <w:rsid w:val="0071092F"/>
    <w:rsid w:val="00710AA4"/>
    <w:rsid w:val="00710AB4"/>
    <w:rsid w:val="00710B30"/>
    <w:rsid w:val="00710B8A"/>
    <w:rsid w:val="00710BDB"/>
    <w:rsid w:val="00710BE2"/>
    <w:rsid w:val="00710C47"/>
    <w:rsid w:val="00710C6E"/>
    <w:rsid w:val="00710C81"/>
    <w:rsid w:val="00710CAA"/>
    <w:rsid w:val="00710CBC"/>
    <w:rsid w:val="00710CD5"/>
    <w:rsid w:val="00710D47"/>
    <w:rsid w:val="00710E60"/>
    <w:rsid w:val="00710E80"/>
    <w:rsid w:val="00710ED9"/>
    <w:rsid w:val="00710F61"/>
    <w:rsid w:val="0071101D"/>
    <w:rsid w:val="007110F1"/>
    <w:rsid w:val="00711114"/>
    <w:rsid w:val="0071113A"/>
    <w:rsid w:val="00711169"/>
    <w:rsid w:val="007112AD"/>
    <w:rsid w:val="007112F7"/>
    <w:rsid w:val="00711359"/>
    <w:rsid w:val="00711377"/>
    <w:rsid w:val="0071144E"/>
    <w:rsid w:val="0071149F"/>
    <w:rsid w:val="007114B3"/>
    <w:rsid w:val="00711558"/>
    <w:rsid w:val="007115A8"/>
    <w:rsid w:val="007115C7"/>
    <w:rsid w:val="00711605"/>
    <w:rsid w:val="0071160F"/>
    <w:rsid w:val="00711758"/>
    <w:rsid w:val="007117D2"/>
    <w:rsid w:val="00711857"/>
    <w:rsid w:val="007118EF"/>
    <w:rsid w:val="0071191A"/>
    <w:rsid w:val="0071196F"/>
    <w:rsid w:val="007119BC"/>
    <w:rsid w:val="00711A56"/>
    <w:rsid w:val="00711A9C"/>
    <w:rsid w:val="00711B1A"/>
    <w:rsid w:val="00711BA5"/>
    <w:rsid w:val="00711BFB"/>
    <w:rsid w:val="00711C22"/>
    <w:rsid w:val="00711C62"/>
    <w:rsid w:val="00711C73"/>
    <w:rsid w:val="00711CAF"/>
    <w:rsid w:val="00711CB1"/>
    <w:rsid w:val="00711D73"/>
    <w:rsid w:val="00711DEF"/>
    <w:rsid w:val="00711EDC"/>
    <w:rsid w:val="00711EDD"/>
    <w:rsid w:val="00711F6D"/>
    <w:rsid w:val="00711F9A"/>
    <w:rsid w:val="00712014"/>
    <w:rsid w:val="00712054"/>
    <w:rsid w:val="007120C7"/>
    <w:rsid w:val="007120C8"/>
    <w:rsid w:val="0071213A"/>
    <w:rsid w:val="00712205"/>
    <w:rsid w:val="0071222B"/>
    <w:rsid w:val="00712259"/>
    <w:rsid w:val="00712270"/>
    <w:rsid w:val="00712286"/>
    <w:rsid w:val="00712293"/>
    <w:rsid w:val="007122D4"/>
    <w:rsid w:val="00712395"/>
    <w:rsid w:val="007123B0"/>
    <w:rsid w:val="007123F0"/>
    <w:rsid w:val="0071240A"/>
    <w:rsid w:val="0071249C"/>
    <w:rsid w:val="00712503"/>
    <w:rsid w:val="0071253B"/>
    <w:rsid w:val="007125CB"/>
    <w:rsid w:val="0071268C"/>
    <w:rsid w:val="0071278C"/>
    <w:rsid w:val="007127C3"/>
    <w:rsid w:val="007127EB"/>
    <w:rsid w:val="00712899"/>
    <w:rsid w:val="007129A7"/>
    <w:rsid w:val="007129E2"/>
    <w:rsid w:val="00712A4B"/>
    <w:rsid w:val="00712B26"/>
    <w:rsid w:val="00712BA9"/>
    <w:rsid w:val="00712BAE"/>
    <w:rsid w:val="00712BB8"/>
    <w:rsid w:val="00712C26"/>
    <w:rsid w:val="00712CB9"/>
    <w:rsid w:val="00712D05"/>
    <w:rsid w:val="00712D25"/>
    <w:rsid w:val="00712D70"/>
    <w:rsid w:val="00712DE0"/>
    <w:rsid w:val="00712DFA"/>
    <w:rsid w:val="00712E36"/>
    <w:rsid w:val="00712EE5"/>
    <w:rsid w:val="00712F43"/>
    <w:rsid w:val="00712F7F"/>
    <w:rsid w:val="00712F82"/>
    <w:rsid w:val="0071302A"/>
    <w:rsid w:val="00713045"/>
    <w:rsid w:val="007130FB"/>
    <w:rsid w:val="0071311C"/>
    <w:rsid w:val="00713190"/>
    <w:rsid w:val="007131B4"/>
    <w:rsid w:val="007131E9"/>
    <w:rsid w:val="00713274"/>
    <w:rsid w:val="007132FC"/>
    <w:rsid w:val="00713307"/>
    <w:rsid w:val="00713340"/>
    <w:rsid w:val="00713355"/>
    <w:rsid w:val="00713364"/>
    <w:rsid w:val="00713386"/>
    <w:rsid w:val="00713446"/>
    <w:rsid w:val="00713563"/>
    <w:rsid w:val="007135BF"/>
    <w:rsid w:val="00713696"/>
    <w:rsid w:val="007136B5"/>
    <w:rsid w:val="0071376D"/>
    <w:rsid w:val="0071387F"/>
    <w:rsid w:val="007139AD"/>
    <w:rsid w:val="00713AB5"/>
    <w:rsid w:val="00713AD3"/>
    <w:rsid w:val="00713B19"/>
    <w:rsid w:val="00713B6D"/>
    <w:rsid w:val="00713BB1"/>
    <w:rsid w:val="00713CC0"/>
    <w:rsid w:val="00713CD2"/>
    <w:rsid w:val="00713D4B"/>
    <w:rsid w:val="00713D51"/>
    <w:rsid w:val="00713D9D"/>
    <w:rsid w:val="00713E05"/>
    <w:rsid w:val="00713E0D"/>
    <w:rsid w:val="00713EA7"/>
    <w:rsid w:val="00713F3D"/>
    <w:rsid w:val="00713F59"/>
    <w:rsid w:val="0071405D"/>
    <w:rsid w:val="00714124"/>
    <w:rsid w:val="00714281"/>
    <w:rsid w:val="0071431B"/>
    <w:rsid w:val="00714355"/>
    <w:rsid w:val="00714369"/>
    <w:rsid w:val="00714376"/>
    <w:rsid w:val="007143B0"/>
    <w:rsid w:val="0071443E"/>
    <w:rsid w:val="00714483"/>
    <w:rsid w:val="007144F9"/>
    <w:rsid w:val="00714567"/>
    <w:rsid w:val="007146B0"/>
    <w:rsid w:val="007146C4"/>
    <w:rsid w:val="007147BD"/>
    <w:rsid w:val="00714901"/>
    <w:rsid w:val="007149C3"/>
    <w:rsid w:val="00714B7B"/>
    <w:rsid w:val="00714BF8"/>
    <w:rsid w:val="00714C0A"/>
    <w:rsid w:val="00714C11"/>
    <w:rsid w:val="00714CA9"/>
    <w:rsid w:val="00714CCD"/>
    <w:rsid w:val="00714D40"/>
    <w:rsid w:val="00714DE7"/>
    <w:rsid w:val="00714DED"/>
    <w:rsid w:val="00714E1E"/>
    <w:rsid w:val="00714E2A"/>
    <w:rsid w:val="00714E6B"/>
    <w:rsid w:val="00714E85"/>
    <w:rsid w:val="00714F22"/>
    <w:rsid w:val="00714FDD"/>
    <w:rsid w:val="00715069"/>
    <w:rsid w:val="0071508C"/>
    <w:rsid w:val="00715122"/>
    <w:rsid w:val="0071517F"/>
    <w:rsid w:val="007151DF"/>
    <w:rsid w:val="00715261"/>
    <w:rsid w:val="007152CC"/>
    <w:rsid w:val="007152D3"/>
    <w:rsid w:val="00715392"/>
    <w:rsid w:val="0071539A"/>
    <w:rsid w:val="0071540B"/>
    <w:rsid w:val="007154EA"/>
    <w:rsid w:val="00715520"/>
    <w:rsid w:val="00715525"/>
    <w:rsid w:val="007155B7"/>
    <w:rsid w:val="0071564C"/>
    <w:rsid w:val="007156CE"/>
    <w:rsid w:val="0071572C"/>
    <w:rsid w:val="00715752"/>
    <w:rsid w:val="0071576B"/>
    <w:rsid w:val="007157AC"/>
    <w:rsid w:val="007157D9"/>
    <w:rsid w:val="0071583E"/>
    <w:rsid w:val="00715941"/>
    <w:rsid w:val="00715946"/>
    <w:rsid w:val="007159FF"/>
    <w:rsid w:val="00715AFA"/>
    <w:rsid w:val="00715B5A"/>
    <w:rsid w:val="00715B6D"/>
    <w:rsid w:val="00715B95"/>
    <w:rsid w:val="00715BC2"/>
    <w:rsid w:val="00715C5B"/>
    <w:rsid w:val="00715CCF"/>
    <w:rsid w:val="00715CF4"/>
    <w:rsid w:val="00715D19"/>
    <w:rsid w:val="00715D42"/>
    <w:rsid w:val="00715D4F"/>
    <w:rsid w:val="00715DE0"/>
    <w:rsid w:val="00715E0E"/>
    <w:rsid w:val="00715E5A"/>
    <w:rsid w:val="00715E71"/>
    <w:rsid w:val="00715E80"/>
    <w:rsid w:val="00715EAF"/>
    <w:rsid w:val="00715EFF"/>
    <w:rsid w:val="00715F83"/>
    <w:rsid w:val="00715FB2"/>
    <w:rsid w:val="00715FBD"/>
    <w:rsid w:val="0071605B"/>
    <w:rsid w:val="007160A2"/>
    <w:rsid w:val="0071612A"/>
    <w:rsid w:val="00716178"/>
    <w:rsid w:val="0071617A"/>
    <w:rsid w:val="00716215"/>
    <w:rsid w:val="0071622A"/>
    <w:rsid w:val="00716265"/>
    <w:rsid w:val="00716298"/>
    <w:rsid w:val="007162BC"/>
    <w:rsid w:val="007162DA"/>
    <w:rsid w:val="00716306"/>
    <w:rsid w:val="0071632A"/>
    <w:rsid w:val="0071639F"/>
    <w:rsid w:val="007163E6"/>
    <w:rsid w:val="00716413"/>
    <w:rsid w:val="00716492"/>
    <w:rsid w:val="00716600"/>
    <w:rsid w:val="007166DB"/>
    <w:rsid w:val="007166F9"/>
    <w:rsid w:val="00716790"/>
    <w:rsid w:val="007167EC"/>
    <w:rsid w:val="007167F5"/>
    <w:rsid w:val="0071680D"/>
    <w:rsid w:val="00716A8F"/>
    <w:rsid w:val="00716AD9"/>
    <w:rsid w:val="00716AEA"/>
    <w:rsid w:val="00716B28"/>
    <w:rsid w:val="00716B59"/>
    <w:rsid w:val="00716C08"/>
    <w:rsid w:val="00716C9B"/>
    <w:rsid w:val="00716CAF"/>
    <w:rsid w:val="00716CFA"/>
    <w:rsid w:val="00716D05"/>
    <w:rsid w:val="00716D3C"/>
    <w:rsid w:val="00716D5D"/>
    <w:rsid w:val="00716D79"/>
    <w:rsid w:val="00716D9F"/>
    <w:rsid w:val="00716DC6"/>
    <w:rsid w:val="00716EC2"/>
    <w:rsid w:val="00716EF1"/>
    <w:rsid w:val="00716F05"/>
    <w:rsid w:val="00716F86"/>
    <w:rsid w:val="00716F8B"/>
    <w:rsid w:val="00716FC0"/>
    <w:rsid w:val="00716FD5"/>
    <w:rsid w:val="00716FE0"/>
    <w:rsid w:val="00716FF8"/>
    <w:rsid w:val="00717060"/>
    <w:rsid w:val="00717071"/>
    <w:rsid w:val="007170A6"/>
    <w:rsid w:val="007170D7"/>
    <w:rsid w:val="0071710C"/>
    <w:rsid w:val="007171AA"/>
    <w:rsid w:val="00717206"/>
    <w:rsid w:val="00717207"/>
    <w:rsid w:val="00717402"/>
    <w:rsid w:val="00717444"/>
    <w:rsid w:val="007174E0"/>
    <w:rsid w:val="00717530"/>
    <w:rsid w:val="00717553"/>
    <w:rsid w:val="007175C4"/>
    <w:rsid w:val="007175F9"/>
    <w:rsid w:val="0071763A"/>
    <w:rsid w:val="00717722"/>
    <w:rsid w:val="007177A4"/>
    <w:rsid w:val="007177F4"/>
    <w:rsid w:val="0071784E"/>
    <w:rsid w:val="00717883"/>
    <w:rsid w:val="007178CC"/>
    <w:rsid w:val="0071799F"/>
    <w:rsid w:val="007179D9"/>
    <w:rsid w:val="00717A94"/>
    <w:rsid w:val="00717ADE"/>
    <w:rsid w:val="00717B00"/>
    <w:rsid w:val="00717B22"/>
    <w:rsid w:val="00717B87"/>
    <w:rsid w:val="00717BD2"/>
    <w:rsid w:val="00717C98"/>
    <w:rsid w:val="00717CCA"/>
    <w:rsid w:val="00717D55"/>
    <w:rsid w:val="00717D93"/>
    <w:rsid w:val="00717D95"/>
    <w:rsid w:val="00717DAF"/>
    <w:rsid w:val="00717EB9"/>
    <w:rsid w:val="00720078"/>
    <w:rsid w:val="00720157"/>
    <w:rsid w:val="00720190"/>
    <w:rsid w:val="0072025B"/>
    <w:rsid w:val="007202B7"/>
    <w:rsid w:val="007202BF"/>
    <w:rsid w:val="007202C6"/>
    <w:rsid w:val="007202FF"/>
    <w:rsid w:val="0072039C"/>
    <w:rsid w:val="007203C5"/>
    <w:rsid w:val="00720463"/>
    <w:rsid w:val="00720485"/>
    <w:rsid w:val="00720493"/>
    <w:rsid w:val="0072049E"/>
    <w:rsid w:val="007204F8"/>
    <w:rsid w:val="00720533"/>
    <w:rsid w:val="0072056B"/>
    <w:rsid w:val="00720605"/>
    <w:rsid w:val="007206AC"/>
    <w:rsid w:val="007207CD"/>
    <w:rsid w:val="007207DB"/>
    <w:rsid w:val="007207E5"/>
    <w:rsid w:val="0072080B"/>
    <w:rsid w:val="007208A3"/>
    <w:rsid w:val="007208C7"/>
    <w:rsid w:val="007208C8"/>
    <w:rsid w:val="007209B8"/>
    <w:rsid w:val="00720A2E"/>
    <w:rsid w:val="00720A4D"/>
    <w:rsid w:val="00720A4F"/>
    <w:rsid w:val="00720A50"/>
    <w:rsid w:val="00720A77"/>
    <w:rsid w:val="00720AD4"/>
    <w:rsid w:val="00720B26"/>
    <w:rsid w:val="00720BFA"/>
    <w:rsid w:val="00720D1B"/>
    <w:rsid w:val="00720D2B"/>
    <w:rsid w:val="00720D3D"/>
    <w:rsid w:val="00720DAA"/>
    <w:rsid w:val="00720DC4"/>
    <w:rsid w:val="00720E47"/>
    <w:rsid w:val="00720ED6"/>
    <w:rsid w:val="00720F49"/>
    <w:rsid w:val="00720F9C"/>
    <w:rsid w:val="00720FB4"/>
    <w:rsid w:val="00720FCC"/>
    <w:rsid w:val="00721085"/>
    <w:rsid w:val="00721088"/>
    <w:rsid w:val="0072111F"/>
    <w:rsid w:val="00721139"/>
    <w:rsid w:val="00721294"/>
    <w:rsid w:val="00721383"/>
    <w:rsid w:val="0072140D"/>
    <w:rsid w:val="00721477"/>
    <w:rsid w:val="007214A8"/>
    <w:rsid w:val="00721580"/>
    <w:rsid w:val="007215AE"/>
    <w:rsid w:val="00721618"/>
    <w:rsid w:val="00721652"/>
    <w:rsid w:val="00721689"/>
    <w:rsid w:val="00721714"/>
    <w:rsid w:val="00721735"/>
    <w:rsid w:val="00721850"/>
    <w:rsid w:val="0072198C"/>
    <w:rsid w:val="00721A7E"/>
    <w:rsid w:val="00721ACB"/>
    <w:rsid w:val="00721AD9"/>
    <w:rsid w:val="00721B17"/>
    <w:rsid w:val="00721BB5"/>
    <w:rsid w:val="00721BE8"/>
    <w:rsid w:val="00721C09"/>
    <w:rsid w:val="00721C43"/>
    <w:rsid w:val="00721CBE"/>
    <w:rsid w:val="00721CEF"/>
    <w:rsid w:val="00721D5C"/>
    <w:rsid w:val="00721D6E"/>
    <w:rsid w:val="00721D91"/>
    <w:rsid w:val="00721DB1"/>
    <w:rsid w:val="00721DC6"/>
    <w:rsid w:val="00721E93"/>
    <w:rsid w:val="0072202E"/>
    <w:rsid w:val="007220D6"/>
    <w:rsid w:val="00722159"/>
    <w:rsid w:val="0072215B"/>
    <w:rsid w:val="0072215E"/>
    <w:rsid w:val="00722172"/>
    <w:rsid w:val="00722180"/>
    <w:rsid w:val="0072220A"/>
    <w:rsid w:val="0072225D"/>
    <w:rsid w:val="00722275"/>
    <w:rsid w:val="0072228B"/>
    <w:rsid w:val="007222CC"/>
    <w:rsid w:val="007222EE"/>
    <w:rsid w:val="0072238B"/>
    <w:rsid w:val="007223A3"/>
    <w:rsid w:val="0072242C"/>
    <w:rsid w:val="00722477"/>
    <w:rsid w:val="007224E2"/>
    <w:rsid w:val="007224E9"/>
    <w:rsid w:val="00722581"/>
    <w:rsid w:val="007226A4"/>
    <w:rsid w:val="007226D3"/>
    <w:rsid w:val="00722778"/>
    <w:rsid w:val="0072278C"/>
    <w:rsid w:val="007227BD"/>
    <w:rsid w:val="007227F6"/>
    <w:rsid w:val="0072282C"/>
    <w:rsid w:val="007228B4"/>
    <w:rsid w:val="00722963"/>
    <w:rsid w:val="00722A9A"/>
    <w:rsid w:val="00722AA3"/>
    <w:rsid w:val="00722AF8"/>
    <w:rsid w:val="00722AFB"/>
    <w:rsid w:val="00722B45"/>
    <w:rsid w:val="00722B77"/>
    <w:rsid w:val="00722C16"/>
    <w:rsid w:val="00722CA7"/>
    <w:rsid w:val="00722CB4"/>
    <w:rsid w:val="00722CF4"/>
    <w:rsid w:val="00722D0F"/>
    <w:rsid w:val="00722D61"/>
    <w:rsid w:val="00722D96"/>
    <w:rsid w:val="00722E0D"/>
    <w:rsid w:val="00722E0E"/>
    <w:rsid w:val="00722E22"/>
    <w:rsid w:val="00722E2B"/>
    <w:rsid w:val="00722E60"/>
    <w:rsid w:val="00722EE0"/>
    <w:rsid w:val="00722F45"/>
    <w:rsid w:val="00722F61"/>
    <w:rsid w:val="00722FE0"/>
    <w:rsid w:val="0072300E"/>
    <w:rsid w:val="0072305D"/>
    <w:rsid w:val="00723081"/>
    <w:rsid w:val="0072320F"/>
    <w:rsid w:val="00723333"/>
    <w:rsid w:val="00723386"/>
    <w:rsid w:val="00723387"/>
    <w:rsid w:val="007233D6"/>
    <w:rsid w:val="00723420"/>
    <w:rsid w:val="00723427"/>
    <w:rsid w:val="00723460"/>
    <w:rsid w:val="00723517"/>
    <w:rsid w:val="00723575"/>
    <w:rsid w:val="00723611"/>
    <w:rsid w:val="0072361B"/>
    <w:rsid w:val="00723696"/>
    <w:rsid w:val="007236F2"/>
    <w:rsid w:val="0072374C"/>
    <w:rsid w:val="007237C1"/>
    <w:rsid w:val="007237E9"/>
    <w:rsid w:val="0072382B"/>
    <w:rsid w:val="007238CB"/>
    <w:rsid w:val="00723967"/>
    <w:rsid w:val="0072398B"/>
    <w:rsid w:val="00723A15"/>
    <w:rsid w:val="00723AD3"/>
    <w:rsid w:val="00723B34"/>
    <w:rsid w:val="00723B82"/>
    <w:rsid w:val="00723CB0"/>
    <w:rsid w:val="00723CEE"/>
    <w:rsid w:val="00723D38"/>
    <w:rsid w:val="00723DEE"/>
    <w:rsid w:val="00723E48"/>
    <w:rsid w:val="00723E75"/>
    <w:rsid w:val="00723F09"/>
    <w:rsid w:val="00723F3E"/>
    <w:rsid w:val="00723FB5"/>
    <w:rsid w:val="00723FE8"/>
    <w:rsid w:val="0072409A"/>
    <w:rsid w:val="007240ED"/>
    <w:rsid w:val="00724191"/>
    <w:rsid w:val="007241B5"/>
    <w:rsid w:val="007241B6"/>
    <w:rsid w:val="007241C7"/>
    <w:rsid w:val="0072422C"/>
    <w:rsid w:val="0072423F"/>
    <w:rsid w:val="00724277"/>
    <w:rsid w:val="007242EC"/>
    <w:rsid w:val="00724363"/>
    <w:rsid w:val="00724455"/>
    <w:rsid w:val="0072445D"/>
    <w:rsid w:val="0072454E"/>
    <w:rsid w:val="00724558"/>
    <w:rsid w:val="00724569"/>
    <w:rsid w:val="0072463D"/>
    <w:rsid w:val="0072466D"/>
    <w:rsid w:val="00724718"/>
    <w:rsid w:val="00724789"/>
    <w:rsid w:val="007247FA"/>
    <w:rsid w:val="0072482C"/>
    <w:rsid w:val="00724871"/>
    <w:rsid w:val="00724883"/>
    <w:rsid w:val="007248C4"/>
    <w:rsid w:val="007248D7"/>
    <w:rsid w:val="007248E6"/>
    <w:rsid w:val="00724954"/>
    <w:rsid w:val="00724993"/>
    <w:rsid w:val="00724A2D"/>
    <w:rsid w:val="00724AD8"/>
    <w:rsid w:val="00724B4B"/>
    <w:rsid w:val="00724B7A"/>
    <w:rsid w:val="00724B86"/>
    <w:rsid w:val="00724BDE"/>
    <w:rsid w:val="00724C53"/>
    <w:rsid w:val="00724CCA"/>
    <w:rsid w:val="00724CD1"/>
    <w:rsid w:val="00724CD3"/>
    <w:rsid w:val="00724D2D"/>
    <w:rsid w:val="00724F0D"/>
    <w:rsid w:val="00724F5B"/>
    <w:rsid w:val="00724F78"/>
    <w:rsid w:val="00724FB8"/>
    <w:rsid w:val="00725029"/>
    <w:rsid w:val="00725115"/>
    <w:rsid w:val="00725154"/>
    <w:rsid w:val="0072516B"/>
    <w:rsid w:val="00725173"/>
    <w:rsid w:val="007251E2"/>
    <w:rsid w:val="007253A0"/>
    <w:rsid w:val="0072541D"/>
    <w:rsid w:val="0072543F"/>
    <w:rsid w:val="007254D5"/>
    <w:rsid w:val="007254EE"/>
    <w:rsid w:val="007254FF"/>
    <w:rsid w:val="0072558C"/>
    <w:rsid w:val="007255A1"/>
    <w:rsid w:val="00725666"/>
    <w:rsid w:val="00725712"/>
    <w:rsid w:val="0072574B"/>
    <w:rsid w:val="0072574D"/>
    <w:rsid w:val="00725772"/>
    <w:rsid w:val="007257C3"/>
    <w:rsid w:val="007257F1"/>
    <w:rsid w:val="007258DC"/>
    <w:rsid w:val="0072592F"/>
    <w:rsid w:val="00725949"/>
    <w:rsid w:val="0072595A"/>
    <w:rsid w:val="007259A6"/>
    <w:rsid w:val="00725A1E"/>
    <w:rsid w:val="00725A25"/>
    <w:rsid w:val="00725AE6"/>
    <w:rsid w:val="00725AEE"/>
    <w:rsid w:val="00725B7A"/>
    <w:rsid w:val="00725C00"/>
    <w:rsid w:val="00725C16"/>
    <w:rsid w:val="00725C61"/>
    <w:rsid w:val="00725D2F"/>
    <w:rsid w:val="00725DAE"/>
    <w:rsid w:val="00725DDB"/>
    <w:rsid w:val="00725E0D"/>
    <w:rsid w:val="00725E3A"/>
    <w:rsid w:val="00725E91"/>
    <w:rsid w:val="00725E99"/>
    <w:rsid w:val="00725EA2"/>
    <w:rsid w:val="00725EC6"/>
    <w:rsid w:val="00725F7F"/>
    <w:rsid w:val="00725F8A"/>
    <w:rsid w:val="00725FB8"/>
    <w:rsid w:val="00725FE4"/>
    <w:rsid w:val="00725FE9"/>
    <w:rsid w:val="0072600E"/>
    <w:rsid w:val="00726038"/>
    <w:rsid w:val="00726098"/>
    <w:rsid w:val="0072609F"/>
    <w:rsid w:val="007261A8"/>
    <w:rsid w:val="007261D9"/>
    <w:rsid w:val="007261E3"/>
    <w:rsid w:val="007261F2"/>
    <w:rsid w:val="00726273"/>
    <w:rsid w:val="0072635C"/>
    <w:rsid w:val="00726390"/>
    <w:rsid w:val="007263D4"/>
    <w:rsid w:val="007263F3"/>
    <w:rsid w:val="007264A1"/>
    <w:rsid w:val="007264EA"/>
    <w:rsid w:val="00726573"/>
    <w:rsid w:val="007265AC"/>
    <w:rsid w:val="007265E0"/>
    <w:rsid w:val="007265F3"/>
    <w:rsid w:val="00726612"/>
    <w:rsid w:val="00726652"/>
    <w:rsid w:val="007266DC"/>
    <w:rsid w:val="00726764"/>
    <w:rsid w:val="00726789"/>
    <w:rsid w:val="007267D6"/>
    <w:rsid w:val="0072681D"/>
    <w:rsid w:val="007268DC"/>
    <w:rsid w:val="0072691D"/>
    <w:rsid w:val="0072692C"/>
    <w:rsid w:val="0072698F"/>
    <w:rsid w:val="007269A4"/>
    <w:rsid w:val="00726A5C"/>
    <w:rsid w:val="00726AC9"/>
    <w:rsid w:val="00726AE8"/>
    <w:rsid w:val="00726AF6"/>
    <w:rsid w:val="00726AF9"/>
    <w:rsid w:val="00726BB3"/>
    <w:rsid w:val="00726CA7"/>
    <w:rsid w:val="00726D7C"/>
    <w:rsid w:val="00726D85"/>
    <w:rsid w:val="00726DCA"/>
    <w:rsid w:val="00726DEA"/>
    <w:rsid w:val="00726E0F"/>
    <w:rsid w:val="00726E83"/>
    <w:rsid w:val="00726EE8"/>
    <w:rsid w:val="00726EEE"/>
    <w:rsid w:val="00726F66"/>
    <w:rsid w:val="00726FEF"/>
    <w:rsid w:val="00727023"/>
    <w:rsid w:val="007270A3"/>
    <w:rsid w:val="0072714F"/>
    <w:rsid w:val="007271E3"/>
    <w:rsid w:val="007271F3"/>
    <w:rsid w:val="00727244"/>
    <w:rsid w:val="0072727D"/>
    <w:rsid w:val="00727280"/>
    <w:rsid w:val="007272D8"/>
    <w:rsid w:val="0072733D"/>
    <w:rsid w:val="00727354"/>
    <w:rsid w:val="007273C3"/>
    <w:rsid w:val="00727425"/>
    <w:rsid w:val="0072747F"/>
    <w:rsid w:val="00727570"/>
    <w:rsid w:val="0072759F"/>
    <w:rsid w:val="007275B7"/>
    <w:rsid w:val="00727657"/>
    <w:rsid w:val="0072767F"/>
    <w:rsid w:val="00727754"/>
    <w:rsid w:val="00727827"/>
    <w:rsid w:val="00727964"/>
    <w:rsid w:val="00727973"/>
    <w:rsid w:val="00727983"/>
    <w:rsid w:val="00727A2A"/>
    <w:rsid w:val="00727B30"/>
    <w:rsid w:val="00727B68"/>
    <w:rsid w:val="00727BD8"/>
    <w:rsid w:val="00727CED"/>
    <w:rsid w:val="00727D2A"/>
    <w:rsid w:val="00727D60"/>
    <w:rsid w:val="00727D76"/>
    <w:rsid w:val="00727D87"/>
    <w:rsid w:val="00727DA4"/>
    <w:rsid w:val="00727DFF"/>
    <w:rsid w:val="00727E3C"/>
    <w:rsid w:val="00727EB9"/>
    <w:rsid w:val="00727EF0"/>
    <w:rsid w:val="00727F1F"/>
    <w:rsid w:val="00727F30"/>
    <w:rsid w:val="00727FDF"/>
    <w:rsid w:val="007300E0"/>
    <w:rsid w:val="007300F6"/>
    <w:rsid w:val="0073010D"/>
    <w:rsid w:val="00730113"/>
    <w:rsid w:val="00730192"/>
    <w:rsid w:val="007301A4"/>
    <w:rsid w:val="007301E3"/>
    <w:rsid w:val="0073026D"/>
    <w:rsid w:val="0073026E"/>
    <w:rsid w:val="00730428"/>
    <w:rsid w:val="007304A6"/>
    <w:rsid w:val="007305BC"/>
    <w:rsid w:val="00730866"/>
    <w:rsid w:val="0073086C"/>
    <w:rsid w:val="007308A9"/>
    <w:rsid w:val="007308B8"/>
    <w:rsid w:val="00730926"/>
    <w:rsid w:val="00730978"/>
    <w:rsid w:val="00730AFC"/>
    <w:rsid w:val="00730B37"/>
    <w:rsid w:val="00730B7D"/>
    <w:rsid w:val="00730C0E"/>
    <w:rsid w:val="00730C25"/>
    <w:rsid w:val="00730CEF"/>
    <w:rsid w:val="00730DB9"/>
    <w:rsid w:val="00730E4B"/>
    <w:rsid w:val="00730E63"/>
    <w:rsid w:val="00730E82"/>
    <w:rsid w:val="00730EE3"/>
    <w:rsid w:val="00730F07"/>
    <w:rsid w:val="00730F0A"/>
    <w:rsid w:val="00730F19"/>
    <w:rsid w:val="00730FAD"/>
    <w:rsid w:val="00730FAF"/>
    <w:rsid w:val="00731018"/>
    <w:rsid w:val="00731067"/>
    <w:rsid w:val="007310C7"/>
    <w:rsid w:val="0073110C"/>
    <w:rsid w:val="0073118D"/>
    <w:rsid w:val="007311B1"/>
    <w:rsid w:val="0073121A"/>
    <w:rsid w:val="0073124A"/>
    <w:rsid w:val="00731282"/>
    <w:rsid w:val="007313D7"/>
    <w:rsid w:val="007313EA"/>
    <w:rsid w:val="00731459"/>
    <w:rsid w:val="0073148C"/>
    <w:rsid w:val="007314A3"/>
    <w:rsid w:val="007314DC"/>
    <w:rsid w:val="0073155D"/>
    <w:rsid w:val="00731601"/>
    <w:rsid w:val="00731617"/>
    <w:rsid w:val="007316BC"/>
    <w:rsid w:val="007316E1"/>
    <w:rsid w:val="007316E9"/>
    <w:rsid w:val="00731819"/>
    <w:rsid w:val="007318DA"/>
    <w:rsid w:val="00731972"/>
    <w:rsid w:val="00731984"/>
    <w:rsid w:val="007319DE"/>
    <w:rsid w:val="00731A08"/>
    <w:rsid w:val="00731A12"/>
    <w:rsid w:val="00731A8B"/>
    <w:rsid w:val="00731AC7"/>
    <w:rsid w:val="00731B67"/>
    <w:rsid w:val="00731B85"/>
    <w:rsid w:val="00731BDF"/>
    <w:rsid w:val="00731BFF"/>
    <w:rsid w:val="00731C5C"/>
    <w:rsid w:val="00731C65"/>
    <w:rsid w:val="00731CEF"/>
    <w:rsid w:val="00731D01"/>
    <w:rsid w:val="00731E06"/>
    <w:rsid w:val="00731F70"/>
    <w:rsid w:val="00731F7B"/>
    <w:rsid w:val="00731FCC"/>
    <w:rsid w:val="00731FD4"/>
    <w:rsid w:val="0073206D"/>
    <w:rsid w:val="0073216B"/>
    <w:rsid w:val="007321B8"/>
    <w:rsid w:val="007321FF"/>
    <w:rsid w:val="0073221E"/>
    <w:rsid w:val="0073228F"/>
    <w:rsid w:val="007322CE"/>
    <w:rsid w:val="0073231F"/>
    <w:rsid w:val="00732349"/>
    <w:rsid w:val="00732389"/>
    <w:rsid w:val="00732391"/>
    <w:rsid w:val="007323DD"/>
    <w:rsid w:val="007323EA"/>
    <w:rsid w:val="0073264F"/>
    <w:rsid w:val="00732659"/>
    <w:rsid w:val="007326F6"/>
    <w:rsid w:val="0073270C"/>
    <w:rsid w:val="0073272C"/>
    <w:rsid w:val="00732771"/>
    <w:rsid w:val="00732790"/>
    <w:rsid w:val="00732832"/>
    <w:rsid w:val="00732844"/>
    <w:rsid w:val="0073288D"/>
    <w:rsid w:val="00732956"/>
    <w:rsid w:val="007329CC"/>
    <w:rsid w:val="007329FD"/>
    <w:rsid w:val="00732A48"/>
    <w:rsid w:val="00732AF2"/>
    <w:rsid w:val="00732B09"/>
    <w:rsid w:val="00732B0C"/>
    <w:rsid w:val="00732B2A"/>
    <w:rsid w:val="00732BC3"/>
    <w:rsid w:val="00732BE1"/>
    <w:rsid w:val="00732C1A"/>
    <w:rsid w:val="00732C4E"/>
    <w:rsid w:val="00732CB5"/>
    <w:rsid w:val="00732D5E"/>
    <w:rsid w:val="00732E78"/>
    <w:rsid w:val="00733014"/>
    <w:rsid w:val="007330A0"/>
    <w:rsid w:val="007330C6"/>
    <w:rsid w:val="0073316F"/>
    <w:rsid w:val="007331BA"/>
    <w:rsid w:val="007331D3"/>
    <w:rsid w:val="0073325B"/>
    <w:rsid w:val="0073331A"/>
    <w:rsid w:val="0073332F"/>
    <w:rsid w:val="00733355"/>
    <w:rsid w:val="007333A9"/>
    <w:rsid w:val="00733463"/>
    <w:rsid w:val="00733499"/>
    <w:rsid w:val="00733641"/>
    <w:rsid w:val="0073374B"/>
    <w:rsid w:val="00733774"/>
    <w:rsid w:val="0073377E"/>
    <w:rsid w:val="0073384D"/>
    <w:rsid w:val="00733904"/>
    <w:rsid w:val="007339AB"/>
    <w:rsid w:val="00733A88"/>
    <w:rsid w:val="00733AB6"/>
    <w:rsid w:val="00733B09"/>
    <w:rsid w:val="00733B0E"/>
    <w:rsid w:val="00733B4A"/>
    <w:rsid w:val="00733BFE"/>
    <w:rsid w:val="00733C1F"/>
    <w:rsid w:val="00733C46"/>
    <w:rsid w:val="00733C48"/>
    <w:rsid w:val="00733CB2"/>
    <w:rsid w:val="00733CBA"/>
    <w:rsid w:val="00733D82"/>
    <w:rsid w:val="00733DBA"/>
    <w:rsid w:val="00733DC6"/>
    <w:rsid w:val="00733DF0"/>
    <w:rsid w:val="00733E18"/>
    <w:rsid w:val="00733E26"/>
    <w:rsid w:val="00733E7D"/>
    <w:rsid w:val="00733ED5"/>
    <w:rsid w:val="00733ED8"/>
    <w:rsid w:val="00733F3A"/>
    <w:rsid w:val="00734040"/>
    <w:rsid w:val="007340C1"/>
    <w:rsid w:val="00734115"/>
    <w:rsid w:val="00734149"/>
    <w:rsid w:val="007341E7"/>
    <w:rsid w:val="0073427D"/>
    <w:rsid w:val="007342A8"/>
    <w:rsid w:val="00734317"/>
    <w:rsid w:val="0073431E"/>
    <w:rsid w:val="0073435B"/>
    <w:rsid w:val="00734471"/>
    <w:rsid w:val="007345E8"/>
    <w:rsid w:val="00734619"/>
    <w:rsid w:val="0073462B"/>
    <w:rsid w:val="007346C2"/>
    <w:rsid w:val="00734711"/>
    <w:rsid w:val="00734818"/>
    <w:rsid w:val="007349E1"/>
    <w:rsid w:val="00734AE5"/>
    <w:rsid w:val="00734B2D"/>
    <w:rsid w:val="00734B2E"/>
    <w:rsid w:val="00734BBB"/>
    <w:rsid w:val="00734BCF"/>
    <w:rsid w:val="00734C90"/>
    <w:rsid w:val="00734C9C"/>
    <w:rsid w:val="00734CE0"/>
    <w:rsid w:val="00734CF0"/>
    <w:rsid w:val="00734D09"/>
    <w:rsid w:val="00734D17"/>
    <w:rsid w:val="00734D20"/>
    <w:rsid w:val="00734D26"/>
    <w:rsid w:val="00734D3A"/>
    <w:rsid w:val="00734D4A"/>
    <w:rsid w:val="00734E07"/>
    <w:rsid w:val="00734E1A"/>
    <w:rsid w:val="00734E69"/>
    <w:rsid w:val="00734EBC"/>
    <w:rsid w:val="00734ED0"/>
    <w:rsid w:val="00734EFD"/>
    <w:rsid w:val="00734F57"/>
    <w:rsid w:val="00734F92"/>
    <w:rsid w:val="0073502B"/>
    <w:rsid w:val="00735033"/>
    <w:rsid w:val="007351ED"/>
    <w:rsid w:val="00735211"/>
    <w:rsid w:val="00735213"/>
    <w:rsid w:val="00735224"/>
    <w:rsid w:val="0073522B"/>
    <w:rsid w:val="0073533D"/>
    <w:rsid w:val="00735444"/>
    <w:rsid w:val="0073549C"/>
    <w:rsid w:val="007354A3"/>
    <w:rsid w:val="00735506"/>
    <w:rsid w:val="0073551A"/>
    <w:rsid w:val="00735641"/>
    <w:rsid w:val="0073566C"/>
    <w:rsid w:val="0073571A"/>
    <w:rsid w:val="0073577C"/>
    <w:rsid w:val="007357D5"/>
    <w:rsid w:val="00735863"/>
    <w:rsid w:val="007358B4"/>
    <w:rsid w:val="0073596D"/>
    <w:rsid w:val="00735999"/>
    <w:rsid w:val="0073599B"/>
    <w:rsid w:val="007359FF"/>
    <w:rsid w:val="00735A4C"/>
    <w:rsid w:val="00735A99"/>
    <w:rsid w:val="00735A9F"/>
    <w:rsid w:val="00735ADF"/>
    <w:rsid w:val="00735B09"/>
    <w:rsid w:val="00735B98"/>
    <w:rsid w:val="00735C08"/>
    <w:rsid w:val="00735C39"/>
    <w:rsid w:val="00735C45"/>
    <w:rsid w:val="00735C5D"/>
    <w:rsid w:val="00735CB9"/>
    <w:rsid w:val="00735CC3"/>
    <w:rsid w:val="00735CE2"/>
    <w:rsid w:val="00735D12"/>
    <w:rsid w:val="00735D4E"/>
    <w:rsid w:val="00735D63"/>
    <w:rsid w:val="00735D8E"/>
    <w:rsid w:val="00735D92"/>
    <w:rsid w:val="00735E1D"/>
    <w:rsid w:val="00735E3B"/>
    <w:rsid w:val="00735E95"/>
    <w:rsid w:val="00735EEC"/>
    <w:rsid w:val="00735EFE"/>
    <w:rsid w:val="00735F37"/>
    <w:rsid w:val="00735FEB"/>
    <w:rsid w:val="00736122"/>
    <w:rsid w:val="0073614E"/>
    <w:rsid w:val="00736159"/>
    <w:rsid w:val="0073622D"/>
    <w:rsid w:val="0073623D"/>
    <w:rsid w:val="00736248"/>
    <w:rsid w:val="00736267"/>
    <w:rsid w:val="007362B4"/>
    <w:rsid w:val="00736312"/>
    <w:rsid w:val="007363A2"/>
    <w:rsid w:val="007363BD"/>
    <w:rsid w:val="007363C3"/>
    <w:rsid w:val="007363FF"/>
    <w:rsid w:val="00736421"/>
    <w:rsid w:val="00736461"/>
    <w:rsid w:val="0073653E"/>
    <w:rsid w:val="00736549"/>
    <w:rsid w:val="007365F8"/>
    <w:rsid w:val="00736605"/>
    <w:rsid w:val="00736685"/>
    <w:rsid w:val="007366A2"/>
    <w:rsid w:val="007366C5"/>
    <w:rsid w:val="007366F3"/>
    <w:rsid w:val="00736746"/>
    <w:rsid w:val="007367CC"/>
    <w:rsid w:val="007367CF"/>
    <w:rsid w:val="007367DF"/>
    <w:rsid w:val="00736896"/>
    <w:rsid w:val="007368DD"/>
    <w:rsid w:val="0073696E"/>
    <w:rsid w:val="00736A9C"/>
    <w:rsid w:val="00736AB5"/>
    <w:rsid w:val="00736AB6"/>
    <w:rsid w:val="00736B98"/>
    <w:rsid w:val="00736CC0"/>
    <w:rsid w:val="00736CC1"/>
    <w:rsid w:val="00736D02"/>
    <w:rsid w:val="00736DC8"/>
    <w:rsid w:val="00736E63"/>
    <w:rsid w:val="00736ED5"/>
    <w:rsid w:val="00736ED8"/>
    <w:rsid w:val="00736EDB"/>
    <w:rsid w:val="00736F27"/>
    <w:rsid w:val="00736F4E"/>
    <w:rsid w:val="00736F74"/>
    <w:rsid w:val="00737013"/>
    <w:rsid w:val="00737074"/>
    <w:rsid w:val="007370C8"/>
    <w:rsid w:val="007370E3"/>
    <w:rsid w:val="007371EA"/>
    <w:rsid w:val="00737386"/>
    <w:rsid w:val="00737399"/>
    <w:rsid w:val="0073741A"/>
    <w:rsid w:val="0073742F"/>
    <w:rsid w:val="00737439"/>
    <w:rsid w:val="00737476"/>
    <w:rsid w:val="0073751A"/>
    <w:rsid w:val="007375AE"/>
    <w:rsid w:val="007375B9"/>
    <w:rsid w:val="007375F9"/>
    <w:rsid w:val="00737612"/>
    <w:rsid w:val="00737683"/>
    <w:rsid w:val="007376D9"/>
    <w:rsid w:val="007376DE"/>
    <w:rsid w:val="00737700"/>
    <w:rsid w:val="0073773A"/>
    <w:rsid w:val="007377D6"/>
    <w:rsid w:val="00737820"/>
    <w:rsid w:val="0073782F"/>
    <w:rsid w:val="00737847"/>
    <w:rsid w:val="00737855"/>
    <w:rsid w:val="007378AE"/>
    <w:rsid w:val="007378C6"/>
    <w:rsid w:val="00737A24"/>
    <w:rsid w:val="00737A9D"/>
    <w:rsid w:val="00737B48"/>
    <w:rsid w:val="00737B96"/>
    <w:rsid w:val="00737C5B"/>
    <w:rsid w:val="00737C66"/>
    <w:rsid w:val="00737C83"/>
    <w:rsid w:val="00737C89"/>
    <w:rsid w:val="00737CC4"/>
    <w:rsid w:val="00737D1F"/>
    <w:rsid w:val="00737DA7"/>
    <w:rsid w:val="00737DD0"/>
    <w:rsid w:val="00737E3E"/>
    <w:rsid w:val="00737ECE"/>
    <w:rsid w:val="00737EE3"/>
    <w:rsid w:val="00737F9D"/>
    <w:rsid w:val="00737FA4"/>
    <w:rsid w:val="00737FAF"/>
    <w:rsid w:val="00737FD6"/>
    <w:rsid w:val="00740010"/>
    <w:rsid w:val="0074003F"/>
    <w:rsid w:val="007400F4"/>
    <w:rsid w:val="00740138"/>
    <w:rsid w:val="00740155"/>
    <w:rsid w:val="00740230"/>
    <w:rsid w:val="0074024C"/>
    <w:rsid w:val="00740333"/>
    <w:rsid w:val="00740334"/>
    <w:rsid w:val="00740383"/>
    <w:rsid w:val="0074038D"/>
    <w:rsid w:val="007403A6"/>
    <w:rsid w:val="00740447"/>
    <w:rsid w:val="00740483"/>
    <w:rsid w:val="007404CD"/>
    <w:rsid w:val="00740505"/>
    <w:rsid w:val="0074056A"/>
    <w:rsid w:val="00740576"/>
    <w:rsid w:val="007405AD"/>
    <w:rsid w:val="00740604"/>
    <w:rsid w:val="0074061E"/>
    <w:rsid w:val="0074063B"/>
    <w:rsid w:val="007406EC"/>
    <w:rsid w:val="00740720"/>
    <w:rsid w:val="00740816"/>
    <w:rsid w:val="00740878"/>
    <w:rsid w:val="00740896"/>
    <w:rsid w:val="00740952"/>
    <w:rsid w:val="00740986"/>
    <w:rsid w:val="0074098D"/>
    <w:rsid w:val="00740A1D"/>
    <w:rsid w:val="00740A8D"/>
    <w:rsid w:val="00740AD5"/>
    <w:rsid w:val="00740B65"/>
    <w:rsid w:val="00740B66"/>
    <w:rsid w:val="00740BAB"/>
    <w:rsid w:val="00740CD9"/>
    <w:rsid w:val="00740D2E"/>
    <w:rsid w:val="00740D8C"/>
    <w:rsid w:val="00740D9B"/>
    <w:rsid w:val="00740E25"/>
    <w:rsid w:val="00740E48"/>
    <w:rsid w:val="00740E4E"/>
    <w:rsid w:val="00740EB7"/>
    <w:rsid w:val="00740EC8"/>
    <w:rsid w:val="00740F12"/>
    <w:rsid w:val="00740F56"/>
    <w:rsid w:val="00740FB8"/>
    <w:rsid w:val="00741071"/>
    <w:rsid w:val="00741094"/>
    <w:rsid w:val="007410AC"/>
    <w:rsid w:val="0074126A"/>
    <w:rsid w:val="007412EF"/>
    <w:rsid w:val="0074132C"/>
    <w:rsid w:val="0074137E"/>
    <w:rsid w:val="007413A4"/>
    <w:rsid w:val="007413C2"/>
    <w:rsid w:val="007413C3"/>
    <w:rsid w:val="00741494"/>
    <w:rsid w:val="00741564"/>
    <w:rsid w:val="0074158F"/>
    <w:rsid w:val="0074159F"/>
    <w:rsid w:val="0074163B"/>
    <w:rsid w:val="0074167F"/>
    <w:rsid w:val="0074170A"/>
    <w:rsid w:val="00741732"/>
    <w:rsid w:val="00741836"/>
    <w:rsid w:val="007418CD"/>
    <w:rsid w:val="007418D2"/>
    <w:rsid w:val="0074191B"/>
    <w:rsid w:val="00741928"/>
    <w:rsid w:val="00741A0B"/>
    <w:rsid w:val="00741A67"/>
    <w:rsid w:val="00741A69"/>
    <w:rsid w:val="00741ABF"/>
    <w:rsid w:val="00741AF5"/>
    <w:rsid w:val="00741B54"/>
    <w:rsid w:val="00741B60"/>
    <w:rsid w:val="00741B90"/>
    <w:rsid w:val="00741C05"/>
    <w:rsid w:val="00741C61"/>
    <w:rsid w:val="00741CC5"/>
    <w:rsid w:val="00741CFB"/>
    <w:rsid w:val="00741D8E"/>
    <w:rsid w:val="00741DF1"/>
    <w:rsid w:val="00741E6C"/>
    <w:rsid w:val="00741E78"/>
    <w:rsid w:val="00741EAC"/>
    <w:rsid w:val="00741EF2"/>
    <w:rsid w:val="00741EFB"/>
    <w:rsid w:val="00741F10"/>
    <w:rsid w:val="00741F96"/>
    <w:rsid w:val="00741FBD"/>
    <w:rsid w:val="007420E0"/>
    <w:rsid w:val="00742142"/>
    <w:rsid w:val="007421AD"/>
    <w:rsid w:val="007421C0"/>
    <w:rsid w:val="007421D0"/>
    <w:rsid w:val="007421E4"/>
    <w:rsid w:val="00742227"/>
    <w:rsid w:val="00742241"/>
    <w:rsid w:val="00742317"/>
    <w:rsid w:val="00742334"/>
    <w:rsid w:val="00742379"/>
    <w:rsid w:val="007423BE"/>
    <w:rsid w:val="007424F1"/>
    <w:rsid w:val="00742506"/>
    <w:rsid w:val="007425A4"/>
    <w:rsid w:val="00742703"/>
    <w:rsid w:val="00742747"/>
    <w:rsid w:val="0074286F"/>
    <w:rsid w:val="0074289E"/>
    <w:rsid w:val="007429C1"/>
    <w:rsid w:val="00742A1E"/>
    <w:rsid w:val="00742A68"/>
    <w:rsid w:val="00742AB9"/>
    <w:rsid w:val="00742AD3"/>
    <w:rsid w:val="00742B5F"/>
    <w:rsid w:val="00742BDA"/>
    <w:rsid w:val="00742BEA"/>
    <w:rsid w:val="00742BED"/>
    <w:rsid w:val="00742C10"/>
    <w:rsid w:val="00742C3A"/>
    <w:rsid w:val="00742C48"/>
    <w:rsid w:val="00742C6E"/>
    <w:rsid w:val="00742C93"/>
    <w:rsid w:val="00742C9C"/>
    <w:rsid w:val="00742D20"/>
    <w:rsid w:val="00742D7B"/>
    <w:rsid w:val="00742DB4"/>
    <w:rsid w:val="00742E2E"/>
    <w:rsid w:val="00742EBC"/>
    <w:rsid w:val="00742F2A"/>
    <w:rsid w:val="00742F9B"/>
    <w:rsid w:val="0074301A"/>
    <w:rsid w:val="00743029"/>
    <w:rsid w:val="007430F3"/>
    <w:rsid w:val="0074315D"/>
    <w:rsid w:val="007431E4"/>
    <w:rsid w:val="007431F9"/>
    <w:rsid w:val="0074329E"/>
    <w:rsid w:val="007432CD"/>
    <w:rsid w:val="00743349"/>
    <w:rsid w:val="00743366"/>
    <w:rsid w:val="00743386"/>
    <w:rsid w:val="007434C9"/>
    <w:rsid w:val="007434FB"/>
    <w:rsid w:val="007435C2"/>
    <w:rsid w:val="007435FA"/>
    <w:rsid w:val="007436D2"/>
    <w:rsid w:val="007436E2"/>
    <w:rsid w:val="00743794"/>
    <w:rsid w:val="007437A0"/>
    <w:rsid w:val="0074387E"/>
    <w:rsid w:val="00743899"/>
    <w:rsid w:val="0074391D"/>
    <w:rsid w:val="00743926"/>
    <w:rsid w:val="0074395C"/>
    <w:rsid w:val="00743978"/>
    <w:rsid w:val="00743A23"/>
    <w:rsid w:val="00743A55"/>
    <w:rsid w:val="00743A9A"/>
    <w:rsid w:val="00743AA1"/>
    <w:rsid w:val="00743B6A"/>
    <w:rsid w:val="00743C3A"/>
    <w:rsid w:val="00743CE5"/>
    <w:rsid w:val="00743D0C"/>
    <w:rsid w:val="00743D1F"/>
    <w:rsid w:val="00743E25"/>
    <w:rsid w:val="00743E2B"/>
    <w:rsid w:val="00743E34"/>
    <w:rsid w:val="00743E3E"/>
    <w:rsid w:val="00743E65"/>
    <w:rsid w:val="00743E9F"/>
    <w:rsid w:val="00743F4F"/>
    <w:rsid w:val="00743F62"/>
    <w:rsid w:val="00743F6A"/>
    <w:rsid w:val="00743F75"/>
    <w:rsid w:val="00743FD4"/>
    <w:rsid w:val="00743FEE"/>
    <w:rsid w:val="0074403A"/>
    <w:rsid w:val="00744192"/>
    <w:rsid w:val="007441D2"/>
    <w:rsid w:val="007442C0"/>
    <w:rsid w:val="00744383"/>
    <w:rsid w:val="00744388"/>
    <w:rsid w:val="0074444E"/>
    <w:rsid w:val="007444E0"/>
    <w:rsid w:val="00744508"/>
    <w:rsid w:val="00744515"/>
    <w:rsid w:val="00744521"/>
    <w:rsid w:val="00744563"/>
    <w:rsid w:val="0074459E"/>
    <w:rsid w:val="007445E0"/>
    <w:rsid w:val="00744656"/>
    <w:rsid w:val="007446A0"/>
    <w:rsid w:val="007447F6"/>
    <w:rsid w:val="00744840"/>
    <w:rsid w:val="00744852"/>
    <w:rsid w:val="007448FB"/>
    <w:rsid w:val="00744923"/>
    <w:rsid w:val="007449F6"/>
    <w:rsid w:val="00744AF2"/>
    <w:rsid w:val="00744B0C"/>
    <w:rsid w:val="00744B91"/>
    <w:rsid w:val="00744BDD"/>
    <w:rsid w:val="00744C78"/>
    <w:rsid w:val="00744CE0"/>
    <w:rsid w:val="00744CF1"/>
    <w:rsid w:val="00744CFA"/>
    <w:rsid w:val="00744E13"/>
    <w:rsid w:val="00744E54"/>
    <w:rsid w:val="00744E85"/>
    <w:rsid w:val="00744EA5"/>
    <w:rsid w:val="00744ED3"/>
    <w:rsid w:val="00745004"/>
    <w:rsid w:val="00745029"/>
    <w:rsid w:val="00745055"/>
    <w:rsid w:val="0074515A"/>
    <w:rsid w:val="007451A5"/>
    <w:rsid w:val="007451FB"/>
    <w:rsid w:val="0074522B"/>
    <w:rsid w:val="0074528B"/>
    <w:rsid w:val="007452A5"/>
    <w:rsid w:val="007452E6"/>
    <w:rsid w:val="00745369"/>
    <w:rsid w:val="0074536A"/>
    <w:rsid w:val="007453FD"/>
    <w:rsid w:val="00745415"/>
    <w:rsid w:val="0074541E"/>
    <w:rsid w:val="00745489"/>
    <w:rsid w:val="007454B9"/>
    <w:rsid w:val="007454BA"/>
    <w:rsid w:val="00745526"/>
    <w:rsid w:val="0074560D"/>
    <w:rsid w:val="00745629"/>
    <w:rsid w:val="00745631"/>
    <w:rsid w:val="00745712"/>
    <w:rsid w:val="007457DB"/>
    <w:rsid w:val="0074582C"/>
    <w:rsid w:val="00745854"/>
    <w:rsid w:val="0074585E"/>
    <w:rsid w:val="007458C7"/>
    <w:rsid w:val="007458F2"/>
    <w:rsid w:val="00745907"/>
    <w:rsid w:val="00745910"/>
    <w:rsid w:val="0074593E"/>
    <w:rsid w:val="00745985"/>
    <w:rsid w:val="00745989"/>
    <w:rsid w:val="0074599F"/>
    <w:rsid w:val="00745A18"/>
    <w:rsid w:val="00745A59"/>
    <w:rsid w:val="00745AB2"/>
    <w:rsid w:val="00745AEB"/>
    <w:rsid w:val="00745B24"/>
    <w:rsid w:val="00745BC5"/>
    <w:rsid w:val="00745BCB"/>
    <w:rsid w:val="00745C22"/>
    <w:rsid w:val="00745C4A"/>
    <w:rsid w:val="00745C6B"/>
    <w:rsid w:val="00745CC8"/>
    <w:rsid w:val="00745D0E"/>
    <w:rsid w:val="00745D84"/>
    <w:rsid w:val="00745DC1"/>
    <w:rsid w:val="00745E30"/>
    <w:rsid w:val="00745EC7"/>
    <w:rsid w:val="00745F17"/>
    <w:rsid w:val="00745F58"/>
    <w:rsid w:val="00746024"/>
    <w:rsid w:val="007460AA"/>
    <w:rsid w:val="00746175"/>
    <w:rsid w:val="007462D6"/>
    <w:rsid w:val="007463E8"/>
    <w:rsid w:val="00746452"/>
    <w:rsid w:val="00746486"/>
    <w:rsid w:val="007464B2"/>
    <w:rsid w:val="007464BE"/>
    <w:rsid w:val="007464FE"/>
    <w:rsid w:val="00746624"/>
    <w:rsid w:val="00746664"/>
    <w:rsid w:val="0074671D"/>
    <w:rsid w:val="00746727"/>
    <w:rsid w:val="00746770"/>
    <w:rsid w:val="007467C4"/>
    <w:rsid w:val="0074680A"/>
    <w:rsid w:val="0074685C"/>
    <w:rsid w:val="00746876"/>
    <w:rsid w:val="00746886"/>
    <w:rsid w:val="007468DA"/>
    <w:rsid w:val="007468E1"/>
    <w:rsid w:val="007468E7"/>
    <w:rsid w:val="0074695A"/>
    <w:rsid w:val="00746AA4"/>
    <w:rsid w:val="00746AB2"/>
    <w:rsid w:val="00746AED"/>
    <w:rsid w:val="00746AEE"/>
    <w:rsid w:val="00746B01"/>
    <w:rsid w:val="00746B4F"/>
    <w:rsid w:val="00746B7F"/>
    <w:rsid w:val="00746BBD"/>
    <w:rsid w:val="00746C4F"/>
    <w:rsid w:val="00746C8A"/>
    <w:rsid w:val="00746CE4"/>
    <w:rsid w:val="00746D2E"/>
    <w:rsid w:val="00746D60"/>
    <w:rsid w:val="00746DDB"/>
    <w:rsid w:val="00746DE9"/>
    <w:rsid w:val="00747021"/>
    <w:rsid w:val="00747050"/>
    <w:rsid w:val="00747091"/>
    <w:rsid w:val="00747152"/>
    <w:rsid w:val="00747180"/>
    <w:rsid w:val="007471A7"/>
    <w:rsid w:val="0074724B"/>
    <w:rsid w:val="0074731D"/>
    <w:rsid w:val="0074733E"/>
    <w:rsid w:val="007473F2"/>
    <w:rsid w:val="007474B8"/>
    <w:rsid w:val="007474BB"/>
    <w:rsid w:val="00747563"/>
    <w:rsid w:val="0074759C"/>
    <w:rsid w:val="007475B4"/>
    <w:rsid w:val="00747651"/>
    <w:rsid w:val="007476E9"/>
    <w:rsid w:val="0074773F"/>
    <w:rsid w:val="00747757"/>
    <w:rsid w:val="0074782D"/>
    <w:rsid w:val="0074788A"/>
    <w:rsid w:val="007478C5"/>
    <w:rsid w:val="00747900"/>
    <w:rsid w:val="00747927"/>
    <w:rsid w:val="007479C7"/>
    <w:rsid w:val="00747A33"/>
    <w:rsid w:val="00747A42"/>
    <w:rsid w:val="00747A61"/>
    <w:rsid w:val="00747A69"/>
    <w:rsid w:val="00747AB1"/>
    <w:rsid w:val="00747B41"/>
    <w:rsid w:val="00747B8E"/>
    <w:rsid w:val="00747BCC"/>
    <w:rsid w:val="00747C3C"/>
    <w:rsid w:val="00747CA1"/>
    <w:rsid w:val="00747CCC"/>
    <w:rsid w:val="00747D11"/>
    <w:rsid w:val="00747D89"/>
    <w:rsid w:val="00747D98"/>
    <w:rsid w:val="00747D9A"/>
    <w:rsid w:val="00747E0F"/>
    <w:rsid w:val="00747F12"/>
    <w:rsid w:val="00747F15"/>
    <w:rsid w:val="00747FAC"/>
    <w:rsid w:val="00747FBE"/>
    <w:rsid w:val="0075003A"/>
    <w:rsid w:val="0075007D"/>
    <w:rsid w:val="007500E2"/>
    <w:rsid w:val="007500FE"/>
    <w:rsid w:val="00750183"/>
    <w:rsid w:val="007501D0"/>
    <w:rsid w:val="00750286"/>
    <w:rsid w:val="00750311"/>
    <w:rsid w:val="00750318"/>
    <w:rsid w:val="0075036C"/>
    <w:rsid w:val="00750390"/>
    <w:rsid w:val="007503AA"/>
    <w:rsid w:val="007503CD"/>
    <w:rsid w:val="00750465"/>
    <w:rsid w:val="00750485"/>
    <w:rsid w:val="0075053C"/>
    <w:rsid w:val="00750575"/>
    <w:rsid w:val="007505A0"/>
    <w:rsid w:val="00750685"/>
    <w:rsid w:val="007506B4"/>
    <w:rsid w:val="007506F5"/>
    <w:rsid w:val="00750709"/>
    <w:rsid w:val="0075071F"/>
    <w:rsid w:val="00750722"/>
    <w:rsid w:val="00750749"/>
    <w:rsid w:val="0075076E"/>
    <w:rsid w:val="00750795"/>
    <w:rsid w:val="007508A6"/>
    <w:rsid w:val="0075094A"/>
    <w:rsid w:val="00750ABD"/>
    <w:rsid w:val="00750AD6"/>
    <w:rsid w:val="00750B7F"/>
    <w:rsid w:val="00750BDF"/>
    <w:rsid w:val="00750C0F"/>
    <w:rsid w:val="00750C15"/>
    <w:rsid w:val="00750CEE"/>
    <w:rsid w:val="00750DB8"/>
    <w:rsid w:val="00750E52"/>
    <w:rsid w:val="00750E70"/>
    <w:rsid w:val="00750EAD"/>
    <w:rsid w:val="00750F6E"/>
    <w:rsid w:val="00751063"/>
    <w:rsid w:val="00751094"/>
    <w:rsid w:val="007510A4"/>
    <w:rsid w:val="007511A2"/>
    <w:rsid w:val="007511B5"/>
    <w:rsid w:val="007511E7"/>
    <w:rsid w:val="007511EB"/>
    <w:rsid w:val="00751200"/>
    <w:rsid w:val="0075126F"/>
    <w:rsid w:val="00751299"/>
    <w:rsid w:val="00751319"/>
    <w:rsid w:val="00751335"/>
    <w:rsid w:val="0075136B"/>
    <w:rsid w:val="007513B8"/>
    <w:rsid w:val="007513DF"/>
    <w:rsid w:val="007513EE"/>
    <w:rsid w:val="00751497"/>
    <w:rsid w:val="00751571"/>
    <w:rsid w:val="0075157E"/>
    <w:rsid w:val="00751595"/>
    <w:rsid w:val="0075161A"/>
    <w:rsid w:val="0075163D"/>
    <w:rsid w:val="007516B8"/>
    <w:rsid w:val="007516D6"/>
    <w:rsid w:val="00751715"/>
    <w:rsid w:val="00751730"/>
    <w:rsid w:val="0075177C"/>
    <w:rsid w:val="00751825"/>
    <w:rsid w:val="0075183E"/>
    <w:rsid w:val="00751854"/>
    <w:rsid w:val="0075196C"/>
    <w:rsid w:val="0075198B"/>
    <w:rsid w:val="007519C0"/>
    <w:rsid w:val="007519DA"/>
    <w:rsid w:val="00751A2E"/>
    <w:rsid w:val="00751B3A"/>
    <w:rsid w:val="00751B40"/>
    <w:rsid w:val="00751BDC"/>
    <w:rsid w:val="00751C0A"/>
    <w:rsid w:val="00751CED"/>
    <w:rsid w:val="00751D67"/>
    <w:rsid w:val="00751DC1"/>
    <w:rsid w:val="00751E7D"/>
    <w:rsid w:val="00751EDC"/>
    <w:rsid w:val="00751F03"/>
    <w:rsid w:val="00751FC0"/>
    <w:rsid w:val="00751FE1"/>
    <w:rsid w:val="007520A0"/>
    <w:rsid w:val="00752101"/>
    <w:rsid w:val="0075213A"/>
    <w:rsid w:val="00752195"/>
    <w:rsid w:val="007522C0"/>
    <w:rsid w:val="007522F7"/>
    <w:rsid w:val="00752362"/>
    <w:rsid w:val="00752363"/>
    <w:rsid w:val="0075239B"/>
    <w:rsid w:val="007523D5"/>
    <w:rsid w:val="00752412"/>
    <w:rsid w:val="0075251E"/>
    <w:rsid w:val="0075257E"/>
    <w:rsid w:val="00752647"/>
    <w:rsid w:val="0075264E"/>
    <w:rsid w:val="007526C3"/>
    <w:rsid w:val="00752794"/>
    <w:rsid w:val="007527C3"/>
    <w:rsid w:val="007527FC"/>
    <w:rsid w:val="00752815"/>
    <w:rsid w:val="007528A8"/>
    <w:rsid w:val="007528BB"/>
    <w:rsid w:val="00752921"/>
    <w:rsid w:val="00752945"/>
    <w:rsid w:val="0075297E"/>
    <w:rsid w:val="00752A0D"/>
    <w:rsid w:val="00752A17"/>
    <w:rsid w:val="00752A2A"/>
    <w:rsid w:val="00752A4E"/>
    <w:rsid w:val="00752A80"/>
    <w:rsid w:val="00752AA3"/>
    <w:rsid w:val="00752AEE"/>
    <w:rsid w:val="00752B38"/>
    <w:rsid w:val="00752B49"/>
    <w:rsid w:val="00752B89"/>
    <w:rsid w:val="00752BEF"/>
    <w:rsid w:val="00752C10"/>
    <w:rsid w:val="00752C2C"/>
    <w:rsid w:val="00752CB1"/>
    <w:rsid w:val="00752D02"/>
    <w:rsid w:val="00752E33"/>
    <w:rsid w:val="00752E58"/>
    <w:rsid w:val="00752E59"/>
    <w:rsid w:val="00752F10"/>
    <w:rsid w:val="00752F1D"/>
    <w:rsid w:val="0075308D"/>
    <w:rsid w:val="00753168"/>
    <w:rsid w:val="0075316D"/>
    <w:rsid w:val="007532C6"/>
    <w:rsid w:val="0075331C"/>
    <w:rsid w:val="0075332C"/>
    <w:rsid w:val="00753373"/>
    <w:rsid w:val="00753387"/>
    <w:rsid w:val="00753434"/>
    <w:rsid w:val="0075345F"/>
    <w:rsid w:val="00753541"/>
    <w:rsid w:val="0075356F"/>
    <w:rsid w:val="00753634"/>
    <w:rsid w:val="007536D1"/>
    <w:rsid w:val="007536DA"/>
    <w:rsid w:val="007536E6"/>
    <w:rsid w:val="007536E8"/>
    <w:rsid w:val="0075372B"/>
    <w:rsid w:val="00753732"/>
    <w:rsid w:val="0075375C"/>
    <w:rsid w:val="0075379B"/>
    <w:rsid w:val="007537AA"/>
    <w:rsid w:val="00753887"/>
    <w:rsid w:val="007538D3"/>
    <w:rsid w:val="0075393F"/>
    <w:rsid w:val="0075397D"/>
    <w:rsid w:val="00753995"/>
    <w:rsid w:val="007539E1"/>
    <w:rsid w:val="00753A14"/>
    <w:rsid w:val="00753B4B"/>
    <w:rsid w:val="00753B5F"/>
    <w:rsid w:val="00753B62"/>
    <w:rsid w:val="00753C23"/>
    <w:rsid w:val="00753C5D"/>
    <w:rsid w:val="00753CBB"/>
    <w:rsid w:val="00753CCA"/>
    <w:rsid w:val="00753D49"/>
    <w:rsid w:val="00753D94"/>
    <w:rsid w:val="00753DEB"/>
    <w:rsid w:val="00753E3E"/>
    <w:rsid w:val="00753F46"/>
    <w:rsid w:val="00753F89"/>
    <w:rsid w:val="00754008"/>
    <w:rsid w:val="007540FD"/>
    <w:rsid w:val="00754126"/>
    <w:rsid w:val="00754172"/>
    <w:rsid w:val="007541A9"/>
    <w:rsid w:val="00754205"/>
    <w:rsid w:val="007542F6"/>
    <w:rsid w:val="00754322"/>
    <w:rsid w:val="00754323"/>
    <w:rsid w:val="00754324"/>
    <w:rsid w:val="00754427"/>
    <w:rsid w:val="00754496"/>
    <w:rsid w:val="007544AB"/>
    <w:rsid w:val="007544C7"/>
    <w:rsid w:val="007544D0"/>
    <w:rsid w:val="00754519"/>
    <w:rsid w:val="0075452F"/>
    <w:rsid w:val="007545C7"/>
    <w:rsid w:val="007545D3"/>
    <w:rsid w:val="007545F5"/>
    <w:rsid w:val="00754640"/>
    <w:rsid w:val="00754695"/>
    <w:rsid w:val="00754720"/>
    <w:rsid w:val="0075491C"/>
    <w:rsid w:val="00754950"/>
    <w:rsid w:val="00754A55"/>
    <w:rsid w:val="00754AFA"/>
    <w:rsid w:val="00754B23"/>
    <w:rsid w:val="00754B2A"/>
    <w:rsid w:val="00754B33"/>
    <w:rsid w:val="00754B41"/>
    <w:rsid w:val="00754B46"/>
    <w:rsid w:val="00754B6C"/>
    <w:rsid w:val="00754B92"/>
    <w:rsid w:val="00754C95"/>
    <w:rsid w:val="00754CA7"/>
    <w:rsid w:val="00754DCD"/>
    <w:rsid w:val="00754DF1"/>
    <w:rsid w:val="00754EDA"/>
    <w:rsid w:val="00754F5A"/>
    <w:rsid w:val="00754F5B"/>
    <w:rsid w:val="00754FE5"/>
    <w:rsid w:val="0075501B"/>
    <w:rsid w:val="0075511B"/>
    <w:rsid w:val="007551C5"/>
    <w:rsid w:val="00755250"/>
    <w:rsid w:val="007552A1"/>
    <w:rsid w:val="007552A4"/>
    <w:rsid w:val="007552AD"/>
    <w:rsid w:val="007552D5"/>
    <w:rsid w:val="007553FA"/>
    <w:rsid w:val="007554BE"/>
    <w:rsid w:val="007554D4"/>
    <w:rsid w:val="00755540"/>
    <w:rsid w:val="007555B2"/>
    <w:rsid w:val="007555DC"/>
    <w:rsid w:val="007555EB"/>
    <w:rsid w:val="007555F0"/>
    <w:rsid w:val="00755627"/>
    <w:rsid w:val="007557B9"/>
    <w:rsid w:val="007557E0"/>
    <w:rsid w:val="0075585A"/>
    <w:rsid w:val="00755880"/>
    <w:rsid w:val="00755914"/>
    <w:rsid w:val="0075593C"/>
    <w:rsid w:val="00755958"/>
    <w:rsid w:val="00755994"/>
    <w:rsid w:val="007559DB"/>
    <w:rsid w:val="007559F1"/>
    <w:rsid w:val="00755A8C"/>
    <w:rsid w:val="00755AD5"/>
    <w:rsid w:val="00755AF8"/>
    <w:rsid w:val="00755AFC"/>
    <w:rsid w:val="00755B75"/>
    <w:rsid w:val="00755B7F"/>
    <w:rsid w:val="00755BA6"/>
    <w:rsid w:val="00755C34"/>
    <w:rsid w:val="00755C81"/>
    <w:rsid w:val="00755C9D"/>
    <w:rsid w:val="00755CA7"/>
    <w:rsid w:val="00755D1B"/>
    <w:rsid w:val="00755D5F"/>
    <w:rsid w:val="00755D86"/>
    <w:rsid w:val="00755DA9"/>
    <w:rsid w:val="00755E1C"/>
    <w:rsid w:val="00755E20"/>
    <w:rsid w:val="00755E53"/>
    <w:rsid w:val="00755F31"/>
    <w:rsid w:val="0075613D"/>
    <w:rsid w:val="00756141"/>
    <w:rsid w:val="00756143"/>
    <w:rsid w:val="0075619A"/>
    <w:rsid w:val="0075625C"/>
    <w:rsid w:val="00756323"/>
    <w:rsid w:val="00756339"/>
    <w:rsid w:val="00756355"/>
    <w:rsid w:val="0075636D"/>
    <w:rsid w:val="007564B4"/>
    <w:rsid w:val="007565D1"/>
    <w:rsid w:val="0075660A"/>
    <w:rsid w:val="0075664A"/>
    <w:rsid w:val="0075665E"/>
    <w:rsid w:val="0075669B"/>
    <w:rsid w:val="007567FE"/>
    <w:rsid w:val="007568A1"/>
    <w:rsid w:val="007568C4"/>
    <w:rsid w:val="0075692C"/>
    <w:rsid w:val="00756962"/>
    <w:rsid w:val="00756B3F"/>
    <w:rsid w:val="00756BDC"/>
    <w:rsid w:val="00756C15"/>
    <w:rsid w:val="00756C7A"/>
    <w:rsid w:val="00756CDC"/>
    <w:rsid w:val="00756D16"/>
    <w:rsid w:val="00756DB8"/>
    <w:rsid w:val="00756DD2"/>
    <w:rsid w:val="00756DDF"/>
    <w:rsid w:val="00756DE6"/>
    <w:rsid w:val="00756EA9"/>
    <w:rsid w:val="00756F8D"/>
    <w:rsid w:val="00756FA3"/>
    <w:rsid w:val="00756FDC"/>
    <w:rsid w:val="00756FF6"/>
    <w:rsid w:val="00757087"/>
    <w:rsid w:val="00757091"/>
    <w:rsid w:val="00757097"/>
    <w:rsid w:val="00757177"/>
    <w:rsid w:val="0075718F"/>
    <w:rsid w:val="007571AA"/>
    <w:rsid w:val="007571B1"/>
    <w:rsid w:val="007571EC"/>
    <w:rsid w:val="007571EF"/>
    <w:rsid w:val="007571F7"/>
    <w:rsid w:val="0075725A"/>
    <w:rsid w:val="00757265"/>
    <w:rsid w:val="007572B0"/>
    <w:rsid w:val="007572CD"/>
    <w:rsid w:val="00757301"/>
    <w:rsid w:val="007573A4"/>
    <w:rsid w:val="0075747B"/>
    <w:rsid w:val="00757537"/>
    <w:rsid w:val="0075756D"/>
    <w:rsid w:val="0075769D"/>
    <w:rsid w:val="007576AF"/>
    <w:rsid w:val="007576C3"/>
    <w:rsid w:val="007576CA"/>
    <w:rsid w:val="0075771F"/>
    <w:rsid w:val="0075778D"/>
    <w:rsid w:val="007577BE"/>
    <w:rsid w:val="00757893"/>
    <w:rsid w:val="0075790E"/>
    <w:rsid w:val="00757942"/>
    <w:rsid w:val="00757A87"/>
    <w:rsid w:val="00757AE5"/>
    <w:rsid w:val="00757B09"/>
    <w:rsid w:val="00757BD7"/>
    <w:rsid w:val="00757C4A"/>
    <w:rsid w:val="00757CBE"/>
    <w:rsid w:val="00757CE8"/>
    <w:rsid w:val="00757E3E"/>
    <w:rsid w:val="00757E83"/>
    <w:rsid w:val="00757EE6"/>
    <w:rsid w:val="00757EFC"/>
    <w:rsid w:val="00757F33"/>
    <w:rsid w:val="00757FFA"/>
    <w:rsid w:val="0076007B"/>
    <w:rsid w:val="007600DB"/>
    <w:rsid w:val="007600E6"/>
    <w:rsid w:val="0076010D"/>
    <w:rsid w:val="00760162"/>
    <w:rsid w:val="007601F8"/>
    <w:rsid w:val="0076022F"/>
    <w:rsid w:val="0076024E"/>
    <w:rsid w:val="007602A2"/>
    <w:rsid w:val="007602D8"/>
    <w:rsid w:val="007603B9"/>
    <w:rsid w:val="00760488"/>
    <w:rsid w:val="0076051A"/>
    <w:rsid w:val="0076058A"/>
    <w:rsid w:val="00760591"/>
    <w:rsid w:val="007605C6"/>
    <w:rsid w:val="007605DC"/>
    <w:rsid w:val="00760685"/>
    <w:rsid w:val="00760765"/>
    <w:rsid w:val="007607D2"/>
    <w:rsid w:val="007607F2"/>
    <w:rsid w:val="007608F6"/>
    <w:rsid w:val="007608FF"/>
    <w:rsid w:val="00760905"/>
    <w:rsid w:val="0076093B"/>
    <w:rsid w:val="0076097E"/>
    <w:rsid w:val="00760A19"/>
    <w:rsid w:val="00760AA9"/>
    <w:rsid w:val="00760AAA"/>
    <w:rsid w:val="00760AD1"/>
    <w:rsid w:val="00760BBF"/>
    <w:rsid w:val="00760BD2"/>
    <w:rsid w:val="00760BED"/>
    <w:rsid w:val="00760C0C"/>
    <w:rsid w:val="00760CDB"/>
    <w:rsid w:val="00760D8F"/>
    <w:rsid w:val="00760E0C"/>
    <w:rsid w:val="00760E7E"/>
    <w:rsid w:val="00760E9E"/>
    <w:rsid w:val="00760EB7"/>
    <w:rsid w:val="00760EC7"/>
    <w:rsid w:val="00760FBB"/>
    <w:rsid w:val="00761010"/>
    <w:rsid w:val="0076103E"/>
    <w:rsid w:val="00761078"/>
    <w:rsid w:val="007610E7"/>
    <w:rsid w:val="00761118"/>
    <w:rsid w:val="0076112B"/>
    <w:rsid w:val="007611AE"/>
    <w:rsid w:val="00761213"/>
    <w:rsid w:val="00761214"/>
    <w:rsid w:val="0076121B"/>
    <w:rsid w:val="007612D0"/>
    <w:rsid w:val="007613E5"/>
    <w:rsid w:val="007614E6"/>
    <w:rsid w:val="00761533"/>
    <w:rsid w:val="00761585"/>
    <w:rsid w:val="0076158D"/>
    <w:rsid w:val="00761621"/>
    <w:rsid w:val="0076162F"/>
    <w:rsid w:val="00761671"/>
    <w:rsid w:val="0076171D"/>
    <w:rsid w:val="0076176A"/>
    <w:rsid w:val="0076177A"/>
    <w:rsid w:val="00761817"/>
    <w:rsid w:val="00761841"/>
    <w:rsid w:val="007618D9"/>
    <w:rsid w:val="0076193D"/>
    <w:rsid w:val="007619CE"/>
    <w:rsid w:val="007619E9"/>
    <w:rsid w:val="00761A3D"/>
    <w:rsid w:val="00761A59"/>
    <w:rsid w:val="00761A6C"/>
    <w:rsid w:val="00761AE5"/>
    <w:rsid w:val="00761BEF"/>
    <w:rsid w:val="00761C30"/>
    <w:rsid w:val="00761C44"/>
    <w:rsid w:val="00761CBD"/>
    <w:rsid w:val="00761D56"/>
    <w:rsid w:val="00761DE0"/>
    <w:rsid w:val="00761F02"/>
    <w:rsid w:val="00761F1A"/>
    <w:rsid w:val="00761F89"/>
    <w:rsid w:val="00761F92"/>
    <w:rsid w:val="00761FC2"/>
    <w:rsid w:val="00762058"/>
    <w:rsid w:val="00762078"/>
    <w:rsid w:val="0076217F"/>
    <w:rsid w:val="00762217"/>
    <w:rsid w:val="0076228F"/>
    <w:rsid w:val="007622AC"/>
    <w:rsid w:val="00762378"/>
    <w:rsid w:val="007625FA"/>
    <w:rsid w:val="00762638"/>
    <w:rsid w:val="007626BF"/>
    <w:rsid w:val="00762702"/>
    <w:rsid w:val="00762755"/>
    <w:rsid w:val="007627E6"/>
    <w:rsid w:val="00762819"/>
    <w:rsid w:val="0076284B"/>
    <w:rsid w:val="007628A8"/>
    <w:rsid w:val="00762931"/>
    <w:rsid w:val="00762964"/>
    <w:rsid w:val="00762984"/>
    <w:rsid w:val="007629B9"/>
    <w:rsid w:val="007629BD"/>
    <w:rsid w:val="007629DF"/>
    <w:rsid w:val="007629F6"/>
    <w:rsid w:val="00762A56"/>
    <w:rsid w:val="00762AB1"/>
    <w:rsid w:val="00762AFA"/>
    <w:rsid w:val="00762B05"/>
    <w:rsid w:val="00762B0D"/>
    <w:rsid w:val="00762BF7"/>
    <w:rsid w:val="00762C0E"/>
    <w:rsid w:val="00762C70"/>
    <w:rsid w:val="00762D46"/>
    <w:rsid w:val="00762D78"/>
    <w:rsid w:val="00762D85"/>
    <w:rsid w:val="00762E71"/>
    <w:rsid w:val="00762F3E"/>
    <w:rsid w:val="00762F5D"/>
    <w:rsid w:val="00762FAD"/>
    <w:rsid w:val="00762FC8"/>
    <w:rsid w:val="00762FCD"/>
    <w:rsid w:val="00763018"/>
    <w:rsid w:val="00763019"/>
    <w:rsid w:val="007630F9"/>
    <w:rsid w:val="007631A4"/>
    <w:rsid w:val="0076325E"/>
    <w:rsid w:val="007632AF"/>
    <w:rsid w:val="007632D8"/>
    <w:rsid w:val="0076349F"/>
    <w:rsid w:val="00763565"/>
    <w:rsid w:val="007635B5"/>
    <w:rsid w:val="007635ED"/>
    <w:rsid w:val="00763676"/>
    <w:rsid w:val="00763691"/>
    <w:rsid w:val="007636A1"/>
    <w:rsid w:val="00763737"/>
    <w:rsid w:val="00763770"/>
    <w:rsid w:val="007637AA"/>
    <w:rsid w:val="00763898"/>
    <w:rsid w:val="007638AB"/>
    <w:rsid w:val="007638B2"/>
    <w:rsid w:val="007638F4"/>
    <w:rsid w:val="0076394D"/>
    <w:rsid w:val="00763A75"/>
    <w:rsid w:val="00763A9C"/>
    <w:rsid w:val="00763AB4"/>
    <w:rsid w:val="00763ADE"/>
    <w:rsid w:val="00763B69"/>
    <w:rsid w:val="00763B8F"/>
    <w:rsid w:val="00763C8D"/>
    <w:rsid w:val="00763CE4"/>
    <w:rsid w:val="00763D37"/>
    <w:rsid w:val="00763D3E"/>
    <w:rsid w:val="00763DAE"/>
    <w:rsid w:val="00763DB4"/>
    <w:rsid w:val="00763E08"/>
    <w:rsid w:val="00763E63"/>
    <w:rsid w:val="00763E6D"/>
    <w:rsid w:val="00763EC2"/>
    <w:rsid w:val="00763EDE"/>
    <w:rsid w:val="00763F88"/>
    <w:rsid w:val="00763FAB"/>
    <w:rsid w:val="00763FB6"/>
    <w:rsid w:val="00763FF0"/>
    <w:rsid w:val="0076405F"/>
    <w:rsid w:val="00764072"/>
    <w:rsid w:val="00764117"/>
    <w:rsid w:val="0076415F"/>
    <w:rsid w:val="00764187"/>
    <w:rsid w:val="007641CE"/>
    <w:rsid w:val="007641EE"/>
    <w:rsid w:val="0076420A"/>
    <w:rsid w:val="00764277"/>
    <w:rsid w:val="007642CA"/>
    <w:rsid w:val="007642D8"/>
    <w:rsid w:val="007642F1"/>
    <w:rsid w:val="0076431D"/>
    <w:rsid w:val="0076432D"/>
    <w:rsid w:val="00764333"/>
    <w:rsid w:val="0076436F"/>
    <w:rsid w:val="007643D4"/>
    <w:rsid w:val="007644A4"/>
    <w:rsid w:val="007644D0"/>
    <w:rsid w:val="0076452F"/>
    <w:rsid w:val="007645C7"/>
    <w:rsid w:val="007645F1"/>
    <w:rsid w:val="007646EE"/>
    <w:rsid w:val="00764718"/>
    <w:rsid w:val="00764772"/>
    <w:rsid w:val="007647B4"/>
    <w:rsid w:val="00764809"/>
    <w:rsid w:val="0076480C"/>
    <w:rsid w:val="00764871"/>
    <w:rsid w:val="007648B3"/>
    <w:rsid w:val="00764985"/>
    <w:rsid w:val="0076498C"/>
    <w:rsid w:val="0076499B"/>
    <w:rsid w:val="00764A01"/>
    <w:rsid w:val="00764A61"/>
    <w:rsid w:val="00764AF2"/>
    <w:rsid w:val="00764B9F"/>
    <w:rsid w:val="00764D19"/>
    <w:rsid w:val="00764D56"/>
    <w:rsid w:val="00764D65"/>
    <w:rsid w:val="00764E1F"/>
    <w:rsid w:val="00764E2D"/>
    <w:rsid w:val="00764ECF"/>
    <w:rsid w:val="00764EEE"/>
    <w:rsid w:val="00765028"/>
    <w:rsid w:val="00765058"/>
    <w:rsid w:val="00765074"/>
    <w:rsid w:val="00765151"/>
    <w:rsid w:val="007651DF"/>
    <w:rsid w:val="00765211"/>
    <w:rsid w:val="007652DF"/>
    <w:rsid w:val="00765343"/>
    <w:rsid w:val="00765384"/>
    <w:rsid w:val="007653CF"/>
    <w:rsid w:val="007654A7"/>
    <w:rsid w:val="007654D5"/>
    <w:rsid w:val="00765529"/>
    <w:rsid w:val="00765696"/>
    <w:rsid w:val="0076573D"/>
    <w:rsid w:val="0076580F"/>
    <w:rsid w:val="00765868"/>
    <w:rsid w:val="00765877"/>
    <w:rsid w:val="00765907"/>
    <w:rsid w:val="0076597B"/>
    <w:rsid w:val="007659A4"/>
    <w:rsid w:val="007659E3"/>
    <w:rsid w:val="00765A0F"/>
    <w:rsid w:val="00765A35"/>
    <w:rsid w:val="00765A5A"/>
    <w:rsid w:val="00765A9D"/>
    <w:rsid w:val="00765AE1"/>
    <w:rsid w:val="00765B1F"/>
    <w:rsid w:val="00765C1E"/>
    <w:rsid w:val="00765C4A"/>
    <w:rsid w:val="00765C96"/>
    <w:rsid w:val="00765CED"/>
    <w:rsid w:val="00765CF5"/>
    <w:rsid w:val="00765D59"/>
    <w:rsid w:val="00765DEE"/>
    <w:rsid w:val="00765E28"/>
    <w:rsid w:val="00765E68"/>
    <w:rsid w:val="00765E7D"/>
    <w:rsid w:val="00765ED1"/>
    <w:rsid w:val="00765EF4"/>
    <w:rsid w:val="00765F95"/>
    <w:rsid w:val="00766071"/>
    <w:rsid w:val="00766108"/>
    <w:rsid w:val="0076610F"/>
    <w:rsid w:val="0076615D"/>
    <w:rsid w:val="007662B0"/>
    <w:rsid w:val="0076630C"/>
    <w:rsid w:val="00766417"/>
    <w:rsid w:val="0076641F"/>
    <w:rsid w:val="0076644F"/>
    <w:rsid w:val="007664AE"/>
    <w:rsid w:val="007664D1"/>
    <w:rsid w:val="00766542"/>
    <w:rsid w:val="00766544"/>
    <w:rsid w:val="00766564"/>
    <w:rsid w:val="00766575"/>
    <w:rsid w:val="0076662B"/>
    <w:rsid w:val="0076666B"/>
    <w:rsid w:val="00766673"/>
    <w:rsid w:val="007666C2"/>
    <w:rsid w:val="007667CE"/>
    <w:rsid w:val="0076680E"/>
    <w:rsid w:val="00766863"/>
    <w:rsid w:val="0076687F"/>
    <w:rsid w:val="00766918"/>
    <w:rsid w:val="00766976"/>
    <w:rsid w:val="0076697F"/>
    <w:rsid w:val="0076699A"/>
    <w:rsid w:val="00766A83"/>
    <w:rsid w:val="00766AEE"/>
    <w:rsid w:val="00766B29"/>
    <w:rsid w:val="00766B2B"/>
    <w:rsid w:val="00766B41"/>
    <w:rsid w:val="00766BAD"/>
    <w:rsid w:val="00766BE2"/>
    <w:rsid w:val="00766C77"/>
    <w:rsid w:val="00766CD2"/>
    <w:rsid w:val="00766D4C"/>
    <w:rsid w:val="00766DA1"/>
    <w:rsid w:val="00766ED1"/>
    <w:rsid w:val="00766FB2"/>
    <w:rsid w:val="00767012"/>
    <w:rsid w:val="0076704D"/>
    <w:rsid w:val="007670F7"/>
    <w:rsid w:val="0076713F"/>
    <w:rsid w:val="00767146"/>
    <w:rsid w:val="007671BD"/>
    <w:rsid w:val="007671FF"/>
    <w:rsid w:val="007672A9"/>
    <w:rsid w:val="007672CB"/>
    <w:rsid w:val="007672EE"/>
    <w:rsid w:val="007673B5"/>
    <w:rsid w:val="007673B9"/>
    <w:rsid w:val="007673C9"/>
    <w:rsid w:val="00767416"/>
    <w:rsid w:val="00767499"/>
    <w:rsid w:val="007674EA"/>
    <w:rsid w:val="00767520"/>
    <w:rsid w:val="007675F2"/>
    <w:rsid w:val="007675FD"/>
    <w:rsid w:val="0076763F"/>
    <w:rsid w:val="007676C9"/>
    <w:rsid w:val="007676DC"/>
    <w:rsid w:val="0076773F"/>
    <w:rsid w:val="00767806"/>
    <w:rsid w:val="00767814"/>
    <w:rsid w:val="00767841"/>
    <w:rsid w:val="007678AE"/>
    <w:rsid w:val="007678C2"/>
    <w:rsid w:val="007678F6"/>
    <w:rsid w:val="00767907"/>
    <w:rsid w:val="007679A9"/>
    <w:rsid w:val="00767A73"/>
    <w:rsid w:val="00767ACE"/>
    <w:rsid w:val="00767B76"/>
    <w:rsid w:val="00767C72"/>
    <w:rsid w:val="00767C7E"/>
    <w:rsid w:val="00767C85"/>
    <w:rsid w:val="00767CB2"/>
    <w:rsid w:val="00767EDC"/>
    <w:rsid w:val="00767F39"/>
    <w:rsid w:val="00767F58"/>
    <w:rsid w:val="00767F8D"/>
    <w:rsid w:val="00767FB6"/>
    <w:rsid w:val="0077001C"/>
    <w:rsid w:val="00770027"/>
    <w:rsid w:val="00770060"/>
    <w:rsid w:val="00770167"/>
    <w:rsid w:val="00770273"/>
    <w:rsid w:val="00770319"/>
    <w:rsid w:val="00770351"/>
    <w:rsid w:val="00770383"/>
    <w:rsid w:val="00770440"/>
    <w:rsid w:val="00770542"/>
    <w:rsid w:val="007705AC"/>
    <w:rsid w:val="007705C5"/>
    <w:rsid w:val="007705C8"/>
    <w:rsid w:val="007706A1"/>
    <w:rsid w:val="00770771"/>
    <w:rsid w:val="007707A0"/>
    <w:rsid w:val="007707B2"/>
    <w:rsid w:val="007707DE"/>
    <w:rsid w:val="00770826"/>
    <w:rsid w:val="007709CD"/>
    <w:rsid w:val="00770A17"/>
    <w:rsid w:val="00770A86"/>
    <w:rsid w:val="00770B7B"/>
    <w:rsid w:val="00770BFD"/>
    <w:rsid w:val="00770C8A"/>
    <w:rsid w:val="00770CC5"/>
    <w:rsid w:val="00770D4F"/>
    <w:rsid w:val="00770D5C"/>
    <w:rsid w:val="00770D90"/>
    <w:rsid w:val="00770DFB"/>
    <w:rsid w:val="00770E41"/>
    <w:rsid w:val="00770E75"/>
    <w:rsid w:val="00770EA6"/>
    <w:rsid w:val="00770ED3"/>
    <w:rsid w:val="00770EF4"/>
    <w:rsid w:val="00770F0F"/>
    <w:rsid w:val="00770FF7"/>
    <w:rsid w:val="007710AD"/>
    <w:rsid w:val="00771120"/>
    <w:rsid w:val="0077112D"/>
    <w:rsid w:val="00771142"/>
    <w:rsid w:val="00771189"/>
    <w:rsid w:val="0077127D"/>
    <w:rsid w:val="00771299"/>
    <w:rsid w:val="00771334"/>
    <w:rsid w:val="0077137A"/>
    <w:rsid w:val="007713AD"/>
    <w:rsid w:val="007713FB"/>
    <w:rsid w:val="0077140D"/>
    <w:rsid w:val="00771462"/>
    <w:rsid w:val="0077146B"/>
    <w:rsid w:val="00771577"/>
    <w:rsid w:val="00771583"/>
    <w:rsid w:val="007715ED"/>
    <w:rsid w:val="0077160A"/>
    <w:rsid w:val="00771668"/>
    <w:rsid w:val="00771696"/>
    <w:rsid w:val="007716B3"/>
    <w:rsid w:val="007716F0"/>
    <w:rsid w:val="00771705"/>
    <w:rsid w:val="00771727"/>
    <w:rsid w:val="00771816"/>
    <w:rsid w:val="0077185A"/>
    <w:rsid w:val="007718EA"/>
    <w:rsid w:val="0077198B"/>
    <w:rsid w:val="007719E1"/>
    <w:rsid w:val="00771A0B"/>
    <w:rsid w:val="00771A94"/>
    <w:rsid w:val="00771AAD"/>
    <w:rsid w:val="00771ACA"/>
    <w:rsid w:val="00771AF3"/>
    <w:rsid w:val="00771B0B"/>
    <w:rsid w:val="00771B75"/>
    <w:rsid w:val="00771BCB"/>
    <w:rsid w:val="00771BE2"/>
    <w:rsid w:val="00771C4D"/>
    <w:rsid w:val="00771D01"/>
    <w:rsid w:val="00771EF0"/>
    <w:rsid w:val="00771EF1"/>
    <w:rsid w:val="00771F43"/>
    <w:rsid w:val="00771F4F"/>
    <w:rsid w:val="00771FA6"/>
    <w:rsid w:val="0077203F"/>
    <w:rsid w:val="0077212A"/>
    <w:rsid w:val="00772158"/>
    <w:rsid w:val="00772168"/>
    <w:rsid w:val="00772175"/>
    <w:rsid w:val="00772210"/>
    <w:rsid w:val="0077222F"/>
    <w:rsid w:val="00772273"/>
    <w:rsid w:val="007722AD"/>
    <w:rsid w:val="007722B1"/>
    <w:rsid w:val="007722EC"/>
    <w:rsid w:val="007723A7"/>
    <w:rsid w:val="007723B3"/>
    <w:rsid w:val="007723F7"/>
    <w:rsid w:val="0077248E"/>
    <w:rsid w:val="007724C6"/>
    <w:rsid w:val="0077252A"/>
    <w:rsid w:val="007725F7"/>
    <w:rsid w:val="00772644"/>
    <w:rsid w:val="007726A5"/>
    <w:rsid w:val="007726BA"/>
    <w:rsid w:val="007727F8"/>
    <w:rsid w:val="00772832"/>
    <w:rsid w:val="00772847"/>
    <w:rsid w:val="007728D7"/>
    <w:rsid w:val="007728EF"/>
    <w:rsid w:val="00772958"/>
    <w:rsid w:val="007729FC"/>
    <w:rsid w:val="00772A6A"/>
    <w:rsid w:val="00772A6C"/>
    <w:rsid w:val="00772A95"/>
    <w:rsid w:val="00772B0E"/>
    <w:rsid w:val="00772B5B"/>
    <w:rsid w:val="00772BC4"/>
    <w:rsid w:val="00772C8A"/>
    <w:rsid w:val="00772CD9"/>
    <w:rsid w:val="00772D1E"/>
    <w:rsid w:val="00772D1F"/>
    <w:rsid w:val="00772DC8"/>
    <w:rsid w:val="00772DE2"/>
    <w:rsid w:val="00772E56"/>
    <w:rsid w:val="00772E6F"/>
    <w:rsid w:val="00772EB1"/>
    <w:rsid w:val="00772EBB"/>
    <w:rsid w:val="00772F08"/>
    <w:rsid w:val="00772F24"/>
    <w:rsid w:val="00772FD7"/>
    <w:rsid w:val="00773020"/>
    <w:rsid w:val="00773068"/>
    <w:rsid w:val="00773086"/>
    <w:rsid w:val="0077309B"/>
    <w:rsid w:val="0077315A"/>
    <w:rsid w:val="0077316D"/>
    <w:rsid w:val="007731C4"/>
    <w:rsid w:val="0077320C"/>
    <w:rsid w:val="00773217"/>
    <w:rsid w:val="00773227"/>
    <w:rsid w:val="0077322A"/>
    <w:rsid w:val="007732CB"/>
    <w:rsid w:val="007732EB"/>
    <w:rsid w:val="007732F3"/>
    <w:rsid w:val="007732F8"/>
    <w:rsid w:val="00773315"/>
    <w:rsid w:val="0077332D"/>
    <w:rsid w:val="00773340"/>
    <w:rsid w:val="00773350"/>
    <w:rsid w:val="0077348C"/>
    <w:rsid w:val="007734B7"/>
    <w:rsid w:val="007734C5"/>
    <w:rsid w:val="007734C9"/>
    <w:rsid w:val="007734EB"/>
    <w:rsid w:val="00773503"/>
    <w:rsid w:val="00773511"/>
    <w:rsid w:val="00773536"/>
    <w:rsid w:val="007735E8"/>
    <w:rsid w:val="00773645"/>
    <w:rsid w:val="00773755"/>
    <w:rsid w:val="007737BF"/>
    <w:rsid w:val="007737CA"/>
    <w:rsid w:val="00773820"/>
    <w:rsid w:val="00773837"/>
    <w:rsid w:val="0077399C"/>
    <w:rsid w:val="00773A9B"/>
    <w:rsid w:val="00773B00"/>
    <w:rsid w:val="00773BB4"/>
    <w:rsid w:val="00773BF2"/>
    <w:rsid w:val="00773C2F"/>
    <w:rsid w:val="00773CA9"/>
    <w:rsid w:val="00773DCE"/>
    <w:rsid w:val="00773EFE"/>
    <w:rsid w:val="00773F1E"/>
    <w:rsid w:val="00774016"/>
    <w:rsid w:val="00774057"/>
    <w:rsid w:val="007740B4"/>
    <w:rsid w:val="007740ED"/>
    <w:rsid w:val="007740FB"/>
    <w:rsid w:val="0077411B"/>
    <w:rsid w:val="007741BA"/>
    <w:rsid w:val="00774229"/>
    <w:rsid w:val="00774250"/>
    <w:rsid w:val="00774277"/>
    <w:rsid w:val="00774323"/>
    <w:rsid w:val="007743B3"/>
    <w:rsid w:val="007743CD"/>
    <w:rsid w:val="007743EF"/>
    <w:rsid w:val="00774431"/>
    <w:rsid w:val="0077444D"/>
    <w:rsid w:val="0077445B"/>
    <w:rsid w:val="0077455A"/>
    <w:rsid w:val="007745CB"/>
    <w:rsid w:val="007747A5"/>
    <w:rsid w:val="00774800"/>
    <w:rsid w:val="007748D6"/>
    <w:rsid w:val="007748D9"/>
    <w:rsid w:val="007748E9"/>
    <w:rsid w:val="00774961"/>
    <w:rsid w:val="00774A06"/>
    <w:rsid w:val="00774A65"/>
    <w:rsid w:val="00774B32"/>
    <w:rsid w:val="00774B6D"/>
    <w:rsid w:val="00774B99"/>
    <w:rsid w:val="00774C41"/>
    <w:rsid w:val="00774C83"/>
    <w:rsid w:val="00774C8E"/>
    <w:rsid w:val="00774CA5"/>
    <w:rsid w:val="00774CE3"/>
    <w:rsid w:val="00774E12"/>
    <w:rsid w:val="00774EF0"/>
    <w:rsid w:val="00774EF2"/>
    <w:rsid w:val="00774F6C"/>
    <w:rsid w:val="0077508A"/>
    <w:rsid w:val="007751D1"/>
    <w:rsid w:val="007751D3"/>
    <w:rsid w:val="0077520B"/>
    <w:rsid w:val="007752A5"/>
    <w:rsid w:val="0077536E"/>
    <w:rsid w:val="0077537E"/>
    <w:rsid w:val="00775385"/>
    <w:rsid w:val="007753C4"/>
    <w:rsid w:val="0077542E"/>
    <w:rsid w:val="00775431"/>
    <w:rsid w:val="007754A8"/>
    <w:rsid w:val="007754C7"/>
    <w:rsid w:val="007754F8"/>
    <w:rsid w:val="0077556F"/>
    <w:rsid w:val="007755AE"/>
    <w:rsid w:val="0077566D"/>
    <w:rsid w:val="0077566F"/>
    <w:rsid w:val="00775673"/>
    <w:rsid w:val="00775675"/>
    <w:rsid w:val="00775695"/>
    <w:rsid w:val="007756FE"/>
    <w:rsid w:val="0077571E"/>
    <w:rsid w:val="00775771"/>
    <w:rsid w:val="00775849"/>
    <w:rsid w:val="007758D3"/>
    <w:rsid w:val="007758E1"/>
    <w:rsid w:val="007758E5"/>
    <w:rsid w:val="00775904"/>
    <w:rsid w:val="00775BC2"/>
    <w:rsid w:val="00775C2F"/>
    <w:rsid w:val="00775C34"/>
    <w:rsid w:val="00775C5F"/>
    <w:rsid w:val="00775C61"/>
    <w:rsid w:val="00775C69"/>
    <w:rsid w:val="00775C9F"/>
    <w:rsid w:val="00775CA2"/>
    <w:rsid w:val="00775CFD"/>
    <w:rsid w:val="00775D0F"/>
    <w:rsid w:val="00775D79"/>
    <w:rsid w:val="00775F9B"/>
    <w:rsid w:val="00776005"/>
    <w:rsid w:val="007760A4"/>
    <w:rsid w:val="007760E9"/>
    <w:rsid w:val="00776254"/>
    <w:rsid w:val="0077627B"/>
    <w:rsid w:val="00776287"/>
    <w:rsid w:val="007762DB"/>
    <w:rsid w:val="00776306"/>
    <w:rsid w:val="007764F3"/>
    <w:rsid w:val="00776529"/>
    <w:rsid w:val="0077659A"/>
    <w:rsid w:val="00776663"/>
    <w:rsid w:val="00776685"/>
    <w:rsid w:val="007766A0"/>
    <w:rsid w:val="00776715"/>
    <w:rsid w:val="00776742"/>
    <w:rsid w:val="007767B3"/>
    <w:rsid w:val="007767BC"/>
    <w:rsid w:val="007767D0"/>
    <w:rsid w:val="00776841"/>
    <w:rsid w:val="00776892"/>
    <w:rsid w:val="007768AF"/>
    <w:rsid w:val="0077694F"/>
    <w:rsid w:val="0077697C"/>
    <w:rsid w:val="00776985"/>
    <w:rsid w:val="007769D7"/>
    <w:rsid w:val="00776AFC"/>
    <w:rsid w:val="00776B6F"/>
    <w:rsid w:val="00776BCF"/>
    <w:rsid w:val="00776E35"/>
    <w:rsid w:val="00776E6A"/>
    <w:rsid w:val="00776E74"/>
    <w:rsid w:val="00776EA1"/>
    <w:rsid w:val="00776EDE"/>
    <w:rsid w:val="00776F13"/>
    <w:rsid w:val="00776F4F"/>
    <w:rsid w:val="00777031"/>
    <w:rsid w:val="007770E8"/>
    <w:rsid w:val="00777117"/>
    <w:rsid w:val="007771DC"/>
    <w:rsid w:val="007771DE"/>
    <w:rsid w:val="00777203"/>
    <w:rsid w:val="0077721E"/>
    <w:rsid w:val="00777288"/>
    <w:rsid w:val="007772C0"/>
    <w:rsid w:val="007772E8"/>
    <w:rsid w:val="00777434"/>
    <w:rsid w:val="00777447"/>
    <w:rsid w:val="00777457"/>
    <w:rsid w:val="00777561"/>
    <w:rsid w:val="00777568"/>
    <w:rsid w:val="00777599"/>
    <w:rsid w:val="0077760A"/>
    <w:rsid w:val="00777654"/>
    <w:rsid w:val="0077767F"/>
    <w:rsid w:val="007776AF"/>
    <w:rsid w:val="00777709"/>
    <w:rsid w:val="00777714"/>
    <w:rsid w:val="00777762"/>
    <w:rsid w:val="007777F2"/>
    <w:rsid w:val="007778DD"/>
    <w:rsid w:val="007778EB"/>
    <w:rsid w:val="00777914"/>
    <w:rsid w:val="00777944"/>
    <w:rsid w:val="007779F7"/>
    <w:rsid w:val="00777A62"/>
    <w:rsid w:val="00777A73"/>
    <w:rsid w:val="00777AAB"/>
    <w:rsid w:val="00777B37"/>
    <w:rsid w:val="00777B60"/>
    <w:rsid w:val="00777B69"/>
    <w:rsid w:val="00777BFF"/>
    <w:rsid w:val="00777C88"/>
    <w:rsid w:val="00777CD6"/>
    <w:rsid w:val="00777D16"/>
    <w:rsid w:val="00777D36"/>
    <w:rsid w:val="00777D51"/>
    <w:rsid w:val="00777D8B"/>
    <w:rsid w:val="00777E01"/>
    <w:rsid w:val="00777E60"/>
    <w:rsid w:val="00777E83"/>
    <w:rsid w:val="00777F0A"/>
    <w:rsid w:val="00777F83"/>
    <w:rsid w:val="00777FBF"/>
    <w:rsid w:val="00777FC7"/>
    <w:rsid w:val="00777FC9"/>
    <w:rsid w:val="00780012"/>
    <w:rsid w:val="007800EA"/>
    <w:rsid w:val="007800F5"/>
    <w:rsid w:val="0078011B"/>
    <w:rsid w:val="007801B3"/>
    <w:rsid w:val="007802D9"/>
    <w:rsid w:val="007802DA"/>
    <w:rsid w:val="00780369"/>
    <w:rsid w:val="007803DF"/>
    <w:rsid w:val="00780460"/>
    <w:rsid w:val="00780472"/>
    <w:rsid w:val="00780478"/>
    <w:rsid w:val="00780644"/>
    <w:rsid w:val="00780696"/>
    <w:rsid w:val="007806AB"/>
    <w:rsid w:val="00780802"/>
    <w:rsid w:val="00780849"/>
    <w:rsid w:val="00780904"/>
    <w:rsid w:val="00780927"/>
    <w:rsid w:val="0078098E"/>
    <w:rsid w:val="007809EB"/>
    <w:rsid w:val="00780A23"/>
    <w:rsid w:val="00780A6A"/>
    <w:rsid w:val="00780BA7"/>
    <w:rsid w:val="00780BE9"/>
    <w:rsid w:val="00780C3E"/>
    <w:rsid w:val="00780C52"/>
    <w:rsid w:val="00780C6C"/>
    <w:rsid w:val="00780C70"/>
    <w:rsid w:val="00780D15"/>
    <w:rsid w:val="00780D60"/>
    <w:rsid w:val="00780DB3"/>
    <w:rsid w:val="00780E1E"/>
    <w:rsid w:val="00780E77"/>
    <w:rsid w:val="00780E81"/>
    <w:rsid w:val="00780F1B"/>
    <w:rsid w:val="00780F68"/>
    <w:rsid w:val="00780FFC"/>
    <w:rsid w:val="00781009"/>
    <w:rsid w:val="00781109"/>
    <w:rsid w:val="00781163"/>
    <w:rsid w:val="00781200"/>
    <w:rsid w:val="00781227"/>
    <w:rsid w:val="0078124F"/>
    <w:rsid w:val="00781274"/>
    <w:rsid w:val="00781286"/>
    <w:rsid w:val="0078128C"/>
    <w:rsid w:val="0078128E"/>
    <w:rsid w:val="00781351"/>
    <w:rsid w:val="00781353"/>
    <w:rsid w:val="007813A8"/>
    <w:rsid w:val="007813FA"/>
    <w:rsid w:val="0078143F"/>
    <w:rsid w:val="00781547"/>
    <w:rsid w:val="0078154C"/>
    <w:rsid w:val="007815E4"/>
    <w:rsid w:val="00781657"/>
    <w:rsid w:val="00781686"/>
    <w:rsid w:val="00781703"/>
    <w:rsid w:val="00781714"/>
    <w:rsid w:val="007817A9"/>
    <w:rsid w:val="007817CE"/>
    <w:rsid w:val="0078186B"/>
    <w:rsid w:val="007819AF"/>
    <w:rsid w:val="00781A03"/>
    <w:rsid w:val="00781A10"/>
    <w:rsid w:val="00781B9B"/>
    <w:rsid w:val="00781BE7"/>
    <w:rsid w:val="00781C01"/>
    <w:rsid w:val="00781C33"/>
    <w:rsid w:val="00781DB1"/>
    <w:rsid w:val="00781E45"/>
    <w:rsid w:val="00781E79"/>
    <w:rsid w:val="00781EE7"/>
    <w:rsid w:val="00781FAD"/>
    <w:rsid w:val="00781FD7"/>
    <w:rsid w:val="00782040"/>
    <w:rsid w:val="00782061"/>
    <w:rsid w:val="00782065"/>
    <w:rsid w:val="0078213D"/>
    <w:rsid w:val="00782144"/>
    <w:rsid w:val="00782182"/>
    <w:rsid w:val="0078219A"/>
    <w:rsid w:val="0078222D"/>
    <w:rsid w:val="0078229D"/>
    <w:rsid w:val="007823AA"/>
    <w:rsid w:val="007823CD"/>
    <w:rsid w:val="007824C7"/>
    <w:rsid w:val="00782551"/>
    <w:rsid w:val="00782577"/>
    <w:rsid w:val="007825A5"/>
    <w:rsid w:val="00782604"/>
    <w:rsid w:val="0078265A"/>
    <w:rsid w:val="007826CC"/>
    <w:rsid w:val="00782706"/>
    <w:rsid w:val="00782725"/>
    <w:rsid w:val="007827A4"/>
    <w:rsid w:val="007827DF"/>
    <w:rsid w:val="00782801"/>
    <w:rsid w:val="007828A8"/>
    <w:rsid w:val="007828E0"/>
    <w:rsid w:val="0078292B"/>
    <w:rsid w:val="00782936"/>
    <w:rsid w:val="00782948"/>
    <w:rsid w:val="00782977"/>
    <w:rsid w:val="00782AB2"/>
    <w:rsid w:val="00782ACA"/>
    <w:rsid w:val="00782ACB"/>
    <w:rsid w:val="00782B43"/>
    <w:rsid w:val="00782C69"/>
    <w:rsid w:val="00782CD9"/>
    <w:rsid w:val="00782D22"/>
    <w:rsid w:val="00782D31"/>
    <w:rsid w:val="00782DA0"/>
    <w:rsid w:val="00782DFE"/>
    <w:rsid w:val="00782E00"/>
    <w:rsid w:val="00782E55"/>
    <w:rsid w:val="00782E6B"/>
    <w:rsid w:val="00782E88"/>
    <w:rsid w:val="00782F3F"/>
    <w:rsid w:val="00782FF3"/>
    <w:rsid w:val="00783011"/>
    <w:rsid w:val="00783147"/>
    <w:rsid w:val="00783167"/>
    <w:rsid w:val="007831DE"/>
    <w:rsid w:val="007832AF"/>
    <w:rsid w:val="00783317"/>
    <w:rsid w:val="0078338C"/>
    <w:rsid w:val="007833B8"/>
    <w:rsid w:val="00783418"/>
    <w:rsid w:val="00783457"/>
    <w:rsid w:val="00783528"/>
    <w:rsid w:val="00783578"/>
    <w:rsid w:val="007835F4"/>
    <w:rsid w:val="0078362C"/>
    <w:rsid w:val="0078362D"/>
    <w:rsid w:val="00783701"/>
    <w:rsid w:val="0078376C"/>
    <w:rsid w:val="007837B1"/>
    <w:rsid w:val="007838DA"/>
    <w:rsid w:val="00783AD5"/>
    <w:rsid w:val="00783B33"/>
    <w:rsid w:val="00783B40"/>
    <w:rsid w:val="00783B65"/>
    <w:rsid w:val="00783B71"/>
    <w:rsid w:val="00783C27"/>
    <w:rsid w:val="00783C7E"/>
    <w:rsid w:val="00783D35"/>
    <w:rsid w:val="00783DD7"/>
    <w:rsid w:val="00783E96"/>
    <w:rsid w:val="00783F50"/>
    <w:rsid w:val="00783FCC"/>
    <w:rsid w:val="00784025"/>
    <w:rsid w:val="0078402C"/>
    <w:rsid w:val="0078402F"/>
    <w:rsid w:val="00784050"/>
    <w:rsid w:val="007841E4"/>
    <w:rsid w:val="00784228"/>
    <w:rsid w:val="007842B3"/>
    <w:rsid w:val="00784307"/>
    <w:rsid w:val="00784395"/>
    <w:rsid w:val="0078440C"/>
    <w:rsid w:val="00784497"/>
    <w:rsid w:val="00784530"/>
    <w:rsid w:val="0078470F"/>
    <w:rsid w:val="00784921"/>
    <w:rsid w:val="00784926"/>
    <w:rsid w:val="007849AC"/>
    <w:rsid w:val="00784A38"/>
    <w:rsid w:val="00784A79"/>
    <w:rsid w:val="00784A8D"/>
    <w:rsid w:val="00784ACD"/>
    <w:rsid w:val="00784AF2"/>
    <w:rsid w:val="00784B29"/>
    <w:rsid w:val="00784C28"/>
    <w:rsid w:val="00784C41"/>
    <w:rsid w:val="00784C9E"/>
    <w:rsid w:val="00784D17"/>
    <w:rsid w:val="00784DC2"/>
    <w:rsid w:val="00784DD8"/>
    <w:rsid w:val="00784DDA"/>
    <w:rsid w:val="00784DDF"/>
    <w:rsid w:val="00784DEB"/>
    <w:rsid w:val="00784E79"/>
    <w:rsid w:val="00784FB7"/>
    <w:rsid w:val="00784FBA"/>
    <w:rsid w:val="00784FF7"/>
    <w:rsid w:val="00785067"/>
    <w:rsid w:val="007850E5"/>
    <w:rsid w:val="0078510B"/>
    <w:rsid w:val="00785120"/>
    <w:rsid w:val="00785161"/>
    <w:rsid w:val="007851AE"/>
    <w:rsid w:val="007851D4"/>
    <w:rsid w:val="007852AE"/>
    <w:rsid w:val="007852E1"/>
    <w:rsid w:val="0078535F"/>
    <w:rsid w:val="00785458"/>
    <w:rsid w:val="0078547A"/>
    <w:rsid w:val="007854C6"/>
    <w:rsid w:val="0078551B"/>
    <w:rsid w:val="0078554B"/>
    <w:rsid w:val="0078554D"/>
    <w:rsid w:val="007855A3"/>
    <w:rsid w:val="007855B6"/>
    <w:rsid w:val="007855C0"/>
    <w:rsid w:val="007855E6"/>
    <w:rsid w:val="00785647"/>
    <w:rsid w:val="00785717"/>
    <w:rsid w:val="0078573D"/>
    <w:rsid w:val="00785870"/>
    <w:rsid w:val="00785884"/>
    <w:rsid w:val="0078588B"/>
    <w:rsid w:val="007858F0"/>
    <w:rsid w:val="00785911"/>
    <w:rsid w:val="0078596C"/>
    <w:rsid w:val="00785995"/>
    <w:rsid w:val="00785A34"/>
    <w:rsid w:val="00785A5F"/>
    <w:rsid w:val="00785AC1"/>
    <w:rsid w:val="00785B11"/>
    <w:rsid w:val="00785C32"/>
    <w:rsid w:val="00785C74"/>
    <w:rsid w:val="00785D8A"/>
    <w:rsid w:val="00785E4C"/>
    <w:rsid w:val="00785EBE"/>
    <w:rsid w:val="00785EC6"/>
    <w:rsid w:val="00785F2D"/>
    <w:rsid w:val="00785F38"/>
    <w:rsid w:val="00785F68"/>
    <w:rsid w:val="0078601C"/>
    <w:rsid w:val="0078610F"/>
    <w:rsid w:val="007862E1"/>
    <w:rsid w:val="00786326"/>
    <w:rsid w:val="0078637D"/>
    <w:rsid w:val="00786392"/>
    <w:rsid w:val="00786471"/>
    <w:rsid w:val="00786532"/>
    <w:rsid w:val="00786567"/>
    <w:rsid w:val="007865A7"/>
    <w:rsid w:val="0078665D"/>
    <w:rsid w:val="00786678"/>
    <w:rsid w:val="00786702"/>
    <w:rsid w:val="00786746"/>
    <w:rsid w:val="007867EF"/>
    <w:rsid w:val="00786864"/>
    <w:rsid w:val="00786893"/>
    <w:rsid w:val="007868C5"/>
    <w:rsid w:val="00786926"/>
    <w:rsid w:val="00786970"/>
    <w:rsid w:val="00786981"/>
    <w:rsid w:val="007869A3"/>
    <w:rsid w:val="007869B5"/>
    <w:rsid w:val="007869CD"/>
    <w:rsid w:val="00786AA1"/>
    <w:rsid w:val="00786AB8"/>
    <w:rsid w:val="00786AF1"/>
    <w:rsid w:val="00786B2F"/>
    <w:rsid w:val="00786B4F"/>
    <w:rsid w:val="00786B99"/>
    <w:rsid w:val="00786BEE"/>
    <w:rsid w:val="00786C6D"/>
    <w:rsid w:val="00786C8C"/>
    <w:rsid w:val="00786CF3"/>
    <w:rsid w:val="00786D24"/>
    <w:rsid w:val="00786DFA"/>
    <w:rsid w:val="00786E13"/>
    <w:rsid w:val="00786F54"/>
    <w:rsid w:val="00786F78"/>
    <w:rsid w:val="00786FA3"/>
    <w:rsid w:val="00786FB8"/>
    <w:rsid w:val="007870C0"/>
    <w:rsid w:val="0078711F"/>
    <w:rsid w:val="00787121"/>
    <w:rsid w:val="00787187"/>
    <w:rsid w:val="00787191"/>
    <w:rsid w:val="00787221"/>
    <w:rsid w:val="00787259"/>
    <w:rsid w:val="00787263"/>
    <w:rsid w:val="007872B2"/>
    <w:rsid w:val="00787347"/>
    <w:rsid w:val="007873AF"/>
    <w:rsid w:val="00787431"/>
    <w:rsid w:val="00787449"/>
    <w:rsid w:val="00787460"/>
    <w:rsid w:val="00787466"/>
    <w:rsid w:val="0078746D"/>
    <w:rsid w:val="0078749C"/>
    <w:rsid w:val="00787538"/>
    <w:rsid w:val="00787577"/>
    <w:rsid w:val="0078759C"/>
    <w:rsid w:val="007875B3"/>
    <w:rsid w:val="007875EF"/>
    <w:rsid w:val="0078760D"/>
    <w:rsid w:val="00787618"/>
    <w:rsid w:val="00787638"/>
    <w:rsid w:val="0078765F"/>
    <w:rsid w:val="00787732"/>
    <w:rsid w:val="00787773"/>
    <w:rsid w:val="007877C8"/>
    <w:rsid w:val="00787827"/>
    <w:rsid w:val="007878AF"/>
    <w:rsid w:val="007878BA"/>
    <w:rsid w:val="007878EF"/>
    <w:rsid w:val="00787968"/>
    <w:rsid w:val="00787A32"/>
    <w:rsid w:val="00787A85"/>
    <w:rsid w:val="00787B09"/>
    <w:rsid w:val="00787B19"/>
    <w:rsid w:val="00787B2D"/>
    <w:rsid w:val="00787BA1"/>
    <w:rsid w:val="00787C51"/>
    <w:rsid w:val="00787C69"/>
    <w:rsid w:val="00787D2C"/>
    <w:rsid w:val="00787D5A"/>
    <w:rsid w:val="00787D89"/>
    <w:rsid w:val="00787DF1"/>
    <w:rsid w:val="00787E4D"/>
    <w:rsid w:val="00787F40"/>
    <w:rsid w:val="00787F78"/>
    <w:rsid w:val="00787FF0"/>
    <w:rsid w:val="00790013"/>
    <w:rsid w:val="00790076"/>
    <w:rsid w:val="007900B3"/>
    <w:rsid w:val="007900EE"/>
    <w:rsid w:val="00790126"/>
    <w:rsid w:val="0079015C"/>
    <w:rsid w:val="00790170"/>
    <w:rsid w:val="00790173"/>
    <w:rsid w:val="00790177"/>
    <w:rsid w:val="00790218"/>
    <w:rsid w:val="00790227"/>
    <w:rsid w:val="00790274"/>
    <w:rsid w:val="00790277"/>
    <w:rsid w:val="00790297"/>
    <w:rsid w:val="007902BF"/>
    <w:rsid w:val="007902FF"/>
    <w:rsid w:val="00790316"/>
    <w:rsid w:val="00790391"/>
    <w:rsid w:val="00790398"/>
    <w:rsid w:val="00790487"/>
    <w:rsid w:val="0079048C"/>
    <w:rsid w:val="007904C0"/>
    <w:rsid w:val="007904FA"/>
    <w:rsid w:val="0079054F"/>
    <w:rsid w:val="0079059E"/>
    <w:rsid w:val="007905B0"/>
    <w:rsid w:val="00790629"/>
    <w:rsid w:val="007906CD"/>
    <w:rsid w:val="0079074C"/>
    <w:rsid w:val="00790848"/>
    <w:rsid w:val="00790967"/>
    <w:rsid w:val="007909EE"/>
    <w:rsid w:val="00790A31"/>
    <w:rsid w:val="00790A47"/>
    <w:rsid w:val="00790A50"/>
    <w:rsid w:val="00790AA3"/>
    <w:rsid w:val="00790AC0"/>
    <w:rsid w:val="00790B21"/>
    <w:rsid w:val="00790BA1"/>
    <w:rsid w:val="00790BA8"/>
    <w:rsid w:val="00790BB7"/>
    <w:rsid w:val="00790BC7"/>
    <w:rsid w:val="00790C13"/>
    <w:rsid w:val="00790C5A"/>
    <w:rsid w:val="00790CF9"/>
    <w:rsid w:val="00790DCA"/>
    <w:rsid w:val="00790F4B"/>
    <w:rsid w:val="00790FCC"/>
    <w:rsid w:val="00791021"/>
    <w:rsid w:val="0079105F"/>
    <w:rsid w:val="00791096"/>
    <w:rsid w:val="007910C8"/>
    <w:rsid w:val="0079118B"/>
    <w:rsid w:val="007911C4"/>
    <w:rsid w:val="00791238"/>
    <w:rsid w:val="0079124C"/>
    <w:rsid w:val="007912DB"/>
    <w:rsid w:val="007912ED"/>
    <w:rsid w:val="00791330"/>
    <w:rsid w:val="0079136D"/>
    <w:rsid w:val="007913A8"/>
    <w:rsid w:val="007913CC"/>
    <w:rsid w:val="00791429"/>
    <w:rsid w:val="00791468"/>
    <w:rsid w:val="0079151A"/>
    <w:rsid w:val="0079158A"/>
    <w:rsid w:val="007915F1"/>
    <w:rsid w:val="00791620"/>
    <w:rsid w:val="00791757"/>
    <w:rsid w:val="00791767"/>
    <w:rsid w:val="007917A3"/>
    <w:rsid w:val="0079188A"/>
    <w:rsid w:val="007918AC"/>
    <w:rsid w:val="0079199A"/>
    <w:rsid w:val="007919B8"/>
    <w:rsid w:val="00791A07"/>
    <w:rsid w:val="00791A35"/>
    <w:rsid w:val="00791B34"/>
    <w:rsid w:val="00791B82"/>
    <w:rsid w:val="00791BAB"/>
    <w:rsid w:val="00791C14"/>
    <w:rsid w:val="00791C2A"/>
    <w:rsid w:val="00791C93"/>
    <w:rsid w:val="00791CF4"/>
    <w:rsid w:val="00791D23"/>
    <w:rsid w:val="00791D51"/>
    <w:rsid w:val="00791DDD"/>
    <w:rsid w:val="00791DE6"/>
    <w:rsid w:val="00791E0F"/>
    <w:rsid w:val="00791E2B"/>
    <w:rsid w:val="00791E4F"/>
    <w:rsid w:val="00791E57"/>
    <w:rsid w:val="00791E99"/>
    <w:rsid w:val="00791EB7"/>
    <w:rsid w:val="00791ED0"/>
    <w:rsid w:val="00791F00"/>
    <w:rsid w:val="00791F44"/>
    <w:rsid w:val="00791F7E"/>
    <w:rsid w:val="00792001"/>
    <w:rsid w:val="0079200C"/>
    <w:rsid w:val="00792021"/>
    <w:rsid w:val="00792133"/>
    <w:rsid w:val="007921EA"/>
    <w:rsid w:val="007921ED"/>
    <w:rsid w:val="00792347"/>
    <w:rsid w:val="00792369"/>
    <w:rsid w:val="007923AA"/>
    <w:rsid w:val="007923C6"/>
    <w:rsid w:val="00792408"/>
    <w:rsid w:val="00792467"/>
    <w:rsid w:val="0079259A"/>
    <w:rsid w:val="007925BA"/>
    <w:rsid w:val="007926CE"/>
    <w:rsid w:val="00792745"/>
    <w:rsid w:val="00792749"/>
    <w:rsid w:val="007927A8"/>
    <w:rsid w:val="007927D9"/>
    <w:rsid w:val="007928EF"/>
    <w:rsid w:val="00792930"/>
    <w:rsid w:val="00792942"/>
    <w:rsid w:val="00792980"/>
    <w:rsid w:val="007929A4"/>
    <w:rsid w:val="007929C7"/>
    <w:rsid w:val="00792A39"/>
    <w:rsid w:val="00792A4D"/>
    <w:rsid w:val="00792A6C"/>
    <w:rsid w:val="00792AAA"/>
    <w:rsid w:val="00792B10"/>
    <w:rsid w:val="00792B29"/>
    <w:rsid w:val="00792B36"/>
    <w:rsid w:val="00792B3B"/>
    <w:rsid w:val="00792C45"/>
    <w:rsid w:val="00792C93"/>
    <w:rsid w:val="00792D38"/>
    <w:rsid w:val="00792D42"/>
    <w:rsid w:val="00792D9F"/>
    <w:rsid w:val="00792E47"/>
    <w:rsid w:val="00792EFF"/>
    <w:rsid w:val="00792FC2"/>
    <w:rsid w:val="00792FC9"/>
    <w:rsid w:val="00792FD5"/>
    <w:rsid w:val="00793092"/>
    <w:rsid w:val="007930C4"/>
    <w:rsid w:val="007930C7"/>
    <w:rsid w:val="00793135"/>
    <w:rsid w:val="0079317D"/>
    <w:rsid w:val="007931EA"/>
    <w:rsid w:val="0079320A"/>
    <w:rsid w:val="0079321A"/>
    <w:rsid w:val="007932E4"/>
    <w:rsid w:val="0079331B"/>
    <w:rsid w:val="00793379"/>
    <w:rsid w:val="00793391"/>
    <w:rsid w:val="007933E5"/>
    <w:rsid w:val="0079342C"/>
    <w:rsid w:val="00793450"/>
    <w:rsid w:val="00793473"/>
    <w:rsid w:val="007934A0"/>
    <w:rsid w:val="007934D8"/>
    <w:rsid w:val="007934E5"/>
    <w:rsid w:val="00793524"/>
    <w:rsid w:val="0079355A"/>
    <w:rsid w:val="00793564"/>
    <w:rsid w:val="00793594"/>
    <w:rsid w:val="0079359D"/>
    <w:rsid w:val="007935A5"/>
    <w:rsid w:val="007935B2"/>
    <w:rsid w:val="007935BD"/>
    <w:rsid w:val="0079374B"/>
    <w:rsid w:val="00793753"/>
    <w:rsid w:val="00793764"/>
    <w:rsid w:val="0079378D"/>
    <w:rsid w:val="007937F8"/>
    <w:rsid w:val="00793853"/>
    <w:rsid w:val="00793943"/>
    <w:rsid w:val="0079397F"/>
    <w:rsid w:val="007939D8"/>
    <w:rsid w:val="007939E3"/>
    <w:rsid w:val="00793A64"/>
    <w:rsid w:val="00793A6C"/>
    <w:rsid w:val="00793ADF"/>
    <w:rsid w:val="00793B61"/>
    <w:rsid w:val="00793BDA"/>
    <w:rsid w:val="00793C11"/>
    <w:rsid w:val="00793C97"/>
    <w:rsid w:val="00793CB3"/>
    <w:rsid w:val="00793CC3"/>
    <w:rsid w:val="00793CEA"/>
    <w:rsid w:val="00793D0A"/>
    <w:rsid w:val="00793D1C"/>
    <w:rsid w:val="00793D3C"/>
    <w:rsid w:val="00793DE7"/>
    <w:rsid w:val="00793E20"/>
    <w:rsid w:val="00793E5F"/>
    <w:rsid w:val="00793E81"/>
    <w:rsid w:val="00793F28"/>
    <w:rsid w:val="00793F38"/>
    <w:rsid w:val="00793FB6"/>
    <w:rsid w:val="00794000"/>
    <w:rsid w:val="0079402B"/>
    <w:rsid w:val="0079405E"/>
    <w:rsid w:val="00794061"/>
    <w:rsid w:val="00794168"/>
    <w:rsid w:val="007941C5"/>
    <w:rsid w:val="007941DD"/>
    <w:rsid w:val="0079422D"/>
    <w:rsid w:val="007942A9"/>
    <w:rsid w:val="007942B1"/>
    <w:rsid w:val="007942B7"/>
    <w:rsid w:val="007943BA"/>
    <w:rsid w:val="0079444B"/>
    <w:rsid w:val="007944C7"/>
    <w:rsid w:val="00794516"/>
    <w:rsid w:val="0079453A"/>
    <w:rsid w:val="007945BE"/>
    <w:rsid w:val="007945E5"/>
    <w:rsid w:val="00794621"/>
    <w:rsid w:val="0079462A"/>
    <w:rsid w:val="00794673"/>
    <w:rsid w:val="007946A3"/>
    <w:rsid w:val="007947A6"/>
    <w:rsid w:val="007947C6"/>
    <w:rsid w:val="007947E4"/>
    <w:rsid w:val="007947F5"/>
    <w:rsid w:val="007947F7"/>
    <w:rsid w:val="00794820"/>
    <w:rsid w:val="00794893"/>
    <w:rsid w:val="007948A3"/>
    <w:rsid w:val="00794979"/>
    <w:rsid w:val="007949A0"/>
    <w:rsid w:val="007949D4"/>
    <w:rsid w:val="00794A0D"/>
    <w:rsid w:val="00794A3C"/>
    <w:rsid w:val="00794AD6"/>
    <w:rsid w:val="00794B26"/>
    <w:rsid w:val="00794B48"/>
    <w:rsid w:val="00794BE5"/>
    <w:rsid w:val="00794CBA"/>
    <w:rsid w:val="00794D39"/>
    <w:rsid w:val="00794D57"/>
    <w:rsid w:val="00794D8A"/>
    <w:rsid w:val="00794DC4"/>
    <w:rsid w:val="00794DFD"/>
    <w:rsid w:val="00794E08"/>
    <w:rsid w:val="00794E2A"/>
    <w:rsid w:val="00794E97"/>
    <w:rsid w:val="00794EE3"/>
    <w:rsid w:val="00794F09"/>
    <w:rsid w:val="0079508B"/>
    <w:rsid w:val="0079511B"/>
    <w:rsid w:val="00795137"/>
    <w:rsid w:val="007951BC"/>
    <w:rsid w:val="00795330"/>
    <w:rsid w:val="00795421"/>
    <w:rsid w:val="0079543D"/>
    <w:rsid w:val="0079545F"/>
    <w:rsid w:val="00795466"/>
    <w:rsid w:val="0079555B"/>
    <w:rsid w:val="00795587"/>
    <w:rsid w:val="00795596"/>
    <w:rsid w:val="0079568E"/>
    <w:rsid w:val="007956B7"/>
    <w:rsid w:val="0079572B"/>
    <w:rsid w:val="00795752"/>
    <w:rsid w:val="00795766"/>
    <w:rsid w:val="0079585B"/>
    <w:rsid w:val="0079588B"/>
    <w:rsid w:val="0079589E"/>
    <w:rsid w:val="007958C2"/>
    <w:rsid w:val="007958FE"/>
    <w:rsid w:val="00795940"/>
    <w:rsid w:val="007959C1"/>
    <w:rsid w:val="007959C4"/>
    <w:rsid w:val="00795A0F"/>
    <w:rsid w:val="00795A46"/>
    <w:rsid w:val="00795AA3"/>
    <w:rsid w:val="00795B1D"/>
    <w:rsid w:val="00795B73"/>
    <w:rsid w:val="00795B89"/>
    <w:rsid w:val="00795BA2"/>
    <w:rsid w:val="00795BFE"/>
    <w:rsid w:val="00795C01"/>
    <w:rsid w:val="00795C83"/>
    <w:rsid w:val="00795CE9"/>
    <w:rsid w:val="00795D58"/>
    <w:rsid w:val="00795D90"/>
    <w:rsid w:val="00795E49"/>
    <w:rsid w:val="00795E57"/>
    <w:rsid w:val="00795E67"/>
    <w:rsid w:val="00795E75"/>
    <w:rsid w:val="00795E9B"/>
    <w:rsid w:val="00795EDA"/>
    <w:rsid w:val="00795F27"/>
    <w:rsid w:val="00795F30"/>
    <w:rsid w:val="00795F52"/>
    <w:rsid w:val="00795F6E"/>
    <w:rsid w:val="0079605C"/>
    <w:rsid w:val="007960BA"/>
    <w:rsid w:val="007960D2"/>
    <w:rsid w:val="00796109"/>
    <w:rsid w:val="0079611C"/>
    <w:rsid w:val="0079613E"/>
    <w:rsid w:val="00796162"/>
    <w:rsid w:val="00796175"/>
    <w:rsid w:val="00796226"/>
    <w:rsid w:val="0079624B"/>
    <w:rsid w:val="0079626F"/>
    <w:rsid w:val="00796277"/>
    <w:rsid w:val="00796338"/>
    <w:rsid w:val="00796372"/>
    <w:rsid w:val="0079637E"/>
    <w:rsid w:val="00796383"/>
    <w:rsid w:val="007964A0"/>
    <w:rsid w:val="007964C1"/>
    <w:rsid w:val="007964FC"/>
    <w:rsid w:val="0079652B"/>
    <w:rsid w:val="00796551"/>
    <w:rsid w:val="007965EF"/>
    <w:rsid w:val="00796645"/>
    <w:rsid w:val="0079665C"/>
    <w:rsid w:val="0079668A"/>
    <w:rsid w:val="007966BE"/>
    <w:rsid w:val="0079671E"/>
    <w:rsid w:val="007967D6"/>
    <w:rsid w:val="00796813"/>
    <w:rsid w:val="00796928"/>
    <w:rsid w:val="00796961"/>
    <w:rsid w:val="00796968"/>
    <w:rsid w:val="00796981"/>
    <w:rsid w:val="00796A82"/>
    <w:rsid w:val="00796BA7"/>
    <w:rsid w:val="00796BC9"/>
    <w:rsid w:val="00796BFB"/>
    <w:rsid w:val="00796CDC"/>
    <w:rsid w:val="00796D54"/>
    <w:rsid w:val="00796D6D"/>
    <w:rsid w:val="00796D88"/>
    <w:rsid w:val="00796DD2"/>
    <w:rsid w:val="00796ED0"/>
    <w:rsid w:val="00796F3C"/>
    <w:rsid w:val="00796F81"/>
    <w:rsid w:val="00796FB8"/>
    <w:rsid w:val="00796FF8"/>
    <w:rsid w:val="0079706F"/>
    <w:rsid w:val="007970B3"/>
    <w:rsid w:val="0079710E"/>
    <w:rsid w:val="00797144"/>
    <w:rsid w:val="007973BD"/>
    <w:rsid w:val="0079744A"/>
    <w:rsid w:val="00797456"/>
    <w:rsid w:val="00797480"/>
    <w:rsid w:val="00797504"/>
    <w:rsid w:val="0079754B"/>
    <w:rsid w:val="0079769C"/>
    <w:rsid w:val="007976AB"/>
    <w:rsid w:val="0079772A"/>
    <w:rsid w:val="00797748"/>
    <w:rsid w:val="0079776A"/>
    <w:rsid w:val="00797887"/>
    <w:rsid w:val="0079788F"/>
    <w:rsid w:val="00797961"/>
    <w:rsid w:val="007979BA"/>
    <w:rsid w:val="007979E2"/>
    <w:rsid w:val="00797A53"/>
    <w:rsid w:val="00797B0D"/>
    <w:rsid w:val="00797BA6"/>
    <w:rsid w:val="00797BC0"/>
    <w:rsid w:val="00797BE2"/>
    <w:rsid w:val="00797C0C"/>
    <w:rsid w:val="00797C57"/>
    <w:rsid w:val="00797D2E"/>
    <w:rsid w:val="00797D7B"/>
    <w:rsid w:val="00797DB3"/>
    <w:rsid w:val="00797DC5"/>
    <w:rsid w:val="00797EEB"/>
    <w:rsid w:val="00797F13"/>
    <w:rsid w:val="00797F35"/>
    <w:rsid w:val="00797FB7"/>
    <w:rsid w:val="00797FDE"/>
    <w:rsid w:val="007A0010"/>
    <w:rsid w:val="007A0081"/>
    <w:rsid w:val="007A009B"/>
    <w:rsid w:val="007A00B5"/>
    <w:rsid w:val="007A00C6"/>
    <w:rsid w:val="007A0111"/>
    <w:rsid w:val="007A014D"/>
    <w:rsid w:val="007A016D"/>
    <w:rsid w:val="007A02C9"/>
    <w:rsid w:val="007A031D"/>
    <w:rsid w:val="007A038F"/>
    <w:rsid w:val="007A03C2"/>
    <w:rsid w:val="007A03CF"/>
    <w:rsid w:val="007A0460"/>
    <w:rsid w:val="007A04C7"/>
    <w:rsid w:val="007A04E2"/>
    <w:rsid w:val="007A04EF"/>
    <w:rsid w:val="007A05C0"/>
    <w:rsid w:val="007A05C8"/>
    <w:rsid w:val="007A061B"/>
    <w:rsid w:val="007A0634"/>
    <w:rsid w:val="007A064D"/>
    <w:rsid w:val="007A0693"/>
    <w:rsid w:val="007A06ED"/>
    <w:rsid w:val="007A07BD"/>
    <w:rsid w:val="007A0842"/>
    <w:rsid w:val="007A088E"/>
    <w:rsid w:val="007A08BF"/>
    <w:rsid w:val="007A09E6"/>
    <w:rsid w:val="007A09F0"/>
    <w:rsid w:val="007A0A2E"/>
    <w:rsid w:val="007A0A54"/>
    <w:rsid w:val="007A0A72"/>
    <w:rsid w:val="007A0B93"/>
    <w:rsid w:val="007A0D65"/>
    <w:rsid w:val="007A0DB9"/>
    <w:rsid w:val="007A0DE9"/>
    <w:rsid w:val="007A0E16"/>
    <w:rsid w:val="007A0E94"/>
    <w:rsid w:val="007A0EBF"/>
    <w:rsid w:val="007A0ED4"/>
    <w:rsid w:val="007A0EF3"/>
    <w:rsid w:val="007A0F0C"/>
    <w:rsid w:val="007A0FE5"/>
    <w:rsid w:val="007A1011"/>
    <w:rsid w:val="007A10BF"/>
    <w:rsid w:val="007A10C4"/>
    <w:rsid w:val="007A1160"/>
    <w:rsid w:val="007A1180"/>
    <w:rsid w:val="007A11CB"/>
    <w:rsid w:val="007A12CE"/>
    <w:rsid w:val="007A1343"/>
    <w:rsid w:val="007A1352"/>
    <w:rsid w:val="007A13A0"/>
    <w:rsid w:val="007A13DC"/>
    <w:rsid w:val="007A13EB"/>
    <w:rsid w:val="007A146A"/>
    <w:rsid w:val="007A1486"/>
    <w:rsid w:val="007A14C7"/>
    <w:rsid w:val="007A14F9"/>
    <w:rsid w:val="007A1520"/>
    <w:rsid w:val="007A1537"/>
    <w:rsid w:val="007A1544"/>
    <w:rsid w:val="007A1547"/>
    <w:rsid w:val="007A1583"/>
    <w:rsid w:val="007A1768"/>
    <w:rsid w:val="007A1836"/>
    <w:rsid w:val="007A1838"/>
    <w:rsid w:val="007A18DF"/>
    <w:rsid w:val="007A190A"/>
    <w:rsid w:val="007A19A1"/>
    <w:rsid w:val="007A19BE"/>
    <w:rsid w:val="007A19D9"/>
    <w:rsid w:val="007A1A0B"/>
    <w:rsid w:val="007A1A1A"/>
    <w:rsid w:val="007A1A8F"/>
    <w:rsid w:val="007A1B56"/>
    <w:rsid w:val="007A1B91"/>
    <w:rsid w:val="007A1BB6"/>
    <w:rsid w:val="007A1BCB"/>
    <w:rsid w:val="007A1C81"/>
    <w:rsid w:val="007A1CAF"/>
    <w:rsid w:val="007A1CE1"/>
    <w:rsid w:val="007A1DC4"/>
    <w:rsid w:val="007A1E22"/>
    <w:rsid w:val="007A1EC7"/>
    <w:rsid w:val="007A1F12"/>
    <w:rsid w:val="007A1F46"/>
    <w:rsid w:val="007A1F80"/>
    <w:rsid w:val="007A1F89"/>
    <w:rsid w:val="007A1FD1"/>
    <w:rsid w:val="007A2048"/>
    <w:rsid w:val="007A2066"/>
    <w:rsid w:val="007A2074"/>
    <w:rsid w:val="007A208E"/>
    <w:rsid w:val="007A20DE"/>
    <w:rsid w:val="007A20F8"/>
    <w:rsid w:val="007A20FC"/>
    <w:rsid w:val="007A2190"/>
    <w:rsid w:val="007A21DC"/>
    <w:rsid w:val="007A2240"/>
    <w:rsid w:val="007A228A"/>
    <w:rsid w:val="007A22E3"/>
    <w:rsid w:val="007A238E"/>
    <w:rsid w:val="007A2474"/>
    <w:rsid w:val="007A249D"/>
    <w:rsid w:val="007A25BA"/>
    <w:rsid w:val="007A25D3"/>
    <w:rsid w:val="007A2642"/>
    <w:rsid w:val="007A2670"/>
    <w:rsid w:val="007A2693"/>
    <w:rsid w:val="007A2740"/>
    <w:rsid w:val="007A27CC"/>
    <w:rsid w:val="007A27E4"/>
    <w:rsid w:val="007A27F4"/>
    <w:rsid w:val="007A2859"/>
    <w:rsid w:val="007A297F"/>
    <w:rsid w:val="007A2A80"/>
    <w:rsid w:val="007A2B85"/>
    <w:rsid w:val="007A2BCA"/>
    <w:rsid w:val="007A2BD2"/>
    <w:rsid w:val="007A2BE4"/>
    <w:rsid w:val="007A2C86"/>
    <w:rsid w:val="007A2C91"/>
    <w:rsid w:val="007A2D1D"/>
    <w:rsid w:val="007A2D82"/>
    <w:rsid w:val="007A2DE2"/>
    <w:rsid w:val="007A2E06"/>
    <w:rsid w:val="007A305D"/>
    <w:rsid w:val="007A306D"/>
    <w:rsid w:val="007A31DE"/>
    <w:rsid w:val="007A31EC"/>
    <w:rsid w:val="007A31FB"/>
    <w:rsid w:val="007A31FE"/>
    <w:rsid w:val="007A3235"/>
    <w:rsid w:val="007A3296"/>
    <w:rsid w:val="007A32B4"/>
    <w:rsid w:val="007A32CA"/>
    <w:rsid w:val="007A337A"/>
    <w:rsid w:val="007A33F9"/>
    <w:rsid w:val="007A33FF"/>
    <w:rsid w:val="007A3464"/>
    <w:rsid w:val="007A35A7"/>
    <w:rsid w:val="007A35B9"/>
    <w:rsid w:val="007A35E1"/>
    <w:rsid w:val="007A361C"/>
    <w:rsid w:val="007A3639"/>
    <w:rsid w:val="007A3682"/>
    <w:rsid w:val="007A36AE"/>
    <w:rsid w:val="007A36C1"/>
    <w:rsid w:val="007A36F9"/>
    <w:rsid w:val="007A3706"/>
    <w:rsid w:val="007A3723"/>
    <w:rsid w:val="007A3724"/>
    <w:rsid w:val="007A373C"/>
    <w:rsid w:val="007A37C0"/>
    <w:rsid w:val="007A37CF"/>
    <w:rsid w:val="007A3848"/>
    <w:rsid w:val="007A388F"/>
    <w:rsid w:val="007A38AF"/>
    <w:rsid w:val="007A38D7"/>
    <w:rsid w:val="007A38E3"/>
    <w:rsid w:val="007A3918"/>
    <w:rsid w:val="007A395D"/>
    <w:rsid w:val="007A39EE"/>
    <w:rsid w:val="007A3A12"/>
    <w:rsid w:val="007A3A67"/>
    <w:rsid w:val="007A3BAA"/>
    <w:rsid w:val="007A3BD4"/>
    <w:rsid w:val="007A3C3F"/>
    <w:rsid w:val="007A3C40"/>
    <w:rsid w:val="007A3C80"/>
    <w:rsid w:val="007A3CA2"/>
    <w:rsid w:val="007A3CD6"/>
    <w:rsid w:val="007A3CFF"/>
    <w:rsid w:val="007A3E08"/>
    <w:rsid w:val="007A3E1C"/>
    <w:rsid w:val="007A3E85"/>
    <w:rsid w:val="007A3E88"/>
    <w:rsid w:val="007A3E8C"/>
    <w:rsid w:val="007A3FCB"/>
    <w:rsid w:val="007A4007"/>
    <w:rsid w:val="007A4028"/>
    <w:rsid w:val="007A40B2"/>
    <w:rsid w:val="007A41E4"/>
    <w:rsid w:val="007A41F6"/>
    <w:rsid w:val="007A42F1"/>
    <w:rsid w:val="007A437A"/>
    <w:rsid w:val="007A43A6"/>
    <w:rsid w:val="007A43E3"/>
    <w:rsid w:val="007A443C"/>
    <w:rsid w:val="007A44BA"/>
    <w:rsid w:val="007A44BB"/>
    <w:rsid w:val="007A44BE"/>
    <w:rsid w:val="007A44D5"/>
    <w:rsid w:val="007A4534"/>
    <w:rsid w:val="007A4599"/>
    <w:rsid w:val="007A4631"/>
    <w:rsid w:val="007A4724"/>
    <w:rsid w:val="007A4762"/>
    <w:rsid w:val="007A47AF"/>
    <w:rsid w:val="007A4840"/>
    <w:rsid w:val="007A4886"/>
    <w:rsid w:val="007A496C"/>
    <w:rsid w:val="007A4A28"/>
    <w:rsid w:val="007A4A3A"/>
    <w:rsid w:val="007A4B98"/>
    <w:rsid w:val="007A4BC7"/>
    <w:rsid w:val="007A4C18"/>
    <w:rsid w:val="007A4C26"/>
    <w:rsid w:val="007A4DB4"/>
    <w:rsid w:val="007A4E0E"/>
    <w:rsid w:val="007A4EC0"/>
    <w:rsid w:val="007A4EEC"/>
    <w:rsid w:val="007A5065"/>
    <w:rsid w:val="007A5074"/>
    <w:rsid w:val="007A5129"/>
    <w:rsid w:val="007A514D"/>
    <w:rsid w:val="007A5243"/>
    <w:rsid w:val="007A5256"/>
    <w:rsid w:val="007A527B"/>
    <w:rsid w:val="007A529C"/>
    <w:rsid w:val="007A52AA"/>
    <w:rsid w:val="007A52F3"/>
    <w:rsid w:val="007A5338"/>
    <w:rsid w:val="007A53E5"/>
    <w:rsid w:val="007A5431"/>
    <w:rsid w:val="007A554A"/>
    <w:rsid w:val="007A556F"/>
    <w:rsid w:val="007A5586"/>
    <w:rsid w:val="007A55B3"/>
    <w:rsid w:val="007A561E"/>
    <w:rsid w:val="007A56E9"/>
    <w:rsid w:val="007A5734"/>
    <w:rsid w:val="007A5758"/>
    <w:rsid w:val="007A57E3"/>
    <w:rsid w:val="007A5828"/>
    <w:rsid w:val="007A5830"/>
    <w:rsid w:val="007A5849"/>
    <w:rsid w:val="007A5954"/>
    <w:rsid w:val="007A59FF"/>
    <w:rsid w:val="007A5A06"/>
    <w:rsid w:val="007A5A8B"/>
    <w:rsid w:val="007A5B2C"/>
    <w:rsid w:val="007A5C77"/>
    <w:rsid w:val="007A5CE7"/>
    <w:rsid w:val="007A5D72"/>
    <w:rsid w:val="007A5D96"/>
    <w:rsid w:val="007A5F00"/>
    <w:rsid w:val="007A5F84"/>
    <w:rsid w:val="007A5FCF"/>
    <w:rsid w:val="007A6032"/>
    <w:rsid w:val="007A610D"/>
    <w:rsid w:val="007A61C3"/>
    <w:rsid w:val="007A6269"/>
    <w:rsid w:val="007A6289"/>
    <w:rsid w:val="007A6347"/>
    <w:rsid w:val="007A639D"/>
    <w:rsid w:val="007A63E7"/>
    <w:rsid w:val="007A640C"/>
    <w:rsid w:val="007A640D"/>
    <w:rsid w:val="007A6469"/>
    <w:rsid w:val="007A64BF"/>
    <w:rsid w:val="007A651A"/>
    <w:rsid w:val="007A6538"/>
    <w:rsid w:val="007A65A8"/>
    <w:rsid w:val="007A65BF"/>
    <w:rsid w:val="007A6623"/>
    <w:rsid w:val="007A6657"/>
    <w:rsid w:val="007A66FD"/>
    <w:rsid w:val="007A670D"/>
    <w:rsid w:val="007A6754"/>
    <w:rsid w:val="007A676D"/>
    <w:rsid w:val="007A67B9"/>
    <w:rsid w:val="007A684E"/>
    <w:rsid w:val="007A698D"/>
    <w:rsid w:val="007A69C0"/>
    <w:rsid w:val="007A69D0"/>
    <w:rsid w:val="007A69D2"/>
    <w:rsid w:val="007A69E2"/>
    <w:rsid w:val="007A6A04"/>
    <w:rsid w:val="007A6A68"/>
    <w:rsid w:val="007A6BB5"/>
    <w:rsid w:val="007A6C02"/>
    <w:rsid w:val="007A6CE6"/>
    <w:rsid w:val="007A6ECC"/>
    <w:rsid w:val="007A6F70"/>
    <w:rsid w:val="007A6F95"/>
    <w:rsid w:val="007A6FA3"/>
    <w:rsid w:val="007A6FC6"/>
    <w:rsid w:val="007A7024"/>
    <w:rsid w:val="007A7088"/>
    <w:rsid w:val="007A70D0"/>
    <w:rsid w:val="007A7110"/>
    <w:rsid w:val="007A716D"/>
    <w:rsid w:val="007A7244"/>
    <w:rsid w:val="007A72A0"/>
    <w:rsid w:val="007A72A1"/>
    <w:rsid w:val="007A72F2"/>
    <w:rsid w:val="007A72F8"/>
    <w:rsid w:val="007A73D7"/>
    <w:rsid w:val="007A740E"/>
    <w:rsid w:val="007A7439"/>
    <w:rsid w:val="007A748D"/>
    <w:rsid w:val="007A75EA"/>
    <w:rsid w:val="007A75F9"/>
    <w:rsid w:val="007A76E9"/>
    <w:rsid w:val="007A7733"/>
    <w:rsid w:val="007A77CE"/>
    <w:rsid w:val="007A77FE"/>
    <w:rsid w:val="007A7861"/>
    <w:rsid w:val="007A78DC"/>
    <w:rsid w:val="007A790B"/>
    <w:rsid w:val="007A7996"/>
    <w:rsid w:val="007A79F9"/>
    <w:rsid w:val="007A7A57"/>
    <w:rsid w:val="007A7AB2"/>
    <w:rsid w:val="007A7ABD"/>
    <w:rsid w:val="007A7ADF"/>
    <w:rsid w:val="007A7BBB"/>
    <w:rsid w:val="007A7C92"/>
    <w:rsid w:val="007A7D80"/>
    <w:rsid w:val="007A7DFA"/>
    <w:rsid w:val="007A7F4D"/>
    <w:rsid w:val="007A7FBF"/>
    <w:rsid w:val="007B0092"/>
    <w:rsid w:val="007B00A9"/>
    <w:rsid w:val="007B00B9"/>
    <w:rsid w:val="007B00EF"/>
    <w:rsid w:val="007B01D4"/>
    <w:rsid w:val="007B02BA"/>
    <w:rsid w:val="007B02E1"/>
    <w:rsid w:val="007B02F7"/>
    <w:rsid w:val="007B034A"/>
    <w:rsid w:val="007B0356"/>
    <w:rsid w:val="007B0376"/>
    <w:rsid w:val="007B038D"/>
    <w:rsid w:val="007B03A1"/>
    <w:rsid w:val="007B0564"/>
    <w:rsid w:val="007B056E"/>
    <w:rsid w:val="007B05CD"/>
    <w:rsid w:val="007B06B6"/>
    <w:rsid w:val="007B072F"/>
    <w:rsid w:val="007B0757"/>
    <w:rsid w:val="007B0777"/>
    <w:rsid w:val="007B07BB"/>
    <w:rsid w:val="007B089C"/>
    <w:rsid w:val="007B08AD"/>
    <w:rsid w:val="007B08D5"/>
    <w:rsid w:val="007B08F0"/>
    <w:rsid w:val="007B0907"/>
    <w:rsid w:val="007B093F"/>
    <w:rsid w:val="007B0A8D"/>
    <w:rsid w:val="007B0B16"/>
    <w:rsid w:val="007B0B70"/>
    <w:rsid w:val="007B0B7A"/>
    <w:rsid w:val="007B0B85"/>
    <w:rsid w:val="007B0BB3"/>
    <w:rsid w:val="007B0BFA"/>
    <w:rsid w:val="007B0C09"/>
    <w:rsid w:val="007B0C8B"/>
    <w:rsid w:val="007B0C93"/>
    <w:rsid w:val="007B0CF1"/>
    <w:rsid w:val="007B0D7F"/>
    <w:rsid w:val="007B0DEF"/>
    <w:rsid w:val="007B0E99"/>
    <w:rsid w:val="007B0EB4"/>
    <w:rsid w:val="007B0ED9"/>
    <w:rsid w:val="007B0F47"/>
    <w:rsid w:val="007B0F79"/>
    <w:rsid w:val="007B0FFD"/>
    <w:rsid w:val="007B100B"/>
    <w:rsid w:val="007B1020"/>
    <w:rsid w:val="007B128A"/>
    <w:rsid w:val="007B12D0"/>
    <w:rsid w:val="007B1334"/>
    <w:rsid w:val="007B1392"/>
    <w:rsid w:val="007B13C3"/>
    <w:rsid w:val="007B13D2"/>
    <w:rsid w:val="007B13DB"/>
    <w:rsid w:val="007B141D"/>
    <w:rsid w:val="007B1483"/>
    <w:rsid w:val="007B148F"/>
    <w:rsid w:val="007B163D"/>
    <w:rsid w:val="007B16B7"/>
    <w:rsid w:val="007B16B9"/>
    <w:rsid w:val="007B16EC"/>
    <w:rsid w:val="007B1716"/>
    <w:rsid w:val="007B1763"/>
    <w:rsid w:val="007B17D2"/>
    <w:rsid w:val="007B17F0"/>
    <w:rsid w:val="007B1833"/>
    <w:rsid w:val="007B184F"/>
    <w:rsid w:val="007B18BC"/>
    <w:rsid w:val="007B19DC"/>
    <w:rsid w:val="007B1A39"/>
    <w:rsid w:val="007B1A60"/>
    <w:rsid w:val="007B1A68"/>
    <w:rsid w:val="007B1A90"/>
    <w:rsid w:val="007B1B07"/>
    <w:rsid w:val="007B1B1C"/>
    <w:rsid w:val="007B1B4C"/>
    <w:rsid w:val="007B1B4E"/>
    <w:rsid w:val="007B1B8A"/>
    <w:rsid w:val="007B1B97"/>
    <w:rsid w:val="007B1C4C"/>
    <w:rsid w:val="007B1C69"/>
    <w:rsid w:val="007B1E65"/>
    <w:rsid w:val="007B1E6D"/>
    <w:rsid w:val="007B1EEE"/>
    <w:rsid w:val="007B1F58"/>
    <w:rsid w:val="007B1FBD"/>
    <w:rsid w:val="007B200F"/>
    <w:rsid w:val="007B203A"/>
    <w:rsid w:val="007B210D"/>
    <w:rsid w:val="007B2121"/>
    <w:rsid w:val="007B21B5"/>
    <w:rsid w:val="007B2311"/>
    <w:rsid w:val="007B242D"/>
    <w:rsid w:val="007B2432"/>
    <w:rsid w:val="007B243B"/>
    <w:rsid w:val="007B245F"/>
    <w:rsid w:val="007B248F"/>
    <w:rsid w:val="007B252A"/>
    <w:rsid w:val="007B252B"/>
    <w:rsid w:val="007B2586"/>
    <w:rsid w:val="007B25B7"/>
    <w:rsid w:val="007B26AC"/>
    <w:rsid w:val="007B2728"/>
    <w:rsid w:val="007B2790"/>
    <w:rsid w:val="007B2829"/>
    <w:rsid w:val="007B2866"/>
    <w:rsid w:val="007B2AC8"/>
    <w:rsid w:val="007B2B03"/>
    <w:rsid w:val="007B2B72"/>
    <w:rsid w:val="007B2D60"/>
    <w:rsid w:val="007B2D93"/>
    <w:rsid w:val="007B2E33"/>
    <w:rsid w:val="007B2ED1"/>
    <w:rsid w:val="007B2EE3"/>
    <w:rsid w:val="007B2F09"/>
    <w:rsid w:val="007B2F98"/>
    <w:rsid w:val="007B3010"/>
    <w:rsid w:val="007B3090"/>
    <w:rsid w:val="007B30E0"/>
    <w:rsid w:val="007B320B"/>
    <w:rsid w:val="007B3329"/>
    <w:rsid w:val="007B332F"/>
    <w:rsid w:val="007B333B"/>
    <w:rsid w:val="007B3373"/>
    <w:rsid w:val="007B33E5"/>
    <w:rsid w:val="007B34C1"/>
    <w:rsid w:val="007B3520"/>
    <w:rsid w:val="007B35C0"/>
    <w:rsid w:val="007B35D5"/>
    <w:rsid w:val="007B35F7"/>
    <w:rsid w:val="007B368E"/>
    <w:rsid w:val="007B36D9"/>
    <w:rsid w:val="007B36F5"/>
    <w:rsid w:val="007B36F7"/>
    <w:rsid w:val="007B373B"/>
    <w:rsid w:val="007B373D"/>
    <w:rsid w:val="007B3740"/>
    <w:rsid w:val="007B37B0"/>
    <w:rsid w:val="007B3815"/>
    <w:rsid w:val="007B3996"/>
    <w:rsid w:val="007B3B1B"/>
    <w:rsid w:val="007B3B45"/>
    <w:rsid w:val="007B3B63"/>
    <w:rsid w:val="007B3B7B"/>
    <w:rsid w:val="007B3B9E"/>
    <w:rsid w:val="007B3BB7"/>
    <w:rsid w:val="007B3C77"/>
    <w:rsid w:val="007B3D1F"/>
    <w:rsid w:val="007B3D2C"/>
    <w:rsid w:val="007B3DC0"/>
    <w:rsid w:val="007B3DE2"/>
    <w:rsid w:val="007B3E2C"/>
    <w:rsid w:val="007B3E79"/>
    <w:rsid w:val="007B3EBD"/>
    <w:rsid w:val="007B3F34"/>
    <w:rsid w:val="007B3F97"/>
    <w:rsid w:val="007B3FA2"/>
    <w:rsid w:val="007B3FE0"/>
    <w:rsid w:val="007B41F4"/>
    <w:rsid w:val="007B41FF"/>
    <w:rsid w:val="007B4236"/>
    <w:rsid w:val="007B424D"/>
    <w:rsid w:val="007B429C"/>
    <w:rsid w:val="007B430D"/>
    <w:rsid w:val="007B439D"/>
    <w:rsid w:val="007B43A7"/>
    <w:rsid w:val="007B4428"/>
    <w:rsid w:val="007B44E4"/>
    <w:rsid w:val="007B45C8"/>
    <w:rsid w:val="007B463A"/>
    <w:rsid w:val="007B469A"/>
    <w:rsid w:val="007B47E1"/>
    <w:rsid w:val="007B4846"/>
    <w:rsid w:val="007B4A26"/>
    <w:rsid w:val="007B4A9F"/>
    <w:rsid w:val="007B4ABD"/>
    <w:rsid w:val="007B4B35"/>
    <w:rsid w:val="007B4B3D"/>
    <w:rsid w:val="007B4B79"/>
    <w:rsid w:val="007B4B7B"/>
    <w:rsid w:val="007B4B8D"/>
    <w:rsid w:val="007B4B8E"/>
    <w:rsid w:val="007B4BD8"/>
    <w:rsid w:val="007B4BE7"/>
    <w:rsid w:val="007B4CEB"/>
    <w:rsid w:val="007B4D8B"/>
    <w:rsid w:val="007B4DD9"/>
    <w:rsid w:val="007B4E1D"/>
    <w:rsid w:val="007B4F99"/>
    <w:rsid w:val="007B4FD1"/>
    <w:rsid w:val="007B5010"/>
    <w:rsid w:val="007B5033"/>
    <w:rsid w:val="007B5036"/>
    <w:rsid w:val="007B5044"/>
    <w:rsid w:val="007B52BC"/>
    <w:rsid w:val="007B52DD"/>
    <w:rsid w:val="007B52F1"/>
    <w:rsid w:val="007B534B"/>
    <w:rsid w:val="007B5357"/>
    <w:rsid w:val="007B535F"/>
    <w:rsid w:val="007B5388"/>
    <w:rsid w:val="007B53E9"/>
    <w:rsid w:val="007B5400"/>
    <w:rsid w:val="007B5405"/>
    <w:rsid w:val="007B5409"/>
    <w:rsid w:val="007B54BA"/>
    <w:rsid w:val="007B54EB"/>
    <w:rsid w:val="007B55B2"/>
    <w:rsid w:val="007B55F4"/>
    <w:rsid w:val="007B565F"/>
    <w:rsid w:val="007B5688"/>
    <w:rsid w:val="007B568D"/>
    <w:rsid w:val="007B56A4"/>
    <w:rsid w:val="007B56F3"/>
    <w:rsid w:val="007B56FB"/>
    <w:rsid w:val="007B5730"/>
    <w:rsid w:val="007B5756"/>
    <w:rsid w:val="007B5767"/>
    <w:rsid w:val="007B57E4"/>
    <w:rsid w:val="007B57EE"/>
    <w:rsid w:val="007B583B"/>
    <w:rsid w:val="007B588E"/>
    <w:rsid w:val="007B5891"/>
    <w:rsid w:val="007B58B3"/>
    <w:rsid w:val="007B58D5"/>
    <w:rsid w:val="007B58FE"/>
    <w:rsid w:val="007B593A"/>
    <w:rsid w:val="007B5969"/>
    <w:rsid w:val="007B59BD"/>
    <w:rsid w:val="007B59C7"/>
    <w:rsid w:val="007B59D3"/>
    <w:rsid w:val="007B59F1"/>
    <w:rsid w:val="007B5A49"/>
    <w:rsid w:val="007B5A4A"/>
    <w:rsid w:val="007B5B12"/>
    <w:rsid w:val="007B5B82"/>
    <w:rsid w:val="007B5BD2"/>
    <w:rsid w:val="007B5BFA"/>
    <w:rsid w:val="007B5CEB"/>
    <w:rsid w:val="007B5D17"/>
    <w:rsid w:val="007B5D25"/>
    <w:rsid w:val="007B5D2B"/>
    <w:rsid w:val="007B5D3C"/>
    <w:rsid w:val="007B5D7D"/>
    <w:rsid w:val="007B5DF0"/>
    <w:rsid w:val="007B5E14"/>
    <w:rsid w:val="007B5E70"/>
    <w:rsid w:val="007B5EEE"/>
    <w:rsid w:val="007B5F33"/>
    <w:rsid w:val="007B5F7E"/>
    <w:rsid w:val="007B5F8F"/>
    <w:rsid w:val="007B6059"/>
    <w:rsid w:val="007B6071"/>
    <w:rsid w:val="007B60FC"/>
    <w:rsid w:val="007B6147"/>
    <w:rsid w:val="007B616E"/>
    <w:rsid w:val="007B61A4"/>
    <w:rsid w:val="007B6252"/>
    <w:rsid w:val="007B626E"/>
    <w:rsid w:val="007B6298"/>
    <w:rsid w:val="007B6337"/>
    <w:rsid w:val="007B6360"/>
    <w:rsid w:val="007B6396"/>
    <w:rsid w:val="007B6399"/>
    <w:rsid w:val="007B6438"/>
    <w:rsid w:val="007B6453"/>
    <w:rsid w:val="007B64B6"/>
    <w:rsid w:val="007B64BE"/>
    <w:rsid w:val="007B6509"/>
    <w:rsid w:val="007B65C1"/>
    <w:rsid w:val="007B6661"/>
    <w:rsid w:val="007B66AD"/>
    <w:rsid w:val="007B66B4"/>
    <w:rsid w:val="007B6751"/>
    <w:rsid w:val="007B6781"/>
    <w:rsid w:val="007B680C"/>
    <w:rsid w:val="007B684E"/>
    <w:rsid w:val="007B6863"/>
    <w:rsid w:val="007B68E9"/>
    <w:rsid w:val="007B68EC"/>
    <w:rsid w:val="007B6967"/>
    <w:rsid w:val="007B699F"/>
    <w:rsid w:val="007B69DB"/>
    <w:rsid w:val="007B69E6"/>
    <w:rsid w:val="007B69EF"/>
    <w:rsid w:val="007B69F8"/>
    <w:rsid w:val="007B6A01"/>
    <w:rsid w:val="007B6A03"/>
    <w:rsid w:val="007B6AF3"/>
    <w:rsid w:val="007B6C65"/>
    <w:rsid w:val="007B6C8C"/>
    <w:rsid w:val="007B6C92"/>
    <w:rsid w:val="007B6D2B"/>
    <w:rsid w:val="007B6E45"/>
    <w:rsid w:val="007B6E5A"/>
    <w:rsid w:val="007B6FE6"/>
    <w:rsid w:val="007B7004"/>
    <w:rsid w:val="007B7005"/>
    <w:rsid w:val="007B70BB"/>
    <w:rsid w:val="007B71B4"/>
    <w:rsid w:val="007B71E5"/>
    <w:rsid w:val="007B723A"/>
    <w:rsid w:val="007B72FF"/>
    <w:rsid w:val="007B7349"/>
    <w:rsid w:val="007B73AE"/>
    <w:rsid w:val="007B7513"/>
    <w:rsid w:val="007B757D"/>
    <w:rsid w:val="007B7640"/>
    <w:rsid w:val="007B7665"/>
    <w:rsid w:val="007B7672"/>
    <w:rsid w:val="007B768D"/>
    <w:rsid w:val="007B770E"/>
    <w:rsid w:val="007B7759"/>
    <w:rsid w:val="007B77E1"/>
    <w:rsid w:val="007B77F3"/>
    <w:rsid w:val="007B7859"/>
    <w:rsid w:val="007B79B7"/>
    <w:rsid w:val="007B7A01"/>
    <w:rsid w:val="007B7B5D"/>
    <w:rsid w:val="007B7B9D"/>
    <w:rsid w:val="007B7BF0"/>
    <w:rsid w:val="007B7C9D"/>
    <w:rsid w:val="007B7D7F"/>
    <w:rsid w:val="007B7E5F"/>
    <w:rsid w:val="007B7E83"/>
    <w:rsid w:val="007B7EA5"/>
    <w:rsid w:val="007B7F37"/>
    <w:rsid w:val="007C0012"/>
    <w:rsid w:val="007C006D"/>
    <w:rsid w:val="007C00E0"/>
    <w:rsid w:val="007C0124"/>
    <w:rsid w:val="007C0146"/>
    <w:rsid w:val="007C0167"/>
    <w:rsid w:val="007C0244"/>
    <w:rsid w:val="007C02A7"/>
    <w:rsid w:val="007C02B4"/>
    <w:rsid w:val="007C02E6"/>
    <w:rsid w:val="007C0360"/>
    <w:rsid w:val="007C0459"/>
    <w:rsid w:val="007C04F9"/>
    <w:rsid w:val="007C058A"/>
    <w:rsid w:val="007C05C7"/>
    <w:rsid w:val="007C0670"/>
    <w:rsid w:val="007C0755"/>
    <w:rsid w:val="007C0836"/>
    <w:rsid w:val="007C08D5"/>
    <w:rsid w:val="007C095B"/>
    <w:rsid w:val="007C09E6"/>
    <w:rsid w:val="007C0A9D"/>
    <w:rsid w:val="007C0AD3"/>
    <w:rsid w:val="007C0B79"/>
    <w:rsid w:val="007C0BF7"/>
    <w:rsid w:val="007C0C03"/>
    <w:rsid w:val="007C0CF3"/>
    <w:rsid w:val="007C0D01"/>
    <w:rsid w:val="007C0DBC"/>
    <w:rsid w:val="007C0E05"/>
    <w:rsid w:val="007C0F23"/>
    <w:rsid w:val="007C0F9D"/>
    <w:rsid w:val="007C0F9E"/>
    <w:rsid w:val="007C101F"/>
    <w:rsid w:val="007C1021"/>
    <w:rsid w:val="007C10EA"/>
    <w:rsid w:val="007C1142"/>
    <w:rsid w:val="007C11A5"/>
    <w:rsid w:val="007C11C4"/>
    <w:rsid w:val="007C1252"/>
    <w:rsid w:val="007C125B"/>
    <w:rsid w:val="007C127D"/>
    <w:rsid w:val="007C12D1"/>
    <w:rsid w:val="007C1391"/>
    <w:rsid w:val="007C13A3"/>
    <w:rsid w:val="007C13F8"/>
    <w:rsid w:val="007C1452"/>
    <w:rsid w:val="007C14AB"/>
    <w:rsid w:val="007C1513"/>
    <w:rsid w:val="007C1523"/>
    <w:rsid w:val="007C1556"/>
    <w:rsid w:val="007C15BB"/>
    <w:rsid w:val="007C15DB"/>
    <w:rsid w:val="007C165D"/>
    <w:rsid w:val="007C165E"/>
    <w:rsid w:val="007C167C"/>
    <w:rsid w:val="007C168A"/>
    <w:rsid w:val="007C16DE"/>
    <w:rsid w:val="007C1729"/>
    <w:rsid w:val="007C17F7"/>
    <w:rsid w:val="007C17FB"/>
    <w:rsid w:val="007C183A"/>
    <w:rsid w:val="007C1898"/>
    <w:rsid w:val="007C18BC"/>
    <w:rsid w:val="007C18EA"/>
    <w:rsid w:val="007C190E"/>
    <w:rsid w:val="007C1948"/>
    <w:rsid w:val="007C19F2"/>
    <w:rsid w:val="007C1ACD"/>
    <w:rsid w:val="007C1B6A"/>
    <w:rsid w:val="007C1BA3"/>
    <w:rsid w:val="007C1BBD"/>
    <w:rsid w:val="007C1BF1"/>
    <w:rsid w:val="007C1C35"/>
    <w:rsid w:val="007C1D0E"/>
    <w:rsid w:val="007C1D8F"/>
    <w:rsid w:val="007C1D94"/>
    <w:rsid w:val="007C1DD1"/>
    <w:rsid w:val="007C1E15"/>
    <w:rsid w:val="007C1F15"/>
    <w:rsid w:val="007C1F2F"/>
    <w:rsid w:val="007C1F64"/>
    <w:rsid w:val="007C1FBF"/>
    <w:rsid w:val="007C207F"/>
    <w:rsid w:val="007C2146"/>
    <w:rsid w:val="007C22B0"/>
    <w:rsid w:val="007C22C1"/>
    <w:rsid w:val="007C2344"/>
    <w:rsid w:val="007C2369"/>
    <w:rsid w:val="007C2371"/>
    <w:rsid w:val="007C23A6"/>
    <w:rsid w:val="007C2429"/>
    <w:rsid w:val="007C2454"/>
    <w:rsid w:val="007C24AF"/>
    <w:rsid w:val="007C24EB"/>
    <w:rsid w:val="007C252C"/>
    <w:rsid w:val="007C2591"/>
    <w:rsid w:val="007C25ED"/>
    <w:rsid w:val="007C2631"/>
    <w:rsid w:val="007C2687"/>
    <w:rsid w:val="007C2774"/>
    <w:rsid w:val="007C27BE"/>
    <w:rsid w:val="007C281D"/>
    <w:rsid w:val="007C28F8"/>
    <w:rsid w:val="007C294D"/>
    <w:rsid w:val="007C29B8"/>
    <w:rsid w:val="007C2A07"/>
    <w:rsid w:val="007C2A31"/>
    <w:rsid w:val="007C2A47"/>
    <w:rsid w:val="007C2B1B"/>
    <w:rsid w:val="007C2B87"/>
    <w:rsid w:val="007C2BB3"/>
    <w:rsid w:val="007C2BBC"/>
    <w:rsid w:val="007C2BC3"/>
    <w:rsid w:val="007C2C01"/>
    <w:rsid w:val="007C2D01"/>
    <w:rsid w:val="007C2DB3"/>
    <w:rsid w:val="007C2DBE"/>
    <w:rsid w:val="007C2E2B"/>
    <w:rsid w:val="007C2E45"/>
    <w:rsid w:val="007C2E55"/>
    <w:rsid w:val="007C2E7F"/>
    <w:rsid w:val="007C2E9D"/>
    <w:rsid w:val="007C2EFD"/>
    <w:rsid w:val="007C3028"/>
    <w:rsid w:val="007C30C1"/>
    <w:rsid w:val="007C3168"/>
    <w:rsid w:val="007C31FD"/>
    <w:rsid w:val="007C3226"/>
    <w:rsid w:val="007C3296"/>
    <w:rsid w:val="007C32D9"/>
    <w:rsid w:val="007C330D"/>
    <w:rsid w:val="007C3333"/>
    <w:rsid w:val="007C336A"/>
    <w:rsid w:val="007C3380"/>
    <w:rsid w:val="007C3414"/>
    <w:rsid w:val="007C342A"/>
    <w:rsid w:val="007C352D"/>
    <w:rsid w:val="007C35B1"/>
    <w:rsid w:val="007C35D0"/>
    <w:rsid w:val="007C3644"/>
    <w:rsid w:val="007C37EB"/>
    <w:rsid w:val="007C37F0"/>
    <w:rsid w:val="007C3844"/>
    <w:rsid w:val="007C384E"/>
    <w:rsid w:val="007C3873"/>
    <w:rsid w:val="007C3899"/>
    <w:rsid w:val="007C38A3"/>
    <w:rsid w:val="007C38F7"/>
    <w:rsid w:val="007C399A"/>
    <w:rsid w:val="007C3A45"/>
    <w:rsid w:val="007C3A50"/>
    <w:rsid w:val="007C3A9F"/>
    <w:rsid w:val="007C3C4B"/>
    <w:rsid w:val="007C3CE0"/>
    <w:rsid w:val="007C3DDB"/>
    <w:rsid w:val="007C3E43"/>
    <w:rsid w:val="007C3E75"/>
    <w:rsid w:val="007C3E86"/>
    <w:rsid w:val="007C3EF1"/>
    <w:rsid w:val="007C3F35"/>
    <w:rsid w:val="007C3F94"/>
    <w:rsid w:val="007C3F9C"/>
    <w:rsid w:val="007C3FC5"/>
    <w:rsid w:val="007C3FEF"/>
    <w:rsid w:val="007C4042"/>
    <w:rsid w:val="007C4078"/>
    <w:rsid w:val="007C40AA"/>
    <w:rsid w:val="007C40BC"/>
    <w:rsid w:val="007C40D0"/>
    <w:rsid w:val="007C40F8"/>
    <w:rsid w:val="007C415A"/>
    <w:rsid w:val="007C416D"/>
    <w:rsid w:val="007C41BF"/>
    <w:rsid w:val="007C423F"/>
    <w:rsid w:val="007C4295"/>
    <w:rsid w:val="007C42B6"/>
    <w:rsid w:val="007C42D8"/>
    <w:rsid w:val="007C4323"/>
    <w:rsid w:val="007C43EA"/>
    <w:rsid w:val="007C448A"/>
    <w:rsid w:val="007C448E"/>
    <w:rsid w:val="007C44BC"/>
    <w:rsid w:val="007C4529"/>
    <w:rsid w:val="007C4551"/>
    <w:rsid w:val="007C456D"/>
    <w:rsid w:val="007C45BC"/>
    <w:rsid w:val="007C462E"/>
    <w:rsid w:val="007C46C3"/>
    <w:rsid w:val="007C46CD"/>
    <w:rsid w:val="007C471E"/>
    <w:rsid w:val="007C4833"/>
    <w:rsid w:val="007C4944"/>
    <w:rsid w:val="007C495B"/>
    <w:rsid w:val="007C4963"/>
    <w:rsid w:val="007C49A1"/>
    <w:rsid w:val="007C4A2E"/>
    <w:rsid w:val="007C4A4E"/>
    <w:rsid w:val="007C4A7E"/>
    <w:rsid w:val="007C4B15"/>
    <w:rsid w:val="007C4B67"/>
    <w:rsid w:val="007C4BA7"/>
    <w:rsid w:val="007C4BC1"/>
    <w:rsid w:val="007C4BC3"/>
    <w:rsid w:val="007C4BDA"/>
    <w:rsid w:val="007C4BDE"/>
    <w:rsid w:val="007C4C85"/>
    <w:rsid w:val="007C4CD6"/>
    <w:rsid w:val="007C4D00"/>
    <w:rsid w:val="007C4D3C"/>
    <w:rsid w:val="007C4D5A"/>
    <w:rsid w:val="007C4D8A"/>
    <w:rsid w:val="007C4E07"/>
    <w:rsid w:val="007C4E1A"/>
    <w:rsid w:val="007C4E8F"/>
    <w:rsid w:val="007C4EE6"/>
    <w:rsid w:val="007C4FF6"/>
    <w:rsid w:val="007C5058"/>
    <w:rsid w:val="007C50F1"/>
    <w:rsid w:val="007C5124"/>
    <w:rsid w:val="007C5128"/>
    <w:rsid w:val="007C51B9"/>
    <w:rsid w:val="007C51BD"/>
    <w:rsid w:val="007C5226"/>
    <w:rsid w:val="007C528F"/>
    <w:rsid w:val="007C5313"/>
    <w:rsid w:val="007C5328"/>
    <w:rsid w:val="007C5359"/>
    <w:rsid w:val="007C536C"/>
    <w:rsid w:val="007C5381"/>
    <w:rsid w:val="007C54ED"/>
    <w:rsid w:val="007C5502"/>
    <w:rsid w:val="007C551F"/>
    <w:rsid w:val="007C561F"/>
    <w:rsid w:val="007C5704"/>
    <w:rsid w:val="007C577A"/>
    <w:rsid w:val="007C57CD"/>
    <w:rsid w:val="007C57D4"/>
    <w:rsid w:val="007C57D5"/>
    <w:rsid w:val="007C57E5"/>
    <w:rsid w:val="007C57E7"/>
    <w:rsid w:val="007C5868"/>
    <w:rsid w:val="007C588E"/>
    <w:rsid w:val="007C58F2"/>
    <w:rsid w:val="007C5905"/>
    <w:rsid w:val="007C590C"/>
    <w:rsid w:val="007C5943"/>
    <w:rsid w:val="007C5A47"/>
    <w:rsid w:val="007C5A64"/>
    <w:rsid w:val="007C5A90"/>
    <w:rsid w:val="007C5A9C"/>
    <w:rsid w:val="007C5B5C"/>
    <w:rsid w:val="007C5B96"/>
    <w:rsid w:val="007C5C89"/>
    <w:rsid w:val="007C5CD0"/>
    <w:rsid w:val="007C5DAC"/>
    <w:rsid w:val="007C5DBB"/>
    <w:rsid w:val="007C5E6A"/>
    <w:rsid w:val="007C5E88"/>
    <w:rsid w:val="007C5EDD"/>
    <w:rsid w:val="007C5F31"/>
    <w:rsid w:val="007C5F35"/>
    <w:rsid w:val="007C5FE1"/>
    <w:rsid w:val="007C60AF"/>
    <w:rsid w:val="007C614C"/>
    <w:rsid w:val="007C614E"/>
    <w:rsid w:val="007C618B"/>
    <w:rsid w:val="007C6246"/>
    <w:rsid w:val="007C6296"/>
    <w:rsid w:val="007C6346"/>
    <w:rsid w:val="007C63D0"/>
    <w:rsid w:val="007C64B0"/>
    <w:rsid w:val="007C64B8"/>
    <w:rsid w:val="007C64D7"/>
    <w:rsid w:val="007C64EA"/>
    <w:rsid w:val="007C653A"/>
    <w:rsid w:val="007C6557"/>
    <w:rsid w:val="007C65F7"/>
    <w:rsid w:val="007C668F"/>
    <w:rsid w:val="007C66B5"/>
    <w:rsid w:val="007C66B7"/>
    <w:rsid w:val="007C66E2"/>
    <w:rsid w:val="007C676E"/>
    <w:rsid w:val="007C67C9"/>
    <w:rsid w:val="007C6869"/>
    <w:rsid w:val="007C686B"/>
    <w:rsid w:val="007C686D"/>
    <w:rsid w:val="007C68CA"/>
    <w:rsid w:val="007C68D7"/>
    <w:rsid w:val="007C68DE"/>
    <w:rsid w:val="007C68F2"/>
    <w:rsid w:val="007C6907"/>
    <w:rsid w:val="007C6A00"/>
    <w:rsid w:val="007C6A2F"/>
    <w:rsid w:val="007C6A59"/>
    <w:rsid w:val="007C6AC3"/>
    <w:rsid w:val="007C6B83"/>
    <w:rsid w:val="007C6B8A"/>
    <w:rsid w:val="007C6BC3"/>
    <w:rsid w:val="007C6C12"/>
    <w:rsid w:val="007C6C9C"/>
    <w:rsid w:val="007C6CC2"/>
    <w:rsid w:val="007C6D18"/>
    <w:rsid w:val="007C6D85"/>
    <w:rsid w:val="007C6D9C"/>
    <w:rsid w:val="007C6DE9"/>
    <w:rsid w:val="007C6E22"/>
    <w:rsid w:val="007C6E73"/>
    <w:rsid w:val="007C6F18"/>
    <w:rsid w:val="007C6F99"/>
    <w:rsid w:val="007C6FD1"/>
    <w:rsid w:val="007C70ED"/>
    <w:rsid w:val="007C712E"/>
    <w:rsid w:val="007C7131"/>
    <w:rsid w:val="007C719D"/>
    <w:rsid w:val="007C71B2"/>
    <w:rsid w:val="007C729A"/>
    <w:rsid w:val="007C72A6"/>
    <w:rsid w:val="007C72DD"/>
    <w:rsid w:val="007C73BC"/>
    <w:rsid w:val="007C73BF"/>
    <w:rsid w:val="007C741E"/>
    <w:rsid w:val="007C7491"/>
    <w:rsid w:val="007C75D1"/>
    <w:rsid w:val="007C763B"/>
    <w:rsid w:val="007C767E"/>
    <w:rsid w:val="007C774D"/>
    <w:rsid w:val="007C775E"/>
    <w:rsid w:val="007C7780"/>
    <w:rsid w:val="007C77D4"/>
    <w:rsid w:val="007C7802"/>
    <w:rsid w:val="007C7840"/>
    <w:rsid w:val="007C786D"/>
    <w:rsid w:val="007C788B"/>
    <w:rsid w:val="007C78E8"/>
    <w:rsid w:val="007C78E9"/>
    <w:rsid w:val="007C7948"/>
    <w:rsid w:val="007C7971"/>
    <w:rsid w:val="007C79D0"/>
    <w:rsid w:val="007C79DB"/>
    <w:rsid w:val="007C7A0F"/>
    <w:rsid w:val="007C7A1D"/>
    <w:rsid w:val="007C7A58"/>
    <w:rsid w:val="007C7AAA"/>
    <w:rsid w:val="007C7B3F"/>
    <w:rsid w:val="007C7BCB"/>
    <w:rsid w:val="007C7C27"/>
    <w:rsid w:val="007C7CCA"/>
    <w:rsid w:val="007C7CFE"/>
    <w:rsid w:val="007C7D37"/>
    <w:rsid w:val="007C7E2D"/>
    <w:rsid w:val="007C7E51"/>
    <w:rsid w:val="007C7F1C"/>
    <w:rsid w:val="007C7F95"/>
    <w:rsid w:val="007D0047"/>
    <w:rsid w:val="007D0098"/>
    <w:rsid w:val="007D010B"/>
    <w:rsid w:val="007D0129"/>
    <w:rsid w:val="007D0154"/>
    <w:rsid w:val="007D018C"/>
    <w:rsid w:val="007D01B6"/>
    <w:rsid w:val="007D01F1"/>
    <w:rsid w:val="007D026E"/>
    <w:rsid w:val="007D02F8"/>
    <w:rsid w:val="007D0327"/>
    <w:rsid w:val="007D03D5"/>
    <w:rsid w:val="007D0447"/>
    <w:rsid w:val="007D0450"/>
    <w:rsid w:val="007D045D"/>
    <w:rsid w:val="007D0471"/>
    <w:rsid w:val="007D0503"/>
    <w:rsid w:val="007D0581"/>
    <w:rsid w:val="007D0591"/>
    <w:rsid w:val="007D06E6"/>
    <w:rsid w:val="007D06EA"/>
    <w:rsid w:val="007D07B8"/>
    <w:rsid w:val="007D08C7"/>
    <w:rsid w:val="007D0908"/>
    <w:rsid w:val="007D0954"/>
    <w:rsid w:val="007D0978"/>
    <w:rsid w:val="007D0981"/>
    <w:rsid w:val="007D0A80"/>
    <w:rsid w:val="007D0AE0"/>
    <w:rsid w:val="007D0B57"/>
    <w:rsid w:val="007D0BDF"/>
    <w:rsid w:val="007D0DB8"/>
    <w:rsid w:val="007D0DC8"/>
    <w:rsid w:val="007D0DFA"/>
    <w:rsid w:val="007D0E2E"/>
    <w:rsid w:val="007D0E37"/>
    <w:rsid w:val="007D0E74"/>
    <w:rsid w:val="007D0F04"/>
    <w:rsid w:val="007D0F29"/>
    <w:rsid w:val="007D100A"/>
    <w:rsid w:val="007D1055"/>
    <w:rsid w:val="007D106E"/>
    <w:rsid w:val="007D109A"/>
    <w:rsid w:val="007D11A5"/>
    <w:rsid w:val="007D1309"/>
    <w:rsid w:val="007D131E"/>
    <w:rsid w:val="007D1367"/>
    <w:rsid w:val="007D137D"/>
    <w:rsid w:val="007D1395"/>
    <w:rsid w:val="007D13A8"/>
    <w:rsid w:val="007D1523"/>
    <w:rsid w:val="007D1561"/>
    <w:rsid w:val="007D157C"/>
    <w:rsid w:val="007D15BF"/>
    <w:rsid w:val="007D16FC"/>
    <w:rsid w:val="007D1755"/>
    <w:rsid w:val="007D1790"/>
    <w:rsid w:val="007D1800"/>
    <w:rsid w:val="007D1824"/>
    <w:rsid w:val="007D1828"/>
    <w:rsid w:val="007D1A10"/>
    <w:rsid w:val="007D1A84"/>
    <w:rsid w:val="007D1B4D"/>
    <w:rsid w:val="007D1C6F"/>
    <w:rsid w:val="007D1C82"/>
    <w:rsid w:val="007D1D0C"/>
    <w:rsid w:val="007D1D13"/>
    <w:rsid w:val="007D1D76"/>
    <w:rsid w:val="007D1DB0"/>
    <w:rsid w:val="007D1E1E"/>
    <w:rsid w:val="007D1EBA"/>
    <w:rsid w:val="007D1F07"/>
    <w:rsid w:val="007D1F6D"/>
    <w:rsid w:val="007D1F75"/>
    <w:rsid w:val="007D1FDB"/>
    <w:rsid w:val="007D2066"/>
    <w:rsid w:val="007D20A9"/>
    <w:rsid w:val="007D20CB"/>
    <w:rsid w:val="007D2239"/>
    <w:rsid w:val="007D22AE"/>
    <w:rsid w:val="007D22EB"/>
    <w:rsid w:val="007D22F8"/>
    <w:rsid w:val="007D2340"/>
    <w:rsid w:val="007D23F7"/>
    <w:rsid w:val="007D2407"/>
    <w:rsid w:val="007D24EC"/>
    <w:rsid w:val="007D2501"/>
    <w:rsid w:val="007D252D"/>
    <w:rsid w:val="007D25FA"/>
    <w:rsid w:val="007D2663"/>
    <w:rsid w:val="007D2699"/>
    <w:rsid w:val="007D2727"/>
    <w:rsid w:val="007D27E4"/>
    <w:rsid w:val="007D280E"/>
    <w:rsid w:val="007D2919"/>
    <w:rsid w:val="007D2932"/>
    <w:rsid w:val="007D29E6"/>
    <w:rsid w:val="007D2AC3"/>
    <w:rsid w:val="007D2BCB"/>
    <w:rsid w:val="007D2C27"/>
    <w:rsid w:val="007D2C98"/>
    <w:rsid w:val="007D2CD5"/>
    <w:rsid w:val="007D2D44"/>
    <w:rsid w:val="007D2DCD"/>
    <w:rsid w:val="007D2E79"/>
    <w:rsid w:val="007D2EB3"/>
    <w:rsid w:val="007D2ECE"/>
    <w:rsid w:val="007D2F01"/>
    <w:rsid w:val="007D2FC5"/>
    <w:rsid w:val="007D2FFA"/>
    <w:rsid w:val="007D3062"/>
    <w:rsid w:val="007D30C2"/>
    <w:rsid w:val="007D30E5"/>
    <w:rsid w:val="007D3136"/>
    <w:rsid w:val="007D3157"/>
    <w:rsid w:val="007D3162"/>
    <w:rsid w:val="007D318A"/>
    <w:rsid w:val="007D32E4"/>
    <w:rsid w:val="007D358C"/>
    <w:rsid w:val="007D35E2"/>
    <w:rsid w:val="007D36DE"/>
    <w:rsid w:val="007D3721"/>
    <w:rsid w:val="007D375E"/>
    <w:rsid w:val="007D381D"/>
    <w:rsid w:val="007D388A"/>
    <w:rsid w:val="007D3890"/>
    <w:rsid w:val="007D38C5"/>
    <w:rsid w:val="007D38FC"/>
    <w:rsid w:val="007D39BA"/>
    <w:rsid w:val="007D39F0"/>
    <w:rsid w:val="007D3A41"/>
    <w:rsid w:val="007D3AE4"/>
    <w:rsid w:val="007D3C02"/>
    <w:rsid w:val="007D3C10"/>
    <w:rsid w:val="007D3CBE"/>
    <w:rsid w:val="007D3CD7"/>
    <w:rsid w:val="007D3CE5"/>
    <w:rsid w:val="007D3D08"/>
    <w:rsid w:val="007D3D6D"/>
    <w:rsid w:val="007D3D71"/>
    <w:rsid w:val="007D3D8D"/>
    <w:rsid w:val="007D3DD1"/>
    <w:rsid w:val="007D3DDB"/>
    <w:rsid w:val="007D3E30"/>
    <w:rsid w:val="007D3F9E"/>
    <w:rsid w:val="007D3FF5"/>
    <w:rsid w:val="007D3FFA"/>
    <w:rsid w:val="007D4049"/>
    <w:rsid w:val="007D40A0"/>
    <w:rsid w:val="007D410D"/>
    <w:rsid w:val="007D411B"/>
    <w:rsid w:val="007D4164"/>
    <w:rsid w:val="007D4199"/>
    <w:rsid w:val="007D41D3"/>
    <w:rsid w:val="007D42E8"/>
    <w:rsid w:val="007D42FB"/>
    <w:rsid w:val="007D42FF"/>
    <w:rsid w:val="007D4377"/>
    <w:rsid w:val="007D43C1"/>
    <w:rsid w:val="007D43CA"/>
    <w:rsid w:val="007D442E"/>
    <w:rsid w:val="007D44C1"/>
    <w:rsid w:val="007D44E3"/>
    <w:rsid w:val="007D451B"/>
    <w:rsid w:val="007D4565"/>
    <w:rsid w:val="007D4568"/>
    <w:rsid w:val="007D4616"/>
    <w:rsid w:val="007D4656"/>
    <w:rsid w:val="007D4692"/>
    <w:rsid w:val="007D46EC"/>
    <w:rsid w:val="007D4823"/>
    <w:rsid w:val="007D48EA"/>
    <w:rsid w:val="007D48F2"/>
    <w:rsid w:val="007D4909"/>
    <w:rsid w:val="007D494C"/>
    <w:rsid w:val="007D495A"/>
    <w:rsid w:val="007D49BD"/>
    <w:rsid w:val="007D49DE"/>
    <w:rsid w:val="007D49EF"/>
    <w:rsid w:val="007D4A12"/>
    <w:rsid w:val="007D4A2F"/>
    <w:rsid w:val="007D4A4F"/>
    <w:rsid w:val="007D4A73"/>
    <w:rsid w:val="007D4A8E"/>
    <w:rsid w:val="007D4B56"/>
    <w:rsid w:val="007D4B6B"/>
    <w:rsid w:val="007D4B95"/>
    <w:rsid w:val="007D4C92"/>
    <w:rsid w:val="007D4CB4"/>
    <w:rsid w:val="007D4CBE"/>
    <w:rsid w:val="007D4D82"/>
    <w:rsid w:val="007D4D8D"/>
    <w:rsid w:val="007D4DC4"/>
    <w:rsid w:val="007D4E3A"/>
    <w:rsid w:val="007D4E50"/>
    <w:rsid w:val="007D4F75"/>
    <w:rsid w:val="007D507A"/>
    <w:rsid w:val="007D5093"/>
    <w:rsid w:val="007D50EC"/>
    <w:rsid w:val="007D51BB"/>
    <w:rsid w:val="007D5252"/>
    <w:rsid w:val="007D52D5"/>
    <w:rsid w:val="007D52DA"/>
    <w:rsid w:val="007D5302"/>
    <w:rsid w:val="007D548F"/>
    <w:rsid w:val="007D54C7"/>
    <w:rsid w:val="007D55E1"/>
    <w:rsid w:val="007D5619"/>
    <w:rsid w:val="007D573C"/>
    <w:rsid w:val="007D57B3"/>
    <w:rsid w:val="007D585D"/>
    <w:rsid w:val="007D58BF"/>
    <w:rsid w:val="007D597C"/>
    <w:rsid w:val="007D599C"/>
    <w:rsid w:val="007D59D2"/>
    <w:rsid w:val="007D5ABA"/>
    <w:rsid w:val="007D5B34"/>
    <w:rsid w:val="007D5CED"/>
    <w:rsid w:val="007D5D54"/>
    <w:rsid w:val="007D5DB6"/>
    <w:rsid w:val="007D5F25"/>
    <w:rsid w:val="007D5FC9"/>
    <w:rsid w:val="007D6061"/>
    <w:rsid w:val="007D606C"/>
    <w:rsid w:val="007D609C"/>
    <w:rsid w:val="007D60C8"/>
    <w:rsid w:val="007D612F"/>
    <w:rsid w:val="007D615F"/>
    <w:rsid w:val="007D61D5"/>
    <w:rsid w:val="007D621E"/>
    <w:rsid w:val="007D6265"/>
    <w:rsid w:val="007D62E4"/>
    <w:rsid w:val="007D6334"/>
    <w:rsid w:val="007D636A"/>
    <w:rsid w:val="007D63DF"/>
    <w:rsid w:val="007D648C"/>
    <w:rsid w:val="007D64D5"/>
    <w:rsid w:val="007D6514"/>
    <w:rsid w:val="007D661F"/>
    <w:rsid w:val="007D66EF"/>
    <w:rsid w:val="007D66FE"/>
    <w:rsid w:val="007D6775"/>
    <w:rsid w:val="007D67D6"/>
    <w:rsid w:val="007D6928"/>
    <w:rsid w:val="007D69C2"/>
    <w:rsid w:val="007D69FD"/>
    <w:rsid w:val="007D6A9C"/>
    <w:rsid w:val="007D6A9E"/>
    <w:rsid w:val="007D6B21"/>
    <w:rsid w:val="007D6B77"/>
    <w:rsid w:val="007D6B9E"/>
    <w:rsid w:val="007D6BCF"/>
    <w:rsid w:val="007D6BE2"/>
    <w:rsid w:val="007D6BE4"/>
    <w:rsid w:val="007D6BF5"/>
    <w:rsid w:val="007D6BFD"/>
    <w:rsid w:val="007D6C11"/>
    <w:rsid w:val="007D6D90"/>
    <w:rsid w:val="007D6D96"/>
    <w:rsid w:val="007D6DD6"/>
    <w:rsid w:val="007D6E23"/>
    <w:rsid w:val="007D6F68"/>
    <w:rsid w:val="007D6FD2"/>
    <w:rsid w:val="007D6FF4"/>
    <w:rsid w:val="007D7005"/>
    <w:rsid w:val="007D7041"/>
    <w:rsid w:val="007D70B3"/>
    <w:rsid w:val="007D7142"/>
    <w:rsid w:val="007D717B"/>
    <w:rsid w:val="007D717E"/>
    <w:rsid w:val="007D719C"/>
    <w:rsid w:val="007D71B8"/>
    <w:rsid w:val="007D71CD"/>
    <w:rsid w:val="007D724B"/>
    <w:rsid w:val="007D725E"/>
    <w:rsid w:val="007D7366"/>
    <w:rsid w:val="007D7378"/>
    <w:rsid w:val="007D7379"/>
    <w:rsid w:val="007D73D0"/>
    <w:rsid w:val="007D73E2"/>
    <w:rsid w:val="007D7427"/>
    <w:rsid w:val="007D742D"/>
    <w:rsid w:val="007D7463"/>
    <w:rsid w:val="007D748C"/>
    <w:rsid w:val="007D74C2"/>
    <w:rsid w:val="007D75A8"/>
    <w:rsid w:val="007D75B3"/>
    <w:rsid w:val="007D75D4"/>
    <w:rsid w:val="007D75FA"/>
    <w:rsid w:val="007D7611"/>
    <w:rsid w:val="007D7616"/>
    <w:rsid w:val="007D763E"/>
    <w:rsid w:val="007D773B"/>
    <w:rsid w:val="007D7743"/>
    <w:rsid w:val="007D77C1"/>
    <w:rsid w:val="007D77C5"/>
    <w:rsid w:val="007D7904"/>
    <w:rsid w:val="007D7A4A"/>
    <w:rsid w:val="007D7A71"/>
    <w:rsid w:val="007D7AEF"/>
    <w:rsid w:val="007D7B0D"/>
    <w:rsid w:val="007D7B2A"/>
    <w:rsid w:val="007D7B7A"/>
    <w:rsid w:val="007D7BB8"/>
    <w:rsid w:val="007D7BCA"/>
    <w:rsid w:val="007D7BF6"/>
    <w:rsid w:val="007D7C49"/>
    <w:rsid w:val="007D7CBF"/>
    <w:rsid w:val="007D7D57"/>
    <w:rsid w:val="007D7DB1"/>
    <w:rsid w:val="007D7E8A"/>
    <w:rsid w:val="007D7F1B"/>
    <w:rsid w:val="007D7F37"/>
    <w:rsid w:val="007D7F3A"/>
    <w:rsid w:val="007D7F41"/>
    <w:rsid w:val="007D7FB2"/>
    <w:rsid w:val="007D7FE7"/>
    <w:rsid w:val="007D7FED"/>
    <w:rsid w:val="007E005F"/>
    <w:rsid w:val="007E008A"/>
    <w:rsid w:val="007E00AA"/>
    <w:rsid w:val="007E00C7"/>
    <w:rsid w:val="007E0185"/>
    <w:rsid w:val="007E01C0"/>
    <w:rsid w:val="007E01D8"/>
    <w:rsid w:val="007E020D"/>
    <w:rsid w:val="007E0237"/>
    <w:rsid w:val="007E023C"/>
    <w:rsid w:val="007E0240"/>
    <w:rsid w:val="007E0251"/>
    <w:rsid w:val="007E02C5"/>
    <w:rsid w:val="007E0307"/>
    <w:rsid w:val="007E0309"/>
    <w:rsid w:val="007E0316"/>
    <w:rsid w:val="007E035F"/>
    <w:rsid w:val="007E0394"/>
    <w:rsid w:val="007E0461"/>
    <w:rsid w:val="007E04A0"/>
    <w:rsid w:val="007E0549"/>
    <w:rsid w:val="007E06B6"/>
    <w:rsid w:val="007E071F"/>
    <w:rsid w:val="007E0733"/>
    <w:rsid w:val="007E073E"/>
    <w:rsid w:val="007E0790"/>
    <w:rsid w:val="007E07DB"/>
    <w:rsid w:val="007E07F4"/>
    <w:rsid w:val="007E08B4"/>
    <w:rsid w:val="007E0916"/>
    <w:rsid w:val="007E0943"/>
    <w:rsid w:val="007E0A4F"/>
    <w:rsid w:val="007E0AD0"/>
    <w:rsid w:val="007E0B1C"/>
    <w:rsid w:val="007E0B5B"/>
    <w:rsid w:val="007E0BC6"/>
    <w:rsid w:val="007E0BDB"/>
    <w:rsid w:val="007E0C47"/>
    <w:rsid w:val="007E0C54"/>
    <w:rsid w:val="007E0C6D"/>
    <w:rsid w:val="007E0C83"/>
    <w:rsid w:val="007E0DA4"/>
    <w:rsid w:val="007E0DAA"/>
    <w:rsid w:val="007E0DF4"/>
    <w:rsid w:val="007E0E44"/>
    <w:rsid w:val="007E0E52"/>
    <w:rsid w:val="007E0E80"/>
    <w:rsid w:val="007E0EC0"/>
    <w:rsid w:val="007E0F77"/>
    <w:rsid w:val="007E0FCC"/>
    <w:rsid w:val="007E0FF8"/>
    <w:rsid w:val="007E105E"/>
    <w:rsid w:val="007E10AE"/>
    <w:rsid w:val="007E116B"/>
    <w:rsid w:val="007E1234"/>
    <w:rsid w:val="007E1235"/>
    <w:rsid w:val="007E12D1"/>
    <w:rsid w:val="007E130B"/>
    <w:rsid w:val="007E1335"/>
    <w:rsid w:val="007E1484"/>
    <w:rsid w:val="007E148E"/>
    <w:rsid w:val="007E151C"/>
    <w:rsid w:val="007E162A"/>
    <w:rsid w:val="007E1640"/>
    <w:rsid w:val="007E1693"/>
    <w:rsid w:val="007E1696"/>
    <w:rsid w:val="007E172C"/>
    <w:rsid w:val="007E17BD"/>
    <w:rsid w:val="007E17E9"/>
    <w:rsid w:val="007E1833"/>
    <w:rsid w:val="007E18AA"/>
    <w:rsid w:val="007E1977"/>
    <w:rsid w:val="007E19C7"/>
    <w:rsid w:val="007E19C8"/>
    <w:rsid w:val="007E1A2F"/>
    <w:rsid w:val="007E1A6E"/>
    <w:rsid w:val="007E1A94"/>
    <w:rsid w:val="007E1AAA"/>
    <w:rsid w:val="007E1AB1"/>
    <w:rsid w:val="007E1AF9"/>
    <w:rsid w:val="007E1C60"/>
    <w:rsid w:val="007E1D39"/>
    <w:rsid w:val="007E1D9D"/>
    <w:rsid w:val="007E1E8C"/>
    <w:rsid w:val="007E1EA6"/>
    <w:rsid w:val="007E1EBF"/>
    <w:rsid w:val="007E1EDA"/>
    <w:rsid w:val="007E1F06"/>
    <w:rsid w:val="007E1F41"/>
    <w:rsid w:val="007E1FD1"/>
    <w:rsid w:val="007E2020"/>
    <w:rsid w:val="007E204D"/>
    <w:rsid w:val="007E2079"/>
    <w:rsid w:val="007E20C0"/>
    <w:rsid w:val="007E2195"/>
    <w:rsid w:val="007E21D2"/>
    <w:rsid w:val="007E21FF"/>
    <w:rsid w:val="007E2213"/>
    <w:rsid w:val="007E2247"/>
    <w:rsid w:val="007E2278"/>
    <w:rsid w:val="007E22EA"/>
    <w:rsid w:val="007E2307"/>
    <w:rsid w:val="007E2339"/>
    <w:rsid w:val="007E233D"/>
    <w:rsid w:val="007E239B"/>
    <w:rsid w:val="007E239D"/>
    <w:rsid w:val="007E23D3"/>
    <w:rsid w:val="007E2431"/>
    <w:rsid w:val="007E244F"/>
    <w:rsid w:val="007E2486"/>
    <w:rsid w:val="007E24AC"/>
    <w:rsid w:val="007E24B1"/>
    <w:rsid w:val="007E252B"/>
    <w:rsid w:val="007E25A3"/>
    <w:rsid w:val="007E269B"/>
    <w:rsid w:val="007E26DA"/>
    <w:rsid w:val="007E2733"/>
    <w:rsid w:val="007E2753"/>
    <w:rsid w:val="007E276C"/>
    <w:rsid w:val="007E27D1"/>
    <w:rsid w:val="007E27D6"/>
    <w:rsid w:val="007E2826"/>
    <w:rsid w:val="007E286B"/>
    <w:rsid w:val="007E2914"/>
    <w:rsid w:val="007E293D"/>
    <w:rsid w:val="007E2A27"/>
    <w:rsid w:val="007E2A3C"/>
    <w:rsid w:val="007E2A80"/>
    <w:rsid w:val="007E2B5E"/>
    <w:rsid w:val="007E2BB1"/>
    <w:rsid w:val="007E2C35"/>
    <w:rsid w:val="007E2CA8"/>
    <w:rsid w:val="007E2CB3"/>
    <w:rsid w:val="007E2CD5"/>
    <w:rsid w:val="007E2CE8"/>
    <w:rsid w:val="007E2CFC"/>
    <w:rsid w:val="007E2E15"/>
    <w:rsid w:val="007E2E66"/>
    <w:rsid w:val="007E2F3C"/>
    <w:rsid w:val="007E2F7A"/>
    <w:rsid w:val="007E2FC2"/>
    <w:rsid w:val="007E301A"/>
    <w:rsid w:val="007E3095"/>
    <w:rsid w:val="007E318E"/>
    <w:rsid w:val="007E32B9"/>
    <w:rsid w:val="007E32DF"/>
    <w:rsid w:val="007E32F4"/>
    <w:rsid w:val="007E33D2"/>
    <w:rsid w:val="007E3406"/>
    <w:rsid w:val="007E3450"/>
    <w:rsid w:val="007E3475"/>
    <w:rsid w:val="007E34AE"/>
    <w:rsid w:val="007E35B8"/>
    <w:rsid w:val="007E35CA"/>
    <w:rsid w:val="007E35FF"/>
    <w:rsid w:val="007E3645"/>
    <w:rsid w:val="007E365D"/>
    <w:rsid w:val="007E3672"/>
    <w:rsid w:val="007E3761"/>
    <w:rsid w:val="007E3782"/>
    <w:rsid w:val="007E37CB"/>
    <w:rsid w:val="007E3819"/>
    <w:rsid w:val="007E3853"/>
    <w:rsid w:val="007E38BA"/>
    <w:rsid w:val="007E39CE"/>
    <w:rsid w:val="007E39F1"/>
    <w:rsid w:val="007E3A65"/>
    <w:rsid w:val="007E3A95"/>
    <w:rsid w:val="007E3B2A"/>
    <w:rsid w:val="007E3B55"/>
    <w:rsid w:val="007E3BAE"/>
    <w:rsid w:val="007E3C60"/>
    <w:rsid w:val="007E3CAF"/>
    <w:rsid w:val="007E3D47"/>
    <w:rsid w:val="007E3D8E"/>
    <w:rsid w:val="007E3E3A"/>
    <w:rsid w:val="007E3E56"/>
    <w:rsid w:val="007E3EAF"/>
    <w:rsid w:val="007E3EC5"/>
    <w:rsid w:val="007E3EDA"/>
    <w:rsid w:val="007E3FD8"/>
    <w:rsid w:val="007E4027"/>
    <w:rsid w:val="007E4052"/>
    <w:rsid w:val="007E408B"/>
    <w:rsid w:val="007E40AE"/>
    <w:rsid w:val="007E40F4"/>
    <w:rsid w:val="007E4162"/>
    <w:rsid w:val="007E4183"/>
    <w:rsid w:val="007E41B7"/>
    <w:rsid w:val="007E4244"/>
    <w:rsid w:val="007E4305"/>
    <w:rsid w:val="007E434B"/>
    <w:rsid w:val="007E43DB"/>
    <w:rsid w:val="007E4406"/>
    <w:rsid w:val="007E443A"/>
    <w:rsid w:val="007E44FD"/>
    <w:rsid w:val="007E457D"/>
    <w:rsid w:val="007E45E8"/>
    <w:rsid w:val="007E462E"/>
    <w:rsid w:val="007E4643"/>
    <w:rsid w:val="007E4649"/>
    <w:rsid w:val="007E464F"/>
    <w:rsid w:val="007E4687"/>
    <w:rsid w:val="007E46F1"/>
    <w:rsid w:val="007E46F5"/>
    <w:rsid w:val="007E4702"/>
    <w:rsid w:val="007E4709"/>
    <w:rsid w:val="007E4734"/>
    <w:rsid w:val="007E47C3"/>
    <w:rsid w:val="007E47CE"/>
    <w:rsid w:val="007E4800"/>
    <w:rsid w:val="007E4A27"/>
    <w:rsid w:val="007E4A8B"/>
    <w:rsid w:val="007E4A8C"/>
    <w:rsid w:val="007E4AC3"/>
    <w:rsid w:val="007E4D12"/>
    <w:rsid w:val="007E4D87"/>
    <w:rsid w:val="007E4DA0"/>
    <w:rsid w:val="007E4DF5"/>
    <w:rsid w:val="007E4E0D"/>
    <w:rsid w:val="007E4E2E"/>
    <w:rsid w:val="007E4E48"/>
    <w:rsid w:val="007E4EE7"/>
    <w:rsid w:val="007E4F95"/>
    <w:rsid w:val="007E4FAD"/>
    <w:rsid w:val="007E4FB6"/>
    <w:rsid w:val="007E5049"/>
    <w:rsid w:val="007E50CD"/>
    <w:rsid w:val="007E50E1"/>
    <w:rsid w:val="007E50F9"/>
    <w:rsid w:val="007E50FA"/>
    <w:rsid w:val="007E511D"/>
    <w:rsid w:val="007E514E"/>
    <w:rsid w:val="007E5180"/>
    <w:rsid w:val="007E51AB"/>
    <w:rsid w:val="007E51B4"/>
    <w:rsid w:val="007E5248"/>
    <w:rsid w:val="007E5271"/>
    <w:rsid w:val="007E5274"/>
    <w:rsid w:val="007E52B1"/>
    <w:rsid w:val="007E52F8"/>
    <w:rsid w:val="007E530E"/>
    <w:rsid w:val="007E5323"/>
    <w:rsid w:val="007E5365"/>
    <w:rsid w:val="007E53C1"/>
    <w:rsid w:val="007E53C4"/>
    <w:rsid w:val="007E546E"/>
    <w:rsid w:val="007E54B2"/>
    <w:rsid w:val="007E5563"/>
    <w:rsid w:val="007E55A0"/>
    <w:rsid w:val="007E5616"/>
    <w:rsid w:val="007E5655"/>
    <w:rsid w:val="007E567D"/>
    <w:rsid w:val="007E569A"/>
    <w:rsid w:val="007E5712"/>
    <w:rsid w:val="007E5736"/>
    <w:rsid w:val="007E57AC"/>
    <w:rsid w:val="007E57B1"/>
    <w:rsid w:val="007E58A4"/>
    <w:rsid w:val="007E5914"/>
    <w:rsid w:val="007E5939"/>
    <w:rsid w:val="007E5A06"/>
    <w:rsid w:val="007E5A72"/>
    <w:rsid w:val="007E5A82"/>
    <w:rsid w:val="007E5AFB"/>
    <w:rsid w:val="007E5B10"/>
    <w:rsid w:val="007E5B94"/>
    <w:rsid w:val="007E5BDB"/>
    <w:rsid w:val="007E5E63"/>
    <w:rsid w:val="007E5E70"/>
    <w:rsid w:val="007E5F24"/>
    <w:rsid w:val="007E5F3C"/>
    <w:rsid w:val="007E5F9C"/>
    <w:rsid w:val="007E5FF6"/>
    <w:rsid w:val="007E6030"/>
    <w:rsid w:val="007E603F"/>
    <w:rsid w:val="007E60C0"/>
    <w:rsid w:val="007E612E"/>
    <w:rsid w:val="007E6235"/>
    <w:rsid w:val="007E6241"/>
    <w:rsid w:val="007E6252"/>
    <w:rsid w:val="007E6261"/>
    <w:rsid w:val="007E6282"/>
    <w:rsid w:val="007E638B"/>
    <w:rsid w:val="007E6392"/>
    <w:rsid w:val="007E6475"/>
    <w:rsid w:val="007E65E3"/>
    <w:rsid w:val="007E6633"/>
    <w:rsid w:val="007E6673"/>
    <w:rsid w:val="007E6691"/>
    <w:rsid w:val="007E677A"/>
    <w:rsid w:val="007E67A4"/>
    <w:rsid w:val="007E67B6"/>
    <w:rsid w:val="007E684B"/>
    <w:rsid w:val="007E686E"/>
    <w:rsid w:val="007E68AF"/>
    <w:rsid w:val="007E68CF"/>
    <w:rsid w:val="007E68E3"/>
    <w:rsid w:val="007E692C"/>
    <w:rsid w:val="007E69D0"/>
    <w:rsid w:val="007E69D6"/>
    <w:rsid w:val="007E69F4"/>
    <w:rsid w:val="007E69F5"/>
    <w:rsid w:val="007E6A66"/>
    <w:rsid w:val="007E6AE9"/>
    <w:rsid w:val="007E6AF5"/>
    <w:rsid w:val="007E6C09"/>
    <w:rsid w:val="007E6C5F"/>
    <w:rsid w:val="007E6C96"/>
    <w:rsid w:val="007E6CDE"/>
    <w:rsid w:val="007E6CE1"/>
    <w:rsid w:val="007E6D3E"/>
    <w:rsid w:val="007E6DE7"/>
    <w:rsid w:val="007E6E51"/>
    <w:rsid w:val="007E6E71"/>
    <w:rsid w:val="007E6E83"/>
    <w:rsid w:val="007E6ECC"/>
    <w:rsid w:val="007E6ED0"/>
    <w:rsid w:val="007E6F28"/>
    <w:rsid w:val="007E6F4D"/>
    <w:rsid w:val="007E6F65"/>
    <w:rsid w:val="007E7019"/>
    <w:rsid w:val="007E704B"/>
    <w:rsid w:val="007E7087"/>
    <w:rsid w:val="007E7157"/>
    <w:rsid w:val="007E719E"/>
    <w:rsid w:val="007E71E1"/>
    <w:rsid w:val="007E71FF"/>
    <w:rsid w:val="007E7229"/>
    <w:rsid w:val="007E7305"/>
    <w:rsid w:val="007E7387"/>
    <w:rsid w:val="007E739C"/>
    <w:rsid w:val="007E739F"/>
    <w:rsid w:val="007E7410"/>
    <w:rsid w:val="007E7486"/>
    <w:rsid w:val="007E7682"/>
    <w:rsid w:val="007E76EF"/>
    <w:rsid w:val="007E774A"/>
    <w:rsid w:val="007E779C"/>
    <w:rsid w:val="007E78C1"/>
    <w:rsid w:val="007E796C"/>
    <w:rsid w:val="007E798A"/>
    <w:rsid w:val="007E7992"/>
    <w:rsid w:val="007E79DB"/>
    <w:rsid w:val="007E79E6"/>
    <w:rsid w:val="007E7A12"/>
    <w:rsid w:val="007E7A5C"/>
    <w:rsid w:val="007E7A6F"/>
    <w:rsid w:val="007E7A73"/>
    <w:rsid w:val="007E7B39"/>
    <w:rsid w:val="007E7B5E"/>
    <w:rsid w:val="007E7BA9"/>
    <w:rsid w:val="007E7BE1"/>
    <w:rsid w:val="007E7C65"/>
    <w:rsid w:val="007E7D5E"/>
    <w:rsid w:val="007E7D60"/>
    <w:rsid w:val="007E7DBF"/>
    <w:rsid w:val="007E7DDD"/>
    <w:rsid w:val="007E7E7F"/>
    <w:rsid w:val="007E7EB0"/>
    <w:rsid w:val="007E7ECC"/>
    <w:rsid w:val="007E7ED5"/>
    <w:rsid w:val="007E7F15"/>
    <w:rsid w:val="007E7F5D"/>
    <w:rsid w:val="007E7FB7"/>
    <w:rsid w:val="007E7FE1"/>
    <w:rsid w:val="007F0049"/>
    <w:rsid w:val="007F005A"/>
    <w:rsid w:val="007F007A"/>
    <w:rsid w:val="007F013D"/>
    <w:rsid w:val="007F0142"/>
    <w:rsid w:val="007F0190"/>
    <w:rsid w:val="007F021F"/>
    <w:rsid w:val="007F0298"/>
    <w:rsid w:val="007F0299"/>
    <w:rsid w:val="007F0398"/>
    <w:rsid w:val="007F046A"/>
    <w:rsid w:val="007F04B9"/>
    <w:rsid w:val="007F04D5"/>
    <w:rsid w:val="007F0518"/>
    <w:rsid w:val="007F0523"/>
    <w:rsid w:val="007F05C7"/>
    <w:rsid w:val="007F06C4"/>
    <w:rsid w:val="007F06E5"/>
    <w:rsid w:val="007F073A"/>
    <w:rsid w:val="007F074E"/>
    <w:rsid w:val="007F0793"/>
    <w:rsid w:val="007F081F"/>
    <w:rsid w:val="007F087A"/>
    <w:rsid w:val="007F0889"/>
    <w:rsid w:val="007F08CD"/>
    <w:rsid w:val="007F0965"/>
    <w:rsid w:val="007F0A63"/>
    <w:rsid w:val="007F0A76"/>
    <w:rsid w:val="007F0AC6"/>
    <w:rsid w:val="007F0B22"/>
    <w:rsid w:val="007F0BD4"/>
    <w:rsid w:val="007F0C15"/>
    <w:rsid w:val="007F0C4A"/>
    <w:rsid w:val="007F0D88"/>
    <w:rsid w:val="007F0EDD"/>
    <w:rsid w:val="007F0F2E"/>
    <w:rsid w:val="007F0FC5"/>
    <w:rsid w:val="007F1057"/>
    <w:rsid w:val="007F107B"/>
    <w:rsid w:val="007F10F1"/>
    <w:rsid w:val="007F1140"/>
    <w:rsid w:val="007F1165"/>
    <w:rsid w:val="007F1197"/>
    <w:rsid w:val="007F11B5"/>
    <w:rsid w:val="007F11CB"/>
    <w:rsid w:val="007F11D3"/>
    <w:rsid w:val="007F124A"/>
    <w:rsid w:val="007F1256"/>
    <w:rsid w:val="007F1262"/>
    <w:rsid w:val="007F1281"/>
    <w:rsid w:val="007F130A"/>
    <w:rsid w:val="007F1353"/>
    <w:rsid w:val="007F1384"/>
    <w:rsid w:val="007F143A"/>
    <w:rsid w:val="007F143D"/>
    <w:rsid w:val="007F1484"/>
    <w:rsid w:val="007F151B"/>
    <w:rsid w:val="007F1532"/>
    <w:rsid w:val="007F1562"/>
    <w:rsid w:val="007F1588"/>
    <w:rsid w:val="007F1606"/>
    <w:rsid w:val="007F161C"/>
    <w:rsid w:val="007F162C"/>
    <w:rsid w:val="007F16DF"/>
    <w:rsid w:val="007F1739"/>
    <w:rsid w:val="007F17E9"/>
    <w:rsid w:val="007F18C0"/>
    <w:rsid w:val="007F191E"/>
    <w:rsid w:val="007F194A"/>
    <w:rsid w:val="007F1988"/>
    <w:rsid w:val="007F1A54"/>
    <w:rsid w:val="007F1A65"/>
    <w:rsid w:val="007F1B11"/>
    <w:rsid w:val="007F1B7F"/>
    <w:rsid w:val="007F1BC9"/>
    <w:rsid w:val="007F1BFA"/>
    <w:rsid w:val="007F1C0D"/>
    <w:rsid w:val="007F1C39"/>
    <w:rsid w:val="007F1C3A"/>
    <w:rsid w:val="007F1C54"/>
    <w:rsid w:val="007F1C75"/>
    <w:rsid w:val="007F1CA9"/>
    <w:rsid w:val="007F1CD0"/>
    <w:rsid w:val="007F1DA0"/>
    <w:rsid w:val="007F1DC0"/>
    <w:rsid w:val="007F1DDB"/>
    <w:rsid w:val="007F1DEA"/>
    <w:rsid w:val="007F1E54"/>
    <w:rsid w:val="007F1E5F"/>
    <w:rsid w:val="007F1E78"/>
    <w:rsid w:val="007F1EE2"/>
    <w:rsid w:val="007F1F0C"/>
    <w:rsid w:val="007F1F25"/>
    <w:rsid w:val="007F1FDF"/>
    <w:rsid w:val="007F2005"/>
    <w:rsid w:val="007F200B"/>
    <w:rsid w:val="007F20CA"/>
    <w:rsid w:val="007F21F5"/>
    <w:rsid w:val="007F21FE"/>
    <w:rsid w:val="007F229C"/>
    <w:rsid w:val="007F2314"/>
    <w:rsid w:val="007F231D"/>
    <w:rsid w:val="007F2362"/>
    <w:rsid w:val="007F239B"/>
    <w:rsid w:val="007F2465"/>
    <w:rsid w:val="007F24CF"/>
    <w:rsid w:val="007F2595"/>
    <w:rsid w:val="007F259B"/>
    <w:rsid w:val="007F25D3"/>
    <w:rsid w:val="007F2638"/>
    <w:rsid w:val="007F2690"/>
    <w:rsid w:val="007F26A1"/>
    <w:rsid w:val="007F2753"/>
    <w:rsid w:val="007F2797"/>
    <w:rsid w:val="007F27E9"/>
    <w:rsid w:val="007F286B"/>
    <w:rsid w:val="007F28D1"/>
    <w:rsid w:val="007F299C"/>
    <w:rsid w:val="007F299F"/>
    <w:rsid w:val="007F2A3B"/>
    <w:rsid w:val="007F2A82"/>
    <w:rsid w:val="007F2B70"/>
    <w:rsid w:val="007F2BC6"/>
    <w:rsid w:val="007F2BD7"/>
    <w:rsid w:val="007F2CA5"/>
    <w:rsid w:val="007F2CA9"/>
    <w:rsid w:val="007F2D5F"/>
    <w:rsid w:val="007F2DFC"/>
    <w:rsid w:val="007F2E4A"/>
    <w:rsid w:val="007F2ED5"/>
    <w:rsid w:val="007F2EF8"/>
    <w:rsid w:val="007F2F12"/>
    <w:rsid w:val="007F2FAC"/>
    <w:rsid w:val="007F30CC"/>
    <w:rsid w:val="007F30E6"/>
    <w:rsid w:val="007F319A"/>
    <w:rsid w:val="007F31EC"/>
    <w:rsid w:val="007F31FF"/>
    <w:rsid w:val="007F3215"/>
    <w:rsid w:val="007F3220"/>
    <w:rsid w:val="007F32FC"/>
    <w:rsid w:val="007F32FD"/>
    <w:rsid w:val="007F345D"/>
    <w:rsid w:val="007F34B6"/>
    <w:rsid w:val="007F3517"/>
    <w:rsid w:val="007F3527"/>
    <w:rsid w:val="007F353C"/>
    <w:rsid w:val="007F3599"/>
    <w:rsid w:val="007F364A"/>
    <w:rsid w:val="007F364E"/>
    <w:rsid w:val="007F3797"/>
    <w:rsid w:val="007F37C2"/>
    <w:rsid w:val="007F37D1"/>
    <w:rsid w:val="007F37D5"/>
    <w:rsid w:val="007F385A"/>
    <w:rsid w:val="007F3864"/>
    <w:rsid w:val="007F386F"/>
    <w:rsid w:val="007F3883"/>
    <w:rsid w:val="007F38A6"/>
    <w:rsid w:val="007F38A8"/>
    <w:rsid w:val="007F38F7"/>
    <w:rsid w:val="007F393F"/>
    <w:rsid w:val="007F3A2F"/>
    <w:rsid w:val="007F3B72"/>
    <w:rsid w:val="007F3BE8"/>
    <w:rsid w:val="007F3C78"/>
    <w:rsid w:val="007F3C95"/>
    <w:rsid w:val="007F3D0B"/>
    <w:rsid w:val="007F3D44"/>
    <w:rsid w:val="007F3DC9"/>
    <w:rsid w:val="007F3DCD"/>
    <w:rsid w:val="007F3E15"/>
    <w:rsid w:val="007F3E82"/>
    <w:rsid w:val="007F3EA2"/>
    <w:rsid w:val="007F3EA7"/>
    <w:rsid w:val="007F3F10"/>
    <w:rsid w:val="007F3FB7"/>
    <w:rsid w:val="007F405E"/>
    <w:rsid w:val="007F40A3"/>
    <w:rsid w:val="007F40E9"/>
    <w:rsid w:val="007F418E"/>
    <w:rsid w:val="007F41A9"/>
    <w:rsid w:val="007F41B7"/>
    <w:rsid w:val="007F4224"/>
    <w:rsid w:val="007F4243"/>
    <w:rsid w:val="007F429F"/>
    <w:rsid w:val="007F42BB"/>
    <w:rsid w:val="007F4347"/>
    <w:rsid w:val="007F434B"/>
    <w:rsid w:val="007F43CB"/>
    <w:rsid w:val="007F4416"/>
    <w:rsid w:val="007F4434"/>
    <w:rsid w:val="007F4499"/>
    <w:rsid w:val="007F4590"/>
    <w:rsid w:val="007F45BC"/>
    <w:rsid w:val="007F468A"/>
    <w:rsid w:val="007F4719"/>
    <w:rsid w:val="007F479D"/>
    <w:rsid w:val="007F48D7"/>
    <w:rsid w:val="007F497F"/>
    <w:rsid w:val="007F4994"/>
    <w:rsid w:val="007F49FE"/>
    <w:rsid w:val="007F4A1D"/>
    <w:rsid w:val="007F4AD5"/>
    <w:rsid w:val="007F4B15"/>
    <w:rsid w:val="007F4B17"/>
    <w:rsid w:val="007F4BEF"/>
    <w:rsid w:val="007F4C2A"/>
    <w:rsid w:val="007F4C47"/>
    <w:rsid w:val="007F4D24"/>
    <w:rsid w:val="007F4D70"/>
    <w:rsid w:val="007F4DA1"/>
    <w:rsid w:val="007F4E13"/>
    <w:rsid w:val="007F4E3F"/>
    <w:rsid w:val="007F4F1C"/>
    <w:rsid w:val="007F4F6C"/>
    <w:rsid w:val="007F4FAC"/>
    <w:rsid w:val="007F4FE8"/>
    <w:rsid w:val="007F500E"/>
    <w:rsid w:val="007F504A"/>
    <w:rsid w:val="007F50B7"/>
    <w:rsid w:val="007F510F"/>
    <w:rsid w:val="007F5208"/>
    <w:rsid w:val="007F52DB"/>
    <w:rsid w:val="007F5334"/>
    <w:rsid w:val="007F533D"/>
    <w:rsid w:val="007F534C"/>
    <w:rsid w:val="007F5351"/>
    <w:rsid w:val="007F5398"/>
    <w:rsid w:val="007F53D1"/>
    <w:rsid w:val="007F543E"/>
    <w:rsid w:val="007F5444"/>
    <w:rsid w:val="007F5496"/>
    <w:rsid w:val="007F5499"/>
    <w:rsid w:val="007F549D"/>
    <w:rsid w:val="007F54DF"/>
    <w:rsid w:val="007F54E9"/>
    <w:rsid w:val="007F556B"/>
    <w:rsid w:val="007F56AB"/>
    <w:rsid w:val="007F56E0"/>
    <w:rsid w:val="007F571B"/>
    <w:rsid w:val="007F5858"/>
    <w:rsid w:val="007F5890"/>
    <w:rsid w:val="007F5982"/>
    <w:rsid w:val="007F598A"/>
    <w:rsid w:val="007F5A22"/>
    <w:rsid w:val="007F5A48"/>
    <w:rsid w:val="007F5A89"/>
    <w:rsid w:val="007F5AA4"/>
    <w:rsid w:val="007F5AE5"/>
    <w:rsid w:val="007F5BBE"/>
    <w:rsid w:val="007F5BE6"/>
    <w:rsid w:val="007F5C37"/>
    <w:rsid w:val="007F5C4B"/>
    <w:rsid w:val="007F5CB1"/>
    <w:rsid w:val="007F5D80"/>
    <w:rsid w:val="007F5D97"/>
    <w:rsid w:val="007F5DAB"/>
    <w:rsid w:val="007F5DF4"/>
    <w:rsid w:val="007F5E27"/>
    <w:rsid w:val="007F5E3C"/>
    <w:rsid w:val="007F5EC2"/>
    <w:rsid w:val="007F5F3A"/>
    <w:rsid w:val="007F5F46"/>
    <w:rsid w:val="007F5FFF"/>
    <w:rsid w:val="007F6035"/>
    <w:rsid w:val="007F6038"/>
    <w:rsid w:val="007F607B"/>
    <w:rsid w:val="007F60A7"/>
    <w:rsid w:val="007F60B0"/>
    <w:rsid w:val="007F60B5"/>
    <w:rsid w:val="007F61A1"/>
    <w:rsid w:val="007F61AB"/>
    <w:rsid w:val="007F61B4"/>
    <w:rsid w:val="007F6225"/>
    <w:rsid w:val="007F6265"/>
    <w:rsid w:val="007F62B2"/>
    <w:rsid w:val="007F62CC"/>
    <w:rsid w:val="007F6308"/>
    <w:rsid w:val="007F6320"/>
    <w:rsid w:val="007F6330"/>
    <w:rsid w:val="007F63FD"/>
    <w:rsid w:val="007F6400"/>
    <w:rsid w:val="007F6426"/>
    <w:rsid w:val="007F6475"/>
    <w:rsid w:val="007F647B"/>
    <w:rsid w:val="007F6482"/>
    <w:rsid w:val="007F64E9"/>
    <w:rsid w:val="007F650B"/>
    <w:rsid w:val="007F65B2"/>
    <w:rsid w:val="007F662A"/>
    <w:rsid w:val="007F662C"/>
    <w:rsid w:val="007F6645"/>
    <w:rsid w:val="007F664C"/>
    <w:rsid w:val="007F66B9"/>
    <w:rsid w:val="007F6760"/>
    <w:rsid w:val="007F6761"/>
    <w:rsid w:val="007F679E"/>
    <w:rsid w:val="007F67B7"/>
    <w:rsid w:val="007F67E3"/>
    <w:rsid w:val="007F6826"/>
    <w:rsid w:val="007F682D"/>
    <w:rsid w:val="007F6890"/>
    <w:rsid w:val="007F69EA"/>
    <w:rsid w:val="007F6A34"/>
    <w:rsid w:val="007F6ADE"/>
    <w:rsid w:val="007F6B5B"/>
    <w:rsid w:val="007F6C15"/>
    <w:rsid w:val="007F6CFB"/>
    <w:rsid w:val="007F6D38"/>
    <w:rsid w:val="007F6DE4"/>
    <w:rsid w:val="007F6E0B"/>
    <w:rsid w:val="007F6E50"/>
    <w:rsid w:val="007F6E7B"/>
    <w:rsid w:val="007F6F6D"/>
    <w:rsid w:val="007F6FB0"/>
    <w:rsid w:val="007F6FDE"/>
    <w:rsid w:val="007F6FF1"/>
    <w:rsid w:val="007F7004"/>
    <w:rsid w:val="007F702F"/>
    <w:rsid w:val="007F7035"/>
    <w:rsid w:val="007F70AC"/>
    <w:rsid w:val="007F716E"/>
    <w:rsid w:val="007F71A3"/>
    <w:rsid w:val="007F71C3"/>
    <w:rsid w:val="007F720A"/>
    <w:rsid w:val="007F72BD"/>
    <w:rsid w:val="007F72CC"/>
    <w:rsid w:val="007F72E6"/>
    <w:rsid w:val="007F72E7"/>
    <w:rsid w:val="007F7353"/>
    <w:rsid w:val="007F7377"/>
    <w:rsid w:val="007F739C"/>
    <w:rsid w:val="007F73A6"/>
    <w:rsid w:val="007F73B1"/>
    <w:rsid w:val="007F73EA"/>
    <w:rsid w:val="007F7431"/>
    <w:rsid w:val="007F74CD"/>
    <w:rsid w:val="007F74F7"/>
    <w:rsid w:val="007F7539"/>
    <w:rsid w:val="007F75F6"/>
    <w:rsid w:val="007F7712"/>
    <w:rsid w:val="007F7721"/>
    <w:rsid w:val="007F77B6"/>
    <w:rsid w:val="007F78AE"/>
    <w:rsid w:val="007F793E"/>
    <w:rsid w:val="007F7A79"/>
    <w:rsid w:val="007F7A8A"/>
    <w:rsid w:val="007F7B74"/>
    <w:rsid w:val="007F7B8E"/>
    <w:rsid w:val="007F7C0D"/>
    <w:rsid w:val="007F7C9C"/>
    <w:rsid w:val="007F7CBF"/>
    <w:rsid w:val="007F7CC4"/>
    <w:rsid w:val="007F7CCC"/>
    <w:rsid w:val="007F7E37"/>
    <w:rsid w:val="007F7E3A"/>
    <w:rsid w:val="007F7E9F"/>
    <w:rsid w:val="007F7EAB"/>
    <w:rsid w:val="007F7EB3"/>
    <w:rsid w:val="007F7EB6"/>
    <w:rsid w:val="007F7EE5"/>
    <w:rsid w:val="007F7F0B"/>
    <w:rsid w:val="00800016"/>
    <w:rsid w:val="00800026"/>
    <w:rsid w:val="008000A5"/>
    <w:rsid w:val="008000D0"/>
    <w:rsid w:val="00800122"/>
    <w:rsid w:val="00800171"/>
    <w:rsid w:val="0080017D"/>
    <w:rsid w:val="00800283"/>
    <w:rsid w:val="00800317"/>
    <w:rsid w:val="0080032D"/>
    <w:rsid w:val="00800387"/>
    <w:rsid w:val="008003AB"/>
    <w:rsid w:val="008003B3"/>
    <w:rsid w:val="008003E0"/>
    <w:rsid w:val="00800484"/>
    <w:rsid w:val="00800496"/>
    <w:rsid w:val="00800502"/>
    <w:rsid w:val="008006E8"/>
    <w:rsid w:val="00800773"/>
    <w:rsid w:val="008007F1"/>
    <w:rsid w:val="008008D4"/>
    <w:rsid w:val="00800928"/>
    <w:rsid w:val="00800935"/>
    <w:rsid w:val="0080099F"/>
    <w:rsid w:val="008009A5"/>
    <w:rsid w:val="00800A24"/>
    <w:rsid w:val="00800A35"/>
    <w:rsid w:val="00800ABB"/>
    <w:rsid w:val="00800B00"/>
    <w:rsid w:val="00800B72"/>
    <w:rsid w:val="00800BCB"/>
    <w:rsid w:val="00800C96"/>
    <w:rsid w:val="00800D40"/>
    <w:rsid w:val="00800DE2"/>
    <w:rsid w:val="00800E19"/>
    <w:rsid w:val="00800E7B"/>
    <w:rsid w:val="00800EF5"/>
    <w:rsid w:val="00800F5E"/>
    <w:rsid w:val="00800F6D"/>
    <w:rsid w:val="00800F70"/>
    <w:rsid w:val="0080107A"/>
    <w:rsid w:val="0080117B"/>
    <w:rsid w:val="00801236"/>
    <w:rsid w:val="008012AE"/>
    <w:rsid w:val="0080132C"/>
    <w:rsid w:val="00801341"/>
    <w:rsid w:val="0080141B"/>
    <w:rsid w:val="00801422"/>
    <w:rsid w:val="008014B1"/>
    <w:rsid w:val="00801564"/>
    <w:rsid w:val="00801597"/>
    <w:rsid w:val="008015A2"/>
    <w:rsid w:val="00801605"/>
    <w:rsid w:val="00801647"/>
    <w:rsid w:val="00801657"/>
    <w:rsid w:val="0080165F"/>
    <w:rsid w:val="008016A8"/>
    <w:rsid w:val="008016EA"/>
    <w:rsid w:val="00801728"/>
    <w:rsid w:val="00801890"/>
    <w:rsid w:val="008018D9"/>
    <w:rsid w:val="00801935"/>
    <w:rsid w:val="00801996"/>
    <w:rsid w:val="008019A3"/>
    <w:rsid w:val="008019D6"/>
    <w:rsid w:val="008019DD"/>
    <w:rsid w:val="00801A0D"/>
    <w:rsid w:val="00801A99"/>
    <w:rsid w:val="00801A9D"/>
    <w:rsid w:val="00801AD0"/>
    <w:rsid w:val="00801B8A"/>
    <w:rsid w:val="00801BD8"/>
    <w:rsid w:val="00801D0E"/>
    <w:rsid w:val="00801E0E"/>
    <w:rsid w:val="00801E70"/>
    <w:rsid w:val="00801E80"/>
    <w:rsid w:val="00801E91"/>
    <w:rsid w:val="00801EE9"/>
    <w:rsid w:val="00801FE1"/>
    <w:rsid w:val="00801FFE"/>
    <w:rsid w:val="008020E3"/>
    <w:rsid w:val="0080213F"/>
    <w:rsid w:val="00802177"/>
    <w:rsid w:val="0080217A"/>
    <w:rsid w:val="00802193"/>
    <w:rsid w:val="008021B4"/>
    <w:rsid w:val="0080221B"/>
    <w:rsid w:val="00802224"/>
    <w:rsid w:val="0080226B"/>
    <w:rsid w:val="00802275"/>
    <w:rsid w:val="0080228F"/>
    <w:rsid w:val="008022AB"/>
    <w:rsid w:val="008022B6"/>
    <w:rsid w:val="00802395"/>
    <w:rsid w:val="00802408"/>
    <w:rsid w:val="00802420"/>
    <w:rsid w:val="00802443"/>
    <w:rsid w:val="00802573"/>
    <w:rsid w:val="0080257E"/>
    <w:rsid w:val="008025E0"/>
    <w:rsid w:val="00802625"/>
    <w:rsid w:val="0080262E"/>
    <w:rsid w:val="00802732"/>
    <w:rsid w:val="00802742"/>
    <w:rsid w:val="008027D1"/>
    <w:rsid w:val="008027FF"/>
    <w:rsid w:val="00802820"/>
    <w:rsid w:val="00802848"/>
    <w:rsid w:val="00802938"/>
    <w:rsid w:val="00802977"/>
    <w:rsid w:val="00802994"/>
    <w:rsid w:val="00802A1C"/>
    <w:rsid w:val="00802A73"/>
    <w:rsid w:val="00802AC9"/>
    <w:rsid w:val="00802BDB"/>
    <w:rsid w:val="00802CF0"/>
    <w:rsid w:val="00802D51"/>
    <w:rsid w:val="00802DB7"/>
    <w:rsid w:val="00802DBC"/>
    <w:rsid w:val="00802E6A"/>
    <w:rsid w:val="00802EA0"/>
    <w:rsid w:val="00802EC0"/>
    <w:rsid w:val="00802ECE"/>
    <w:rsid w:val="00802F6A"/>
    <w:rsid w:val="00802FB0"/>
    <w:rsid w:val="00802FCB"/>
    <w:rsid w:val="00803020"/>
    <w:rsid w:val="00803029"/>
    <w:rsid w:val="00803161"/>
    <w:rsid w:val="008031CC"/>
    <w:rsid w:val="00803203"/>
    <w:rsid w:val="00803208"/>
    <w:rsid w:val="00803246"/>
    <w:rsid w:val="008032F4"/>
    <w:rsid w:val="00803312"/>
    <w:rsid w:val="0080333D"/>
    <w:rsid w:val="0080335D"/>
    <w:rsid w:val="008033D9"/>
    <w:rsid w:val="008033FF"/>
    <w:rsid w:val="00803403"/>
    <w:rsid w:val="0080343F"/>
    <w:rsid w:val="00803452"/>
    <w:rsid w:val="00803461"/>
    <w:rsid w:val="008034D5"/>
    <w:rsid w:val="00803515"/>
    <w:rsid w:val="00803551"/>
    <w:rsid w:val="0080366E"/>
    <w:rsid w:val="008036C4"/>
    <w:rsid w:val="00803708"/>
    <w:rsid w:val="0080370E"/>
    <w:rsid w:val="00803755"/>
    <w:rsid w:val="0080376A"/>
    <w:rsid w:val="00803783"/>
    <w:rsid w:val="00803794"/>
    <w:rsid w:val="008037C5"/>
    <w:rsid w:val="008037DF"/>
    <w:rsid w:val="0080380D"/>
    <w:rsid w:val="00803844"/>
    <w:rsid w:val="008038A9"/>
    <w:rsid w:val="008039E2"/>
    <w:rsid w:val="00803AB1"/>
    <w:rsid w:val="00803AF0"/>
    <w:rsid w:val="00803B00"/>
    <w:rsid w:val="00803B41"/>
    <w:rsid w:val="00803B8C"/>
    <w:rsid w:val="00803BE2"/>
    <w:rsid w:val="00803BED"/>
    <w:rsid w:val="00803BF4"/>
    <w:rsid w:val="00803BFA"/>
    <w:rsid w:val="00803C50"/>
    <w:rsid w:val="00803CEC"/>
    <w:rsid w:val="00803D0C"/>
    <w:rsid w:val="00803D44"/>
    <w:rsid w:val="00803DB2"/>
    <w:rsid w:val="00803DCD"/>
    <w:rsid w:val="00803E59"/>
    <w:rsid w:val="00803E7D"/>
    <w:rsid w:val="00803E80"/>
    <w:rsid w:val="00803EBB"/>
    <w:rsid w:val="00803EC5"/>
    <w:rsid w:val="00803ED2"/>
    <w:rsid w:val="00803EDC"/>
    <w:rsid w:val="00803F02"/>
    <w:rsid w:val="00803F3E"/>
    <w:rsid w:val="00803FED"/>
    <w:rsid w:val="00804059"/>
    <w:rsid w:val="008040C1"/>
    <w:rsid w:val="008040C9"/>
    <w:rsid w:val="008040CD"/>
    <w:rsid w:val="0080414B"/>
    <w:rsid w:val="00804195"/>
    <w:rsid w:val="008041D6"/>
    <w:rsid w:val="008041E2"/>
    <w:rsid w:val="008041E7"/>
    <w:rsid w:val="00804211"/>
    <w:rsid w:val="00804236"/>
    <w:rsid w:val="008042A4"/>
    <w:rsid w:val="008042E7"/>
    <w:rsid w:val="0080434F"/>
    <w:rsid w:val="0080439F"/>
    <w:rsid w:val="008043D1"/>
    <w:rsid w:val="00804493"/>
    <w:rsid w:val="00804565"/>
    <w:rsid w:val="00804566"/>
    <w:rsid w:val="0080456E"/>
    <w:rsid w:val="008045D7"/>
    <w:rsid w:val="008045EA"/>
    <w:rsid w:val="00804688"/>
    <w:rsid w:val="00804826"/>
    <w:rsid w:val="00804849"/>
    <w:rsid w:val="0080484C"/>
    <w:rsid w:val="0080488D"/>
    <w:rsid w:val="00804952"/>
    <w:rsid w:val="00804961"/>
    <w:rsid w:val="00804983"/>
    <w:rsid w:val="00804996"/>
    <w:rsid w:val="0080499E"/>
    <w:rsid w:val="008049B9"/>
    <w:rsid w:val="008049C3"/>
    <w:rsid w:val="00804A9F"/>
    <w:rsid w:val="00804AB5"/>
    <w:rsid w:val="00804B4E"/>
    <w:rsid w:val="00804B51"/>
    <w:rsid w:val="00804B6A"/>
    <w:rsid w:val="00804B92"/>
    <w:rsid w:val="00804BD7"/>
    <w:rsid w:val="00804C30"/>
    <w:rsid w:val="00804C6E"/>
    <w:rsid w:val="00804D4A"/>
    <w:rsid w:val="00804D51"/>
    <w:rsid w:val="00804D67"/>
    <w:rsid w:val="00804D96"/>
    <w:rsid w:val="00804DE4"/>
    <w:rsid w:val="00804DFF"/>
    <w:rsid w:val="00804E05"/>
    <w:rsid w:val="00804E49"/>
    <w:rsid w:val="00804E5E"/>
    <w:rsid w:val="00804E68"/>
    <w:rsid w:val="00804F39"/>
    <w:rsid w:val="00804F47"/>
    <w:rsid w:val="00804FD2"/>
    <w:rsid w:val="008050CF"/>
    <w:rsid w:val="0080522C"/>
    <w:rsid w:val="008052EF"/>
    <w:rsid w:val="00805374"/>
    <w:rsid w:val="008053A0"/>
    <w:rsid w:val="008053AB"/>
    <w:rsid w:val="008053E2"/>
    <w:rsid w:val="00805590"/>
    <w:rsid w:val="00805596"/>
    <w:rsid w:val="008055F7"/>
    <w:rsid w:val="00805644"/>
    <w:rsid w:val="00805665"/>
    <w:rsid w:val="008056F2"/>
    <w:rsid w:val="0080570A"/>
    <w:rsid w:val="00805712"/>
    <w:rsid w:val="00805722"/>
    <w:rsid w:val="00805725"/>
    <w:rsid w:val="00805757"/>
    <w:rsid w:val="0080576E"/>
    <w:rsid w:val="008057AB"/>
    <w:rsid w:val="0080584B"/>
    <w:rsid w:val="0080599B"/>
    <w:rsid w:val="0080599D"/>
    <w:rsid w:val="008059A0"/>
    <w:rsid w:val="00805A97"/>
    <w:rsid w:val="00805B1B"/>
    <w:rsid w:val="00805B3C"/>
    <w:rsid w:val="00805B65"/>
    <w:rsid w:val="00805C00"/>
    <w:rsid w:val="00805C10"/>
    <w:rsid w:val="00805CBB"/>
    <w:rsid w:val="00805D1D"/>
    <w:rsid w:val="00805D5C"/>
    <w:rsid w:val="00805E5D"/>
    <w:rsid w:val="00805EB6"/>
    <w:rsid w:val="00805F09"/>
    <w:rsid w:val="00805F20"/>
    <w:rsid w:val="00805F69"/>
    <w:rsid w:val="00805F97"/>
    <w:rsid w:val="00805FAF"/>
    <w:rsid w:val="00806008"/>
    <w:rsid w:val="00806079"/>
    <w:rsid w:val="008060CF"/>
    <w:rsid w:val="008060DF"/>
    <w:rsid w:val="0080610A"/>
    <w:rsid w:val="00806142"/>
    <w:rsid w:val="00806191"/>
    <w:rsid w:val="008061C7"/>
    <w:rsid w:val="0080625A"/>
    <w:rsid w:val="00806325"/>
    <w:rsid w:val="0080636E"/>
    <w:rsid w:val="00806378"/>
    <w:rsid w:val="008063BF"/>
    <w:rsid w:val="008063E3"/>
    <w:rsid w:val="00806546"/>
    <w:rsid w:val="00806558"/>
    <w:rsid w:val="0080659E"/>
    <w:rsid w:val="00806615"/>
    <w:rsid w:val="008066E7"/>
    <w:rsid w:val="0080670C"/>
    <w:rsid w:val="0080671A"/>
    <w:rsid w:val="008067EA"/>
    <w:rsid w:val="00806888"/>
    <w:rsid w:val="00806905"/>
    <w:rsid w:val="00806920"/>
    <w:rsid w:val="008069D1"/>
    <w:rsid w:val="008069EB"/>
    <w:rsid w:val="00806A34"/>
    <w:rsid w:val="00806A6B"/>
    <w:rsid w:val="00806BFC"/>
    <w:rsid w:val="00806BFD"/>
    <w:rsid w:val="00806C4D"/>
    <w:rsid w:val="00806CC7"/>
    <w:rsid w:val="00806D0F"/>
    <w:rsid w:val="00806D97"/>
    <w:rsid w:val="00806D9C"/>
    <w:rsid w:val="00806DF4"/>
    <w:rsid w:val="00806E4D"/>
    <w:rsid w:val="00806FC6"/>
    <w:rsid w:val="00806FCD"/>
    <w:rsid w:val="00807068"/>
    <w:rsid w:val="008070D0"/>
    <w:rsid w:val="00807110"/>
    <w:rsid w:val="0080713F"/>
    <w:rsid w:val="0080715D"/>
    <w:rsid w:val="0080716D"/>
    <w:rsid w:val="008071CD"/>
    <w:rsid w:val="008071E8"/>
    <w:rsid w:val="00807255"/>
    <w:rsid w:val="008072DB"/>
    <w:rsid w:val="0080731F"/>
    <w:rsid w:val="00807322"/>
    <w:rsid w:val="00807386"/>
    <w:rsid w:val="00807477"/>
    <w:rsid w:val="008075F4"/>
    <w:rsid w:val="008075F7"/>
    <w:rsid w:val="00807767"/>
    <w:rsid w:val="0080776E"/>
    <w:rsid w:val="008077C0"/>
    <w:rsid w:val="008077E8"/>
    <w:rsid w:val="00807850"/>
    <w:rsid w:val="0080786E"/>
    <w:rsid w:val="0080787D"/>
    <w:rsid w:val="008078B8"/>
    <w:rsid w:val="00807918"/>
    <w:rsid w:val="0080792D"/>
    <w:rsid w:val="00807A58"/>
    <w:rsid w:val="00807A80"/>
    <w:rsid w:val="00807BDB"/>
    <w:rsid w:val="00807C3D"/>
    <w:rsid w:val="00807CB4"/>
    <w:rsid w:val="00807D06"/>
    <w:rsid w:val="00807E50"/>
    <w:rsid w:val="00807F00"/>
    <w:rsid w:val="00810074"/>
    <w:rsid w:val="008100BD"/>
    <w:rsid w:val="00810190"/>
    <w:rsid w:val="00810249"/>
    <w:rsid w:val="0081024B"/>
    <w:rsid w:val="00810256"/>
    <w:rsid w:val="00810326"/>
    <w:rsid w:val="008103B4"/>
    <w:rsid w:val="008103C9"/>
    <w:rsid w:val="00810417"/>
    <w:rsid w:val="00810432"/>
    <w:rsid w:val="00810454"/>
    <w:rsid w:val="008104C6"/>
    <w:rsid w:val="008104D4"/>
    <w:rsid w:val="008104D6"/>
    <w:rsid w:val="008104E2"/>
    <w:rsid w:val="00810527"/>
    <w:rsid w:val="008106FE"/>
    <w:rsid w:val="0081076A"/>
    <w:rsid w:val="008107F9"/>
    <w:rsid w:val="00810878"/>
    <w:rsid w:val="008108F0"/>
    <w:rsid w:val="00810A69"/>
    <w:rsid w:val="00810AA2"/>
    <w:rsid w:val="00810AB6"/>
    <w:rsid w:val="00810B2D"/>
    <w:rsid w:val="00810B93"/>
    <w:rsid w:val="00810BB6"/>
    <w:rsid w:val="00810BF9"/>
    <w:rsid w:val="00810BFC"/>
    <w:rsid w:val="00810C1C"/>
    <w:rsid w:val="00810C4C"/>
    <w:rsid w:val="00810CDE"/>
    <w:rsid w:val="00810D1B"/>
    <w:rsid w:val="00810D43"/>
    <w:rsid w:val="00810DEB"/>
    <w:rsid w:val="00810E34"/>
    <w:rsid w:val="00810E66"/>
    <w:rsid w:val="00810ECF"/>
    <w:rsid w:val="00810EFE"/>
    <w:rsid w:val="00810F8E"/>
    <w:rsid w:val="008110E4"/>
    <w:rsid w:val="00811140"/>
    <w:rsid w:val="00811149"/>
    <w:rsid w:val="00811183"/>
    <w:rsid w:val="008112E8"/>
    <w:rsid w:val="008112FB"/>
    <w:rsid w:val="0081133F"/>
    <w:rsid w:val="00811396"/>
    <w:rsid w:val="008113CF"/>
    <w:rsid w:val="00811458"/>
    <w:rsid w:val="00811487"/>
    <w:rsid w:val="008114A5"/>
    <w:rsid w:val="0081152B"/>
    <w:rsid w:val="00811539"/>
    <w:rsid w:val="0081154B"/>
    <w:rsid w:val="008115C4"/>
    <w:rsid w:val="00811667"/>
    <w:rsid w:val="0081167D"/>
    <w:rsid w:val="0081167F"/>
    <w:rsid w:val="00811700"/>
    <w:rsid w:val="0081171A"/>
    <w:rsid w:val="00811724"/>
    <w:rsid w:val="00811729"/>
    <w:rsid w:val="008117E9"/>
    <w:rsid w:val="00811800"/>
    <w:rsid w:val="00811807"/>
    <w:rsid w:val="008118CD"/>
    <w:rsid w:val="00811905"/>
    <w:rsid w:val="0081198E"/>
    <w:rsid w:val="00811990"/>
    <w:rsid w:val="008119C6"/>
    <w:rsid w:val="008119EF"/>
    <w:rsid w:val="00811A21"/>
    <w:rsid w:val="00811B3A"/>
    <w:rsid w:val="00811B8A"/>
    <w:rsid w:val="00811B9E"/>
    <w:rsid w:val="00811BD5"/>
    <w:rsid w:val="00811C15"/>
    <w:rsid w:val="00811C5E"/>
    <w:rsid w:val="00811C8B"/>
    <w:rsid w:val="00811CF3"/>
    <w:rsid w:val="00811DCB"/>
    <w:rsid w:val="00811DFE"/>
    <w:rsid w:val="00811E1D"/>
    <w:rsid w:val="00811E4F"/>
    <w:rsid w:val="00811F26"/>
    <w:rsid w:val="00811F40"/>
    <w:rsid w:val="00811F4D"/>
    <w:rsid w:val="00811F77"/>
    <w:rsid w:val="00811F88"/>
    <w:rsid w:val="00811FD5"/>
    <w:rsid w:val="00811FEB"/>
    <w:rsid w:val="00812056"/>
    <w:rsid w:val="0081209D"/>
    <w:rsid w:val="008120A2"/>
    <w:rsid w:val="008120D6"/>
    <w:rsid w:val="00812128"/>
    <w:rsid w:val="008121BB"/>
    <w:rsid w:val="00812211"/>
    <w:rsid w:val="00812362"/>
    <w:rsid w:val="00812372"/>
    <w:rsid w:val="00812375"/>
    <w:rsid w:val="008123D8"/>
    <w:rsid w:val="00812479"/>
    <w:rsid w:val="008124B3"/>
    <w:rsid w:val="008125B6"/>
    <w:rsid w:val="00812731"/>
    <w:rsid w:val="00812749"/>
    <w:rsid w:val="00812811"/>
    <w:rsid w:val="00812827"/>
    <w:rsid w:val="0081282A"/>
    <w:rsid w:val="00812831"/>
    <w:rsid w:val="008128CA"/>
    <w:rsid w:val="0081292B"/>
    <w:rsid w:val="00812A55"/>
    <w:rsid w:val="00812ACC"/>
    <w:rsid w:val="00812B0F"/>
    <w:rsid w:val="00812B1A"/>
    <w:rsid w:val="00812B50"/>
    <w:rsid w:val="00812B6D"/>
    <w:rsid w:val="00812BB1"/>
    <w:rsid w:val="00812C30"/>
    <w:rsid w:val="00812D2C"/>
    <w:rsid w:val="00812D64"/>
    <w:rsid w:val="00812D6E"/>
    <w:rsid w:val="00812D98"/>
    <w:rsid w:val="00812E66"/>
    <w:rsid w:val="00812E6D"/>
    <w:rsid w:val="00812F17"/>
    <w:rsid w:val="00812F19"/>
    <w:rsid w:val="00812F22"/>
    <w:rsid w:val="00813025"/>
    <w:rsid w:val="0081325E"/>
    <w:rsid w:val="0081332C"/>
    <w:rsid w:val="0081337E"/>
    <w:rsid w:val="0081338A"/>
    <w:rsid w:val="00813393"/>
    <w:rsid w:val="00813395"/>
    <w:rsid w:val="008133C0"/>
    <w:rsid w:val="008133CA"/>
    <w:rsid w:val="008133D5"/>
    <w:rsid w:val="00813412"/>
    <w:rsid w:val="00813418"/>
    <w:rsid w:val="00813495"/>
    <w:rsid w:val="008134CB"/>
    <w:rsid w:val="008134CF"/>
    <w:rsid w:val="00813527"/>
    <w:rsid w:val="0081353D"/>
    <w:rsid w:val="008135D0"/>
    <w:rsid w:val="0081363C"/>
    <w:rsid w:val="00813688"/>
    <w:rsid w:val="00813721"/>
    <w:rsid w:val="00813722"/>
    <w:rsid w:val="008137B7"/>
    <w:rsid w:val="008137BF"/>
    <w:rsid w:val="00813809"/>
    <w:rsid w:val="0081384A"/>
    <w:rsid w:val="00813890"/>
    <w:rsid w:val="00813950"/>
    <w:rsid w:val="00813A2A"/>
    <w:rsid w:val="00813AB2"/>
    <w:rsid w:val="00813ACC"/>
    <w:rsid w:val="00813B44"/>
    <w:rsid w:val="00813B60"/>
    <w:rsid w:val="00813B81"/>
    <w:rsid w:val="00813C36"/>
    <w:rsid w:val="00813D60"/>
    <w:rsid w:val="00813DAE"/>
    <w:rsid w:val="00813DFD"/>
    <w:rsid w:val="00813DFE"/>
    <w:rsid w:val="00813E59"/>
    <w:rsid w:val="00813F55"/>
    <w:rsid w:val="00813FAB"/>
    <w:rsid w:val="00814019"/>
    <w:rsid w:val="00814073"/>
    <w:rsid w:val="0081407D"/>
    <w:rsid w:val="0081407F"/>
    <w:rsid w:val="00814084"/>
    <w:rsid w:val="008140E9"/>
    <w:rsid w:val="00814128"/>
    <w:rsid w:val="008141C1"/>
    <w:rsid w:val="0081421A"/>
    <w:rsid w:val="0081433C"/>
    <w:rsid w:val="00814350"/>
    <w:rsid w:val="00814397"/>
    <w:rsid w:val="00814424"/>
    <w:rsid w:val="0081446E"/>
    <w:rsid w:val="008144D9"/>
    <w:rsid w:val="008144DB"/>
    <w:rsid w:val="00814527"/>
    <w:rsid w:val="00814556"/>
    <w:rsid w:val="008145DD"/>
    <w:rsid w:val="00814618"/>
    <w:rsid w:val="00814688"/>
    <w:rsid w:val="0081468D"/>
    <w:rsid w:val="00814752"/>
    <w:rsid w:val="00814789"/>
    <w:rsid w:val="008147AA"/>
    <w:rsid w:val="00814967"/>
    <w:rsid w:val="00814986"/>
    <w:rsid w:val="008149DD"/>
    <w:rsid w:val="00814A30"/>
    <w:rsid w:val="00814A5F"/>
    <w:rsid w:val="00814AA9"/>
    <w:rsid w:val="00814AD6"/>
    <w:rsid w:val="00814B06"/>
    <w:rsid w:val="00814B40"/>
    <w:rsid w:val="00814C7A"/>
    <w:rsid w:val="00814CF8"/>
    <w:rsid w:val="00814D71"/>
    <w:rsid w:val="00814DC4"/>
    <w:rsid w:val="00814DF3"/>
    <w:rsid w:val="00814E3C"/>
    <w:rsid w:val="00814E7E"/>
    <w:rsid w:val="00814E80"/>
    <w:rsid w:val="00814E8F"/>
    <w:rsid w:val="00814F08"/>
    <w:rsid w:val="00814F45"/>
    <w:rsid w:val="00814FC9"/>
    <w:rsid w:val="00815065"/>
    <w:rsid w:val="00815081"/>
    <w:rsid w:val="0081515B"/>
    <w:rsid w:val="00815270"/>
    <w:rsid w:val="0081527C"/>
    <w:rsid w:val="008152BA"/>
    <w:rsid w:val="008152EC"/>
    <w:rsid w:val="008152F1"/>
    <w:rsid w:val="00815304"/>
    <w:rsid w:val="0081532B"/>
    <w:rsid w:val="008153C9"/>
    <w:rsid w:val="008153E5"/>
    <w:rsid w:val="0081546A"/>
    <w:rsid w:val="008154E3"/>
    <w:rsid w:val="008154F5"/>
    <w:rsid w:val="008154FD"/>
    <w:rsid w:val="00815573"/>
    <w:rsid w:val="00815582"/>
    <w:rsid w:val="00815676"/>
    <w:rsid w:val="008156CA"/>
    <w:rsid w:val="0081572A"/>
    <w:rsid w:val="00815791"/>
    <w:rsid w:val="008157AB"/>
    <w:rsid w:val="008157B1"/>
    <w:rsid w:val="008157B2"/>
    <w:rsid w:val="0081581D"/>
    <w:rsid w:val="00815917"/>
    <w:rsid w:val="0081597E"/>
    <w:rsid w:val="008159BF"/>
    <w:rsid w:val="008159C9"/>
    <w:rsid w:val="008159E4"/>
    <w:rsid w:val="00815A4C"/>
    <w:rsid w:val="00815A88"/>
    <w:rsid w:val="00815AAF"/>
    <w:rsid w:val="00815B7A"/>
    <w:rsid w:val="00815B89"/>
    <w:rsid w:val="00815B92"/>
    <w:rsid w:val="00815C60"/>
    <w:rsid w:val="00815D47"/>
    <w:rsid w:val="00815D83"/>
    <w:rsid w:val="00815F2F"/>
    <w:rsid w:val="00815F71"/>
    <w:rsid w:val="00815FFD"/>
    <w:rsid w:val="00815FFF"/>
    <w:rsid w:val="0081605F"/>
    <w:rsid w:val="008160D4"/>
    <w:rsid w:val="008160EA"/>
    <w:rsid w:val="00816137"/>
    <w:rsid w:val="0081617A"/>
    <w:rsid w:val="008161DC"/>
    <w:rsid w:val="008161DD"/>
    <w:rsid w:val="0081627F"/>
    <w:rsid w:val="00816298"/>
    <w:rsid w:val="008162AC"/>
    <w:rsid w:val="008163C1"/>
    <w:rsid w:val="008163EF"/>
    <w:rsid w:val="00816421"/>
    <w:rsid w:val="0081647D"/>
    <w:rsid w:val="0081652A"/>
    <w:rsid w:val="0081659E"/>
    <w:rsid w:val="008165AD"/>
    <w:rsid w:val="008165E7"/>
    <w:rsid w:val="008167A0"/>
    <w:rsid w:val="008167AA"/>
    <w:rsid w:val="00816807"/>
    <w:rsid w:val="0081686E"/>
    <w:rsid w:val="008168B7"/>
    <w:rsid w:val="008168D1"/>
    <w:rsid w:val="008169E9"/>
    <w:rsid w:val="00816B56"/>
    <w:rsid w:val="00816BA6"/>
    <w:rsid w:val="00816D2F"/>
    <w:rsid w:val="00816D5B"/>
    <w:rsid w:val="00816D87"/>
    <w:rsid w:val="00816E18"/>
    <w:rsid w:val="00816E6A"/>
    <w:rsid w:val="00816F18"/>
    <w:rsid w:val="00816F5C"/>
    <w:rsid w:val="00816F93"/>
    <w:rsid w:val="00816F95"/>
    <w:rsid w:val="00816FBF"/>
    <w:rsid w:val="00816FF6"/>
    <w:rsid w:val="0081712B"/>
    <w:rsid w:val="0081715A"/>
    <w:rsid w:val="008171AE"/>
    <w:rsid w:val="00817226"/>
    <w:rsid w:val="0081729E"/>
    <w:rsid w:val="008172A9"/>
    <w:rsid w:val="008172D1"/>
    <w:rsid w:val="008172FD"/>
    <w:rsid w:val="00817340"/>
    <w:rsid w:val="00817366"/>
    <w:rsid w:val="00817429"/>
    <w:rsid w:val="0081754A"/>
    <w:rsid w:val="00817644"/>
    <w:rsid w:val="0081764E"/>
    <w:rsid w:val="00817680"/>
    <w:rsid w:val="00817755"/>
    <w:rsid w:val="008177B5"/>
    <w:rsid w:val="008177BC"/>
    <w:rsid w:val="008177C5"/>
    <w:rsid w:val="008178C7"/>
    <w:rsid w:val="00817935"/>
    <w:rsid w:val="0081799C"/>
    <w:rsid w:val="008179A1"/>
    <w:rsid w:val="00817B10"/>
    <w:rsid w:val="00817B47"/>
    <w:rsid w:val="00817B94"/>
    <w:rsid w:val="00817BA9"/>
    <w:rsid w:val="00817C74"/>
    <w:rsid w:val="00817D1D"/>
    <w:rsid w:val="00817D76"/>
    <w:rsid w:val="00817D81"/>
    <w:rsid w:val="00817D97"/>
    <w:rsid w:val="00817DB9"/>
    <w:rsid w:val="00817E72"/>
    <w:rsid w:val="00817EA0"/>
    <w:rsid w:val="00817F23"/>
    <w:rsid w:val="00817F40"/>
    <w:rsid w:val="00817F6A"/>
    <w:rsid w:val="00817F96"/>
    <w:rsid w:val="00817FA5"/>
    <w:rsid w:val="00817FB0"/>
    <w:rsid w:val="00820014"/>
    <w:rsid w:val="0082008B"/>
    <w:rsid w:val="008200E6"/>
    <w:rsid w:val="0082022F"/>
    <w:rsid w:val="00820247"/>
    <w:rsid w:val="0082024F"/>
    <w:rsid w:val="0082025D"/>
    <w:rsid w:val="008202AF"/>
    <w:rsid w:val="008202CA"/>
    <w:rsid w:val="00820334"/>
    <w:rsid w:val="008203BB"/>
    <w:rsid w:val="008204BC"/>
    <w:rsid w:val="00820592"/>
    <w:rsid w:val="008205AE"/>
    <w:rsid w:val="008205CA"/>
    <w:rsid w:val="0082063F"/>
    <w:rsid w:val="00820640"/>
    <w:rsid w:val="0082069D"/>
    <w:rsid w:val="008206A0"/>
    <w:rsid w:val="008206AF"/>
    <w:rsid w:val="008206BA"/>
    <w:rsid w:val="008206C1"/>
    <w:rsid w:val="00820729"/>
    <w:rsid w:val="0082072D"/>
    <w:rsid w:val="00820793"/>
    <w:rsid w:val="00820796"/>
    <w:rsid w:val="008207F5"/>
    <w:rsid w:val="00820832"/>
    <w:rsid w:val="00820886"/>
    <w:rsid w:val="0082089A"/>
    <w:rsid w:val="008208DB"/>
    <w:rsid w:val="00820900"/>
    <w:rsid w:val="00820908"/>
    <w:rsid w:val="0082092C"/>
    <w:rsid w:val="00820A64"/>
    <w:rsid w:val="00820A6D"/>
    <w:rsid w:val="00820C09"/>
    <w:rsid w:val="00820C5D"/>
    <w:rsid w:val="00820CAA"/>
    <w:rsid w:val="00820CC2"/>
    <w:rsid w:val="00820D39"/>
    <w:rsid w:val="00820D46"/>
    <w:rsid w:val="00820DB5"/>
    <w:rsid w:val="00820DD5"/>
    <w:rsid w:val="00820DDF"/>
    <w:rsid w:val="00820E24"/>
    <w:rsid w:val="00820E4E"/>
    <w:rsid w:val="00820E4F"/>
    <w:rsid w:val="00820EB7"/>
    <w:rsid w:val="00820EE0"/>
    <w:rsid w:val="00820F02"/>
    <w:rsid w:val="00820F55"/>
    <w:rsid w:val="00820FDE"/>
    <w:rsid w:val="0082100C"/>
    <w:rsid w:val="0082104B"/>
    <w:rsid w:val="00821089"/>
    <w:rsid w:val="008210C0"/>
    <w:rsid w:val="0082117F"/>
    <w:rsid w:val="008211AF"/>
    <w:rsid w:val="00821202"/>
    <w:rsid w:val="00821247"/>
    <w:rsid w:val="008212FF"/>
    <w:rsid w:val="0082130B"/>
    <w:rsid w:val="0082133A"/>
    <w:rsid w:val="00821348"/>
    <w:rsid w:val="008213CB"/>
    <w:rsid w:val="008213DE"/>
    <w:rsid w:val="008213FD"/>
    <w:rsid w:val="00821473"/>
    <w:rsid w:val="008214F1"/>
    <w:rsid w:val="008215B0"/>
    <w:rsid w:val="00821610"/>
    <w:rsid w:val="0082165A"/>
    <w:rsid w:val="00821743"/>
    <w:rsid w:val="0082174A"/>
    <w:rsid w:val="00821759"/>
    <w:rsid w:val="0082176B"/>
    <w:rsid w:val="008217AA"/>
    <w:rsid w:val="0082185E"/>
    <w:rsid w:val="00821872"/>
    <w:rsid w:val="008218F0"/>
    <w:rsid w:val="0082191A"/>
    <w:rsid w:val="0082191E"/>
    <w:rsid w:val="00821928"/>
    <w:rsid w:val="00821935"/>
    <w:rsid w:val="00821942"/>
    <w:rsid w:val="0082198A"/>
    <w:rsid w:val="008219A6"/>
    <w:rsid w:val="00821A41"/>
    <w:rsid w:val="00821AE0"/>
    <w:rsid w:val="00821AF4"/>
    <w:rsid w:val="00821B04"/>
    <w:rsid w:val="00821BA7"/>
    <w:rsid w:val="00821BD6"/>
    <w:rsid w:val="00821C32"/>
    <w:rsid w:val="00821C58"/>
    <w:rsid w:val="00821C6C"/>
    <w:rsid w:val="00821CD0"/>
    <w:rsid w:val="00821D3F"/>
    <w:rsid w:val="00821D44"/>
    <w:rsid w:val="00821DF7"/>
    <w:rsid w:val="00821E03"/>
    <w:rsid w:val="00821E20"/>
    <w:rsid w:val="00821E47"/>
    <w:rsid w:val="00821E7B"/>
    <w:rsid w:val="00821EF2"/>
    <w:rsid w:val="00821F1A"/>
    <w:rsid w:val="00821F22"/>
    <w:rsid w:val="00821F35"/>
    <w:rsid w:val="00821FB1"/>
    <w:rsid w:val="0082200B"/>
    <w:rsid w:val="008220B8"/>
    <w:rsid w:val="008220CD"/>
    <w:rsid w:val="008220CF"/>
    <w:rsid w:val="0082213E"/>
    <w:rsid w:val="00822211"/>
    <w:rsid w:val="00822358"/>
    <w:rsid w:val="0082238D"/>
    <w:rsid w:val="008223B8"/>
    <w:rsid w:val="008224B6"/>
    <w:rsid w:val="008224BB"/>
    <w:rsid w:val="00822574"/>
    <w:rsid w:val="00822650"/>
    <w:rsid w:val="008227A8"/>
    <w:rsid w:val="008227A9"/>
    <w:rsid w:val="008227F0"/>
    <w:rsid w:val="0082280A"/>
    <w:rsid w:val="00822824"/>
    <w:rsid w:val="00822850"/>
    <w:rsid w:val="008228DF"/>
    <w:rsid w:val="00822918"/>
    <w:rsid w:val="00822947"/>
    <w:rsid w:val="00822A43"/>
    <w:rsid w:val="00822B6F"/>
    <w:rsid w:val="00822B95"/>
    <w:rsid w:val="00822C95"/>
    <w:rsid w:val="00822D01"/>
    <w:rsid w:val="00822D0B"/>
    <w:rsid w:val="00822D2D"/>
    <w:rsid w:val="00822D99"/>
    <w:rsid w:val="00822D9B"/>
    <w:rsid w:val="00822DA9"/>
    <w:rsid w:val="00822DD1"/>
    <w:rsid w:val="00822E16"/>
    <w:rsid w:val="00822E7C"/>
    <w:rsid w:val="00822ED6"/>
    <w:rsid w:val="00822F57"/>
    <w:rsid w:val="00823080"/>
    <w:rsid w:val="008230BD"/>
    <w:rsid w:val="00823236"/>
    <w:rsid w:val="0082334B"/>
    <w:rsid w:val="008233B0"/>
    <w:rsid w:val="00823428"/>
    <w:rsid w:val="00823458"/>
    <w:rsid w:val="00823488"/>
    <w:rsid w:val="008234C5"/>
    <w:rsid w:val="0082355E"/>
    <w:rsid w:val="008235A3"/>
    <w:rsid w:val="00823694"/>
    <w:rsid w:val="008236A1"/>
    <w:rsid w:val="008236AC"/>
    <w:rsid w:val="008236FD"/>
    <w:rsid w:val="00823803"/>
    <w:rsid w:val="0082382D"/>
    <w:rsid w:val="00823984"/>
    <w:rsid w:val="008239D8"/>
    <w:rsid w:val="00823A1A"/>
    <w:rsid w:val="00823AAA"/>
    <w:rsid w:val="00823BB7"/>
    <w:rsid w:val="00823C2D"/>
    <w:rsid w:val="00823C96"/>
    <w:rsid w:val="00823CE5"/>
    <w:rsid w:val="00823DF3"/>
    <w:rsid w:val="00823E1F"/>
    <w:rsid w:val="00823E4E"/>
    <w:rsid w:val="00823E64"/>
    <w:rsid w:val="00823F2A"/>
    <w:rsid w:val="00823F5D"/>
    <w:rsid w:val="00823F72"/>
    <w:rsid w:val="00823FB4"/>
    <w:rsid w:val="0082400C"/>
    <w:rsid w:val="008242A2"/>
    <w:rsid w:val="008242BA"/>
    <w:rsid w:val="008242F2"/>
    <w:rsid w:val="008242FC"/>
    <w:rsid w:val="008243C4"/>
    <w:rsid w:val="008243E2"/>
    <w:rsid w:val="008243E5"/>
    <w:rsid w:val="0082441B"/>
    <w:rsid w:val="00824510"/>
    <w:rsid w:val="00824562"/>
    <w:rsid w:val="008245B9"/>
    <w:rsid w:val="00824660"/>
    <w:rsid w:val="0082466F"/>
    <w:rsid w:val="00824760"/>
    <w:rsid w:val="008247B5"/>
    <w:rsid w:val="00824852"/>
    <w:rsid w:val="00824876"/>
    <w:rsid w:val="0082488B"/>
    <w:rsid w:val="0082492F"/>
    <w:rsid w:val="0082496D"/>
    <w:rsid w:val="00824978"/>
    <w:rsid w:val="00824994"/>
    <w:rsid w:val="008249E8"/>
    <w:rsid w:val="008249E9"/>
    <w:rsid w:val="00824A06"/>
    <w:rsid w:val="00824B0D"/>
    <w:rsid w:val="00824B5B"/>
    <w:rsid w:val="00824B8F"/>
    <w:rsid w:val="00824B97"/>
    <w:rsid w:val="00824BBA"/>
    <w:rsid w:val="00824C1B"/>
    <w:rsid w:val="00824C54"/>
    <w:rsid w:val="00824C87"/>
    <w:rsid w:val="00824D73"/>
    <w:rsid w:val="00824DE1"/>
    <w:rsid w:val="00824E04"/>
    <w:rsid w:val="00824EB1"/>
    <w:rsid w:val="00824EC9"/>
    <w:rsid w:val="00824F5F"/>
    <w:rsid w:val="00824F71"/>
    <w:rsid w:val="00825059"/>
    <w:rsid w:val="00825061"/>
    <w:rsid w:val="00825154"/>
    <w:rsid w:val="008251B3"/>
    <w:rsid w:val="00825217"/>
    <w:rsid w:val="0082527F"/>
    <w:rsid w:val="00825293"/>
    <w:rsid w:val="008252DA"/>
    <w:rsid w:val="0082534D"/>
    <w:rsid w:val="008253A2"/>
    <w:rsid w:val="008253AF"/>
    <w:rsid w:val="00825456"/>
    <w:rsid w:val="008254A4"/>
    <w:rsid w:val="008254AC"/>
    <w:rsid w:val="00825607"/>
    <w:rsid w:val="0082565F"/>
    <w:rsid w:val="008256BD"/>
    <w:rsid w:val="008256C8"/>
    <w:rsid w:val="00825719"/>
    <w:rsid w:val="0082571C"/>
    <w:rsid w:val="008257A6"/>
    <w:rsid w:val="008257CF"/>
    <w:rsid w:val="00825835"/>
    <w:rsid w:val="0082592D"/>
    <w:rsid w:val="008259BE"/>
    <w:rsid w:val="008259C8"/>
    <w:rsid w:val="00825A54"/>
    <w:rsid w:val="00825A70"/>
    <w:rsid w:val="00825B3A"/>
    <w:rsid w:val="00825B48"/>
    <w:rsid w:val="00825B53"/>
    <w:rsid w:val="00825B5E"/>
    <w:rsid w:val="00825B7C"/>
    <w:rsid w:val="00825D75"/>
    <w:rsid w:val="00825E28"/>
    <w:rsid w:val="00825E3B"/>
    <w:rsid w:val="00825E78"/>
    <w:rsid w:val="00825ED1"/>
    <w:rsid w:val="00825F32"/>
    <w:rsid w:val="00825F60"/>
    <w:rsid w:val="00825FBE"/>
    <w:rsid w:val="008260B5"/>
    <w:rsid w:val="00826130"/>
    <w:rsid w:val="00826163"/>
    <w:rsid w:val="0082619A"/>
    <w:rsid w:val="008261AB"/>
    <w:rsid w:val="008261B7"/>
    <w:rsid w:val="008261FD"/>
    <w:rsid w:val="0082622A"/>
    <w:rsid w:val="00826473"/>
    <w:rsid w:val="008264F0"/>
    <w:rsid w:val="0082650E"/>
    <w:rsid w:val="00826539"/>
    <w:rsid w:val="0082658F"/>
    <w:rsid w:val="008265F8"/>
    <w:rsid w:val="00826642"/>
    <w:rsid w:val="00826661"/>
    <w:rsid w:val="008268CB"/>
    <w:rsid w:val="00826956"/>
    <w:rsid w:val="00826ADB"/>
    <w:rsid w:val="00826B0E"/>
    <w:rsid w:val="00826B12"/>
    <w:rsid w:val="00826B54"/>
    <w:rsid w:val="00826B7A"/>
    <w:rsid w:val="00826B86"/>
    <w:rsid w:val="00826BCA"/>
    <w:rsid w:val="00826BD9"/>
    <w:rsid w:val="00826C6B"/>
    <w:rsid w:val="00826C7C"/>
    <w:rsid w:val="00826C7E"/>
    <w:rsid w:val="00826CA3"/>
    <w:rsid w:val="00826CCC"/>
    <w:rsid w:val="00826CCE"/>
    <w:rsid w:val="00826D40"/>
    <w:rsid w:val="00826D6C"/>
    <w:rsid w:val="00826D77"/>
    <w:rsid w:val="00826DBE"/>
    <w:rsid w:val="00826DF4"/>
    <w:rsid w:val="00826DFC"/>
    <w:rsid w:val="00826EE4"/>
    <w:rsid w:val="00826FA8"/>
    <w:rsid w:val="00827042"/>
    <w:rsid w:val="008270AF"/>
    <w:rsid w:val="008270B4"/>
    <w:rsid w:val="008270BE"/>
    <w:rsid w:val="008270F4"/>
    <w:rsid w:val="00827400"/>
    <w:rsid w:val="00827467"/>
    <w:rsid w:val="008274B5"/>
    <w:rsid w:val="008274B7"/>
    <w:rsid w:val="008274E7"/>
    <w:rsid w:val="008275BE"/>
    <w:rsid w:val="00827664"/>
    <w:rsid w:val="008276BF"/>
    <w:rsid w:val="008276C4"/>
    <w:rsid w:val="00827700"/>
    <w:rsid w:val="0082770A"/>
    <w:rsid w:val="008277DD"/>
    <w:rsid w:val="008278B0"/>
    <w:rsid w:val="00827948"/>
    <w:rsid w:val="0082799E"/>
    <w:rsid w:val="00827A06"/>
    <w:rsid w:val="00827A60"/>
    <w:rsid w:val="00827A65"/>
    <w:rsid w:val="00827B1F"/>
    <w:rsid w:val="00827B20"/>
    <w:rsid w:val="00827B8E"/>
    <w:rsid w:val="00827C02"/>
    <w:rsid w:val="00827CCD"/>
    <w:rsid w:val="00827D60"/>
    <w:rsid w:val="00827DB2"/>
    <w:rsid w:val="00827E38"/>
    <w:rsid w:val="00827EF3"/>
    <w:rsid w:val="00827F18"/>
    <w:rsid w:val="00827F45"/>
    <w:rsid w:val="00827F79"/>
    <w:rsid w:val="00827FA5"/>
    <w:rsid w:val="00830021"/>
    <w:rsid w:val="00830049"/>
    <w:rsid w:val="008300AA"/>
    <w:rsid w:val="008300BD"/>
    <w:rsid w:val="008300DF"/>
    <w:rsid w:val="00830115"/>
    <w:rsid w:val="00830126"/>
    <w:rsid w:val="0083012F"/>
    <w:rsid w:val="00830137"/>
    <w:rsid w:val="0083015F"/>
    <w:rsid w:val="00830170"/>
    <w:rsid w:val="008301A4"/>
    <w:rsid w:val="008301CD"/>
    <w:rsid w:val="00830283"/>
    <w:rsid w:val="008303D4"/>
    <w:rsid w:val="008303EB"/>
    <w:rsid w:val="00830447"/>
    <w:rsid w:val="00830466"/>
    <w:rsid w:val="00830529"/>
    <w:rsid w:val="00830594"/>
    <w:rsid w:val="008305AD"/>
    <w:rsid w:val="00830684"/>
    <w:rsid w:val="00830692"/>
    <w:rsid w:val="008306D3"/>
    <w:rsid w:val="0083078F"/>
    <w:rsid w:val="008307C1"/>
    <w:rsid w:val="00830808"/>
    <w:rsid w:val="00830856"/>
    <w:rsid w:val="00830905"/>
    <w:rsid w:val="00830907"/>
    <w:rsid w:val="008309AE"/>
    <w:rsid w:val="008309C6"/>
    <w:rsid w:val="00830A08"/>
    <w:rsid w:val="00830AA5"/>
    <w:rsid w:val="00830AD2"/>
    <w:rsid w:val="00830B00"/>
    <w:rsid w:val="00830B04"/>
    <w:rsid w:val="00830B5E"/>
    <w:rsid w:val="00830BC2"/>
    <w:rsid w:val="00830BEB"/>
    <w:rsid w:val="00830C2E"/>
    <w:rsid w:val="00830CFD"/>
    <w:rsid w:val="00830D44"/>
    <w:rsid w:val="00830D46"/>
    <w:rsid w:val="00830D69"/>
    <w:rsid w:val="00830DFB"/>
    <w:rsid w:val="00830E09"/>
    <w:rsid w:val="00830FAC"/>
    <w:rsid w:val="0083105D"/>
    <w:rsid w:val="0083109B"/>
    <w:rsid w:val="008310B7"/>
    <w:rsid w:val="00831144"/>
    <w:rsid w:val="00831217"/>
    <w:rsid w:val="00831297"/>
    <w:rsid w:val="008312A8"/>
    <w:rsid w:val="008312C5"/>
    <w:rsid w:val="008312CD"/>
    <w:rsid w:val="008314C0"/>
    <w:rsid w:val="00831512"/>
    <w:rsid w:val="0083153B"/>
    <w:rsid w:val="0083158A"/>
    <w:rsid w:val="008315FF"/>
    <w:rsid w:val="0083162C"/>
    <w:rsid w:val="00831632"/>
    <w:rsid w:val="0083163A"/>
    <w:rsid w:val="00831652"/>
    <w:rsid w:val="00831656"/>
    <w:rsid w:val="008317F4"/>
    <w:rsid w:val="0083182A"/>
    <w:rsid w:val="0083182B"/>
    <w:rsid w:val="00831832"/>
    <w:rsid w:val="00831883"/>
    <w:rsid w:val="008318C8"/>
    <w:rsid w:val="008318D1"/>
    <w:rsid w:val="008318DC"/>
    <w:rsid w:val="008319F0"/>
    <w:rsid w:val="00831BE6"/>
    <w:rsid w:val="00831C42"/>
    <w:rsid w:val="00831D44"/>
    <w:rsid w:val="00831D84"/>
    <w:rsid w:val="00831DF2"/>
    <w:rsid w:val="00831E03"/>
    <w:rsid w:val="00831E0B"/>
    <w:rsid w:val="00831E10"/>
    <w:rsid w:val="00831E8E"/>
    <w:rsid w:val="00831EAA"/>
    <w:rsid w:val="00831F39"/>
    <w:rsid w:val="00831FE9"/>
    <w:rsid w:val="0083201E"/>
    <w:rsid w:val="00832076"/>
    <w:rsid w:val="008320C0"/>
    <w:rsid w:val="008320F0"/>
    <w:rsid w:val="008320F4"/>
    <w:rsid w:val="00832102"/>
    <w:rsid w:val="008321D0"/>
    <w:rsid w:val="008322D3"/>
    <w:rsid w:val="0083230E"/>
    <w:rsid w:val="00832386"/>
    <w:rsid w:val="008323B9"/>
    <w:rsid w:val="00832448"/>
    <w:rsid w:val="00832479"/>
    <w:rsid w:val="0083249E"/>
    <w:rsid w:val="008324C9"/>
    <w:rsid w:val="008324DC"/>
    <w:rsid w:val="008324E4"/>
    <w:rsid w:val="00832543"/>
    <w:rsid w:val="00832668"/>
    <w:rsid w:val="0083268E"/>
    <w:rsid w:val="00832692"/>
    <w:rsid w:val="00832773"/>
    <w:rsid w:val="008327D6"/>
    <w:rsid w:val="008327DC"/>
    <w:rsid w:val="0083286F"/>
    <w:rsid w:val="00832895"/>
    <w:rsid w:val="00832A4F"/>
    <w:rsid w:val="00832B06"/>
    <w:rsid w:val="00832B5F"/>
    <w:rsid w:val="00832B7E"/>
    <w:rsid w:val="00832BD6"/>
    <w:rsid w:val="00832C7B"/>
    <w:rsid w:val="00832D32"/>
    <w:rsid w:val="00832D96"/>
    <w:rsid w:val="00832D9F"/>
    <w:rsid w:val="00832DA8"/>
    <w:rsid w:val="00832DF8"/>
    <w:rsid w:val="00832E6D"/>
    <w:rsid w:val="00832E8C"/>
    <w:rsid w:val="00832EBB"/>
    <w:rsid w:val="00832F90"/>
    <w:rsid w:val="00832FBD"/>
    <w:rsid w:val="00832FC3"/>
    <w:rsid w:val="0083300D"/>
    <w:rsid w:val="00833051"/>
    <w:rsid w:val="00833059"/>
    <w:rsid w:val="0083305D"/>
    <w:rsid w:val="008330B5"/>
    <w:rsid w:val="008330DE"/>
    <w:rsid w:val="00833145"/>
    <w:rsid w:val="0083318C"/>
    <w:rsid w:val="0083321C"/>
    <w:rsid w:val="00833242"/>
    <w:rsid w:val="008332D1"/>
    <w:rsid w:val="008332D6"/>
    <w:rsid w:val="008332DB"/>
    <w:rsid w:val="00833334"/>
    <w:rsid w:val="0083353A"/>
    <w:rsid w:val="008335C1"/>
    <w:rsid w:val="00833601"/>
    <w:rsid w:val="00833774"/>
    <w:rsid w:val="00833848"/>
    <w:rsid w:val="00833891"/>
    <w:rsid w:val="00833988"/>
    <w:rsid w:val="008339B4"/>
    <w:rsid w:val="008339CE"/>
    <w:rsid w:val="008339E0"/>
    <w:rsid w:val="00833A07"/>
    <w:rsid w:val="00833A17"/>
    <w:rsid w:val="00833AD5"/>
    <w:rsid w:val="00833B26"/>
    <w:rsid w:val="00833B55"/>
    <w:rsid w:val="00833B60"/>
    <w:rsid w:val="00833BF0"/>
    <w:rsid w:val="00833CC9"/>
    <w:rsid w:val="00833D27"/>
    <w:rsid w:val="00833D4E"/>
    <w:rsid w:val="00833DFE"/>
    <w:rsid w:val="00833E68"/>
    <w:rsid w:val="00833E7D"/>
    <w:rsid w:val="00833EA1"/>
    <w:rsid w:val="00833EBE"/>
    <w:rsid w:val="00833EDA"/>
    <w:rsid w:val="00833EF2"/>
    <w:rsid w:val="00833EF8"/>
    <w:rsid w:val="00833F09"/>
    <w:rsid w:val="00833F66"/>
    <w:rsid w:val="00833F74"/>
    <w:rsid w:val="00833FD2"/>
    <w:rsid w:val="00833FF3"/>
    <w:rsid w:val="00834017"/>
    <w:rsid w:val="008340A8"/>
    <w:rsid w:val="008341B9"/>
    <w:rsid w:val="008341D4"/>
    <w:rsid w:val="00834294"/>
    <w:rsid w:val="008342CA"/>
    <w:rsid w:val="00834401"/>
    <w:rsid w:val="00834411"/>
    <w:rsid w:val="00834489"/>
    <w:rsid w:val="008344B9"/>
    <w:rsid w:val="008344E5"/>
    <w:rsid w:val="00834551"/>
    <w:rsid w:val="00834570"/>
    <w:rsid w:val="00834589"/>
    <w:rsid w:val="008345F7"/>
    <w:rsid w:val="0083465E"/>
    <w:rsid w:val="008346E3"/>
    <w:rsid w:val="0083472C"/>
    <w:rsid w:val="00834741"/>
    <w:rsid w:val="008347AC"/>
    <w:rsid w:val="0083480B"/>
    <w:rsid w:val="008348A2"/>
    <w:rsid w:val="008348A6"/>
    <w:rsid w:val="008348C6"/>
    <w:rsid w:val="00834909"/>
    <w:rsid w:val="008349C2"/>
    <w:rsid w:val="00834B05"/>
    <w:rsid w:val="00834B7C"/>
    <w:rsid w:val="00834BD7"/>
    <w:rsid w:val="00834C3A"/>
    <w:rsid w:val="00834C46"/>
    <w:rsid w:val="00834CBE"/>
    <w:rsid w:val="00834CC3"/>
    <w:rsid w:val="00834CC6"/>
    <w:rsid w:val="00834CF5"/>
    <w:rsid w:val="00834D6F"/>
    <w:rsid w:val="00834D9D"/>
    <w:rsid w:val="00834DE9"/>
    <w:rsid w:val="00834DED"/>
    <w:rsid w:val="00834E93"/>
    <w:rsid w:val="00834EE7"/>
    <w:rsid w:val="00834F33"/>
    <w:rsid w:val="00834FCF"/>
    <w:rsid w:val="0083506A"/>
    <w:rsid w:val="008350D5"/>
    <w:rsid w:val="00835120"/>
    <w:rsid w:val="00835121"/>
    <w:rsid w:val="00835145"/>
    <w:rsid w:val="0083517E"/>
    <w:rsid w:val="00835181"/>
    <w:rsid w:val="008351E7"/>
    <w:rsid w:val="00835285"/>
    <w:rsid w:val="008352B8"/>
    <w:rsid w:val="008352D6"/>
    <w:rsid w:val="0083533F"/>
    <w:rsid w:val="0083538F"/>
    <w:rsid w:val="008353F8"/>
    <w:rsid w:val="0083549A"/>
    <w:rsid w:val="008354C2"/>
    <w:rsid w:val="008355DF"/>
    <w:rsid w:val="0083560F"/>
    <w:rsid w:val="00835643"/>
    <w:rsid w:val="0083573F"/>
    <w:rsid w:val="0083577D"/>
    <w:rsid w:val="00835781"/>
    <w:rsid w:val="0083578E"/>
    <w:rsid w:val="0083581A"/>
    <w:rsid w:val="0083588A"/>
    <w:rsid w:val="00835933"/>
    <w:rsid w:val="00835998"/>
    <w:rsid w:val="008359D1"/>
    <w:rsid w:val="008359F8"/>
    <w:rsid w:val="00835A05"/>
    <w:rsid w:val="00835A2A"/>
    <w:rsid w:val="00835B0B"/>
    <w:rsid w:val="00835B0C"/>
    <w:rsid w:val="00835B50"/>
    <w:rsid w:val="00835C79"/>
    <w:rsid w:val="00835C7A"/>
    <w:rsid w:val="00835C93"/>
    <w:rsid w:val="00835C99"/>
    <w:rsid w:val="00835CE5"/>
    <w:rsid w:val="00835EEE"/>
    <w:rsid w:val="00835F21"/>
    <w:rsid w:val="00835F4B"/>
    <w:rsid w:val="00835F8C"/>
    <w:rsid w:val="00835FD2"/>
    <w:rsid w:val="00836041"/>
    <w:rsid w:val="00836147"/>
    <w:rsid w:val="008361AE"/>
    <w:rsid w:val="00836229"/>
    <w:rsid w:val="00836237"/>
    <w:rsid w:val="00836330"/>
    <w:rsid w:val="00836413"/>
    <w:rsid w:val="0083649F"/>
    <w:rsid w:val="0083650B"/>
    <w:rsid w:val="0083650D"/>
    <w:rsid w:val="008365B0"/>
    <w:rsid w:val="008365DE"/>
    <w:rsid w:val="008366B7"/>
    <w:rsid w:val="0083676D"/>
    <w:rsid w:val="00836812"/>
    <w:rsid w:val="00836821"/>
    <w:rsid w:val="00836922"/>
    <w:rsid w:val="008369C7"/>
    <w:rsid w:val="00836A6A"/>
    <w:rsid w:val="00836AA4"/>
    <w:rsid w:val="00836AB3"/>
    <w:rsid w:val="00836B02"/>
    <w:rsid w:val="00836B31"/>
    <w:rsid w:val="00836B51"/>
    <w:rsid w:val="00836BE8"/>
    <w:rsid w:val="00836BF7"/>
    <w:rsid w:val="00836C25"/>
    <w:rsid w:val="00836C29"/>
    <w:rsid w:val="00836D19"/>
    <w:rsid w:val="00836D2B"/>
    <w:rsid w:val="00836D51"/>
    <w:rsid w:val="00836D9A"/>
    <w:rsid w:val="00836DE3"/>
    <w:rsid w:val="00836E15"/>
    <w:rsid w:val="00836EFA"/>
    <w:rsid w:val="00836F04"/>
    <w:rsid w:val="00837004"/>
    <w:rsid w:val="00837121"/>
    <w:rsid w:val="0083713D"/>
    <w:rsid w:val="0083714A"/>
    <w:rsid w:val="00837263"/>
    <w:rsid w:val="00837266"/>
    <w:rsid w:val="00837298"/>
    <w:rsid w:val="00837346"/>
    <w:rsid w:val="00837384"/>
    <w:rsid w:val="0083749C"/>
    <w:rsid w:val="008374A5"/>
    <w:rsid w:val="008374E1"/>
    <w:rsid w:val="0083753A"/>
    <w:rsid w:val="00837604"/>
    <w:rsid w:val="00837674"/>
    <w:rsid w:val="00837683"/>
    <w:rsid w:val="008376CC"/>
    <w:rsid w:val="00837736"/>
    <w:rsid w:val="008377AF"/>
    <w:rsid w:val="008378E0"/>
    <w:rsid w:val="00837986"/>
    <w:rsid w:val="00837993"/>
    <w:rsid w:val="00837997"/>
    <w:rsid w:val="008379B0"/>
    <w:rsid w:val="00837A88"/>
    <w:rsid w:val="00837A95"/>
    <w:rsid w:val="00837AAA"/>
    <w:rsid w:val="00837AD1"/>
    <w:rsid w:val="00837B5F"/>
    <w:rsid w:val="00837BCB"/>
    <w:rsid w:val="00837C00"/>
    <w:rsid w:val="00837C2F"/>
    <w:rsid w:val="00837CCD"/>
    <w:rsid w:val="00837CE7"/>
    <w:rsid w:val="00837E9F"/>
    <w:rsid w:val="00837F17"/>
    <w:rsid w:val="00837F89"/>
    <w:rsid w:val="00840067"/>
    <w:rsid w:val="008400C5"/>
    <w:rsid w:val="0084017E"/>
    <w:rsid w:val="0084019B"/>
    <w:rsid w:val="008401C9"/>
    <w:rsid w:val="00840215"/>
    <w:rsid w:val="0084021C"/>
    <w:rsid w:val="00840231"/>
    <w:rsid w:val="008402E4"/>
    <w:rsid w:val="008403C3"/>
    <w:rsid w:val="008403D7"/>
    <w:rsid w:val="008403E9"/>
    <w:rsid w:val="0084046B"/>
    <w:rsid w:val="00840568"/>
    <w:rsid w:val="00840677"/>
    <w:rsid w:val="008406CA"/>
    <w:rsid w:val="0084073E"/>
    <w:rsid w:val="00840755"/>
    <w:rsid w:val="00840773"/>
    <w:rsid w:val="008407C0"/>
    <w:rsid w:val="008407D9"/>
    <w:rsid w:val="008407DF"/>
    <w:rsid w:val="008407FA"/>
    <w:rsid w:val="00840818"/>
    <w:rsid w:val="008408AD"/>
    <w:rsid w:val="008408BB"/>
    <w:rsid w:val="00840ACF"/>
    <w:rsid w:val="00840B45"/>
    <w:rsid w:val="00840BDD"/>
    <w:rsid w:val="00840CB3"/>
    <w:rsid w:val="00840CF3"/>
    <w:rsid w:val="00840D4B"/>
    <w:rsid w:val="00840D85"/>
    <w:rsid w:val="00840E0C"/>
    <w:rsid w:val="00840E0E"/>
    <w:rsid w:val="00840E14"/>
    <w:rsid w:val="00840EC6"/>
    <w:rsid w:val="00840ED0"/>
    <w:rsid w:val="00840F1E"/>
    <w:rsid w:val="00840F86"/>
    <w:rsid w:val="0084102C"/>
    <w:rsid w:val="0084102D"/>
    <w:rsid w:val="0084104F"/>
    <w:rsid w:val="00841050"/>
    <w:rsid w:val="00841052"/>
    <w:rsid w:val="008410AF"/>
    <w:rsid w:val="008410D1"/>
    <w:rsid w:val="00841216"/>
    <w:rsid w:val="0084124C"/>
    <w:rsid w:val="00841259"/>
    <w:rsid w:val="008412C6"/>
    <w:rsid w:val="008412E3"/>
    <w:rsid w:val="00841325"/>
    <w:rsid w:val="0084134D"/>
    <w:rsid w:val="008413C5"/>
    <w:rsid w:val="008413D0"/>
    <w:rsid w:val="0084145B"/>
    <w:rsid w:val="008414E7"/>
    <w:rsid w:val="0084150C"/>
    <w:rsid w:val="008415FF"/>
    <w:rsid w:val="00841656"/>
    <w:rsid w:val="0084177F"/>
    <w:rsid w:val="008417C7"/>
    <w:rsid w:val="00841810"/>
    <w:rsid w:val="008418B4"/>
    <w:rsid w:val="008418DD"/>
    <w:rsid w:val="00841989"/>
    <w:rsid w:val="008419A0"/>
    <w:rsid w:val="00841A30"/>
    <w:rsid w:val="00841B0C"/>
    <w:rsid w:val="00841B2A"/>
    <w:rsid w:val="00841B4C"/>
    <w:rsid w:val="00841B95"/>
    <w:rsid w:val="00841BD7"/>
    <w:rsid w:val="00841BF9"/>
    <w:rsid w:val="00841C28"/>
    <w:rsid w:val="00841C4A"/>
    <w:rsid w:val="00841C57"/>
    <w:rsid w:val="00841CC7"/>
    <w:rsid w:val="00841CF7"/>
    <w:rsid w:val="00841EA0"/>
    <w:rsid w:val="00841F2B"/>
    <w:rsid w:val="00841F64"/>
    <w:rsid w:val="00841F92"/>
    <w:rsid w:val="00841FC3"/>
    <w:rsid w:val="00841FF4"/>
    <w:rsid w:val="00841FF9"/>
    <w:rsid w:val="00842047"/>
    <w:rsid w:val="00842169"/>
    <w:rsid w:val="00842347"/>
    <w:rsid w:val="00842374"/>
    <w:rsid w:val="008423C0"/>
    <w:rsid w:val="0084250C"/>
    <w:rsid w:val="0084261D"/>
    <w:rsid w:val="0084266B"/>
    <w:rsid w:val="008426C7"/>
    <w:rsid w:val="0084271B"/>
    <w:rsid w:val="0084278F"/>
    <w:rsid w:val="008427B5"/>
    <w:rsid w:val="00842830"/>
    <w:rsid w:val="00842863"/>
    <w:rsid w:val="00842892"/>
    <w:rsid w:val="008428B3"/>
    <w:rsid w:val="008428DA"/>
    <w:rsid w:val="00842924"/>
    <w:rsid w:val="00842945"/>
    <w:rsid w:val="0084297F"/>
    <w:rsid w:val="008429C3"/>
    <w:rsid w:val="008429F1"/>
    <w:rsid w:val="00842AF3"/>
    <w:rsid w:val="00842B1E"/>
    <w:rsid w:val="00842B40"/>
    <w:rsid w:val="00842B9F"/>
    <w:rsid w:val="00842BD6"/>
    <w:rsid w:val="00842C0A"/>
    <w:rsid w:val="00842C3C"/>
    <w:rsid w:val="00842C52"/>
    <w:rsid w:val="00842D38"/>
    <w:rsid w:val="00842D76"/>
    <w:rsid w:val="00842DAE"/>
    <w:rsid w:val="00842DF1"/>
    <w:rsid w:val="00842E45"/>
    <w:rsid w:val="00842E95"/>
    <w:rsid w:val="00842F59"/>
    <w:rsid w:val="008430B5"/>
    <w:rsid w:val="0084310C"/>
    <w:rsid w:val="0084319A"/>
    <w:rsid w:val="008431BB"/>
    <w:rsid w:val="008431D7"/>
    <w:rsid w:val="0084326D"/>
    <w:rsid w:val="008432A7"/>
    <w:rsid w:val="008432D4"/>
    <w:rsid w:val="008432DD"/>
    <w:rsid w:val="0084330B"/>
    <w:rsid w:val="00843328"/>
    <w:rsid w:val="00843363"/>
    <w:rsid w:val="00843365"/>
    <w:rsid w:val="00843382"/>
    <w:rsid w:val="0084338A"/>
    <w:rsid w:val="00843462"/>
    <w:rsid w:val="0084349A"/>
    <w:rsid w:val="008434AA"/>
    <w:rsid w:val="008435EF"/>
    <w:rsid w:val="00843610"/>
    <w:rsid w:val="00843669"/>
    <w:rsid w:val="008436D9"/>
    <w:rsid w:val="0084379D"/>
    <w:rsid w:val="00843816"/>
    <w:rsid w:val="008438DE"/>
    <w:rsid w:val="008438E3"/>
    <w:rsid w:val="008438F3"/>
    <w:rsid w:val="008439BB"/>
    <w:rsid w:val="00843B5E"/>
    <w:rsid w:val="00843C0C"/>
    <w:rsid w:val="00843CD2"/>
    <w:rsid w:val="00843D1A"/>
    <w:rsid w:val="00843D3F"/>
    <w:rsid w:val="00843DAD"/>
    <w:rsid w:val="00843E0C"/>
    <w:rsid w:val="00843E50"/>
    <w:rsid w:val="00843EE0"/>
    <w:rsid w:val="00843F85"/>
    <w:rsid w:val="00843F8E"/>
    <w:rsid w:val="00843FCF"/>
    <w:rsid w:val="00843FDF"/>
    <w:rsid w:val="00844022"/>
    <w:rsid w:val="008440B9"/>
    <w:rsid w:val="008440D0"/>
    <w:rsid w:val="00844123"/>
    <w:rsid w:val="008441A9"/>
    <w:rsid w:val="008441CB"/>
    <w:rsid w:val="00844277"/>
    <w:rsid w:val="00844385"/>
    <w:rsid w:val="008443D6"/>
    <w:rsid w:val="00844467"/>
    <w:rsid w:val="0084446C"/>
    <w:rsid w:val="008444B4"/>
    <w:rsid w:val="008444F3"/>
    <w:rsid w:val="00844509"/>
    <w:rsid w:val="00844518"/>
    <w:rsid w:val="00844631"/>
    <w:rsid w:val="00844696"/>
    <w:rsid w:val="008446BC"/>
    <w:rsid w:val="008446EF"/>
    <w:rsid w:val="008446F4"/>
    <w:rsid w:val="008447A8"/>
    <w:rsid w:val="008447AF"/>
    <w:rsid w:val="008447EC"/>
    <w:rsid w:val="00844802"/>
    <w:rsid w:val="008448C3"/>
    <w:rsid w:val="008448E3"/>
    <w:rsid w:val="008448EF"/>
    <w:rsid w:val="00844912"/>
    <w:rsid w:val="0084492E"/>
    <w:rsid w:val="00844941"/>
    <w:rsid w:val="0084495D"/>
    <w:rsid w:val="00844ACF"/>
    <w:rsid w:val="00844B05"/>
    <w:rsid w:val="00844B57"/>
    <w:rsid w:val="00844CA6"/>
    <w:rsid w:val="00844D86"/>
    <w:rsid w:val="00844DCC"/>
    <w:rsid w:val="00844DFA"/>
    <w:rsid w:val="00844E2D"/>
    <w:rsid w:val="00844E48"/>
    <w:rsid w:val="00844EA1"/>
    <w:rsid w:val="00844EEE"/>
    <w:rsid w:val="00844F0D"/>
    <w:rsid w:val="00844F1F"/>
    <w:rsid w:val="00844F21"/>
    <w:rsid w:val="00844F3A"/>
    <w:rsid w:val="00844F98"/>
    <w:rsid w:val="00844FBC"/>
    <w:rsid w:val="00845068"/>
    <w:rsid w:val="008450D8"/>
    <w:rsid w:val="008451C4"/>
    <w:rsid w:val="008451E1"/>
    <w:rsid w:val="0084526C"/>
    <w:rsid w:val="00845338"/>
    <w:rsid w:val="008453A7"/>
    <w:rsid w:val="00845479"/>
    <w:rsid w:val="0084549F"/>
    <w:rsid w:val="008454B7"/>
    <w:rsid w:val="008454FB"/>
    <w:rsid w:val="00845551"/>
    <w:rsid w:val="0084560A"/>
    <w:rsid w:val="00845650"/>
    <w:rsid w:val="0084570B"/>
    <w:rsid w:val="0084572E"/>
    <w:rsid w:val="00845746"/>
    <w:rsid w:val="008457CE"/>
    <w:rsid w:val="00845848"/>
    <w:rsid w:val="00845864"/>
    <w:rsid w:val="00845873"/>
    <w:rsid w:val="008458D2"/>
    <w:rsid w:val="008458F5"/>
    <w:rsid w:val="00845941"/>
    <w:rsid w:val="008459D6"/>
    <w:rsid w:val="00845A2B"/>
    <w:rsid w:val="00845AFB"/>
    <w:rsid w:val="00845B65"/>
    <w:rsid w:val="00845B78"/>
    <w:rsid w:val="00845BDB"/>
    <w:rsid w:val="00845C4E"/>
    <w:rsid w:val="00845CE1"/>
    <w:rsid w:val="00845D0C"/>
    <w:rsid w:val="00845D4C"/>
    <w:rsid w:val="00845F3A"/>
    <w:rsid w:val="00845F86"/>
    <w:rsid w:val="00845FEF"/>
    <w:rsid w:val="00846007"/>
    <w:rsid w:val="00846042"/>
    <w:rsid w:val="0084606E"/>
    <w:rsid w:val="00846088"/>
    <w:rsid w:val="00846099"/>
    <w:rsid w:val="008460A5"/>
    <w:rsid w:val="008460A6"/>
    <w:rsid w:val="008461E7"/>
    <w:rsid w:val="00846217"/>
    <w:rsid w:val="00846221"/>
    <w:rsid w:val="00846229"/>
    <w:rsid w:val="00846335"/>
    <w:rsid w:val="0084636C"/>
    <w:rsid w:val="008463C7"/>
    <w:rsid w:val="00846437"/>
    <w:rsid w:val="008464CC"/>
    <w:rsid w:val="00846500"/>
    <w:rsid w:val="008465CF"/>
    <w:rsid w:val="00846632"/>
    <w:rsid w:val="0084664E"/>
    <w:rsid w:val="0084666F"/>
    <w:rsid w:val="0084669D"/>
    <w:rsid w:val="008466F7"/>
    <w:rsid w:val="0084678D"/>
    <w:rsid w:val="008467A1"/>
    <w:rsid w:val="008467B0"/>
    <w:rsid w:val="008467D8"/>
    <w:rsid w:val="00846824"/>
    <w:rsid w:val="0084686D"/>
    <w:rsid w:val="008468FF"/>
    <w:rsid w:val="00846A72"/>
    <w:rsid w:val="00846AD8"/>
    <w:rsid w:val="00846B37"/>
    <w:rsid w:val="00846B75"/>
    <w:rsid w:val="00846B87"/>
    <w:rsid w:val="00846B88"/>
    <w:rsid w:val="00846CAC"/>
    <w:rsid w:val="00846CCC"/>
    <w:rsid w:val="00846D04"/>
    <w:rsid w:val="00846D5E"/>
    <w:rsid w:val="00846D9D"/>
    <w:rsid w:val="00846DA0"/>
    <w:rsid w:val="00846DBE"/>
    <w:rsid w:val="00846E26"/>
    <w:rsid w:val="00846E64"/>
    <w:rsid w:val="00846E6D"/>
    <w:rsid w:val="00846E97"/>
    <w:rsid w:val="00846EF3"/>
    <w:rsid w:val="00846F53"/>
    <w:rsid w:val="00846F5B"/>
    <w:rsid w:val="00847030"/>
    <w:rsid w:val="0084704A"/>
    <w:rsid w:val="00847081"/>
    <w:rsid w:val="00847094"/>
    <w:rsid w:val="0084716D"/>
    <w:rsid w:val="00847184"/>
    <w:rsid w:val="008471F4"/>
    <w:rsid w:val="00847226"/>
    <w:rsid w:val="00847282"/>
    <w:rsid w:val="00847293"/>
    <w:rsid w:val="008472A9"/>
    <w:rsid w:val="00847379"/>
    <w:rsid w:val="008473C6"/>
    <w:rsid w:val="0084746F"/>
    <w:rsid w:val="008474E1"/>
    <w:rsid w:val="00847540"/>
    <w:rsid w:val="0084756B"/>
    <w:rsid w:val="00847586"/>
    <w:rsid w:val="008476DD"/>
    <w:rsid w:val="00847717"/>
    <w:rsid w:val="00847808"/>
    <w:rsid w:val="0084787D"/>
    <w:rsid w:val="00847979"/>
    <w:rsid w:val="008479D4"/>
    <w:rsid w:val="00847AC5"/>
    <w:rsid w:val="00847B32"/>
    <w:rsid w:val="00847BB1"/>
    <w:rsid w:val="00847BE4"/>
    <w:rsid w:val="00847BF5"/>
    <w:rsid w:val="00847C13"/>
    <w:rsid w:val="00847C17"/>
    <w:rsid w:val="00847C55"/>
    <w:rsid w:val="00847C89"/>
    <w:rsid w:val="00847D14"/>
    <w:rsid w:val="00847DA7"/>
    <w:rsid w:val="00847DCC"/>
    <w:rsid w:val="00847E77"/>
    <w:rsid w:val="00847F08"/>
    <w:rsid w:val="00847FA7"/>
    <w:rsid w:val="00847FBD"/>
    <w:rsid w:val="00850074"/>
    <w:rsid w:val="0085009B"/>
    <w:rsid w:val="008500BE"/>
    <w:rsid w:val="008501BA"/>
    <w:rsid w:val="00850270"/>
    <w:rsid w:val="00850289"/>
    <w:rsid w:val="00850294"/>
    <w:rsid w:val="008502C2"/>
    <w:rsid w:val="00850321"/>
    <w:rsid w:val="0085034F"/>
    <w:rsid w:val="00850453"/>
    <w:rsid w:val="0085045A"/>
    <w:rsid w:val="008504C8"/>
    <w:rsid w:val="00850513"/>
    <w:rsid w:val="0085054B"/>
    <w:rsid w:val="00850561"/>
    <w:rsid w:val="0085057D"/>
    <w:rsid w:val="008505BB"/>
    <w:rsid w:val="00850607"/>
    <w:rsid w:val="008506E4"/>
    <w:rsid w:val="008506FF"/>
    <w:rsid w:val="00850721"/>
    <w:rsid w:val="00850726"/>
    <w:rsid w:val="00850788"/>
    <w:rsid w:val="0085082B"/>
    <w:rsid w:val="00850830"/>
    <w:rsid w:val="008508A5"/>
    <w:rsid w:val="008509D0"/>
    <w:rsid w:val="008509E0"/>
    <w:rsid w:val="00850A98"/>
    <w:rsid w:val="00850AA1"/>
    <w:rsid w:val="00850AA7"/>
    <w:rsid w:val="00850AC4"/>
    <w:rsid w:val="00850AC5"/>
    <w:rsid w:val="00850B72"/>
    <w:rsid w:val="00850C67"/>
    <w:rsid w:val="00850C9A"/>
    <w:rsid w:val="00850D2E"/>
    <w:rsid w:val="00850D86"/>
    <w:rsid w:val="00850DDD"/>
    <w:rsid w:val="00850E13"/>
    <w:rsid w:val="00850E25"/>
    <w:rsid w:val="00850E9F"/>
    <w:rsid w:val="00850ED1"/>
    <w:rsid w:val="00850F2C"/>
    <w:rsid w:val="0085100A"/>
    <w:rsid w:val="00851071"/>
    <w:rsid w:val="00851084"/>
    <w:rsid w:val="00851085"/>
    <w:rsid w:val="00851126"/>
    <w:rsid w:val="0085115B"/>
    <w:rsid w:val="00851164"/>
    <w:rsid w:val="008511E9"/>
    <w:rsid w:val="0085120A"/>
    <w:rsid w:val="00851260"/>
    <w:rsid w:val="008512D1"/>
    <w:rsid w:val="008512E5"/>
    <w:rsid w:val="008513BE"/>
    <w:rsid w:val="008513F8"/>
    <w:rsid w:val="00851431"/>
    <w:rsid w:val="00851464"/>
    <w:rsid w:val="008514C1"/>
    <w:rsid w:val="008514C3"/>
    <w:rsid w:val="0085155C"/>
    <w:rsid w:val="008515E4"/>
    <w:rsid w:val="008516A3"/>
    <w:rsid w:val="008516B7"/>
    <w:rsid w:val="0085173B"/>
    <w:rsid w:val="008517D0"/>
    <w:rsid w:val="00851822"/>
    <w:rsid w:val="00851849"/>
    <w:rsid w:val="00851857"/>
    <w:rsid w:val="00851870"/>
    <w:rsid w:val="008519F9"/>
    <w:rsid w:val="00851A25"/>
    <w:rsid w:val="00851AB6"/>
    <w:rsid w:val="00851B03"/>
    <w:rsid w:val="00851B87"/>
    <w:rsid w:val="00851B8F"/>
    <w:rsid w:val="00851B97"/>
    <w:rsid w:val="00851BB6"/>
    <w:rsid w:val="00851BDD"/>
    <w:rsid w:val="00851C1D"/>
    <w:rsid w:val="00851C75"/>
    <w:rsid w:val="00851C7D"/>
    <w:rsid w:val="00851CC4"/>
    <w:rsid w:val="00851CE2"/>
    <w:rsid w:val="00851D23"/>
    <w:rsid w:val="00851D5F"/>
    <w:rsid w:val="00851D7C"/>
    <w:rsid w:val="00851DEC"/>
    <w:rsid w:val="00851E58"/>
    <w:rsid w:val="00851E86"/>
    <w:rsid w:val="00851F52"/>
    <w:rsid w:val="00851F73"/>
    <w:rsid w:val="00851F9B"/>
    <w:rsid w:val="0085207B"/>
    <w:rsid w:val="00852107"/>
    <w:rsid w:val="00852199"/>
    <w:rsid w:val="008521F8"/>
    <w:rsid w:val="0085225C"/>
    <w:rsid w:val="008522A7"/>
    <w:rsid w:val="008522D6"/>
    <w:rsid w:val="0085240B"/>
    <w:rsid w:val="00852431"/>
    <w:rsid w:val="0085243B"/>
    <w:rsid w:val="0085245C"/>
    <w:rsid w:val="0085245F"/>
    <w:rsid w:val="008524B9"/>
    <w:rsid w:val="00852566"/>
    <w:rsid w:val="00852570"/>
    <w:rsid w:val="008525AE"/>
    <w:rsid w:val="008525B5"/>
    <w:rsid w:val="008525BA"/>
    <w:rsid w:val="008525CC"/>
    <w:rsid w:val="0085262C"/>
    <w:rsid w:val="00852696"/>
    <w:rsid w:val="008526BE"/>
    <w:rsid w:val="008526F2"/>
    <w:rsid w:val="0085272C"/>
    <w:rsid w:val="00852778"/>
    <w:rsid w:val="0085288D"/>
    <w:rsid w:val="00852892"/>
    <w:rsid w:val="008529F6"/>
    <w:rsid w:val="00852A2C"/>
    <w:rsid w:val="00852A63"/>
    <w:rsid w:val="00852BA6"/>
    <w:rsid w:val="00852BAE"/>
    <w:rsid w:val="00852BC1"/>
    <w:rsid w:val="00852BED"/>
    <w:rsid w:val="00852C54"/>
    <w:rsid w:val="00852CBE"/>
    <w:rsid w:val="00852D2C"/>
    <w:rsid w:val="00852D3E"/>
    <w:rsid w:val="00852D4D"/>
    <w:rsid w:val="00852DEA"/>
    <w:rsid w:val="00852E07"/>
    <w:rsid w:val="00852E33"/>
    <w:rsid w:val="00852E4D"/>
    <w:rsid w:val="00852E4F"/>
    <w:rsid w:val="00852EA2"/>
    <w:rsid w:val="00852ED5"/>
    <w:rsid w:val="00852F29"/>
    <w:rsid w:val="00852F38"/>
    <w:rsid w:val="00852FE1"/>
    <w:rsid w:val="00852FE8"/>
    <w:rsid w:val="0085304C"/>
    <w:rsid w:val="008530F5"/>
    <w:rsid w:val="00853131"/>
    <w:rsid w:val="008531BB"/>
    <w:rsid w:val="008531C0"/>
    <w:rsid w:val="00853238"/>
    <w:rsid w:val="0085329D"/>
    <w:rsid w:val="008533E5"/>
    <w:rsid w:val="00853457"/>
    <w:rsid w:val="00853484"/>
    <w:rsid w:val="008534DD"/>
    <w:rsid w:val="008534E1"/>
    <w:rsid w:val="008534E9"/>
    <w:rsid w:val="00853500"/>
    <w:rsid w:val="0085367F"/>
    <w:rsid w:val="008536D1"/>
    <w:rsid w:val="00853867"/>
    <w:rsid w:val="0085389E"/>
    <w:rsid w:val="008538FF"/>
    <w:rsid w:val="008539EA"/>
    <w:rsid w:val="00853BEE"/>
    <w:rsid w:val="00853BF6"/>
    <w:rsid w:val="00853C42"/>
    <w:rsid w:val="00853D85"/>
    <w:rsid w:val="00853D97"/>
    <w:rsid w:val="00853E91"/>
    <w:rsid w:val="00853E94"/>
    <w:rsid w:val="00853EC1"/>
    <w:rsid w:val="00853FF0"/>
    <w:rsid w:val="00853FFA"/>
    <w:rsid w:val="00854040"/>
    <w:rsid w:val="00854074"/>
    <w:rsid w:val="00854123"/>
    <w:rsid w:val="008541FC"/>
    <w:rsid w:val="00854206"/>
    <w:rsid w:val="00854281"/>
    <w:rsid w:val="00854312"/>
    <w:rsid w:val="00854341"/>
    <w:rsid w:val="008543A8"/>
    <w:rsid w:val="008543EA"/>
    <w:rsid w:val="0085457E"/>
    <w:rsid w:val="008546EB"/>
    <w:rsid w:val="008547B9"/>
    <w:rsid w:val="00854848"/>
    <w:rsid w:val="00854866"/>
    <w:rsid w:val="00854912"/>
    <w:rsid w:val="00854987"/>
    <w:rsid w:val="00854A46"/>
    <w:rsid w:val="00854A4A"/>
    <w:rsid w:val="00854D3E"/>
    <w:rsid w:val="00854D92"/>
    <w:rsid w:val="00854E1D"/>
    <w:rsid w:val="00854E9B"/>
    <w:rsid w:val="00854EDD"/>
    <w:rsid w:val="00854F59"/>
    <w:rsid w:val="00854F97"/>
    <w:rsid w:val="00854FE1"/>
    <w:rsid w:val="0085501A"/>
    <w:rsid w:val="00855059"/>
    <w:rsid w:val="008550FB"/>
    <w:rsid w:val="0085514B"/>
    <w:rsid w:val="00855182"/>
    <w:rsid w:val="008551AC"/>
    <w:rsid w:val="008551B1"/>
    <w:rsid w:val="008551D5"/>
    <w:rsid w:val="00855212"/>
    <w:rsid w:val="00855213"/>
    <w:rsid w:val="008552BD"/>
    <w:rsid w:val="0085537A"/>
    <w:rsid w:val="00855385"/>
    <w:rsid w:val="00855429"/>
    <w:rsid w:val="0085545B"/>
    <w:rsid w:val="008554E8"/>
    <w:rsid w:val="00855584"/>
    <w:rsid w:val="00855639"/>
    <w:rsid w:val="008556E0"/>
    <w:rsid w:val="00855852"/>
    <w:rsid w:val="00855889"/>
    <w:rsid w:val="008558A9"/>
    <w:rsid w:val="008558CF"/>
    <w:rsid w:val="00855941"/>
    <w:rsid w:val="008559B1"/>
    <w:rsid w:val="008559C8"/>
    <w:rsid w:val="00855A1F"/>
    <w:rsid w:val="00855B03"/>
    <w:rsid w:val="00855B3F"/>
    <w:rsid w:val="00855B54"/>
    <w:rsid w:val="00855B71"/>
    <w:rsid w:val="00855BD6"/>
    <w:rsid w:val="00855C09"/>
    <w:rsid w:val="00855CF2"/>
    <w:rsid w:val="00855D4D"/>
    <w:rsid w:val="00855D7C"/>
    <w:rsid w:val="00855D86"/>
    <w:rsid w:val="00855DAE"/>
    <w:rsid w:val="00855E5A"/>
    <w:rsid w:val="00855EC8"/>
    <w:rsid w:val="00855EE0"/>
    <w:rsid w:val="00855FA2"/>
    <w:rsid w:val="00855FF5"/>
    <w:rsid w:val="0085609A"/>
    <w:rsid w:val="008560F0"/>
    <w:rsid w:val="008561A9"/>
    <w:rsid w:val="008561BB"/>
    <w:rsid w:val="00856208"/>
    <w:rsid w:val="0085621D"/>
    <w:rsid w:val="0085622F"/>
    <w:rsid w:val="00856233"/>
    <w:rsid w:val="008562C0"/>
    <w:rsid w:val="00856370"/>
    <w:rsid w:val="00856506"/>
    <w:rsid w:val="00856513"/>
    <w:rsid w:val="00856533"/>
    <w:rsid w:val="00856558"/>
    <w:rsid w:val="00856567"/>
    <w:rsid w:val="00856684"/>
    <w:rsid w:val="008566F0"/>
    <w:rsid w:val="00856772"/>
    <w:rsid w:val="0085677B"/>
    <w:rsid w:val="00856780"/>
    <w:rsid w:val="0085683B"/>
    <w:rsid w:val="008569AB"/>
    <w:rsid w:val="00856A1F"/>
    <w:rsid w:val="00856A28"/>
    <w:rsid w:val="00856AD2"/>
    <w:rsid w:val="00856B3D"/>
    <w:rsid w:val="00856B50"/>
    <w:rsid w:val="00856B57"/>
    <w:rsid w:val="00856B58"/>
    <w:rsid w:val="00856BB8"/>
    <w:rsid w:val="00856C22"/>
    <w:rsid w:val="00856C8B"/>
    <w:rsid w:val="00856CC2"/>
    <w:rsid w:val="00856D68"/>
    <w:rsid w:val="00856F1D"/>
    <w:rsid w:val="00856F63"/>
    <w:rsid w:val="00856F84"/>
    <w:rsid w:val="00856FA0"/>
    <w:rsid w:val="00856FC4"/>
    <w:rsid w:val="00856FF3"/>
    <w:rsid w:val="008570AD"/>
    <w:rsid w:val="00857103"/>
    <w:rsid w:val="0085715E"/>
    <w:rsid w:val="0085717A"/>
    <w:rsid w:val="008571E2"/>
    <w:rsid w:val="00857276"/>
    <w:rsid w:val="00857323"/>
    <w:rsid w:val="008573D0"/>
    <w:rsid w:val="00857431"/>
    <w:rsid w:val="00857494"/>
    <w:rsid w:val="00857499"/>
    <w:rsid w:val="008574AB"/>
    <w:rsid w:val="008574CF"/>
    <w:rsid w:val="00857553"/>
    <w:rsid w:val="0085757D"/>
    <w:rsid w:val="00857660"/>
    <w:rsid w:val="008576EC"/>
    <w:rsid w:val="008576F5"/>
    <w:rsid w:val="0085776B"/>
    <w:rsid w:val="00857880"/>
    <w:rsid w:val="008578A2"/>
    <w:rsid w:val="008579A2"/>
    <w:rsid w:val="008579A9"/>
    <w:rsid w:val="008579B1"/>
    <w:rsid w:val="008579FA"/>
    <w:rsid w:val="00857A79"/>
    <w:rsid w:val="00857ADD"/>
    <w:rsid w:val="00857B25"/>
    <w:rsid w:val="00857B2A"/>
    <w:rsid w:val="00857BB5"/>
    <w:rsid w:val="00857BC4"/>
    <w:rsid w:val="00857C0E"/>
    <w:rsid w:val="00857C46"/>
    <w:rsid w:val="00857C4F"/>
    <w:rsid w:val="00857CA8"/>
    <w:rsid w:val="00857D8A"/>
    <w:rsid w:val="00857DCF"/>
    <w:rsid w:val="00857F27"/>
    <w:rsid w:val="00857F32"/>
    <w:rsid w:val="00857FAB"/>
    <w:rsid w:val="00857FE3"/>
    <w:rsid w:val="00857FFE"/>
    <w:rsid w:val="00860064"/>
    <w:rsid w:val="00860072"/>
    <w:rsid w:val="00860085"/>
    <w:rsid w:val="008600B6"/>
    <w:rsid w:val="008600FA"/>
    <w:rsid w:val="0086021B"/>
    <w:rsid w:val="00860295"/>
    <w:rsid w:val="008602C9"/>
    <w:rsid w:val="0086033B"/>
    <w:rsid w:val="00860513"/>
    <w:rsid w:val="00860560"/>
    <w:rsid w:val="008605FB"/>
    <w:rsid w:val="00860625"/>
    <w:rsid w:val="00860782"/>
    <w:rsid w:val="0086084E"/>
    <w:rsid w:val="00860889"/>
    <w:rsid w:val="0086089E"/>
    <w:rsid w:val="008608AE"/>
    <w:rsid w:val="008608F2"/>
    <w:rsid w:val="008608F6"/>
    <w:rsid w:val="00860955"/>
    <w:rsid w:val="0086096B"/>
    <w:rsid w:val="008609C9"/>
    <w:rsid w:val="00860A19"/>
    <w:rsid w:val="00860A6F"/>
    <w:rsid w:val="00860A96"/>
    <w:rsid w:val="00860AA0"/>
    <w:rsid w:val="00860AB5"/>
    <w:rsid w:val="00860B1B"/>
    <w:rsid w:val="00860B3F"/>
    <w:rsid w:val="00860B55"/>
    <w:rsid w:val="00860C59"/>
    <w:rsid w:val="00860C62"/>
    <w:rsid w:val="00860C7A"/>
    <w:rsid w:val="00860C9D"/>
    <w:rsid w:val="00860D17"/>
    <w:rsid w:val="00860D58"/>
    <w:rsid w:val="00860DE6"/>
    <w:rsid w:val="00860E12"/>
    <w:rsid w:val="00860E39"/>
    <w:rsid w:val="00860F77"/>
    <w:rsid w:val="00861013"/>
    <w:rsid w:val="008610F3"/>
    <w:rsid w:val="00861148"/>
    <w:rsid w:val="00861158"/>
    <w:rsid w:val="00861172"/>
    <w:rsid w:val="0086117F"/>
    <w:rsid w:val="008611EA"/>
    <w:rsid w:val="00861249"/>
    <w:rsid w:val="00861267"/>
    <w:rsid w:val="0086139F"/>
    <w:rsid w:val="008613B2"/>
    <w:rsid w:val="008613EC"/>
    <w:rsid w:val="008614C6"/>
    <w:rsid w:val="00861527"/>
    <w:rsid w:val="008615A4"/>
    <w:rsid w:val="008615F1"/>
    <w:rsid w:val="00861670"/>
    <w:rsid w:val="008616DF"/>
    <w:rsid w:val="00861813"/>
    <w:rsid w:val="00861850"/>
    <w:rsid w:val="008618B3"/>
    <w:rsid w:val="00861959"/>
    <w:rsid w:val="0086195A"/>
    <w:rsid w:val="0086195F"/>
    <w:rsid w:val="008619BC"/>
    <w:rsid w:val="00861A77"/>
    <w:rsid w:val="00861B3D"/>
    <w:rsid w:val="00861BE4"/>
    <w:rsid w:val="00861CCC"/>
    <w:rsid w:val="00861D0A"/>
    <w:rsid w:val="00861D49"/>
    <w:rsid w:val="00861D70"/>
    <w:rsid w:val="00861D83"/>
    <w:rsid w:val="00861DC0"/>
    <w:rsid w:val="00861E15"/>
    <w:rsid w:val="00862030"/>
    <w:rsid w:val="00862038"/>
    <w:rsid w:val="00862060"/>
    <w:rsid w:val="00862128"/>
    <w:rsid w:val="00862195"/>
    <w:rsid w:val="008621D2"/>
    <w:rsid w:val="00862331"/>
    <w:rsid w:val="00862345"/>
    <w:rsid w:val="008623A0"/>
    <w:rsid w:val="008623B0"/>
    <w:rsid w:val="008623EC"/>
    <w:rsid w:val="0086257E"/>
    <w:rsid w:val="008625F2"/>
    <w:rsid w:val="0086269B"/>
    <w:rsid w:val="008626F0"/>
    <w:rsid w:val="00862702"/>
    <w:rsid w:val="00862761"/>
    <w:rsid w:val="0086276A"/>
    <w:rsid w:val="00862783"/>
    <w:rsid w:val="0086279C"/>
    <w:rsid w:val="0086279D"/>
    <w:rsid w:val="0086280E"/>
    <w:rsid w:val="0086280F"/>
    <w:rsid w:val="0086282B"/>
    <w:rsid w:val="00862882"/>
    <w:rsid w:val="00862927"/>
    <w:rsid w:val="00862986"/>
    <w:rsid w:val="00862990"/>
    <w:rsid w:val="00862A17"/>
    <w:rsid w:val="00862A4F"/>
    <w:rsid w:val="00862A51"/>
    <w:rsid w:val="00862AD4"/>
    <w:rsid w:val="00862B67"/>
    <w:rsid w:val="00862B7C"/>
    <w:rsid w:val="00862BC0"/>
    <w:rsid w:val="00862BC6"/>
    <w:rsid w:val="00862BF3"/>
    <w:rsid w:val="00862C97"/>
    <w:rsid w:val="00862CE1"/>
    <w:rsid w:val="00862CE5"/>
    <w:rsid w:val="00862CF8"/>
    <w:rsid w:val="00862D17"/>
    <w:rsid w:val="00862D45"/>
    <w:rsid w:val="00862E66"/>
    <w:rsid w:val="00862F1D"/>
    <w:rsid w:val="00863014"/>
    <w:rsid w:val="00863075"/>
    <w:rsid w:val="008630B4"/>
    <w:rsid w:val="00863166"/>
    <w:rsid w:val="008631BA"/>
    <w:rsid w:val="008631D4"/>
    <w:rsid w:val="00863272"/>
    <w:rsid w:val="0086328A"/>
    <w:rsid w:val="008632C4"/>
    <w:rsid w:val="008632F2"/>
    <w:rsid w:val="00863335"/>
    <w:rsid w:val="00863451"/>
    <w:rsid w:val="00863479"/>
    <w:rsid w:val="008634B5"/>
    <w:rsid w:val="008634F2"/>
    <w:rsid w:val="0086350A"/>
    <w:rsid w:val="00863518"/>
    <w:rsid w:val="00863542"/>
    <w:rsid w:val="0086355E"/>
    <w:rsid w:val="008635A9"/>
    <w:rsid w:val="008635B8"/>
    <w:rsid w:val="0086360B"/>
    <w:rsid w:val="0086361A"/>
    <w:rsid w:val="00863650"/>
    <w:rsid w:val="00863682"/>
    <w:rsid w:val="008636FA"/>
    <w:rsid w:val="0086383E"/>
    <w:rsid w:val="008638E3"/>
    <w:rsid w:val="008638EA"/>
    <w:rsid w:val="008639E2"/>
    <w:rsid w:val="008639EE"/>
    <w:rsid w:val="00863A85"/>
    <w:rsid w:val="00863ACC"/>
    <w:rsid w:val="00863B0B"/>
    <w:rsid w:val="00863BEA"/>
    <w:rsid w:val="00863C63"/>
    <w:rsid w:val="00863C82"/>
    <w:rsid w:val="00863C9E"/>
    <w:rsid w:val="00863CF6"/>
    <w:rsid w:val="00863DBF"/>
    <w:rsid w:val="00863E15"/>
    <w:rsid w:val="00863EBB"/>
    <w:rsid w:val="00863EE6"/>
    <w:rsid w:val="00863EF0"/>
    <w:rsid w:val="00863F11"/>
    <w:rsid w:val="00863F1C"/>
    <w:rsid w:val="00863F53"/>
    <w:rsid w:val="00863F75"/>
    <w:rsid w:val="008640A0"/>
    <w:rsid w:val="00864243"/>
    <w:rsid w:val="00864246"/>
    <w:rsid w:val="00864271"/>
    <w:rsid w:val="00864333"/>
    <w:rsid w:val="0086435B"/>
    <w:rsid w:val="00864391"/>
    <w:rsid w:val="008643AA"/>
    <w:rsid w:val="008643B6"/>
    <w:rsid w:val="00864566"/>
    <w:rsid w:val="0086456F"/>
    <w:rsid w:val="0086459A"/>
    <w:rsid w:val="008646C8"/>
    <w:rsid w:val="0086472A"/>
    <w:rsid w:val="00864777"/>
    <w:rsid w:val="0086482A"/>
    <w:rsid w:val="00864849"/>
    <w:rsid w:val="00864888"/>
    <w:rsid w:val="0086491C"/>
    <w:rsid w:val="00864B87"/>
    <w:rsid w:val="00864C69"/>
    <w:rsid w:val="00864C6B"/>
    <w:rsid w:val="00864CC0"/>
    <w:rsid w:val="00864CC9"/>
    <w:rsid w:val="00864DB0"/>
    <w:rsid w:val="00864DDE"/>
    <w:rsid w:val="00864E3C"/>
    <w:rsid w:val="00864E7F"/>
    <w:rsid w:val="00864E92"/>
    <w:rsid w:val="00864F3D"/>
    <w:rsid w:val="00864F79"/>
    <w:rsid w:val="008650AD"/>
    <w:rsid w:val="00865166"/>
    <w:rsid w:val="008651F5"/>
    <w:rsid w:val="00865260"/>
    <w:rsid w:val="00865277"/>
    <w:rsid w:val="008652A3"/>
    <w:rsid w:val="008652DE"/>
    <w:rsid w:val="00865301"/>
    <w:rsid w:val="0086536C"/>
    <w:rsid w:val="008653AE"/>
    <w:rsid w:val="008653FC"/>
    <w:rsid w:val="0086551B"/>
    <w:rsid w:val="008655BF"/>
    <w:rsid w:val="008655C3"/>
    <w:rsid w:val="008655D3"/>
    <w:rsid w:val="008656AC"/>
    <w:rsid w:val="008656BC"/>
    <w:rsid w:val="008656D1"/>
    <w:rsid w:val="0086574A"/>
    <w:rsid w:val="0086575A"/>
    <w:rsid w:val="0086578B"/>
    <w:rsid w:val="00865879"/>
    <w:rsid w:val="0086587A"/>
    <w:rsid w:val="00865968"/>
    <w:rsid w:val="00865B55"/>
    <w:rsid w:val="00865B60"/>
    <w:rsid w:val="00865B6A"/>
    <w:rsid w:val="00865BD2"/>
    <w:rsid w:val="00865BE2"/>
    <w:rsid w:val="00865C73"/>
    <w:rsid w:val="00865CC3"/>
    <w:rsid w:val="00865D0E"/>
    <w:rsid w:val="00865D64"/>
    <w:rsid w:val="00865D77"/>
    <w:rsid w:val="00865D9C"/>
    <w:rsid w:val="00865DA7"/>
    <w:rsid w:val="00865DB7"/>
    <w:rsid w:val="00865EC6"/>
    <w:rsid w:val="00865ECE"/>
    <w:rsid w:val="00865F39"/>
    <w:rsid w:val="00865F9A"/>
    <w:rsid w:val="00865FCE"/>
    <w:rsid w:val="008660B3"/>
    <w:rsid w:val="008660DA"/>
    <w:rsid w:val="00866115"/>
    <w:rsid w:val="0086619E"/>
    <w:rsid w:val="008661B6"/>
    <w:rsid w:val="008661B9"/>
    <w:rsid w:val="008661CE"/>
    <w:rsid w:val="00866206"/>
    <w:rsid w:val="0086620A"/>
    <w:rsid w:val="0086623D"/>
    <w:rsid w:val="0086629B"/>
    <w:rsid w:val="008662DD"/>
    <w:rsid w:val="00866302"/>
    <w:rsid w:val="0086632E"/>
    <w:rsid w:val="00866347"/>
    <w:rsid w:val="00866371"/>
    <w:rsid w:val="008663E1"/>
    <w:rsid w:val="008663F7"/>
    <w:rsid w:val="00866415"/>
    <w:rsid w:val="00866431"/>
    <w:rsid w:val="00866571"/>
    <w:rsid w:val="008665AB"/>
    <w:rsid w:val="00866743"/>
    <w:rsid w:val="00866749"/>
    <w:rsid w:val="008667B8"/>
    <w:rsid w:val="008668DF"/>
    <w:rsid w:val="00866945"/>
    <w:rsid w:val="00866A2E"/>
    <w:rsid w:val="00866B78"/>
    <w:rsid w:val="00866B92"/>
    <w:rsid w:val="00866B95"/>
    <w:rsid w:val="00866BF3"/>
    <w:rsid w:val="00866C3C"/>
    <w:rsid w:val="00866C53"/>
    <w:rsid w:val="00866C5A"/>
    <w:rsid w:val="00866D08"/>
    <w:rsid w:val="00866DFB"/>
    <w:rsid w:val="00866E0C"/>
    <w:rsid w:val="00866E47"/>
    <w:rsid w:val="00866E5E"/>
    <w:rsid w:val="00866ECC"/>
    <w:rsid w:val="00866FA6"/>
    <w:rsid w:val="00866FB8"/>
    <w:rsid w:val="0086708F"/>
    <w:rsid w:val="00867177"/>
    <w:rsid w:val="008671E2"/>
    <w:rsid w:val="00867268"/>
    <w:rsid w:val="008672D3"/>
    <w:rsid w:val="0086735E"/>
    <w:rsid w:val="008673A7"/>
    <w:rsid w:val="008673C2"/>
    <w:rsid w:val="008673C4"/>
    <w:rsid w:val="008673D4"/>
    <w:rsid w:val="00867460"/>
    <w:rsid w:val="0086746B"/>
    <w:rsid w:val="00867523"/>
    <w:rsid w:val="0086755F"/>
    <w:rsid w:val="00867588"/>
    <w:rsid w:val="008675A5"/>
    <w:rsid w:val="008675BE"/>
    <w:rsid w:val="008675E7"/>
    <w:rsid w:val="00867695"/>
    <w:rsid w:val="0086771A"/>
    <w:rsid w:val="00867736"/>
    <w:rsid w:val="00867775"/>
    <w:rsid w:val="008677AA"/>
    <w:rsid w:val="008677AE"/>
    <w:rsid w:val="00867A07"/>
    <w:rsid w:val="00867AAF"/>
    <w:rsid w:val="00867AFE"/>
    <w:rsid w:val="00867B27"/>
    <w:rsid w:val="00867C19"/>
    <w:rsid w:val="00867C8F"/>
    <w:rsid w:val="00867CD7"/>
    <w:rsid w:val="00867D39"/>
    <w:rsid w:val="00867D5F"/>
    <w:rsid w:val="00867D9A"/>
    <w:rsid w:val="00867E27"/>
    <w:rsid w:val="00867EAD"/>
    <w:rsid w:val="00867F71"/>
    <w:rsid w:val="00867FA3"/>
    <w:rsid w:val="00867FB0"/>
    <w:rsid w:val="0087005F"/>
    <w:rsid w:val="0087006F"/>
    <w:rsid w:val="008701F2"/>
    <w:rsid w:val="0087022B"/>
    <w:rsid w:val="0087026A"/>
    <w:rsid w:val="008702A6"/>
    <w:rsid w:val="008702A8"/>
    <w:rsid w:val="008702B5"/>
    <w:rsid w:val="008702D8"/>
    <w:rsid w:val="00870301"/>
    <w:rsid w:val="0087032C"/>
    <w:rsid w:val="0087033E"/>
    <w:rsid w:val="008703AC"/>
    <w:rsid w:val="00870408"/>
    <w:rsid w:val="0087040B"/>
    <w:rsid w:val="0087043F"/>
    <w:rsid w:val="00870577"/>
    <w:rsid w:val="00870673"/>
    <w:rsid w:val="00870683"/>
    <w:rsid w:val="008706C3"/>
    <w:rsid w:val="008706D3"/>
    <w:rsid w:val="008707C7"/>
    <w:rsid w:val="00870837"/>
    <w:rsid w:val="008708A4"/>
    <w:rsid w:val="00870A36"/>
    <w:rsid w:val="00870ABB"/>
    <w:rsid w:val="00870B15"/>
    <w:rsid w:val="00870B75"/>
    <w:rsid w:val="00870B76"/>
    <w:rsid w:val="00870C1B"/>
    <w:rsid w:val="00870C33"/>
    <w:rsid w:val="00870C8D"/>
    <w:rsid w:val="00870D83"/>
    <w:rsid w:val="00870E4E"/>
    <w:rsid w:val="00870E61"/>
    <w:rsid w:val="00870E6A"/>
    <w:rsid w:val="00870ED8"/>
    <w:rsid w:val="00870F62"/>
    <w:rsid w:val="00870FB9"/>
    <w:rsid w:val="00870FEE"/>
    <w:rsid w:val="0087107F"/>
    <w:rsid w:val="00871083"/>
    <w:rsid w:val="00871119"/>
    <w:rsid w:val="00871132"/>
    <w:rsid w:val="00871138"/>
    <w:rsid w:val="00871141"/>
    <w:rsid w:val="00871275"/>
    <w:rsid w:val="00871293"/>
    <w:rsid w:val="00871295"/>
    <w:rsid w:val="008712BD"/>
    <w:rsid w:val="0087139F"/>
    <w:rsid w:val="008713B0"/>
    <w:rsid w:val="008713D5"/>
    <w:rsid w:val="00871468"/>
    <w:rsid w:val="00871481"/>
    <w:rsid w:val="00871486"/>
    <w:rsid w:val="00871581"/>
    <w:rsid w:val="008716A4"/>
    <w:rsid w:val="008716C5"/>
    <w:rsid w:val="0087173D"/>
    <w:rsid w:val="00871781"/>
    <w:rsid w:val="008717BD"/>
    <w:rsid w:val="00871816"/>
    <w:rsid w:val="00871824"/>
    <w:rsid w:val="0087184A"/>
    <w:rsid w:val="008719F3"/>
    <w:rsid w:val="00871A0F"/>
    <w:rsid w:val="00871A68"/>
    <w:rsid w:val="00871A80"/>
    <w:rsid w:val="00871AD7"/>
    <w:rsid w:val="00871B84"/>
    <w:rsid w:val="00871BBC"/>
    <w:rsid w:val="00871BFB"/>
    <w:rsid w:val="00871C8A"/>
    <w:rsid w:val="00871D43"/>
    <w:rsid w:val="00871D68"/>
    <w:rsid w:val="00871E2A"/>
    <w:rsid w:val="00871E6D"/>
    <w:rsid w:val="00871EEC"/>
    <w:rsid w:val="00871F5B"/>
    <w:rsid w:val="00871FB7"/>
    <w:rsid w:val="0087209D"/>
    <w:rsid w:val="008720B3"/>
    <w:rsid w:val="00872102"/>
    <w:rsid w:val="008721C6"/>
    <w:rsid w:val="0087228A"/>
    <w:rsid w:val="008722A1"/>
    <w:rsid w:val="008722FC"/>
    <w:rsid w:val="00872490"/>
    <w:rsid w:val="008726A2"/>
    <w:rsid w:val="00872780"/>
    <w:rsid w:val="00872861"/>
    <w:rsid w:val="008728BF"/>
    <w:rsid w:val="00872910"/>
    <w:rsid w:val="008729CB"/>
    <w:rsid w:val="008729CC"/>
    <w:rsid w:val="00872A36"/>
    <w:rsid w:val="00872A48"/>
    <w:rsid w:val="00872AC0"/>
    <w:rsid w:val="00872B2E"/>
    <w:rsid w:val="00872B3A"/>
    <w:rsid w:val="00872B48"/>
    <w:rsid w:val="00872B56"/>
    <w:rsid w:val="00872B8F"/>
    <w:rsid w:val="00872BD1"/>
    <w:rsid w:val="00872C1B"/>
    <w:rsid w:val="00872C46"/>
    <w:rsid w:val="00872CA0"/>
    <w:rsid w:val="00872CCC"/>
    <w:rsid w:val="00872D86"/>
    <w:rsid w:val="00872EAC"/>
    <w:rsid w:val="00872F72"/>
    <w:rsid w:val="00872F7D"/>
    <w:rsid w:val="00872FAD"/>
    <w:rsid w:val="008730B3"/>
    <w:rsid w:val="008730C1"/>
    <w:rsid w:val="0087313C"/>
    <w:rsid w:val="00873153"/>
    <w:rsid w:val="0087315B"/>
    <w:rsid w:val="0087316A"/>
    <w:rsid w:val="0087317E"/>
    <w:rsid w:val="0087321C"/>
    <w:rsid w:val="00873243"/>
    <w:rsid w:val="00873252"/>
    <w:rsid w:val="008732E7"/>
    <w:rsid w:val="00873333"/>
    <w:rsid w:val="00873340"/>
    <w:rsid w:val="008733A6"/>
    <w:rsid w:val="008734C6"/>
    <w:rsid w:val="00873531"/>
    <w:rsid w:val="00873553"/>
    <w:rsid w:val="00873599"/>
    <w:rsid w:val="0087361A"/>
    <w:rsid w:val="00873669"/>
    <w:rsid w:val="00873724"/>
    <w:rsid w:val="00873741"/>
    <w:rsid w:val="008737E1"/>
    <w:rsid w:val="00873809"/>
    <w:rsid w:val="00873925"/>
    <w:rsid w:val="00873973"/>
    <w:rsid w:val="00873974"/>
    <w:rsid w:val="0087397B"/>
    <w:rsid w:val="00873998"/>
    <w:rsid w:val="008739C0"/>
    <w:rsid w:val="008739EB"/>
    <w:rsid w:val="00873A9F"/>
    <w:rsid w:val="00873BAC"/>
    <w:rsid w:val="00873BC9"/>
    <w:rsid w:val="00873BD2"/>
    <w:rsid w:val="00873BF5"/>
    <w:rsid w:val="00873D0B"/>
    <w:rsid w:val="00873D53"/>
    <w:rsid w:val="00873D67"/>
    <w:rsid w:val="00873E4F"/>
    <w:rsid w:val="00873E83"/>
    <w:rsid w:val="00873F7F"/>
    <w:rsid w:val="00874032"/>
    <w:rsid w:val="00874042"/>
    <w:rsid w:val="00874057"/>
    <w:rsid w:val="008741ED"/>
    <w:rsid w:val="00874241"/>
    <w:rsid w:val="00874246"/>
    <w:rsid w:val="00874335"/>
    <w:rsid w:val="00874364"/>
    <w:rsid w:val="0087437B"/>
    <w:rsid w:val="008743E2"/>
    <w:rsid w:val="00874412"/>
    <w:rsid w:val="00874440"/>
    <w:rsid w:val="00874457"/>
    <w:rsid w:val="00874472"/>
    <w:rsid w:val="0087447B"/>
    <w:rsid w:val="00874508"/>
    <w:rsid w:val="00874518"/>
    <w:rsid w:val="00874530"/>
    <w:rsid w:val="00874548"/>
    <w:rsid w:val="0087466C"/>
    <w:rsid w:val="0087471A"/>
    <w:rsid w:val="00874726"/>
    <w:rsid w:val="0087479D"/>
    <w:rsid w:val="008747B7"/>
    <w:rsid w:val="008747B8"/>
    <w:rsid w:val="00874879"/>
    <w:rsid w:val="008748C8"/>
    <w:rsid w:val="008749A7"/>
    <w:rsid w:val="00874A1A"/>
    <w:rsid w:val="00874A4D"/>
    <w:rsid w:val="00874A6A"/>
    <w:rsid w:val="00874A9A"/>
    <w:rsid w:val="00874B3A"/>
    <w:rsid w:val="00874B84"/>
    <w:rsid w:val="00874BB9"/>
    <w:rsid w:val="00874BCA"/>
    <w:rsid w:val="00874C0C"/>
    <w:rsid w:val="00874C51"/>
    <w:rsid w:val="00874C5A"/>
    <w:rsid w:val="00874C68"/>
    <w:rsid w:val="00874D23"/>
    <w:rsid w:val="00874D3C"/>
    <w:rsid w:val="00874D46"/>
    <w:rsid w:val="00874D68"/>
    <w:rsid w:val="00874DC9"/>
    <w:rsid w:val="00874F35"/>
    <w:rsid w:val="00874F84"/>
    <w:rsid w:val="00874FEF"/>
    <w:rsid w:val="00875057"/>
    <w:rsid w:val="008750AB"/>
    <w:rsid w:val="00875102"/>
    <w:rsid w:val="0087510E"/>
    <w:rsid w:val="0087511B"/>
    <w:rsid w:val="00875145"/>
    <w:rsid w:val="008751BB"/>
    <w:rsid w:val="008752AC"/>
    <w:rsid w:val="008752C3"/>
    <w:rsid w:val="008753B9"/>
    <w:rsid w:val="008753CD"/>
    <w:rsid w:val="008753D5"/>
    <w:rsid w:val="00875440"/>
    <w:rsid w:val="00875442"/>
    <w:rsid w:val="0087546F"/>
    <w:rsid w:val="008754AF"/>
    <w:rsid w:val="00875583"/>
    <w:rsid w:val="00875596"/>
    <w:rsid w:val="008755EF"/>
    <w:rsid w:val="00875600"/>
    <w:rsid w:val="00875728"/>
    <w:rsid w:val="00875729"/>
    <w:rsid w:val="00875746"/>
    <w:rsid w:val="0087576D"/>
    <w:rsid w:val="00875772"/>
    <w:rsid w:val="0087577F"/>
    <w:rsid w:val="008757CB"/>
    <w:rsid w:val="00875842"/>
    <w:rsid w:val="0087590D"/>
    <w:rsid w:val="0087593B"/>
    <w:rsid w:val="0087599A"/>
    <w:rsid w:val="00875A20"/>
    <w:rsid w:val="00875AC5"/>
    <w:rsid w:val="00875B01"/>
    <w:rsid w:val="00875B2C"/>
    <w:rsid w:val="00875B63"/>
    <w:rsid w:val="00875BA6"/>
    <w:rsid w:val="00875C0A"/>
    <w:rsid w:val="00875C26"/>
    <w:rsid w:val="00875C2A"/>
    <w:rsid w:val="00875DDE"/>
    <w:rsid w:val="00875E6C"/>
    <w:rsid w:val="00875E6E"/>
    <w:rsid w:val="00875E9D"/>
    <w:rsid w:val="00875F14"/>
    <w:rsid w:val="008760BA"/>
    <w:rsid w:val="008760EB"/>
    <w:rsid w:val="0087615E"/>
    <w:rsid w:val="0087617B"/>
    <w:rsid w:val="00876398"/>
    <w:rsid w:val="0087639C"/>
    <w:rsid w:val="008763D0"/>
    <w:rsid w:val="008763E6"/>
    <w:rsid w:val="008763E8"/>
    <w:rsid w:val="00876485"/>
    <w:rsid w:val="008764AD"/>
    <w:rsid w:val="008764BF"/>
    <w:rsid w:val="008764C4"/>
    <w:rsid w:val="008764CB"/>
    <w:rsid w:val="008764DB"/>
    <w:rsid w:val="008764E7"/>
    <w:rsid w:val="00876574"/>
    <w:rsid w:val="00876582"/>
    <w:rsid w:val="0087659B"/>
    <w:rsid w:val="008765D9"/>
    <w:rsid w:val="008765F4"/>
    <w:rsid w:val="0087665D"/>
    <w:rsid w:val="0087679C"/>
    <w:rsid w:val="008767FE"/>
    <w:rsid w:val="0087680E"/>
    <w:rsid w:val="00876856"/>
    <w:rsid w:val="008768AC"/>
    <w:rsid w:val="008768D0"/>
    <w:rsid w:val="0087692B"/>
    <w:rsid w:val="00876977"/>
    <w:rsid w:val="008769A4"/>
    <w:rsid w:val="008769B2"/>
    <w:rsid w:val="008769DB"/>
    <w:rsid w:val="008769E8"/>
    <w:rsid w:val="00876A22"/>
    <w:rsid w:val="00876A28"/>
    <w:rsid w:val="00876A32"/>
    <w:rsid w:val="00876A6D"/>
    <w:rsid w:val="00876A7B"/>
    <w:rsid w:val="00876AA1"/>
    <w:rsid w:val="00876ABA"/>
    <w:rsid w:val="00876AC0"/>
    <w:rsid w:val="00876B21"/>
    <w:rsid w:val="00876B2F"/>
    <w:rsid w:val="00876BAB"/>
    <w:rsid w:val="00876CAE"/>
    <w:rsid w:val="00876DF1"/>
    <w:rsid w:val="00876DF4"/>
    <w:rsid w:val="00876DFB"/>
    <w:rsid w:val="00876E59"/>
    <w:rsid w:val="0087700E"/>
    <w:rsid w:val="008770A5"/>
    <w:rsid w:val="008770F5"/>
    <w:rsid w:val="00877135"/>
    <w:rsid w:val="00877159"/>
    <w:rsid w:val="00877192"/>
    <w:rsid w:val="008771C3"/>
    <w:rsid w:val="008771CF"/>
    <w:rsid w:val="008773E0"/>
    <w:rsid w:val="008774BE"/>
    <w:rsid w:val="00877577"/>
    <w:rsid w:val="0087759C"/>
    <w:rsid w:val="00877655"/>
    <w:rsid w:val="00877674"/>
    <w:rsid w:val="00877685"/>
    <w:rsid w:val="008776E5"/>
    <w:rsid w:val="00877708"/>
    <w:rsid w:val="0087778F"/>
    <w:rsid w:val="008777D7"/>
    <w:rsid w:val="008777E2"/>
    <w:rsid w:val="008777FC"/>
    <w:rsid w:val="00877818"/>
    <w:rsid w:val="008778C0"/>
    <w:rsid w:val="008779C7"/>
    <w:rsid w:val="008779FF"/>
    <w:rsid w:val="00877AEF"/>
    <w:rsid w:val="00877BFB"/>
    <w:rsid w:val="00877C48"/>
    <w:rsid w:val="00877C73"/>
    <w:rsid w:val="00877C92"/>
    <w:rsid w:val="00877CC3"/>
    <w:rsid w:val="00877DC8"/>
    <w:rsid w:val="00877E48"/>
    <w:rsid w:val="00877E4E"/>
    <w:rsid w:val="00877E81"/>
    <w:rsid w:val="00877EB2"/>
    <w:rsid w:val="00877EF0"/>
    <w:rsid w:val="00877F2E"/>
    <w:rsid w:val="0088002B"/>
    <w:rsid w:val="00880187"/>
    <w:rsid w:val="0088020D"/>
    <w:rsid w:val="0088020F"/>
    <w:rsid w:val="00880243"/>
    <w:rsid w:val="0088027F"/>
    <w:rsid w:val="008802A3"/>
    <w:rsid w:val="0088033D"/>
    <w:rsid w:val="00880442"/>
    <w:rsid w:val="0088046C"/>
    <w:rsid w:val="008804C4"/>
    <w:rsid w:val="008804FA"/>
    <w:rsid w:val="00880506"/>
    <w:rsid w:val="00880522"/>
    <w:rsid w:val="00880528"/>
    <w:rsid w:val="008805ED"/>
    <w:rsid w:val="00880644"/>
    <w:rsid w:val="0088066E"/>
    <w:rsid w:val="00880680"/>
    <w:rsid w:val="00880715"/>
    <w:rsid w:val="00880734"/>
    <w:rsid w:val="00880740"/>
    <w:rsid w:val="0088087B"/>
    <w:rsid w:val="00880A76"/>
    <w:rsid w:val="00880AEC"/>
    <w:rsid w:val="00880B0D"/>
    <w:rsid w:val="00880B32"/>
    <w:rsid w:val="00880B41"/>
    <w:rsid w:val="00880B61"/>
    <w:rsid w:val="00880B79"/>
    <w:rsid w:val="00880B9E"/>
    <w:rsid w:val="00880BB2"/>
    <w:rsid w:val="00880BC8"/>
    <w:rsid w:val="00880C61"/>
    <w:rsid w:val="00880C7B"/>
    <w:rsid w:val="00880CC2"/>
    <w:rsid w:val="00880CD1"/>
    <w:rsid w:val="00880CEB"/>
    <w:rsid w:val="00880D01"/>
    <w:rsid w:val="00880D02"/>
    <w:rsid w:val="00880D05"/>
    <w:rsid w:val="00880D45"/>
    <w:rsid w:val="00880D71"/>
    <w:rsid w:val="00880DD8"/>
    <w:rsid w:val="00880E0E"/>
    <w:rsid w:val="00880E58"/>
    <w:rsid w:val="00880F6D"/>
    <w:rsid w:val="00880FD7"/>
    <w:rsid w:val="00881099"/>
    <w:rsid w:val="008810D8"/>
    <w:rsid w:val="00881113"/>
    <w:rsid w:val="00881184"/>
    <w:rsid w:val="008811AC"/>
    <w:rsid w:val="008811CE"/>
    <w:rsid w:val="008811FF"/>
    <w:rsid w:val="00881230"/>
    <w:rsid w:val="00881232"/>
    <w:rsid w:val="00881287"/>
    <w:rsid w:val="00881361"/>
    <w:rsid w:val="008813FE"/>
    <w:rsid w:val="0088149D"/>
    <w:rsid w:val="008814CB"/>
    <w:rsid w:val="008814E4"/>
    <w:rsid w:val="00881562"/>
    <w:rsid w:val="00881575"/>
    <w:rsid w:val="00881577"/>
    <w:rsid w:val="008815D9"/>
    <w:rsid w:val="008815E7"/>
    <w:rsid w:val="00881646"/>
    <w:rsid w:val="00881665"/>
    <w:rsid w:val="00881736"/>
    <w:rsid w:val="008817CC"/>
    <w:rsid w:val="0088183B"/>
    <w:rsid w:val="00881844"/>
    <w:rsid w:val="00881855"/>
    <w:rsid w:val="008818AF"/>
    <w:rsid w:val="008818FF"/>
    <w:rsid w:val="0088198D"/>
    <w:rsid w:val="00881A12"/>
    <w:rsid w:val="00881AC1"/>
    <w:rsid w:val="00881B1E"/>
    <w:rsid w:val="00881B49"/>
    <w:rsid w:val="00881B93"/>
    <w:rsid w:val="00881BB9"/>
    <w:rsid w:val="00881BEE"/>
    <w:rsid w:val="00881D84"/>
    <w:rsid w:val="00881DC5"/>
    <w:rsid w:val="00881E07"/>
    <w:rsid w:val="00881E21"/>
    <w:rsid w:val="00881E73"/>
    <w:rsid w:val="00881EC4"/>
    <w:rsid w:val="00881ED2"/>
    <w:rsid w:val="00881EE4"/>
    <w:rsid w:val="00881F07"/>
    <w:rsid w:val="00881F8D"/>
    <w:rsid w:val="00882033"/>
    <w:rsid w:val="008820E2"/>
    <w:rsid w:val="008821F4"/>
    <w:rsid w:val="008821F7"/>
    <w:rsid w:val="0088220F"/>
    <w:rsid w:val="00882288"/>
    <w:rsid w:val="008822E9"/>
    <w:rsid w:val="00882347"/>
    <w:rsid w:val="00882360"/>
    <w:rsid w:val="0088237B"/>
    <w:rsid w:val="00882398"/>
    <w:rsid w:val="00882428"/>
    <w:rsid w:val="00882444"/>
    <w:rsid w:val="0088248B"/>
    <w:rsid w:val="008824B3"/>
    <w:rsid w:val="00882591"/>
    <w:rsid w:val="008825AB"/>
    <w:rsid w:val="008826A8"/>
    <w:rsid w:val="00882783"/>
    <w:rsid w:val="00882784"/>
    <w:rsid w:val="008827A0"/>
    <w:rsid w:val="008827DD"/>
    <w:rsid w:val="0088285F"/>
    <w:rsid w:val="0088287F"/>
    <w:rsid w:val="00882907"/>
    <w:rsid w:val="00882970"/>
    <w:rsid w:val="00882A12"/>
    <w:rsid w:val="00882A4B"/>
    <w:rsid w:val="00882A6D"/>
    <w:rsid w:val="00882B1E"/>
    <w:rsid w:val="00882BE1"/>
    <w:rsid w:val="00882BEC"/>
    <w:rsid w:val="00882D26"/>
    <w:rsid w:val="00882DD8"/>
    <w:rsid w:val="00882E4D"/>
    <w:rsid w:val="00882EA0"/>
    <w:rsid w:val="00882F1B"/>
    <w:rsid w:val="00883020"/>
    <w:rsid w:val="0088305A"/>
    <w:rsid w:val="008830E1"/>
    <w:rsid w:val="00883108"/>
    <w:rsid w:val="00883142"/>
    <w:rsid w:val="00883152"/>
    <w:rsid w:val="008831ED"/>
    <w:rsid w:val="00883217"/>
    <w:rsid w:val="00883249"/>
    <w:rsid w:val="008832BB"/>
    <w:rsid w:val="008832C5"/>
    <w:rsid w:val="0088333D"/>
    <w:rsid w:val="008833EA"/>
    <w:rsid w:val="0088340B"/>
    <w:rsid w:val="00883411"/>
    <w:rsid w:val="00883446"/>
    <w:rsid w:val="0088347C"/>
    <w:rsid w:val="00883481"/>
    <w:rsid w:val="008834A9"/>
    <w:rsid w:val="008834B4"/>
    <w:rsid w:val="00883519"/>
    <w:rsid w:val="0088358D"/>
    <w:rsid w:val="0088359F"/>
    <w:rsid w:val="008835CE"/>
    <w:rsid w:val="0088363B"/>
    <w:rsid w:val="0088369F"/>
    <w:rsid w:val="00883756"/>
    <w:rsid w:val="00883791"/>
    <w:rsid w:val="0088380A"/>
    <w:rsid w:val="0088381F"/>
    <w:rsid w:val="00883831"/>
    <w:rsid w:val="00883845"/>
    <w:rsid w:val="00883895"/>
    <w:rsid w:val="008838A9"/>
    <w:rsid w:val="008838AF"/>
    <w:rsid w:val="008838BD"/>
    <w:rsid w:val="0088390A"/>
    <w:rsid w:val="0088392A"/>
    <w:rsid w:val="0088394A"/>
    <w:rsid w:val="0088398D"/>
    <w:rsid w:val="00883A16"/>
    <w:rsid w:val="00883A21"/>
    <w:rsid w:val="00883A39"/>
    <w:rsid w:val="00883AAA"/>
    <w:rsid w:val="00883C53"/>
    <w:rsid w:val="00883D7F"/>
    <w:rsid w:val="00883DAB"/>
    <w:rsid w:val="00883DD6"/>
    <w:rsid w:val="00883DDB"/>
    <w:rsid w:val="00883E1C"/>
    <w:rsid w:val="00883E61"/>
    <w:rsid w:val="00883E8D"/>
    <w:rsid w:val="00884064"/>
    <w:rsid w:val="0088409E"/>
    <w:rsid w:val="008840A8"/>
    <w:rsid w:val="008841C3"/>
    <w:rsid w:val="00884260"/>
    <w:rsid w:val="008843C8"/>
    <w:rsid w:val="0088444F"/>
    <w:rsid w:val="00884486"/>
    <w:rsid w:val="00884500"/>
    <w:rsid w:val="008845DC"/>
    <w:rsid w:val="00884619"/>
    <w:rsid w:val="0088463D"/>
    <w:rsid w:val="00884686"/>
    <w:rsid w:val="008846A3"/>
    <w:rsid w:val="0088476A"/>
    <w:rsid w:val="008847F8"/>
    <w:rsid w:val="00884804"/>
    <w:rsid w:val="00884868"/>
    <w:rsid w:val="00884878"/>
    <w:rsid w:val="008848A7"/>
    <w:rsid w:val="008848CE"/>
    <w:rsid w:val="00884B88"/>
    <w:rsid w:val="00884B9A"/>
    <w:rsid w:val="00884BE7"/>
    <w:rsid w:val="00884BF6"/>
    <w:rsid w:val="00884CA3"/>
    <w:rsid w:val="00884CDF"/>
    <w:rsid w:val="00884CED"/>
    <w:rsid w:val="00884D9A"/>
    <w:rsid w:val="00884DB8"/>
    <w:rsid w:val="00884E7C"/>
    <w:rsid w:val="00884E91"/>
    <w:rsid w:val="00884ED6"/>
    <w:rsid w:val="00884F6F"/>
    <w:rsid w:val="00884F9F"/>
    <w:rsid w:val="0088506B"/>
    <w:rsid w:val="00885119"/>
    <w:rsid w:val="0088517D"/>
    <w:rsid w:val="008851F2"/>
    <w:rsid w:val="0088544A"/>
    <w:rsid w:val="00885463"/>
    <w:rsid w:val="00885492"/>
    <w:rsid w:val="008854D2"/>
    <w:rsid w:val="008854D3"/>
    <w:rsid w:val="00885520"/>
    <w:rsid w:val="0088552C"/>
    <w:rsid w:val="00885593"/>
    <w:rsid w:val="008855C1"/>
    <w:rsid w:val="008855CC"/>
    <w:rsid w:val="008855E9"/>
    <w:rsid w:val="00885617"/>
    <w:rsid w:val="0088566A"/>
    <w:rsid w:val="00885815"/>
    <w:rsid w:val="008858BB"/>
    <w:rsid w:val="00885958"/>
    <w:rsid w:val="008859B6"/>
    <w:rsid w:val="00885A5D"/>
    <w:rsid w:val="00885A75"/>
    <w:rsid w:val="00885A84"/>
    <w:rsid w:val="00885AA2"/>
    <w:rsid w:val="00885B05"/>
    <w:rsid w:val="00885B2D"/>
    <w:rsid w:val="00885B6D"/>
    <w:rsid w:val="00885BC3"/>
    <w:rsid w:val="00885C5A"/>
    <w:rsid w:val="00885D42"/>
    <w:rsid w:val="00885E6F"/>
    <w:rsid w:val="00885EFF"/>
    <w:rsid w:val="00885F4C"/>
    <w:rsid w:val="00885F5B"/>
    <w:rsid w:val="00885F8F"/>
    <w:rsid w:val="00885FE0"/>
    <w:rsid w:val="00886031"/>
    <w:rsid w:val="0088605D"/>
    <w:rsid w:val="0088607F"/>
    <w:rsid w:val="008861A6"/>
    <w:rsid w:val="008861DE"/>
    <w:rsid w:val="00886239"/>
    <w:rsid w:val="008863A3"/>
    <w:rsid w:val="008863C4"/>
    <w:rsid w:val="0088641B"/>
    <w:rsid w:val="0088645A"/>
    <w:rsid w:val="0088648A"/>
    <w:rsid w:val="0088652A"/>
    <w:rsid w:val="0088655B"/>
    <w:rsid w:val="0088659D"/>
    <w:rsid w:val="008865F7"/>
    <w:rsid w:val="008866C3"/>
    <w:rsid w:val="008866F0"/>
    <w:rsid w:val="00886745"/>
    <w:rsid w:val="00886753"/>
    <w:rsid w:val="00886759"/>
    <w:rsid w:val="008867A3"/>
    <w:rsid w:val="00886808"/>
    <w:rsid w:val="00886838"/>
    <w:rsid w:val="008868C1"/>
    <w:rsid w:val="00886940"/>
    <w:rsid w:val="00886969"/>
    <w:rsid w:val="00886A0B"/>
    <w:rsid w:val="00886A73"/>
    <w:rsid w:val="00886A9B"/>
    <w:rsid w:val="00886BC3"/>
    <w:rsid w:val="00886C0E"/>
    <w:rsid w:val="00886C1F"/>
    <w:rsid w:val="00886C29"/>
    <w:rsid w:val="00886C38"/>
    <w:rsid w:val="00886CB1"/>
    <w:rsid w:val="00886CD4"/>
    <w:rsid w:val="00886D16"/>
    <w:rsid w:val="00886D1D"/>
    <w:rsid w:val="00886D93"/>
    <w:rsid w:val="00886E55"/>
    <w:rsid w:val="00886E7B"/>
    <w:rsid w:val="00886EB5"/>
    <w:rsid w:val="00886EEE"/>
    <w:rsid w:val="00886F6E"/>
    <w:rsid w:val="00886F73"/>
    <w:rsid w:val="00886FAB"/>
    <w:rsid w:val="00886FAF"/>
    <w:rsid w:val="0088702C"/>
    <w:rsid w:val="0088708E"/>
    <w:rsid w:val="0088711E"/>
    <w:rsid w:val="0088712F"/>
    <w:rsid w:val="00887157"/>
    <w:rsid w:val="00887179"/>
    <w:rsid w:val="00887211"/>
    <w:rsid w:val="0088724F"/>
    <w:rsid w:val="00887256"/>
    <w:rsid w:val="008872B0"/>
    <w:rsid w:val="00887309"/>
    <w:rsid w:val="008873A3"/>
    <w:rsid w:val="008873EC"/>
    <w:rsid w:val="008873F9"/>
    <w:rsid w:val="00887441"/>
    <w:rsid w:val="0088746A"/>
    <w:rsid w:val="0088746D"/>
    <w:rsid w:val="0088748B"/>
    <w:rsid w:val="0088759A"/>
    <w:rsid w:val="008875B1"/>
    <w:rsid w:val="0088763B"/>
    <w:rsid w:val="00887665"/>
    <w:rsid w:val="00887687"/>
    <w:rsid w:val="008876FB"/>
    <w:rsid w:val="0088777D"/>
    <w:rsid w:val="00887852"/>
    <w:rsid w:val="008878CB"/>
    <w:rsid w:val="008878F8"/>
    <w:rsid w:val="00887912"/>
    <w:rsid w:val="00887935"/>
    <w:rsid w:val="00887A8E"/>
    <w:rsid w:val="00887A9B"/>
    <w:rsid w:val="00887AB4"/>
    <w:rsid w:val="00887B0C"/>
    <w:rsid w:val="00887B61"/>
    <w:rsid w:val="00887B73"/>
    <w:rsid w:val="00887B83"/>
    <w:rsid w:val="00887C80"/>
    <w:rsid w:val="00887C88"/>
    <w:rsid w:val="00887D2B"/>
    <w:rsid w:val="00887D30"/>
    <w:rsid w:val="00887E82"/>
    <w:rsid w:val="00887E8C"/>
    <w:rsid w:val="00887FBD"/>
    <w:rsid w:val="0089002A"/>
    <w:rsid w:val="0089009A"/>
    <w:rsid w:val="008900CC"/>
    <w:rsid w:val="0089010C"/>
    <w:rsid w:val="00890135"/>
    <w:rsid w:val="0089013A"/>
    <w:rsid w:val="00890283"/>
    <w:rsid w:val="0089030C"/>
    <w:rsid w:val="00890386"/>
    <w:rsid w:val="0089041F"/>
    <w:rsid w:val="008904CB"/>
    <w:rsid w:val="0089059E"/>
    <w:rsid w:val="008905F7"/>
    <w:rsid w:val="0089060C"/>
    <w:rsid w:val="0089065C"/>
    <w:rsid w:val="008906FE"/>
    <w:rsid w:val="00890726"/>
    <w:rsid w:val="008907C3"/>
    <w:rsid w:val="008907F7"/>
    <w:rsid w:val="00890828"/>
    <w:rsid w:val="0089083C"/>
    <w:rsid w:val="0089085B"/>
    <w:rsid w:val="00890892"/>
    <w:rsid w:val="008908AB"/>
    <w:rsid w:val="008908D0"/>
    <w:rsid w:val="00890961"/>
    <w:rsid w:val="0089096C"/>
    <w:rsid w:val="008909E2"/>
    <w:rsid w:val="008909FE"/>
    <w:rsid w:val="00890A61"/>
    <w:rsid w:val="00890A90"/>
    <w:rsid w:val="00890C0B"/>
    <w:rsid w:val="00890CED"/>
    <w:rsid w:val="00890D51"/>
    <w:rsid w:val="00890DE5"/>
    <w:rsid w:val="00890E04"/>
    <w:rsid w:val="00890E56"/>
    <w:rsid w:val="00890F9C"/>
    <w:rsid w:val="00890FE7"/>
    <w:rsid w:val="00890FFB"/>
    <w:rsid w:val="0089105C"/>
    <w:rsid w:val="008910E8"/>
    <w:rsid w:val="0089123D"/>
    <w:rsid w:val="00891268"/>
    <w:rsid w:val="008912AB"/>
    <w:rsid w:val="008912FC"/>
    <w:rsid w:val="008912FD"/>
    <w:rsid w:val="0089132A"/>
    <w:rsid w:val="00891363"/>
    <w:rsid w:val="008913A5"/>
    <w:rsid w:val="008913EE"/>
    <w:rsid w:val="0089145A"/>
    <w:rsid w:val="008914FE"/>
    <w:rsid w:val="00891528"/>
    <w:rsid w:val="0089152A"/>
    <w:rsid w:val="00891585"/>
    <w:rsid w:val="008915E3"/>
    <w:rsid w:val="0089161F"/>
    <w:rsid w:val="00891643"/>
    <w:rsid w:val="0089165A"/>
    <w:rsid w:val="008916E2"/>
    <w:rsid w:val="00891714"/>
    <w:rsid w:val="0089175D"/>
    <w:rsid w:val="00891780"/>
    <w:rsid w:val="008917DD"/>
    <w:rsid w:val="008917EB"/>
    <w:rsid w:val="00891803"/>
    <w:rsid w:val="0089187D"/>
    <w:rsid w:val="0089193F"/>
    <w:rsid w:val="0089197B"/>
    <w:rsid w:val="00891A2B"/>
    <w:rsid w:val="00891A31"/>
    <w:rsid w:val="00891AB9"/>
    <w:rsid w:val="00891AC8"/>
    <w:rsid w:val="00891AD1"/>
    <w:rsid w:val="00891B27"/>
    <w:rsid w:val="00891BED"/>
    <w:rsid w:val="00891C81"/>
    <w:rsid w:val="00891D67"/>
    <w:rsid w:val="00891D9A"/>
    <w:rsid w:val="00891DC6"/>
    <w:rsid w:val="00891E4A"/>
    <w:rsid w:val="00891E65"/>
    <w:rsid w:val="00891E99"/>
    <w:rsid w:val="00891ECD"/>
    <w:rsid w:val="00891F31"/>
    <w:rsid w:val="00891F79"/>
    <w:rsid w:val="00892042"/>
    <w:rsid w:val="00892066"/>
    <w:rsid w:val="00892160"/>
    <w:rsid w:val="0089218E"/>
    <w:rsid w:val="008921AB"/>
    <w:rsid w:val="008921E4"/>
    <w:rsid w:val="00892260"/>
    <w:rsid w:val="0089226D"/>
    <w:rsid w:val="0089228D"/>
    <w:rsid w:val="0089232B"/>
    <w:rsid w:val="0089236E"/>
    <w:rsid w:val="00892380"/>
    <w:rsid w:val="00892404"/>
    <w:rsid w:val="00892408"/>
    <w:rsid w:val="0089240A"/>
    <w:rsid w:val="0089241C"/>
    <w:rsid w:val="00892444"/>
    <w:rsid w:val="008924FC"/>
    <w:rsid w:val="00892573"/>
    <w:rsid w:val="008925B0"/>
    <w:rsid w:val="0089266F"/>
    <w:rsid w:val="008926A5"/>
    <w:rsid w:val="00892726"/>
    <w:rsid w:val="0089288F"/>
    <w:rsid w:val="00892903"/>
    <w:rsid w:val="0089293B"/>
    <w:rsid w:val="00892973"/>
    <w:rsid w:val="00892A58"/>
    <w:rsid w:val="00892CCC"/>
    <w:rsid w:val="00892DC3"/>
    <w:rsid w:val="00892E67"/>
    <w:rsid w:val="00892E91"/>
    <w:rsid w:val="00892E93"/>
    <w:rsid w:val="00892ED8"/>
    <w:rsid w:val="00892F0A"/>
    <w:rsid w:val="00892FEC"/>
    <w:rsid w:val="00893073"/>
    <w:rsid w:val="0089309F"/>
    <w:rsid w:val="008930EB"/>
    <w:rsid w:val="00893149"/>
    <w:rsid w:val="00893284"/>
    <w:rsid w:val="008932E8"/>
    <w:rsid w:val="008932EA"/>
    <w:rsid w:val="00893336"/>
    <w:rsid w:val="0089337A"/>
    <w:rsid w:val="00893385"/>
    <w:rsid w:val="00893476"/>
    <w:rsid w:val="008934A5"/>
    <w:rsid w:val="008935C3"/>
    <w:rsid w:val="008935EC"/>
    <w:rsid w:val="0089364A"/>
    <w:rsid w:val="008936B6"/>
    <w:rsid w:val="00893748"/>
    <w:rsid w:val="008937E6"/>
    <w:rsid w:val="008937F0"/>
    <w:rsid w:val="00893892"/>
    <w:rsid w:val="00893906"/>
    <w:rsid w:val="00893914"/>
    <w:rsid w:val="0089394F"/>
    <w:rsid w:val="00893968"/>
    <w:rsid w:val="008939A2"/>
    <w:rsid w:val="008939AC"/>
    <w:rsid w:val="008939E0"/>
    <w:rsid w:val="00893A00"/>
    <w:rsid w:val="00893A8B"/>
    <w:rsid w:val="00893AA7"/>
    <w:rsid w:val="00893ABF"/>
    <w:rsid w:val="00893B91"/>
    <w:rsid w:val="00893B98"/>
    <w:rsid w:val="00893C76"/>
    <w:rsid w:val="00893D09"/>
    <w:rsid w:val="00893D10"/>
    <w:rsid w:val="00893DC6"/>
    <w:rsid w:val="00893E15"/>
    <w:rsid w:val="00893F68"/>
    <w:rsid w:val="00893FDD"/>
    <w:rsid w:val="00894029"/>
    <w:rsid w:val="0089406D"/>
    <w:rsid w:val="00894079"/>
    <w:rsid w:val="0089407C"/>
    <w:rsid w:val="00894109"/>
    <w:rsid w:val="0089412B"/>
    <w:rsid w:val="00894136"/>
    <w:rsid w:val="00894143"/>
    <w:rsid w:val="008941FD"/>
    <w:rsid w:val="00894276"/>
    <w:rsid w:val="00894292"/>
    <w:rsid w:val="008942F1"/>
    <w:rsid w:val="00894344"/>
    <w:rsid w:val="008943A0"/>
    <w:rsid w:val="008943B8"/>
    <w:rsid w:val="00894471"/>
    <w:rsid w:val="00894479"/>
    <w:rsid w:val="00894493"/>
    <w:rsid w:val="008944F6"/>
    <w:rsid w:val="00894505"/>
    <w:rsid w:val="00894528"/>
    <w:rsid w:val="0089456B"/>
    <w:rsid w:val="00894604"/>
    <w:rsid w:val="00894692"/>
    <w:rsid w:val="0089469B"/>
    <w:rsid w:val="008946FC"/>
    <w:rsid w:val="0089485C"/>
    <w:rsid w:val="008948B3"/>
    <w:rsid w:val="0089496E"/>
    <w:rsid w:val="00894975"/>
    <w:rsid w:val="00894A1C"/>
    <w:rsid w:val="00894AD2"/>
    <w:rsid w:val="00894ADA"/>
    <w:rsid w:val="00894AF4"/>
    <w:rsid w:val="00894B60"/>
    <w:rsid w:val="00894C0E"/>
    <w:rsid w:val="00894C3B"/>
    <w:rsid w:val="00894CCE"/>
    <w:rsid w:val="00894D22"/>
    <w:rsid w:val="00894D26"/>
    <w:rsid w:val="00894D63"/>
    <w:rsid w:val="00894F18"/>
    <w:rsid w:val="00894F82"/>
    <w:rsid w:val="0089508B"/>
    <w:rsid w:val="008950D7"/>
    <w:rsid w:val="00895167"/>
    <w:rsid w:val="008951A6"/>
    <w:rsid w:val="008951EF"/>
    <w:rsid w:val="008951FC"/>
    <w:rsid w:val="0089525D"/>
    <w:rsid w:val="0089525F"/>
    <w:rsid w:val="008952BC"/>
    <w:rsid w:val="008952D1"/>
    <w:rsid w:val="008952D5"/>
    <w:rsid w:val="00895348"/>
    <w:rsid w:val="00895365"/>
    <w:rsid w:val="008953D5"/>
    <w:rsid w:val="00895407"/>
    <w:rsid w:val="0089541F"/>
    <w:rsid w:val="0089543C"/>
    <w:rsid w:val="0089546B"/>
    <w:rsid w:val="00895496"/>
    <w:rsid w:val="008954E7"/>
    <w:rsid w:val="008955C8"/>
    <w:rsid w:val="008955EB"/>
    <w:rsid w:val="0089568E"/>
    <w:rsid w:val="008956FB"/>
    <w:rsid w:val="00895738"/>
    <w:rsid w:val="008958B6"/>
    <w:rsid w:val="008958D1"/>
    <w:rsid w:val="008958DD"/>
    <w:rsid w:val="00895BAC"/>
    <w:rsid w:val="00895BEB"/>
    <w:rsid w:val="00895BFC"/>
    <w:rsid w:val="00895BFD"/>
    <w:rsid w:val="00895C1F"/>
    <w:rsid w:val="00895CAB"/>
    <w:rsid w:val="00895D25"/>
    <w:rsid w:val="00895E21"/>
    <w:rsid w:val="00895EA8"/>
    <w:rsid w:val="00895EC6"/>
    <w:rsid w:val="00895ED8"/>
    <w:rsid w:val="00895F2A"/>
    <w:rsid w:val="00895F54"/>
    <w:rsid w:val="00895F6E"/>
    <w:rsid w:val="00895F81"/>
    <w:rsid w:val="00895FBD"/>
    <w:rsid w:val="00895FE2"/>
    <w:rsid w:val="00896014"/>
    <w:rsid w:val="0089609C"/>
    <w:rsid w:val="008960A4"/>
    <w:rsid w:val="00896129"/>
    <w:rsid w:val="008961E4"/>
    <w:rsid w:val="008962B1"/>
    <w:rsid w:val="008963E0"/>
    <w:rsid w:val="00896438"/>
    <w:rsid w:val="0089643B"/>
    <w:rsid w:val="00896499"/>
    <w:rsid w:val="00896524"/>
    <w:rsid w:val="00896588"/>
    <w:rsid w:val="00896589"/>
    <w:rsid w:val="00896620"/>
    <w:rsid w:val="008966B9"/>
    <w:rsid w:val="008966BB"/>
    <w:rsid w:val="008966D6"/>
    <w:rsid w:val="00896714"/>
    <w:rsid w:val="0089671A"/>
    <w:rsid w:val="0089689A"/>
    <w:rsid w:val="0089695A"/>
    <w:rsid w:val="00896960"/>
    <w:rsid w:val="00896982"/>
    <w:rsid w:val="0089698C"/>
    <w:rsid w:val="008969A8"/>
    <w:rsid w:val="008969B9"/>
    <w:rsid w:val="008969D3"/>
    <w:rsid w:val="00896A45"/>
    <w:rsid w:val="00896ADC"/>
    <w:rsid w:val="00896AFF"/>
    <w:rsid w:val="00896B01"/>
    <w:rsid w:val="00896B6D"/>
    <w:rsid w:val="00896B74"/>
    <w:rsid w:val="00896BA2"/>
    <w:rsid w:val="00896BC2"/>
    <w:rsid w:val="00896C49"/>
    <w:rsid w:val="00896C68"/>
    <w:rsid w:val="00896C86"/>
    <w:rsid w:val="00896CA7"/>
    <w:rsid w:val="00896CBB"/>
    <w:rsid w:val="00896D11"/>
    <w:rsid w:val="00896D28"/>
    <w:rsid w:val="00896E76"/>
    <w:rsid w:val="00896F12"/>
    <w:rsid w:val="00896FDD"/>
    <w:rsid w:val="0089713A"/>
    <w:rsid w:val="00897197"/>
    <w:rsid w:val="008971BA"/>
    <w:rsid w:val="008971DC"/>
    <w:rsid w:val="008972C1"/>
    <w:rsid w:val="00897370"/>
    <w:rsid w:val="008973AA"/>
    <w:rsid w:val="008973D7"/>
    <w:rsid w:val="008973E7"/>
    <w:rsid w:val="008974D9"/>
    <w:rsid w:val="008974F1"/>
    <w:rsid w:val="0089752E"/>
    <w:rsid w:val="0089762C"/>
    <w:rsid w:val="00897645"/>
    <w:rsid w:val="0089765A"/>
    <w:rsid w:val="008976C1"/>
    <w:rsid w:val="0089778E"/>
    <w:rsid w:val="008977A7"/>
    <w:rsid w:val="008977D1"/>
    <w:rsid w:val="008977D9"/>
    <w:rsid w:val="00897881"/>
    <w:rsid w:val="00897923"/>
    <w:rsid w:val="0089798C"/>
    <w:rsid w:val="0089799F"/>
    <w:rsid w:val="00897AF8"/>
    <w:rsid w:val="00897B7C"/>
    <w:rsid w:val="00897B90"/>
    <w:rsid w:val="00897D31"/>
    <w:rsid w:val="00897DCF"/>
    <w:rsid w:val="00897EB1"/>
    <w:rsid w:val="00897F2F"/>
    <w:rsid w:val="008A016F"/>
    <w:rsid w:val="008A01BD"/>
    <w:rsid w:val="008A01DE"/>
    <w:rsid w:val="008A024F"/>
    <w:rsid w:val="008A02F8"/>
    <w:rsid w:val="008A0418"/>
    <w:rsid w:val="008A0423"/>
    <w:rsid w:val="008A045D"/>
    <w:rsid w:val="008A0592"/>
    <w:rsid w:val="008A0596"/>
    <w:rsid w:val="008A05E1"/>
    <w:rsid w:val="008A0605"/>
    <w:rsid w:val="008A062D"/>
    <w:rsid w:val="008A0638"/>
    <w:rsid w:val="008A065E"/>
    <w:rsid w:val="008A06DB"/>
    <w:rsid w:val="008A06F1"/>
    <w:rsid w:val="008A0762"/>
    <w:rsid w:val="008A0772"/>
    <w:rsid w:val="008A0798"/>
    <w:rsid w:val="008A08AA"/>
    <w:rsid w:val="008A08FF"/>
    <w:rsid w:val="008A0904"/>
    <w:rsid w:val="008A09BD"/>
    <w:rsid w:val="008A0C84"/>
    <w:rsid w:val="008A0CC5"/>
    <w:rsid w:val="008A0CEB"/>
    <w:rsid w:val="008A0D69"/>
    <w:rsid w:val="008A0DA1"/>
    <w:rsid w:val="008A0E07"/>
    <w:rsid w:val="008A0E0B"/>
    <w:rsid w:val="008A0EA9"/>
    <w:rsid w:val="008A0EDC"/>
    <w:rsid w:val="008A0EE9"/>
    <w:rsid w:val="008A100B"/>
    <w:rsid w:val="008A10F7"/>
    <w:rsid w:val="008A1102"/>
    <w:rsid w:val="008A110E"/>
    <w:rsid w:val="008A117C"/>
    <w:rsid w:val="008A119E"/>
    <w:rsid w:val="008A11E6"/>
    <w:rsid w:val="008A120C"/>
    <w:rsid w:val="008A127F"/>
    <w:rsid w:val="008A12BA"/>
    <w:rsid w:val="008A12CE"/>
    <w:rsid w:val="008A1326"/>
    <w:rsid w:val="008A1361"/>
    <w:rsid w:val="008A13BA"/>
    <w:rsid w:val="008A1428"/>
    <w:rsid w:val="008A14B6"/>
    <w:rsid w:val="008A14FA"/>
    <w:rsid w:val="008A1554"/>
    <w:rsid w:val="008A159A"/>
    <w:rsid w:val="008A1610"/>
    <w:rsid w:val="008A161C"/>
    <w:rsid w:val="008A17D1"/>
    <w:rsid w:val="008A17F8"/>
    <w:rsid w:val="008A180F"/>
    <w:rsid w:val="008A198E"/>
    <w:rsid w:val="008A1A46"/>
    <w:rsid w:val="008A1B26"/>
    <w:rsid w:val="008A1B53"/>
    <w:rsid w:val="008A1B62"/>
    <w:rsid w:val="008A1BC1"/>
    <w:rsid w:val="008A1C0F"/>
    <w:rsid w:val="008A1CCD"/>
    <w:rsid w:val="008A1DD1"/>
    <w:rsid w:val="008A1DDD"/>
    <w:rsid w:val="008A1F24"/>
    <w:rsid w:val="008A1F33"/>
    <w:rsid w:val="008A1FA6"/>
    <w:rsid w:val="008A1FD6"/>
    <w:rsid w:val="008A2040"/>
    <w:rsid w:val="008A207A"/>
    <w:rsid w:val="008A20A6"/>
    <w:rsid w:val="008A20F5"/>
    <w:rsid w:val="008A2289"/>
    <w:rsid w:val="008A22AD"/>
    <w:rsid w:val="008A2408"/>
    <w:rsid w:val="008A246D"/>
    <w:rsid w:val="008A2520"/>
    <w:rsid w:val="008A254E"/>
    <w:rsid w:val="008A2587"/>
    <w:rsid w:val="008A25B4"/>
    <w:rsid w:val="008A25F9"/>
    <w:rsid w:val="008A2611"/>
    <w:rsid w:val="008A2622"/>
    <w:rsid w:val="008A26EC"/>
    <w:rsid w:val="008A276A"/>
    <w:rsid w:val="008A277F"/>
    <w:rsid w:val="008A27F8"/>
    <w:rsid w:val="008A28BD"/>
    <w:rsid w:val="008A28D9"/>
    <w:rsid w:val="008A28F2"/>
    <w:rsid w:val="008A28FD"/>
    <w:rsid w:val="008A2948"/>
    <w:rsid w:val="008A2951"/>
    <w:rsid w:val="008A2973"/>
    <w:rsid w:val="008A2985"/>
    <w:rsid w:val="008A29BE"/>
    <w:rsid w:val="008A2A1A"/>
    <w:rsid w:val="008A2A2E"/>
    <w:rsid w:val="008A2BD1"/>
    <w:rsid w:val="008A2BEF"/>
    <w:rsid w:val="008A2C40"/>
    <w:rsid w:val="008A2C9E"/>
    <w:rsid w:val="008A2CFC"/>
    <w:rsid w:val="008A2DAB"/>
    <w:rsid w:val="008A2E4C"/>
    <w:rsid w:val="008A2F46"/>
    <w:rsid w:val="008A2F48"/>
    <w:rsid w:val="008A2F7E"/>
    <w:rsid w:val="008A305F"/>
    <w:rsid w:val="008A307E"/>
    <w:rsid w:val="008A309D"/>
    <w:rsid w:val="008A316C"/>
    <w:rsid w:val="008A321A"/>
    <w:rsid w:val="008A321D"/>
    <w:rsid w:val="008A325D"/>
    <w:rsid w:val="008A32DE"/>
    <w:rsid w:val="008A3347"/>
    <w:rsid w:val="008A3353"/>
    <w:rsid w:val="008A337D"/>
    <w:rsid w:val="008A33CA"/>
    <w:rsid w:val="008A33F0"/>
    <w:rsid w:val="008A3445"/>
    <w:rsid w:val="008A344F"/>
    <w:rsid w:val="008A347A"/>
    <w:rsid w:val="008A34DD"/>
    <w:rsid w:val="008A34E6"/>
    <w:rsid w:val="008A354F"/>
    <w:rsid w:val="008A3557"/>
    <w:rsid w:val="008A357C"/>
    <w:rsid w:val="008A35ED"/>
    <w:rsid w:val="008A3606"/>
    <w:rsid w:val="008A362F"/>
    <w:rsid w:val="008A3674"/>
    <w:rsid w:val="008A3677"/>
    <w:rsid w:val="008A372C"/>
    <w:rsid w:val="008A374A"/>
    <w:rsid w:val="008A3751"/>
    <w:rsid w:val="008A3831"/>
    <w:rsid w:val="008A38F7"/>
    <w:rsid w:val="008A39B7"/>
    <w:rsid w:val="008A39C2"/>
    <w:rsid w:val="008A39F9"/>
    <w:rsid w:val="008A3A1A"/>
    <w:rsid w:val="008A3AD4"/>
    <w:rsid w:val="008A3AE5"/>
    <w:rsid w:val="008A3B72"/>
    <w:rsid w:val="008A3C02"/>
    <w:rsid w:val="008A3C36"/>
    <w:rsid w:val="008A3C99"/>
    <w:rsid w:val="008A3CC5"/>
    <w:rsid w:val="008A3E4D"/>
    <w:rsid w:val="008A3F29"/>
    <w:rsid w:val="008A3F31"/>
    <w:rsid w:val="008A3F9C"/>
    <w:rsid w:val="008A4057"/>
    <w:rsid w:val="008A4082"/>
    <w:rsid w:val="008A40CB"/>
    <w:rsid w:val="008A415F"/>
    <w:rsid w:val="008A422A"/>
    <w:rsid w:val="008A4266"/>
    <w:rsid w:val="008A427D"/>
    <w:rsid w:val="008A4297"/>
    <w:rsid w:val="008A4368"/>
    <w:rsid w:val="008A437B"/>
    <w:rsid w:val="008A45D4"/>
    <w:rsid w:val="008A45EF"/>
    <w:rsid w:val="008A45F8"/>
    <w:rsid w:val="008A46A4"/>
    <w:rsid w:val="008A46E5"/>
    <w:rsid w:val="008A46FD"/>
    <w:rsid w:val="008A47DE"/>
    <w:rsid w:val="008A47E8"/>
    <w:rsid w:val="008A4933"/>
    <w:rsid w:val="008A4948"/>
    <w:rsid w:val="008A4965"/>
    <w:rsid w:val="008A49DB"/>
    <w:rsid w:val="008A49F8"/>
    <w:rsid w:val="008A4ADC"/>
    <w:rsid w:val="008A4AE3"/>
    <w:rsid w:val="008A4C34"/>
    <w:rsid w:val="008A4C6A"/>
    <w:rsid w:val="008A4C93"/>
    <w:rsid w:val="008A4CAF"/>
    <w:rsid w:val="008A4CCE"/>
    <w:rsid w:val="008A4CD2"/>
    <w:rsid w:val="008A4D0F"/>
    <w:rsid w:val="008A4DDE"/>
    <w:rsid w:val="008A4E24"/>
    <w:rsid w:val="008A4F8F"/>
    <w:rsid w:val="008A4FB3"/>
    <w:rsid w:val="008A5014"/>
    <w:rsid w:val="008A5042"/>
    <w:rsid w:val="008A50BD"/>
    <w:rsid w:val="008A5113"/>
    <w:rsid w:val="008A5144"/>
    <w:rsid w:val="008A51C5"/>
    <w:rsid w:val="008A52B1"/>
    <w:rsid w:val="008A5346"/>
    <w:rsid w:val="008A538C"/>
    <w:rsid w:val="008A53F2"/>
    <w:rsid w:val="008A5407"/>
    <w:rsid w:val="008A540B"/>
    <w:rsid w:val="008A5433"/>
    <w:rsid w:val="008A543F"/>
    <w:rsid w:val="008A5468"/>
    <w:rsid w:val="008A54F8"/>
    <w:rsid w:val="008A5507"/>
    <w:rsid w:val="008A55A4"/>
    <w:rsid w:val="008A55CC"/>
    <w:rsid w:val="008A5649"/>
    <w:rsid w:val="008A5675"/>
    <w:rsid w:val="008A56D8"/>
    <w:rsid w:val="008A5703"/>
    <w:rsid w:val="008A57C5"/>
    <w:rsid w:val="008A5811"/>
    <w:rsid w:val="008A581E"/>
    <w:rsid w:val="008A582C"/>
    <w:rsid w:val="008A5845"/>
    <w:rsid w:val="008A5852"/>
    <w:rsid w:val="008A5878"/>
    <w:rsid w:val="008A5887"/>
    <w:rsid w:val="008A58D3"/>
    <w:rsid w:val="008A5921"/>
    <w:rsid w:val="008A5A64"/>
    <w:rsid w:val="008A5AF4"/>
    <w:rsid w:val="008A5B08"/>
    <w:rsid w:val="008A5B76"/>
    <w:rsid w:val="008A5B8C"/>
    <w:rsid w:val="008A5BCA"/>
    <w:rsid w:val="008A5BCC"/>
    <w:rsid w:val="008A5BD7"/>
    <w:rsid w:val="008A5BEF"/>
    <w:rsid w:val="008A5C01"/>
    <w:rsid w:val="008A5C0C"/>
    <w:rsid w:val="008A5C34"/>
    <w:rsid w:val="008A5C46"/>
    <w:rsid w:val="008A5C6D"/>
    <w:rsid w:val="008A5C7E"/>
    <w:rsid w:val="008A5D48"/>
    <w:rsid w:val="008A5DCA"/>
    <w:rsid w:val="008A5E2E"/>
    <w:rsid w:val="008A5E43"/>
    <w:rsid w:val="008A5E6D"/>
    <w:rsid w:val="008A5F2B"/>
    <w:rsid w:val="008A5F6A"/>
    <w:rsid w:val="008A5FC1"/>
    <w:rsid w:val="008A5FFE"/>
    <w:rsid w:val="008A609F"/>
    <w:rsid w:val="008A60BF"/>
    <w:rsid w:val="008A61D5"/>
    <w:rsid w:val="008A6237"/>
    <w:rsid w:val="008A6284"/>
    <w:rsid w:val="008A62AB"/>
    <w:rsid w:val="008A634F"/>
    <w:rsid w:val="008A63EB"/>
    <w:rsid w:val="008A6455"/>
    <w:rsid w:val="008A64FA"/>
    <w:rsid w:val="008A6505"/>
    <w:rsid w:val="008A650A"/>
    <w:rsid w:val="008A6635"/>
    <w:rsid w:val="008A6647"/>
    <w:rsid w:val="008A6674"/>
    <w:rsid w:val="008A667D"/>
    <w:rsid w:val="008A66C5"/>
    <w:rsid w:val="008A66CD"/>
    <w:rsid w:val="008A66D8"/>
    <w:rsid w:val="008A6822"/>
    <w:rsid w:val="008A68A8"/>
    <w:rsid w:val="008A68BC"/>
    <w:rsid w:val="008A68F5"/>
    <w:rsid w:val="008A693A"/>
    <w:rsid w:val="008A696D"/>
    <w:rsid w:val="008A697D"/>
    <w:rsid w:val="008A6991"/>
    <w:rsid w:val="008A699E"/>
    <w:rsid w:val="008A69B0"/>
    <w:rsid w:val="008A69E7"/>
    <w:rsid w:val="008A69F3"/>
    <w:rsid w:val="008A69FF"/>
    <w:rsid w:val="008A6A57"/>
    <w:rsid w:val="008A6A6C"/>
    <w:rsid w:val="008A6A9D"/>
    <w:rsid w:val="008A6ADF"/>
    <w:rsid w:val="008A6B05"/>
    <w:rsid w:val="008A6BD9"/>
    <w:rsid w:val="008A6C3F"/>
    <w:rsid w:val="008A6C98"/>
    <w:rsid w:val="008A6CA0"/>
    <w:rsid w:val="008A6D08"/>
    <w:rsid w:val="008A6D71"/>
    <w:rsid w:val="008A6EAE"/>
    <w:rsid w:val="008A6EC6"/>
    <w:rsid w:val="008A6EC8"/>
    <w:rsid w:val="008A6F30"/>
    <w:rsid w:val="008A7000"/>
    <w:rsid w:val="008A7009"/>
    <w:rsid w:val="008A704B"/>
    <w:rsid w:val="008A708F"/>
    <w:rsid w:val="008A70BA"/>
    <w:rsid w:val="008A7102"/>
    <w:rsid w:val="008A7176"/>
    <w:rsid w:val="008A71C2"/>
    <w:rsid w:val="008A7334"/>
    <w:rsid w:val="008A736F"/>
    <w:rsid w:val="008A7393"/>
    <w:rsid w:val="008A743B"/>
    <w:rsid w:val="008A7477"/>
    <w:rsid w:val="008A74EE"/>
    <w:rsid w:val="008A7520"/>
    <w:rsid w:val="008A7581"/>
    <w:rsid w:val="008A75B9"/>
    <w:rsid w:val="008A75FD"/>
    <w:rsid w:val="008A769B"/>
    <w:rsid w:val="008A7700"/>
    <w:rsid w:val="008A7794"/>
    <w:rsid w:val="008A784D"/>
    <w:rsid w:val="008A7855"/>
    <w:rsid w:val="008A78C0"/>
    <w:rsid w:val="008A791A"/>
    <w:rsid w:val="008A7935"/>
    <w:rsid w:val="008A7999"/>
    <w:rsid w:val="008A7A7A"/>
    <w:rsid w:val="008A7A8E"/>
    <w:rsid w:val="008A7AD8"/>
    <w:rsid w:val="008A7AF4"/>
    <w:rsid w:val="008A7B2E"/>
    <w:rsid w:val="008A7CF9"/>
    <w:rsid w:val="008A7E4A"/>
    <w:rsid w:val="008A7E96"/>
    <w:rsid w:val="008A7EA1"/>
    <w:rsid w:val="008A7EB9"/>
    <w:rsid w:val="008A7F6C"/>
    <w:rsid w:val="008B001B"/>
    <w:rsid w:val="008B007D"/>
    <w:rsid w:val="008B00D4"/>
    <w:rsid w:val="008B00FF"/>
    <w:rsid w:val="008B0114"/>
    <w:rsid w:val="008B017B"/>
    <w:rsid w:val="008B017C"/>
    <w:rsid w:val="008B01F8"/>
    <w:rsid w:val="008B0233"/>
    <w:rsid w:val="008B032A"/>
    <w:rsid w:val="008B03B7"/>
    <w:rsid w:val="008B04D9"/>
    <w:rsid w:val="008B0525"/>
    <w:rsid w:val="008B059D"/>
    <w:rsid w:val="008B062D"/>
    <w:rsid w:val="008B0687"/>
    <w:rsid w:val="008B0711"/>
    <w:rsid w:val="008B07E2"/>
    <w:rsid w:val="008B08BE"/>
    <w:rsid w:val="008B0951"/>
    <w:rsid w:val="008B0954"/>
    <w:rsid w:val="008B0A2A"/>
    <w:rsid w:val="008B0B78"/>
    <w:rsid w:val="008B0BBD"/>
    <w:rsid w:val="008B0C40"/>
    <w:rsid w:val="008B0C5F"/>
    <w:rsid w:val="008B0C9F"/>
    <w:rsid w:val="008B0D3A"/>
    <w:rsid w:val="008B0D91"/>
    <w:rsid w:val="008B0DA2"/>
    <w:rsid w:val="008B0E06"/>
    <w:rsid w:val="008B0E49"/>
    <w:rsid w:val="008B0E75"/>
    <w:rsid w:val="008B0E8F"/>
    <w:rsid w:val="008B0F08"/>
    <w:rsid w:val="008B0FAD"/>
    <w:rsid w:val="008B100E"/>
    <w:rsid w:val="008B10A9"/>
    <w:rsid w:val="008B110B"/>
    <w:rsid w:val="008B110E"/>
    <w:rsid w:val="008B113C"/>
    <w:rsid w:val="008B1149"/>
    <w:rsid w:val="008B114C"/>
    <w:rsid w:val="008B1198"/>
    <w:rsid w:val="008B11EF"/>
    <w:rsid w:val="008B1234"/>
    <w:rsid w:val="008B12C9"/>
    <w:rsid w:val="008B1340"/>
    <w:rsid w:val="008B1396"/>
    <w:rsid w:val="008B139B"/>
    <w:rsid w:val="008B1400"/>
    <w:rsid w:val="008B1448"/>
    <w:rsid w:val="008B1490"/>
    <w:rsid w:val="008B14E8"/>
    <w:rsid w:val="008B1512"/>
    <w:rsid w:val="008B1533"/>
    <w:rsid w:val="008B16F4"/>
    <w:rsid w:val="008B1707"/>
    <w:rsid w:val="008B1711"/>
    <w:rsid w:val="008B177F"/>
    <w:rsid w:val="008B179C"/>
    <w:rsid w:val="008B1807"/>
    <w:rsid w:val="008B181D"/>
    <w:rsid w:val="008B1833"/>
    <w:rsid w:val="008B18D2"/>
    <w:rsid w:val="008B1903"/>
    <w:rsid w:val="008B190A"/>
    <w:rsid w:val="008B1A09"/>
    <w:rsid w:val="008B1AA7"/>
    <w:rsid w:val="008B1AFB"/>
    <w:rsid w:val="008B1B87"/>
    <w:rsid w:val="008B1B8A"/>
    <w:rsid w:val="008B1BDF"/>
    <w:rsid w:val="008B1BE4"/>
    <w:rsid w:val="008B1BF1"/>
    <w:rsid w:val="008B1BF8"/>
    <w:rsid w:val="008B1C71"/>
    <w:rsid w:val="008B1D54"/>
    <w:rsid w:val="008B1DAA"/>
    <w:rsid w:val="008B1DF7"/>
    <w:rsid w:val="008B1E05"/>
    <w:rsid w:val="008B1E1B"/>
    <w:rsid w:val="008B1E2C"/>
    <w:rsid w:val="008B1E95"/>
    <w:rsid w:val="008B1F02"/>
    <w:rsid w:val="008B1F19"/>
    <w:rsid w:val="008B1FFB"/>
    <w:rsid w:val="008B215B"/>
    <w:rsid w:val="008B21B7"/>
    <w:rsid w:val="008B21C3"/>
    <w:rsid w:val="008B22BB"/>
    <w:rsid w:val="008B22CA"/>
    <w:rsid w:val="008B22EC"/>
    <w:rsid w:val="008B2395"/>
    <w:rsid w:val="008B23C9"/>
    <w:rsid w:val="008B240D"/>
    <w:rsid w:val="008B244D"/>
    <w:rsid w:val="008B2480"/>
    <w:rsid w:val="008B2485"/>
    <w:rsid w:val="008B249B"/>
    <w:rsid w:val="008B2507"/>
    <w:rsid w:val="008B2539"/>
    <w:rsid w:val="008B2557"/>
    <w:rsid w:val="008B2578"/>
    <w:rsid w:val="008B2601"/>
    <w:rsid w:val="008B269B"/>
    <w:rsid w:val="008B26D6"/>
    <w:rsid w:val="008B27B5"/>
    <w:rsid w:val="008B288C"/>
    <w:rsid w:val="008B28D7"/>
    <w:rsid w:val="008B28EE"/>
    <w:rsid w:val="008B2921"/>
    <w:rsid w:val="008B2949"/>
    <w:rsid w:val="008B29D3"/>
    <w:rsid w:val="008B29FA"/>
    <w:rsid w:val="008B2A6E"/>
    <w:rsid w:val="008B2A73"/>
    <w:rsid w:val="008B2AC8"/>
    <w:rsid w:val="008B2AF4"/>
    <w:rsid w:val="008B2C47"/>
    <w:rsid w:val="008B2C6D"/>
    <w:rsid w:val="008B2D66"/>
    <w:rsid w:val="008B2D88"/>
    <w:rsid w:val="008B2DCD"/>
    <w:rsid w:val="008B2E72"/>
    <w:rsid w:val="008B2ED6"/>
    <w:rsid w:val="008B2F5A"/>
    <w:rsid w:val="008B2F6A"/>
    <w:rsid w:val="008B2F8A"/>
    <w:rsid w:val="008B2F9B"/>
    <w:rsid w:val="008B3001"/>
    <w:rsid w:val="008B301D"/>
    <w:rsid w:val="008B304D"/>
    <w:rsid w:val="008B306B"/>
    <w:rsid w:val="008B3071"/>
    <w:rsid w:val="008B3082"/>
    <w:rsid w:val="008B30D2"/>
    <w:rsid w:val="008B31A6"/>
    <w:rsid w:val="008B31E6"/>
    <w:rsid w:val="008B3285"/>
    <w:rsid w:val="008B32A7"/>
    <w:rsid w:val="008B32E7"/>
    <w:rsid w:val="008B3389"/>
    <w:rsid w:val="008B33C5"/>
    <w:rsid w:val="008B33D7"/>
    <w:rsid w:val="008B343C"/>
    <w:rsid w:val="008B347D"/>
    <w:rsid w:val="008B34BA"/>
    <w:rsid w:val="008B3538"/>
    <w:rsid w:val="008B3581"/>
    <w:rsid w:val="008B35E0"/>
    <w:rsid w:val="008B3613"/>
    <w:rsid w:val="008B3632"/>
    <w:rsid w:val="008B3653"/>
    <w:rsid w:val="008B3670"/>
    <w:rsid w:val="008B36F5"/>
    <w:rsid w:val="008B3721"/>
    <w:rsid w:val="008B3723"/>
    <w:rsid w:val="008B3727"/>
    <w:rsid w:val="008B3749"/>
    <w:rsid w:val="008B3772"/>
    <w:rsid w:val="008B3792"/>
    <w:rsid w:val="008B37EA"/>
    <w:rsid w:val="008B3868"/>
    <w:rsid w:val="008B38D4"/>
    <w:rsid w:val="008B3976"/>
    <w:rsid w:val="008B39CB"/>
    <w:rsid w:val="008B39EF"/>
    <w:rsid w:val="008B3A07"/>
    <w:rsid w:val="008B3A65"/>
    <w:rsid w:val="008B3B82"/>
    <w:rsid w:val="008B3B86"/>
    <w:rsid w:val="008B3C6E"/>
    <w:rsid w:val="008B3CDD"/>
    <w:rsid w:val="008B3D0A"/>
    <w:rsid w:val="008B3D16"/>
    <w:rsid w:val="008B3D6D"/>
    <w:rsid w:val="008B3DD9"/>
    <w:rsid w:val="008B3E57"/>
    <w:rsid w:val="008B3EA1"/>
    <w:rsid w:val="008B3EBB"/>
    <w:rsid w:val="008B3ED3"/>
    <w:rsid w:val="008B3EFD"/>
    <w:rsid w:val="008B3F06"/>
    <w:rsid w:val="008B408F"/>
    <w:rsid w:val="008B41E0"/>
    <w:rsid w:val="008B41FC"/>
    <w:rsid w:val="008B4208"/>
    <w:rsid w:val="008B424B"/>
    <w:rsid w:val="008B426B"/>
    <w:rsid w:val="008B428C"/>
    <w:rsid w:val="008B4314"/>
    <w:rsid w:val="008B4362"/>
    <w:rsid w:val="008B4449"/>
    <w:rsid w:val="008B444E"/>
    <w:rsid w:val="008B44AE"/>
    <w:rsid w:val="008B44B2"/>
    <w:rsid w:val="008B44BD"/>
    <w:rsid w:val="008B4578"/>
    <w:rsid w:val="008B45DF"/>
    <w:rsid w:val="008B4663"/>
    <w:rsid w:val="008B46BB"/>
    <w:rsid w:val="008B46E7"/>
    <w:rsid w:val="008B4716"/>
    <w:rsid w:val="008B478A"/>
    <w:rsid w:val="008B47C9"/>
    <w:rsid w:val="008B481B"/>
    <w:rsid w:val="008B48AE"/>
    <w:rsid w:val="008B48D0"/>
    <w:rsid w:val="008B48D9"/>
    <w:rsid w:val="008B48E1"/>
    <w:rsid w:val="008B4923"/>
    <w:rsid w:val="008B492E"/>
    <w:rsid w:val="008B49B4"/>
    <w:rsid w:val="008B4A11"/>
    <w:rsid w:val="008B4A24"/>
    <w:rsid w:val="008B4AC2"/>
    <w:rsid w:val="008B4B9E"/>
    <w:rsid w:val="008B4BEB"/>
    <w:rsid w:val="008B4C27"/>
    <w:rsid w:val="008B4CD6"/>
    <w:rsid w:val="008B4DF9"/>
    <w:rsid w:val="008B4EEE"/>
    <w:rsid w:val="008B4F58"/>
    <w:rsid w:val="008B4F5F"/>
    <w:rsid w:val="008B4FC8"/>
    <w:rsid w:val="008B5006"/>
    <w:rsid w:val="008B501D"/>
    <w:rsid w:val="008B5072"/>
    <w:rsid w:val="008B50A4"/>
    <w:rsid w:val="008B511C"/>
    <w:rsid w:val="008B51C9"/>
    <w:rsid w:val="008B525E"/>
    <w:rsid w:val="008B5274"/>
    <w:rsid w:val="008B5285"/>
    <w:rsid w:val="008B5391"/>
    <w:rsid w:val="008B53A5"/>
    <w:rsid w:val="008B53C7"/>
    <w:rsid w:val="008B53FF"/>
    <w:rsid w:val="008B541C"/>
    <w:rsid w:val="008B5445"/>
    <w:rsid w:val="008B5494"/>
    <w:rsid w:val="008B5537"/>
    <w:rsid w:val="008B563C"/>
    <w:rsid w:val="008B5646"/>
    <w:rsid w:val="008B568B"/>
    <w:rsid w:val="008B56C9"/>
    <w:rsid w:val="008B574D"/>
    <w:rsid w:val="008B5795"/>
    <w:rsid w:val="008B57A2"/>
    <w:rsid w:val="008B581B"/>
    <w:rsid w:val="008B5824"/>
    <w:rsid w:val="008B5897"/>
    <w:rsid w:val="008B5976"/>
    <w:rsid w:val="008B59E4"/>
    <w:rsid w:val="008B5A14"/>
    <w:rsid w:val="008B5AD8"/>
    <w:rsid w:val="008B5AE1"/>
    <w:rsid w:val="008B5B2C"/>
    <w:rsid w:val="008B5B38"/>
    <w:rsid w:val="008B5B58"/>
    <w:rsid w:val="008B5B6F"/>
    <w:rsid w:val="008B5BA9"/>
    <w:rsid w:val="008B5BCD"/>
    <w:rsid w:val="008B5C62"/>
    <w:rsid w:val="008B5CD4"/>
    <w:rsid w:val="008B5CD8"/>
    <w:rsid w:val="008B5D46"/>
    <w:rsid w:val="008B5D4C"/>
    <w:rsid w:val="008B5D6F"/>
    <w:rsid w:val="008B5E3E"/>
    <w:rsid w:val="008B5E84"/>
    <w:rsid w:val="008B5F1E"/>
    <w:rsid w:val="008B5F46"/>
    <w:rsid w:val="008B5F4A"/>
    <w:rsid w:val="008B5F4B"/>
    <w:rsid w:val="008B5F8B"/>
    <w:rsid w:val="008B5FBB"/>
    <w:rsid w:val="008B6088"/>
    <w:rsid w:val="008B6102"/>
    <w:rsid w:val="008B625C"/>
    <w:rsid w:val="008B6280"/>
    <w:rsid w:val="008B633B"/>
    <w:rsid w:val="008B633C"/>
    <w:rsid w:val="008B63A5"/>
    <w:rsid w:val="008B63C1"/>
    <w:rsid w:val="008B6505"/>
    <w:rsid w:val="008B6551"/>
    <w:rsid w:val="008B6568"/>
    <w:rsid w:val="008B667E"/>
    <w:rsid w:val="008B66BD"/>
    <w:rsid w:val="008B6715"/>
    <w:rsid w:val="008B6742"/>
    <w:rsid w:val="008B675F"/>
    <w:rsid w:val="008B6789"/>
    <w:rsid w:val="008B67FD"/>
    <w:rsid w:val="008B6800"/>
    <w:rsid w:val="008B6813"/>
    <w:rsid w:val="008B6874"/>
    <w:rsid w:val="008B68DA"/>
    <w:rsid w:val="008B6961"/>
    <w:rsid w:val="008B6967"/>
    <w:rsid w:val="008B6989"/>
    <w:rsid w:val="008B69ED"/>
    <w:rsid w:val="008B6ACC"/>
    <w:rsid w:val="008B6B07"/>
    <w:rsid w:val="008B6C3D"/>
    <w:rsid w:val="008B6C49"/>
    <w:rsid w:val="008B6CB8"/>
    <w:rsid w:val="008B6E30"/>
    <w:rsid w:val="008B6E4A"/>
    <w:rsid w:val="008B6EAD"/>
    <w:rsid w:val="008B6F06"/>
    <w:rsid w:val="008B704F"/>
    <w:rsid w:val="008B70CF"/>
    <w:rsid w:val="008B7216"/>
    <w:rsid w:val="008B721C"/>
    <w:rsid w:val="008B7234"/>
    <w:rsid w:val="008B726C"/>
    <w:rsid w:val="008B7277"/>
    <w:rsid w:val="008B72EC"/>
    <w:rsid w:val="008B7309"/>
    <w:rsid w:val="008B7475"/>
    <w:rsid w:val="008B7480"/>
    <w:rsid w:val="008B7509"/>
    <w:rsid w:val="008B750D"/>
    <w:rsid w:val="008B7535"/>
    <w:rsid w:val="008B7563"/>
    <w:rsid w:val="008B756C"/>
    <w:rsid w:val="008B7576"/>
    <w:rsid w:val="008B75A6"/>
    <w:rsid w:val="008B764E"/>
    <w:rsid w:val="008B7681"/>
    <w:rsid w:val="008B77CB"/>
    <w:rsid w:val="008B781B"/>
    <w:rsid w:val="008B782E"/>
    <w:rsid w:val="008B789E"/>
    <w:rsid w:val="008B7A23"/>
    <w:rsid w:val="008B7B4E"/>
    <w:rsid w:val="008B7C04"/>
    <w:rsid w:val="008B7C2A"/>
    <w:rsid w:val="008B7C89"/>
    <w:rsid w:val="008B7CAC"/>
    <w:rsid w:val="008B7D0F"/>
    <w:rsid w:val="008B7D2A"/>
    <w:rsid w:val="008B7E06"/>
    <w:rsid w:val="008B7E4A"/>
    <w:rsid w:val="008B7EA3"/>
    <w:rsid w:val="008B7FA4"/>
    <w:rsid w:val="008B7FB4"/>
    <w:rsid w:val="008B7FC6"/>
    <w:rsid w:val="008C0097"/>
    <w:rsid w:val="008C00A1"/>
    <w:rsid w:val="008C013C"/>
    <w:rsid w:val="008C0164"/>
    <w:rsid w:val="008C01D9"/>
    <w:rsid w:val="008C01F4"/>
    <w:rsid w:val="008C0258"/>
    <w:rsid w:val="008C0299"/>
    <w:rsid w:val="008C02D9"/>
    <w:rsid w:val="008C02EC"/>
    <w:rsid w:val="008C0318"/>
    <w:rsid w:val="008C0330"/>
    <w:rsid w:val="008C03A5"/>
    <w:rsid w:val="008C03CE"/>
    <w:rsid w:val="008C03DE"/>
    <w:rsid w:val="008C03EF"/>
    <w:rsid w:val="008C0426"/>
    <w:rsid w:val="008C0439"/>
    <w:rsid w:val="008C052F"/>
    <w:rsid w:val="008C0549"/>
    <w:rsid w:val="008C0558"/>
    <w:rsid w:val="008C055F"/>
    <w:rsid w:val="008C0566"/>
    <w:rsid w:val="008C05F2"/>
    <w:rsid w:val="008C05FF"/>
    <w:rsid w:val="008C0645"/>
    <w:rsid w:val="008C0653"/>
    <w:rsid w:val="008C06C7"/>
    <w:rsid w:val="008C07A3"/>
    <w:rsid w:val="008C07B4"/>
    <w:rsid w:val="008C0817"/>
    <w:rsid w:val="008C086B"/>
    <w:rsid w:val="008C09A4"/>
    <w:rsid w:val="008C09B8"/>
    <w:rsid w:val="008C09CD"/>
    <w:rsid w:val="008C09E9"/>
    <w:rsid w:val="008C0BC5"/>
    <w:rsid w:val="008C0C2F"/>
    <w:rsid w:val="008C0CE0"/>
    <w:rsid w:val="008C0D5E"/>
    <w:rsid w:val="008C0DF1"/>
    <w:rsid w:val="008C0EA7"/>
    <w:rsid w:val="008C0ED8"/>
    <w:rsid w:val="008C1042"/>
    <w:rsid w:val="008C1048"/>
    <w:rsid w:val="008C114E"/>
    <w:rsid w:val="008C1192"/>
    <w:rsid w:val="008C119D"/>
    <w:rsid w:val="008C11B7"/>
    <w:rsid w:val="008C11D7"/>
    <w:rsid w:val="008C124A"/>
    <w:rsid w:val="008C1279"/>
    <w:rsid w:val="008C12AE"/>
    <w:rsid w:val="008C12BC"/>
    <w:rsid w:val="008C12E4"/>
    <w:rsid w:val="008C1371"/>
    <w:rsid w:val="008C13DE"/>
    <w:rsid w:val="008C13E6"/>
    <w:rsid w:val="008C1457"/>
    <w:rsid w:val="008C14E6"/>
    <w:rsid w:val="008C1531"/>
    <w:rsid w:val="008C167E"/>
    <w:rsid w:val="008C16AF"/>
    <w:rsid w:val="008C16C7"/>
    <w:rsid w:val="008C16ED"/>
    <w:rsid w:val="008C16F2"/>
    <w:rsid w:val="008C16FD"/>
    <w:rsid w:val="008C171D"/>
    <w:rsid w:val="008C175F"/>
    <w:rsid w:val="008C1797"/>
    <w:rsid w:val="008C1818"/>
    <w:rsid w:val="008C181D"/>
    <w:rsid w:val="008C186C"/>
    <w:rsid w:val="008C1A00"/>
    <w:rsid w:val="008C1A40"/>
    <w:rsid w:val="008C1AB8"/>
    <w:rsid w:val="008C1B34"/>
    <w:rsid w:val="008C1BE5"/>
    <w:rsid w:val="008C1C32"/>
    <w:rsid w:val="008C1CC9"/>
    <w:rsid w:val="008C1CE1"/>
    <w:rsid w:val="008C1D35"/>
    <w:rsid w:val="008C1D71"/>
    <w:rsid w:val="008C1DCB"/>
    <w:rsid w:val="008C1ECC"/>
    <w:rsid w:val="008C1F22"/>
    <w:rsid w:val="008C1FCD"/>
    <w:rsid w:val="008C1FFE"/>
    <w:rsid w:val="008C20E2"/>
    <w:rsid w:val="008C2118"/>
    <w:rsid w:val="008C21A3"/>
    <w:rsid w:val="008C21DE"/>
    <w:rsid w:val="008C21EB"/>
    <w:rsid w:val="008C22C6"/>
    <w:rsid w:val="008C22CB"/>
    <w:rsid w:val="008C237E"/>
    <w:rsid w:val="008C2383"/>
    <w:rsid w:val="008C239A"/>
    <w:rsid w:val="008C23D4"/>
    <w:rsid w:val="008C2548"/>
    <w:rsid w:val="008C25B7"/>
    <w:rsid w:val="008C260B"/>
    <w:rsid w:val="008C2691"/>
    <w:rsid w:val="008C26D8"/>
    <w:rsid w:val="008C2762"/>
    <w:rsid w:val="008C2778"/>
    <w:rsid w:val="008C27E4"/>
    <w:rsid w:val="008C2846"/>
    <w:rsid w:val="008C284E"/>
    <w:rsid w:val="008C28C8"/>
    <w:rsid w:val="008C292F"/>
    <w:rsid w:val="008C29B7"/>
    <w:rsid w:val="008C29D9"/>
    <w:rsid w:val="008C2AFE"/>
    <w:rsid w:val="008C2C35"/>
    <w:rsid w:val="008C2C82"/>
    <w:rsid w:val="008C2CB7"/>
    <w:rsid w:val="008C2D1F"/>
    <w:rsid w:val="008C2D3C"/>
    <w:rsid w:val="008C2D75"/>
    <w:rsid w:val="008C2DEE"/>
    <w:rsid w:val="008C2E1B"/>
    <w:rsid w:val="008C2E91"/>
    <w:rsid w:val="008C2EF4"/>
    <w:rsid w:val="008C2FA5"/>
    <w:rsid w:val="008C3069"/>
    <w:rsid w:val="008C30AF"/>
    <w:rsid w:val="008C315B"/>
    <w:rsid w:val="008C3185"/>
    <w:rsid w:val="008C319C"/>
    <w:rsid w:val="008C31C4"/>
    <w:rsid w:val="008C31E5"/>
    <w:rsid w:val="008C32AA"/>
    <w:rsid w:val="008C32CC"/>
    <w:rsid w:val="008C32EB"/>
    <w:rsid w:val="008C32F9"/>
    <w:rsid w:val="008C335B"/>
    <w:rsid w:val="008C3366"/>
    <w:rsid w:val="008C3536"/>
    <w:rsid w:val="008C35A5"/>
    <w:rsid w:val="008C3604"/>
    <w:rsid w:val="008C370B"/>
    <w:rsid w:val="008C371D"/>
    <w:rsid w:val="008C3790"/>
    <w:rsid w:val="008C38DF"/>
    <w:rsid w:val="008C38EE"/>
    <w:rsid w:val="008C3917"/>
    <w:rsid w:val="008C39B8"/>
    <w:rsid w:val="008C3A24"/>
    <w:rsid w:val="008C3AAD"/>
    <w:rsid w:val="008C3B66"/>
    <w:rsid w:val="008C3C82"/>
    <w:rsid w:val="008C3CC9"/>
    <w:rsid w:val="008C3D9A"/>
    <w:rsid w:val="008C3DAD"/>
    <w:rsid w:val="008C3DD6"/>
    <w:rsid w:val="008C3DFF"/>
    <w:rsid w:val="008C3E22"/>
    <w:rsid w:val="008C3E93"/>
    <w:rsid w:val="008C3EA3"/>
    <w:rsid w:val="008C3ECA"/>
    <w:rsid w:val="008C3F02"/>
    <w:rsid w:val="008C3FF3"/>
    <w:rsid w:val="008C400B"/>
    <w:rsid w:val="008C409E"/>
    <w:rsid w:val="008C40B3"/>
    <w:rsid w:val="008C4292"/>
    <w:rsid w:val="008C43EC"/>
    <w:rsid w:val="008C4431"/>
    <w:rsid w:val="008C4474"/>
    <w:rsid w:val="008C44BB"/>
    <w:rsid w:val="008C4566"/>
    <w:rsid w:val="008C45EC"/>
    <w:rsid w:val="008C4603"/>
    <w:rsid w:val="008C464E"/>
    <w:rsid w:val="008C46CC"/>
    <w:rsid w:val="008C476D"/>
    <w:rsid w:val="008C479E"/>
    <w:rsid w:val="008C47C2"/>
    <w:rsid w:val="008C4873"/>
    <w:rsid w:val="008C48BC"/>
    <w:rsid w:val="008C48CD"/>
    <w:rsid w:val="008C48D1"/>
    <w:rsid w:val="008C48E1"/>
    <w:rsid w:val="008C4A27"/>
    <w:rsid w:val="008C4A3C"/>
    <w:rsid w:val="008C4B8A"/>
    <w:rsid w:val="008C4BB9"/>
    <w:rsid w:val="008C4BF2"/>
    <w:rsid w:val="008C4C6A"/>
    <w:rsid w:val="008C4D18"/>
    <w:rsid w:val="008C4D33"/>
    <w:rsid w:val="008C4DCC"/>
    <w:rsid w:val="008C4DE6"/>
    <w:rsid w:val="008C4E6B"/>
    <w:rsid w:val="008C4EAF"/>
    <w:rsid w:val="008C4F39"/>
    <w:rsid w:val="008C506B"/>
    <w:rsid w:val="008C5108"/>
    <w:rsid w:val="008C5122"/>
    <w:rsid w:val="008C517B"/>
    <w:rsid w:val="008C51B5"/>
    <w:rsid w:val="008C51E9"/>
    <w:rsid w:val="008C520F"/>
    <w:rsid w:val="008C5227"/>
    <w:rsid w:val="008C5260"/>
    <w:rsid w:val="008C5374"/>
    <w:rsid w:val="008C537A"/>
    <w:rsid w:val="008C53E1"/>
    <w:rsid w:val="008C5416"/>
    <w:rsid w:val="008C549E"/>
    <w:rsid w:val="008C54C7"/>
    <w:rsid w:val="008C54D7"/>
    <w:rsid w:val="008C54EC"/>
    <w:rsid w:val="008C54F8"/>
    <w:rsid w:val="008C559B"/>
    <w:rsid w:val="008C5611"/>
    <w:rsid w:val="008C5690"/>
    <w:rsid w:val="008C56B0"/>
    <w:rsid w:val="008C56E6"/>
    <w:rsid w:val="008C56EA"/>
    <w:rsid w:val="008C56FD"/>
    <w:rsid w:val="008C5705"/>
    <w:rsid w:val="008C576A"/>
    <w:rsid w:val="008C5783"/>
    <w:rsid w:val="008C57B7"/>
    <w:rsid w:val="008C5800"/>
    <w:rsid w:val="008C5938"/>
    <w:rsid w:val="008C5967"/>
    <w:rsid w:val="008C598E"/>
    <w:rsid w:val="008C5A89"/>
    <w:rsid w:val="008C5AA6"/>
    <w:rsid w:val="008C5B34"/>
    <w:rsid w:val="008C5CAA"/>
    <w:rsid w:val="008C5CCA"/>
    <w:rsid w:val="008C5D02"/>
    <w:rsid w:val="008C5D2D"/>
    <w:rsid w:val="008C5DC7"/>
    <w:rsid w:val="008C5DD7"/>
    <w:rsid w:val="008C5FD2"/>
    <w:rsid w:val="008C605E"/>
    <w:rsid w:val="008C6101"/>
    <w:rsid w:val="008C6166"/>
    <w:rsid w:val="008C62C7"/>
    <w:rsid w:val="008C62E2"/>
    <w:rsid w:val="008C6312"/>
    <w:rsid w:val="008C63E2"/>
    <w:rsid w:val="008C6473"/>
    <w:rsid w:val="008C6480"/>
    <w:rsid w:val="008C6491"/>
    <w:rsid w:val="008C6494"/>
    <w:rsid w:val="008C64B2"/>
    <w:rsid w:val="008C65C0"/>
    <w:rsid w:val="008C65DD"/>
    <w:rsid w:val="008C6652"/>
    <w:rsid w:val="008C66E0"/>
    <w:rsid w:val="008C670E"/>
    <w:rsid w:val="008C6750"/>
    <w:rsid w:val="008C676A"/>
    <w:rsid w:val="008C6770"/>
    <w:rsid w:val="008C68C0"/>
    <w:rsid w:val="008C698A"/>
    <w:rsid w:val="008C69D0"/>
    <w:rsid w:val="008C69F8"/>
    <w:rsid w:val="008C6A15"/>
    <w:rsid w:val="008C6A30"/>
    <w:rsid w:val="008C6A92"/>
    <w:rsid w:val="008C6AF4"/>
    <w:rsid w:val="008C6B04"/>
    <w:rsid w:val="008C6B14"/>
    <w:rsid w:val="008C6B25"/>
    <w:rsid w:val="008C6B3A"/>
    <w:rsid w:val="008C6B4A"/>
    <w:rsid w:val="008C6B72"/>
    <w:rsid w:val="008C6B7A"/>
    <w:rsid w:val="008C6BA5"/>
    <w:rsid w:val="008C6BA6"/>
    <w:rsid w:val="008C6C27"/>
    <w:rsid w:val="008C6C63"/>
    <w:rsid w:val="008C6CA1"/>
    <w:rsid w:val="008C6D7C"/>
    <w:rsid w:val="008C6DD4"/>
    <w:rsid w:val="008C6E48"/>
    <w:rsid w:val="008C6E65"/>
    <w:rsid w:val="008C6FCD"/>
    <w:rsid w:val="008C6FDD"/>
    <w:rsid w:val="008C7028"/>
    <w:rsid w:val="008C708C"/>
    <w:rsid w:val="008C70E5"/>
    <w:rsid w:val="008C70F7"/>
    <w:rsid w:val="008C7174"/>
    <w:rsid w:val="008C727F"/>
    <w:rsid w:val="008C72C0"/>
    <w:rsid w:val="008C7331"/>
    <w:rsid w:val="008C73A8"/>
    <w:rsid w:val="008C73F3"/>
    <w:rsid w:val="008C7437"/>
    <w:rsid w:val="008C7462"/>
    <w:rsid w:val="008C74C7"/>
    <w:rsid w:val="008C7515"/>
    <w:rsid w:val="008C7580"/>
    <w:rsid w:val="008C7629"/>
    <w:rsid w:val="008C765B"/>
    <w:rsid w:val="008C7711"/>
    <w:rsid w:val="008C77B4"/>
    <w:rsid w:val="008C77BF"/>
    <w:rsid w:val="008C7801"/>
    <w:rsid w:val="008C7858"/>
    <w:rsid w:val="008C7898"/>
    <w:rsid w:val="008C78A9"/>
    <w:rsid w:val="008C7954"/>
    <w:rsid w:val="008C7992"/>
    <w:rsid w:val="008C79DB"/>
    <w:rsid w:val="008C7A5A"/>
    <w:rsid w:val="008C7A9B"/>
    <w:rsid w:val="008C7A9F"/>
    <w:rsid w:val="008C7ABC"/>
    <w:rsid w:val="008C7AF7"/>
    <w:rsid w:val="008C7B1B"/>
    <w:rsid w:val="008C7B31"/>
    <w:rsid w:val="008C7B34"/>
    <w:rsid w:val="008C7B54"/>
    <w:rsid w:val="008C7C3E"/>
    <w:rsid w:val="008C7C40"/>
    <w:rsid w:val="008C7C68"/>
    <w:rsid w:val="008C7C91"/>
    <w:rsid w:val="008C7CC7"/>
    <w:rsid w:val="008C7DD2"/>
    <w:rsid w:val="008C7E38"/>
    <w:rsid w:val="008C7EA5"/>
    <w:rsid w:val="008C7F2F"/>
    <w:rsid w:val="008C7F6D"/>
    <w:rsid w:val="008D0024"/>
    <w:rsid w:val="008D0026"/>
    <w:rsid w:val="008D00DA"/>
    <w:rsid w:val="008D01A4"/>
    <w:rsid w:val="008D02C5"/>
    <w:rsid w:val="008D02DE"/>
    <w:rsid w:val="008D03CF"/>
    <w:rsid w:val="008D0409"/>
    <w:rsid w:val="008D043C"/>
    <w:rsid w:val="008D04E9"/>
    <w:rsid w:val="008D05B1"/>
    <w:rsid w:val="008D05CB"/>
    <w:rsid w:val="008D0660"/>
    <w:rsid w:val="008D0687"/>
    <w:rsid w:val="008D06FF"/>
    <w:rsid w:val="008D077A"/>
    <w:rsid w:val="008D0790"/>
    <w:rsid w:val="008D0795"/>
    <w:rsid w:val="008D07AE"/>
    <w:rsid w:val="008D07DF"/>
    <w:rsid w:val="008D0882"/>
    <w:rsid w:val="008D08B5"/>
    <w:rsid w:val="008D0970"/>
    <w:rsid w:val="008D09E5"/>
    <w:rsid w:val="008D0B05"/>
    <w:rsid w:val="008D0BBD"/>
    <w:rsid w:val="008D0BEF"/>
    <w:rsid w:val="008D0BF7"/>
    <w:rsid w:val="008D0C1B"/>
    <w:rsid w:val="008D0C30"/>
    <w:rsid w:val="008D0C3F"/>
    <w:rsid w:val="008D0C99"/>
    <w:rsid w:val="008D0D5F"/>
    <w:rsid w:val="008D0DA7"/>
    <w:rsid w:val="008D0DE3"/>
    <w:rsid w:val="008D0E2F"/>
    <w:rsid w:val="008D0E4C"/>
    <w:rsid w:val="008D0EB9"/>
    <w:rsid w:val="008D0ED5"/>
    <w:rsid w:val="008D0EE7"/>
    <w:rsid w:val="008D0FF0"/>
    <w:rsid w:val="008D101B"/>
    <w:rsid w:val="008D104F"/>
    <w:rsid w:val="008D10E3"/>
    <w:rsid w:val="008D10F1"/>
    <w:rsid w:val="008D10F2"/>
    <w:rsid w:val="008D111F"/>
    <w:rsid w:val="008D11C3"/>
    <w:rsid w:val="008D1250"/>
    <w:rsid w:val="008D12A8"/>
    <w:rsid w:val="008D12D0"/>
    <w:rsid w:val="008D12F1"/>
    <w:rsid w:val="008D1328"/>
    <w:rsid w:val="008D1375"/>
    <w:rsid w:val="008D13AE"/>
    <w:rsid w:val="008D13E5"/>
    <w:rsid w:val="008D1456"/>
    <w:rsid w:val="008D1493"/>
    <w:rsid w:val="008D14CD"/>
    <w:rsid w:val="008D14FE"/>
    <w:rsid w:val="008D15A2"/>
    <w:rsid w:val="008D1631"/>
    <w:rsid w:val="008D1655"/>
    <w:rsid w:val="008D16B6"/>
    <w:rsid w:val="008D16F7"/>
    <w:rsid w:val="008D172F"/>
    <w:rsid w:val="008D1816"/>
    <w:rsid w:val="008D1875"/>
    <w:rsid w:val="008D190C"/>
    <w:rsid w:val="008D1917"/>
    <w:rsid w:val="008D19D1"/>
    <w:rsid w:val="008D1A42"/>
    <w:rsid w:val="008D1A4C"/>
    <w:rsid w:val="008D1B83"/>
    <w:rsid w:val="008D1BBA"/>
    <w:rsid w:val="008D1BBF"/>
    <w:rsid w:val="008D1C46"/>
    <w:rsid w:val="008D1C71"/>
    <w:rsid w:val="008D1C7E"/>
    <w:rsid w:val="008D1D3B"/>
    <w:rsid w:val="008D1D71"/>
    <w:rsid w:val="008D1E05"/>
    <w:rsid w:val="008D1E32"/>
    <w:rsid w:val="008D1E61"/>
    <w:rsid w:val="008D1E7C"/>
    <w:rsid w:val="008D1EDD"/>
    <w:rsid w:val="008D1EEC"/>
    <w:rsid w:val="008D1F30"/>
    <w:rsid w:val="008D1F98"/>
    <w:rsid w:val="008D1FB1"/>
    <w:rsid w:val="008D1FBE"/>
    <w:rsid w:val="008D203E"/>
    <w:rsid w:val="008D2051"/>
    <w:rsid w:val="008D209C"/>
    <w:rsid w:val="008D20C8"/>
    <w:rsid w:val="008D20D0"/>
    <w:rsid w:val="008D20FA"/>
    <w:rsid w:val="008D20FD"/>
    <w:rsid w:val="008D2101"/>
    <w:rsid w:val="008D2107"/>
    <w:rsid w:val="008D21C4"/>
    <w:rsid w:val="008D221D"/>
    <w:rsid w:val="008D221E"/>
    <w:rsid w:val="008D22C7"/>
    <w:rsid w:val="008D232C"/>
    <w:rsid w:val="008D232D"/>
    <w:rsid w:val="008D237B"/>
    <w:rsid w:val="008D2390"/>
    <w:rsid w:val="008D23CE"/>
    <w:rsid w:val="008D23D8"/>
    <w:rsid w:val="008D2453"/>
    <w:rsid w:val="008D2475"/>
    <w:rsid w:val="008D2478"/>
    <w:rsid w:val="008D249A"/>
    <w:rsid w:val="008D2571"/>
    <w:rsid w:val="008D274F"/>
    <w:rsid w:val="008D27AF"/>
    <w:rsid w:val="008D2806"/>
    <w:rsid w:val="008D2821"/>
    <w:rsid w:val="008D2850"/>
    <w:rsid w:val="008D289D"/>
    <w:rsid w:val="008D28C5"/>
    <w:rsid w:val="008D290A"/>
    <w:rsid w:val="008D290C"/>
    <w:rsid w:val="008D2923"/>
    <w:rsid w:val="008D2938"/>
    <w:rsid w:val="008D29F7"/>
    <w:rsid w:val="008D29F8"/>
    <w:rsid w:val="008D2A00"/>
    <w:rsid w:val="008D2A2F"/>
    <w:rsid w:val="008D2A38"/>
    <w:rsid w:val="008D2A39"/>
    <w:rsid w:val="008D2A81"/>
    <w:rsid w:val="008D2A85"/>
    <w:rsid w:val="008D2B0C"/>
    <w:rsid w:val="008D2BB9"/>
    <w:rsid w:val="008D2BCC"/>
    <w:rsid w:val="008D2C44"/>
    <w:rsid w:val="008D2CD9"/>
    <w:rsid w:val="008D2CDA"/>
    <w:rsid w:val="008D2D08"/>
    <w:rsid w:val="008D2D35"/>
    <w:rsid w:val="008D2DCE"/>
    <w:rsid w:val="008D2DD1"/>
    <w:rsid w:val="008D2E97"/>
    <w:rsid w:val="008D2F1A"/>
    <w:rsid w:val="008D2F90"/>
    <w:rsid w:val="008D2FB6"/>
    <w:rsid w:val="008D2FD4"/>
    <w:rsid w:val="008D305B"/>
    <w:rsid w:val="008D312A"/>
    <w:rsid w:val="008D3131"/>
    <w:rsid w:val="008D3150"/>
    <w:rsid w:val="008D3223"/>
    <w:rsid w:val="008D324A"/>
    <w:rsid w:val="008D32CF"/>
    <w:rsid w:val="008D34B6"/>
    <w:rsid w:val="008D351A"/>
    <w:rsid w:val="008D356D"/>
    <w:rsid w:val="008D358A"/>
    <w:rsid w:val="008D3595"/>
    <w:rsid w:val="008D36EA"/>
    <w:rsid w:val="008D37D3"/>
    <w:rsid w:val="008D3896"/>
    <w:rsid w:val="008D3910"/>
    <w:rsid w:val="008D3989"/>
    <w:rsid w:val="008D398C"/>
    <w:rsid w:val="008D398F"/>
    <w:rsid w:val="008D3A04"/>
    <w:rsid w:val="008D3C5B"/>
    <w:rsid w:val="008D3C73"/>
    <w:rsid w:val="008D3D2A"/>
    <w:rsid w:val="008D3DA7"/>
    <w:rsid w:val="008D3EB1"/>
    <w:rsid w:val="008D3ED3"/>
    <w:rsid w:val="008D3EE1"/>
    <w:rsid w:val="008D3F92"/>
    <w:rsid w:val="008D4037"/>
    <w:rsid w:val="008D4096"/>
    <w:rsid w:val="008D40A5"/>
    <w:rsid w:val="008D411B"/>
    <w:rsid w:val="008D411D"/>
    <w:rsid w:val="008D4152"/>
    <w:rsid w:val="008D431F"/>
    <w:rsid w:val="008D439A"/>
    <w:rsid w:val="008D44B6"/>
    <w:rsid w:val="008D456A"/>
    <w:rsid w:val="008D4582"/>
    <w:rsid w:val="008D45FD"/>
    <w:rsid w:val="008D4652"/>
    <w:rsid w:val="008D466C"/>
    <w:rsid w:val="008D46BD"/>
    <w:rsid w:val="008D472C"/>
    <w:rsid w:val="008D477E"/>
    <w:rsid w:val="008D4785"/>
    <w:rsid w:val="008D483F"/>
    <w:rsid w:val="008D486C"/>
    <w:rsid w:val="008D48AE"/>
    <w:rsid w:val="008D48CC"/>
    <w:rsid w:val="008D49A8"/>
    <w:rsid w:val="008D4AA8"/>
    <w:rsid w:val="008D4B31"/>
    <w:rsid w:val="008D4BE3"/>
    <w:rsid w:val="008D4BE9"/>
    <w:rsid w:val="008D4C89"/>
    <w:rsid w:val="008D4CDB"/>
    <w:rsid w:val="008D4CE0"/>
    <w:rsid w:val="008D4D4B"/>
    <w:rsid w:val="008D4E13"/>
    <w:rsid w:val="008D4E16"/>
    <w:rsid w:val="008D4EA8"/>
    <w:rsid w:val="008D4ED6"/>
    <w:rsid w:val="008D4F4A"/>
    <w:rsid w:val="008D4FA9"/>
    <w:rsid w:val="008D5084"/>
    <w:rsid w:val="008D5123"/>
    <w:rsid w:val="008D5165"/>
    <w:rsid w:val="008D51EF"/>
    <w:rsid w:val="008D5296"/>
    <w:rsid w:val="008D5337"/>
    <w:rsid w:val="008D540F"/>
    <w:rsid w:val="008D5486"/>
    <w:rsid w:val="008D54BE"/>
    <w:rsid w:val="008D54C3"/>
    <w:rsid w:val="008D54CB"/>
    <w:rsid w:val="008D54DD"/>
    <w:rsid w:val="008D54FE"/>
    <w:rsid w:val="008D5656"/>
    <w:rsid w:val="008D56EF"/>
    <w:rsid w:val="008D5711"/>
    <w:rsid w:val="008D586B"/>
    <w:rsid w:val="008D58ED"/>
    <w:rsid w:val="008D5994"/>
    <w:rsid w:val="008D59AF"/>
    <w:rsid w:val="008D5C1A"/>
    <w:rsid w:val="008D5C5B"/>
    <w:rsid w:val="008D5CE8"/>
    <w:rsid w:val="008D5D37"/>
    <w:rsid w:val="008D5E13"/>
    <w:rsid w:val="008D5E14"/>
    <w:rsid w:val="008D5E5F"/>
    <w:rsid w:val="008D5E7C"/>
    <w:rsid w:val="008D5E87"/>
    <w:rsid w:val="008D5ECA"/>
    <w:rsid w:val="008D5ECC"/>
    <w:rsid w:val="008D5F4E"/>
    <w:rsid w:val="008D5F68"/>
    <w:rsid w:val="008D5F93"/>
    <w:rsid w:val="008D5FD3"/>
    <w:rsid w:val="008D60A5"/>
    <w:rsid w:val="008D6141"/>
    <w:rsid w:val="008D623D"/>
    <w:rsid w:val="008D6361"/>
    <w:rsid w:val="008D6426"/>
    <w:rsid w:val="008D647E"/>
    <w:rsid w:val="008D64F6"/>
    <w:rsid w:val="008D650A"/>
    <w:rsid w:val="008D653F"/>
    <w:rsid w:val="008D656D"/>
    <w:rsid w:val="008D65A8"/>
    <w:rsid w:val="008D65C3"/>
    <w:rsid w:val="008D65F0"/>
    <w:rsid w:val="008D663C"/>
    <w:rsid w:val="008D665D"/>
    <w:rsid w:val="008D6669"/>
    <w:rsid w:val="008D668B"/>
    <w:rsid w:val="008D66D0"/>
    <w:rsid w:val="008D66DA"/>
    <w:rsid w:val="008D677A"/>
    <w:rsid w:val="008D67A9"/>
    <w:rsid w:val="008D686F"/>
    <w:rsid w:val="008D6899"/>
    <w:rsid w:val="008D68BF"/>
    <w:rsid w:val="008D695D"/>
    <w:rsid w:val="008D697A"/>
    <w:rsid w:val="008D6A33"/>
    <w:rsid w:val="008D6A42"/>
    <w:rsid w:val="008D6B45"/>
    <w:rsid w:val="008D6B59"/>
    <w:rsid w:val="008D6B85"/>
    <w:rsid w:val="008D6B96"/>
    <w:rsid w:val="008D6C3F"/>
    <w:rsid w:val="008D6CF0"/>
    <w:rsid w:val="008D6DBB"/>
    <w:rsid w:val="008D6EDC"/>
    <w:rsid w:val="008D6F39"/>
    <w:rsid w:val="008D6FAE"/>
    <w:rsid w:val="008D6FDD"/>
    <w:rsid w:val="008D7083"/>
    <w:rsid w:val="008D70B7"/>
    <w:rsid w:val="008D70EB"/>
    <w:rsid w:val="008D7124"/>
    <w:rsid w:val="008D7132"/>
    <w:rsid w:val="008D7204"/>
    <w:rsid w:val="008D7286"/>
    <w:rsid w:val="008D7391"/>
    <w:rsid w:val="008D73AA"/>
    <w:rsid w:val="008D7493"/>
    <w:rsid w:val="008D75D5"/>
    <w:rsid w:val="008D7638"/>
    <w:rsid w:val="008D7672"/>
    <w:rsid w:val="008D7721"/>
    <w:rsid w:val="008D776A"/>
    <w:rsid w:val="008D778B"/>
    <w:rsid w:val="008D77A8"/>
    <w:rsid w:val="008D7824"/>
    <w:rsid w:val="008D78C5"/>
    <w:rsid w:val="008D795B"/>
    <w:rsid w:val="008D7A39"/>
    <w:rsid w:val="008D7AEE"/>
    <w:rsid w:val="008D7BBB"/>
    <w:rsid w:val="008D7BC5"/>
    <w:rsid w:val="008D7BD2"/>
    <w:rsid w:val="008D7C32"/>
    <w:rsid w:val="008D7C4F"/>
    <w:rsid w:val="008D7C8E"/>
    <w:rsid w:val="008D7C92"/>
    <w:rsid w:val="008D7C9A"/>
    <w:rsid w:val="008D7CAA"/>
    <w:rsid w:val="008D7D63"/>
    <w:rsid w:val="008D7D81"/>
    <w:rsid w:val="008D7D82"/>
    <w:rsid w:val="008D7F0A"/>
    <w:rsid w:val="008D7F96"/>
    <w:rsid w:val="008D7FB1"/>
    <w:rsid w:val="008D7FD1"/>
    <w:rsid w:val="008E017D"/>
    <w:rsid w:val="008E018B"/>
    <w:rsid w:val="008E01EA"/>
    <w:rsid w:val="008E022B"/>
    <w:rsid w:val="008E025C"/>
    <w:rsid w:val="008E02C0"/>
    <w:rsid w:val="008E031E"/>
    <w:rsid w:val="008E0374"/>
    <w:rsid w:val="008E038E"/>
    <w:rsid w:val="008E0414"/>
    <w:rsid w:val="008E043C"/>
    <w:rsid w:val="008E0487"/>
    <w:rsid w:val="008E0498"/>
    <w:rsid w:val="008E05F2"/>
    <w:rsid w:val="008E06AD"/>
    <w:rsid w:val="008E06E6"/>
    <w:rsid w:val="008E06FF"/>
    <w:rsid w:val="008E0704"/>
    <w:rsid w:val="008E072F"/>
    <w:rsid w:val="008E0759"/>
    <w:rsid w:val="008E07FD"/>
    <w:rsid w:val="008E0813"/>
    <w:rsid w:val="008E081F"/>
    <w:rsid w:val="008E0837"/>
    <w:rsid w:val="008E08BB"/>
    <w:rsid w:val="008E08C8"/>
    <w:rsid w:val="008E090E"/>
    <w:rsid w:val="008E09BF"/>
    <w:rsid w:val="008E0B46"/>
    <w:rsid w:val="008E0B7F"/>
    <w:rsid w:val="008E0C1E"/>
    <w:rsid w:val="008E0C7E"/>
    <w:rsid w:val="008E0C9D"/>
    <w:rsid w:val="008E0D06"/>
    <w:rsid w:val="008E0D29"/>
    <w:rsid w:val="008E0D6B"/>
    <w:rsid w:val="008E0DC7"/>
    <w:rsid w:val="008E0E01"/>
    <w:rsid w:val="008E0E28"/>
    <w:rsid w:val="008E0E34"/>
    <w:rsid w:val="008E0EBB"/>
    <w:rsid w:val="008E0EE1"/>
    <w:rsid w:val="008E0F60"/>
    <w:rsid w:val="008E0F69"/>
    <w:rsid w:val="008E0F81"/>
    <w:rsid w:val="008E0FAE"/>
    <w:rsid w:val="008E0FE8"/>
    <w:rsid w:val="008E1010"/>
    <w:rsid w:val="008E1011"/>
    <w:rsid w:val="008E1071"/>
    <w:rsid w:val="008E108B"/>
    <w:rsid w:val="008E10AA"/>
    <w:rsid w:val="008E12BA"/>
    <w:rsid w:val="008E13FF"/>
    <w:rsid w:val="008E1403"/>
    <w:rsid w:val="008E1487"/>
    <w:rsid w:val="008E1557"/>
    <w:rsid w:val="008E167D"/>
    <w:rsid w:val="008E16A4"/>
    <w:rsid w:val="008E16E0"/>
    <w:rsid w:val="008E1709"/>
    <w:rsid w:val="008E1722"/>
    <w:rsid w:val="008E1741"/>
    <w:rsid w:val="008E1746"/>
    <w:rsid w:val="008E186C"/>
    <w:rsid w:val="008E18A7"/>
    <w:rsid w:val="008E1914"/>
    <w:rsid w:val="008E198D"/>
    <w:rsid w:val="008E19BA"/>
    <w:rsid w:val="008E1A42"/>
    <w:rsid w:val="008E1C0E"/>
    <w:rsid w:val="008E1C51"/>
    <w:rsid w:val="008E1DFF"/>
    <w:rsid w:val="008E1E09"/>
    <w:rsid w:val="008E1E53"/>
    <w:rsid w:val="008E1F3E"/>
    <w:rsid w:val="008E1F65"/>
    <w:rsid w:val="008E1F96"/>
    <w:rsid w:val="008E1FD6"/>
    <w:rsid w:val="008E1FD8"/>
    <w:rsid w:val="008E2083"/>
    <w:rsid w:val="008E2192"/>
    <w:rsid w:val="008E23A5"/>
    <w:rsid w:val="008E2441"/>
    <w:rsid w:val="008E2475"/>
    <w:rsid w:val="008E24BF"/>
    <w:rsid w:val="008E2539"/>
    <w:rsid w:val="008E2582"/>
    <w:rsid w:val="008E2680"/>
    <w:rsid w:val="008E2830"/>
    <w:rsid w:val="008E2944"/>
    <w:rsid w:val="008E2960"/>
    <w:rsid w:val="008E2A2E"/>
    <w:rsid w:val="008E2B43"/>
    <w:rsid w:val="008E2B74"/>
    <w:rsid w:val="008E2C5B"/>
    <w:rsid w:val="008E2C8A"/>
    <w:rsid w:val="008E2CEA"/>
    <w:rsid w:val="008E2CF8"/>
    <w:rsid w:val="008E2D0E"/>
    <w:rsid w:val="008E2D13"/>
    <w:rsid w:val="008E2D87"/>
    <w:rsid w:val="008E2DEA"/>
    <w:rsid w:val="008E2EA1"/>
    <w:rsid w:val="008E2FAB"/>
    <w:rsid w:val="008E309B"/>
    <w:rsid w:val="008E30F3"/>
    <w:rsid w:val="008E317C"/>
    <w:rsid w:val="008E3189"/>
    <w:rsid w:val="008E319A"/>
    <w:rsid w:val="008E32A3"/>
    <w:rsid w:val="008E3392"/>
    <w:rsid w:val="008E3419"/>
    <w:rsid w:val="008E343D"/>
    <w:rsid w:val="008E344A"/>
    <w:rsid w:val="008E34A5"/>
    <w:rsid w:val="008E34C5"/>
    <w:rsid w:val="008E3505"/>
    <w:rsid w:val="008E3506"/>
    <w:rsid w:val="008E352B"/>
    <w:rsid w:val="008E359C"/>
    <w:rsid w:val="008E35CF"/>
    <w:rsid w:val="008E3679"/>
    <w:rsid w:val="008E367B"/>
    <w:rsid w:val="008E36A9"/>
    <w:rsid w:val="008E3766"/>
    <w:rsid w:val="008E3797"/>
    <w:rsid w:val="008E37C8"/>
    <w:rsid w:val="008E381B"/>
    <w:rsid w:val="008E38F4"/>
    <w:rsid w:val="008E39E3"/>
    <w:rsid w:val="008E3A10"/>
    <w:rsid w:val="008E3A53"/>
    <w:rsid w:val="008E3AEB"/>
    <w:rsid w:val="008E3B47"/>
    <w:rsid w:val="008E3B4E"/>
    <w:rsid w:val="008E3B95"/>
    <w:rsid w:val="008E3BA4"/>
    <w:rsid w:val="008E3C59"/>
    <w:rsid w:val="008E3CA4"/>
    <w:rsid w:val="008E3CCE"/>
    <w:rsid w:val="008E3D0B"/>
    <w:rsid w:val="008E3D47"/>
    <w:rsid w:val="008E3D7D"/>
    <w:rsid w:val="008E3D9A"/>
    <w:rsid w:val="008E3DB7"/>
    <w:rsid w:val="008E3DDA"/>
    <w:rsid w:val="008E3E2B"/>
    <w:rsid w:val="008E3E91"/>
    <w:rsid w:val="008E3EAA"/>
    <w:rsid w:val="008E3EAB"/>
    <w:rsid w:val="008E3F2D"/>
    <w:rsid w:val="008E3F37"/>
    <w:rsid w:val="008E3F56"/>
    <w:rsid w:val="008E3F68"/>
    <w:rsid w:val="008E3F87"/>
    <w:rsid w:val="008E3F93"/>
    <w:rsid w:val="008E401C"/>
    <w:rsid w:val="008E4084"/>
    <w:rsid w:val="008E4163"/>
    <w:rsid w:val="008E4176"/>
    <w:rsid w:val="008E4200"/>
    <w:rsid w:val="008E4270"/>
    <w:rsid w:val="008E4295"/>
    <w:rsid w:val="008E42A0"/>
    <w:rsid w:val="008E445D"/>
    <w:rsid w:val="008E4461"/>
    <w:rsid w:val="008E451E"/>
    <w:rsid w:val="008E453C"/>
    <w:rsid w:val="008E4580"/>
    <w:rsid w:val="008E462D"/>
    <w:rsid w:val="008E46CE"/>
    <w:rsid w:val="008E47E4"/>
    <w:rsid w:val="008E4894"/>
    <w:rsid w:val="008E48D8"/>
    <w:rsid w:val="008E4AF9"/>
    <w:rsid w:val="008E4B37"/>
    <w:rsid w:val="008E4B3B"/>
    <w:rsid w:val="008E4B4F"/>
    <w:rsid w:val="008E4B60"/>
    <w:rsid w:val="008E4B8B"/>
    <w:rsid w:val="008E4C0F"/>
    <w:rsid w:val="008E4C21"/>
    <w:rsid w:val="008E4CA7"/>
    <w:rsid w:val="008E4CE3"/>
    <w:rsid w:val="008E4D49"/>
    <w:rsid w:val="008E4E4F"/>
    <w:rsid w:val="008E4F06"/>
    <w:rsid w:val="008E5003"/>
    <w:rsid w:val="008E508D"/>
    <w:rsid w:val="008E50C2"/>
    <w:rsid w:val="008E50E3"/>
    <w:rsid w:val="008E5130"/>
    <w:rsid w:val="008E516A"/>
    <w:rsid w:val="008E51F4"/>
    <w:rsid w:val="008E5217"/>
    <w:rsid w:val="008E5222"/>
    <w:rsid w:val="008E5231"/>
    <w:rsid w:val="008E529D"/>
    <w:rsid w:val="008E52A5"/>
    <w:rsid w:val="008E5460"/>
    <w:rsid w:val="008E5473"/>
    <w:rsid w:val="008E5475"/>
    <w:rsid w:val="008E5643"/>
    <w:rsid w:val="008E5756"/>
    <w:rsid w:val="008E57DA"/>
    <w:rsid w:val="008E5800"/>
    <w:rsid w:val="008E583B"/>
    <w:rsid w:val="008E5849"/>
    <w:rsid w:val="008E586A"/>
    <w:rsid w:val="008E5962"/>
    <w:rsid w:val="008E5966"/>
    <w:rsid w:val="008E59DD"/>
    <w:rsid w:val="008E5A2D"/>
    <w:rsid w:val="008E5A71"/>
    <w:rsid w:val="008E5AA5"/>
    <w:rsid w:val="008E5ABD"/>
    <w:rsid w:val="008E5AE6"/>
    <w:rsid w:val="008E5BAC"/>
    <w:rsid w:val="008E5BC9"/>
    <w:rsid w:val="008E5BF0"/>
    <w:rsid w:val="008E5C53"/>
    <w:rsid w:val="008E5C5C"/>
    <w:rsid w:val="008E5CC7"/>
    <w:rsid w:val="008E5CFF"/>
    <w:rsid w:val="008E5E02"/>
    <w:rsid w:val="008E5E30"/>
    <w:rsid w:val="008E5E39"/>
    <w:rsid w:val="008E5E4E"/>
    <w:rsid w:val="008E5E55"/>
    <w:rsid w:val="008E5E6D"/>
    <w:rsid w:val="008E5EBC"/>
    <w:rsid w:val="008E5F61"/>
    <w:rsid w:val="008E603F"/>
    <w:rsid w:val="008E617E"/>
    <w:rsid w:val="008E6198"/>
    <w:rsid w:val="008E61DF"/>
    <w:rsid w:val="008E61E8"/>
    <w:rsid w:val="008E6287"/>
    <w:rsid w:val="008E62B7"/>
    <w:rsid w:val="008E6329"/>
    <w:rsid w:val="008E655A"/>
    <w:rsid w:val="008E6572"/>
    <w:rsid w:val="008E6578"/>
    <w:rsid w:val="008E65BD"/>
    <w:rsid w:val="008E6600"/>
    <w:rsid w:val="008E6605"/>
    <w:rsid w:val="008E6615"/>
    <w:rsid w:val="008E663E"/>
    <w:rsid w:val="008E663F"/>
    <w:rsid w:val="008E66E0"/>
    <w:rsid w:val="008E670A"/>
    <w:rsid w:val="008E6791"/>
    <w:rsid w:val="008E67A3"/>
    <w:rsid w:val="008E67E4"/>
    <w:rsid w:val="008E68F5"/>
    <w:rsid w:val="008E694E"/>
    <w:rsid w:val="008E69B3"/>
    <w:rsid w:val="008E69F2"/>
    <w:rsid w:val="008E6A07"/>
    <w:rsid w:val="008E6B3D"/>
    <w:rsid w:val="008E6B43"/>
    <w:rsid w:val="008E6B7D"/>
    <w:rsid w:val="008E6BAF"/>
    <w:rsid w:val="008E6BE5"/>
    <w:rsid w:val="008E6C13"/>
    <w:rsid w:val="008E6C59"/>
    <w:rsid w:val="008E6C67"/>
    <w:rsid w:val="008E6C8E"/>
    <w:rsid w:val="008E6CD3"/>
    <w:rsid w:val="008E6CF9"/>
    <w:rsid w:val="008E6CFA"/>
    <w:rsid w:val="008E6DD3"/>
    <w:rsid w:val="008E6E57"/>
    <w:rsid w:val="008E6F58"/>
    <w:rsid w:val="008E6F62"/>
    <w:rsid w:val="008E6F7E"/>
    <w:rsid w:val="008E7005"/>
    <w:rsid w:val="008E701C"/>
    <w:rsid w:val="008E703E"/>
    <w:rsid w:val="008E70BA"/>
    <w:rsid w:val="008E711F"/>
    <w:rsid w:val="008E7156"/>
    <w:rsid w:val="008E7159"/>
    <w:rsid w:val="008E71EE"/>
    <w:rsid w:val="008E724C"/>
    <w:rsid w:val="008E72B9"/>
    <w:rsid w:val="008E7333"/>
    <w:rsid w:val="008E7366"/>
    <w:rsid w:val="008E7413"/>
    <w:rsid w:val="008E74E7"/>
    <w:rsid w:val="008E74FE"/>
    <w:rsid w:val="008E757B"/>
    <w:rsid w:val="008E75C2"/>
    <w:rsid w:val="008E75CC"/>
    <w:rsid w:val="008E75F9"/>
    <w:rsid w:val="008E761F"/>
    <w:rsid w:val="008E7872"/>
    <w:rsid w:val="008E789E"/>
    <w:rsid w:val="008E7927"/>
    <w:rsid w:val="008E7968"/>
    <w:rsid w:val="008E79C6"/>
    <w:rsid w:val="008E79EB"/>
    <w:rsid w:val="008E7A41"/>
    <w:rsid w:val="008E7A9C"/>
    <w:rsid w:val="008E7AF2"/>
    <w:rsid w:val="008E7B77"/>
    <w:rsid w:val="008E7B87"/>
    <w:rsid w:val="008E7BB3"/>
    <w:rsid w:val="008E7C7E"/>
    <w:rsid w:val="008E7CED"/>
    <w:rsid w:val="008E7D1C"/>
    <w:rsid w:val="008E7D52"/>
    <w:rsid w:val="008E7DCA"/>
    <w:rsid w:val="008E7E0B"/>
    <w:rsid w:val="008E7E70"/>
    <w:rsid w:val="008E7E76"/>
    <w:rsid w:val="008E7EA7"/>
    <w:rsid w:val="008E7F3F"/>
    <w:rsid w:val="008E7F55"/>
    <w:rsid w:val="008F0105"/>
    <w:rsid w:val="008F011A"/>
    <w:rsid w:val="008F0133"/>
    <w:rsid w:val="008F0195"/>
    <w:rsid w:val="008F01AB"/>
    <w:rsid w:val="008F01D2"/>
    <w:rsid w:val="008F0223"/>
    <w:rsid w:val="008F02BF"/>
    <w:rsid w:val="008F02C7"/>
    <w:rsid w:val="008F041A"/>
    <w:rsid w:val="008F046B"/>
    <w:rsid w:val="008F05FD"/>
    <w:rsid w:val="008F065B"/>
    <w:rsid w:val="008F071B"/>
    <w:rsid w:val="008F0844"/>
    <w:rsid w:val="008F0902"/>
    <w:rsid w:val="008F0907"/>
    <w:rsid w:val="008F098E"/>
    <w:rsid w:val="008F0A00"/>
    <w:rsid w:val="008F0AB0"/>
    <w:rsid w:val="008F0ABB"/>
    <w:rsid w:val="008F0ACF"/>
    <w:rsid w:val="008F0B16"/>
    <w:rsid w:val="008F0C15"/>
    <w:rsid w:val="008F0C6B"/>
    <w:rsid w:val="008F0C94"/>
    <w:rsid w:val="008F0CC3"/>
    <w:rsid w:val="008F0D0A"/>
    <w:rsid w:val="008F0D43"/>
    <w:rsid w:val="008F0D48"/>
    <w:rsid w:val="008F0E02"/>
    <w:rsid w:val="008F0E2D"/>
    <w:rsid w:val="008F0E2E"/>
    <w:rsid w:val="008F0E7F"/>
    <w:rsid w:val="008F0EC4"/>
    <w:rsid w:val="008F0F49"/>
    <w:rsid w:val="008F0F62"/>
    <w:rsid w:val="008F0F9E"/>
    <w:rsid w:val="008F0FAE"/>
    <w:rsid w:val="008F0FE8"/>
    <w:rsid w:val="008F1069"/>
    <w:rsid w:val="008F10A8"/>
    <w:rsid w:val="008F10C9"/>
    <w:rsid w:val="008F1115"/>
    <w:rsid w:val="008F115E"/>
    <w:rsid w:val="008F1228"/>
    <w:rsid w:val="008F126D"/>
    <w:rsid w:val="008F12C5"/>
    <w:rsid w:val="008F13B1"/>
    <w:rsid w:val="008F13C4"/>
    <w:rsid w:val="008F13D2"/>
    <w:rsid w:val="008F14BD"/>
    <w:rsid w:val="008F14DE"/>
    <w:rsid w:val="008F1538"/>
    <w:rsid w:val="008F1560"/>
    <w:rsid w:val="008F15F1"/>
    <w:rsid w:val="008F15F3"/>
    <w:rsid w:val="008F1645"/>
    <w:rsid w:val="008F1667"/>
    <w:rsid w:val="008F16E3"/>
    <w:rsid w:val="008F1778"/>
    <w:rsid w:val="008F1794"/>
    <w:rsid w:val="008F193E"/>
    <w:rsid w:val="008F194C"/>
    <w:rsid w:val="008F197C"/>
    <w:rsid w:val="008F1A6F"/>
    <w:rsid w:val="008F1A7A"/>
    <w:rsid w:val="008F1A99"/>
    <w:rsid w:val="008F1AD8"/>
    <w:rsid w:val="008F1B30"/>
    <w:rsid w:val="008F1B40"/>
    <w:rsid w:val="008F1B57"/>
    <w:rsid w:val="008F1B59"/>
    <w:rsid w:val="008F1B5F"/>
    <w:rsid w:val="008F1BCE"/>
    <w:rsid w:val="008F1C14"/>
    <w:rsid w:val="008F1C7B"/>
    <w:rsid w:val="008F1CE0"/>
    <w:rsid w:val="008F1CEF"/>
    <w:rsid w:val="008F1E0D"/>
    <w:rsid w:val="008F1EDD"/>
    <w:rsid w:val="008F1F5E"/>
    <w:rsid w:val="008F1FF4"/>
    <w:rsid w:val="008F2097"/>
    <w:rsid w:val="008F2098"/>
    <w:rsid w:val="008F2113"/>
    <w:rsid w:val="008F223E"/>
    <w:rsid w:val="008F2273"/>
    <w:rsid w:val="008F22B1"/>
    <w:rsid w:val="008F22F6"/>
    <w:rsid w:val="008F2326"/>
    <w:rsid w:val="008F236C"/>
    <w:rsid w:val="008F236F"/>
    <w:rsid w:val="008F2386"/>
    <w:rsid w:val="008F24C5"/>
    <w:rsid w:val="008F24D6"/>
    <w:rsid w:val="008F24E0"/>
    <w:rsid w:val="008F25A9"/>
    <w:rsid w:val="008F25C5"/>
    <w:rsid w:val="008F2699"/>
    <w:rsid w:val="008F26DF"/>
    <w:rsid w:val="008F26F1"/>
    <w:rsid w:val="008F27E5"/>
    <w:rsid w:val="008F282B"/>
    <w:rsid w:val="008F2860"/>
    <w:rsid w:val="008F2A43"/>
    <w:rsid w:val="008F2A87"/>
    <w:rsid w:val="008F2A90"/>
    <w:rsid w:val="008F2B8E"/>
    <w:rsid w:val="008F2BC2"/>
    <w:rsid w:val="008F2BE5"/>
    <w:rsid w:val="008F2C4B"/>
    <w:rsid w:val="008F2DE9"/>
    <w:rsid w:val="008F2E52"/>
    <w:rsid w:val="008F2E74"/>
    <w:rsid w:val="008F2F32"/>
    <w:rsid w:val="008F2F8E"/>
    <w:rsid w:val="008F3006"/>
    <w:rsid w:val="008F3169"/>
    <w:rsid w:val="008F3212"/>
    <w:rsid w:val="008F333E"/>
    <w:rsid w:val="008F34F5"/>
    <w:rsid w:val="008F3516"/>
    <w:rsid w:val="008F3623"/>
    <w:rsid w:val="008F362B"/>
    <w:rsid w:val="008F3632"/>
    <w:rsid w:val="008F36A2"/>
    <w:rsid w:val="008F36FC"/>
    <w:rsid w:val="008F3715"/>
    <w:rsid w:val="008F38BA"/>
    <w:rsid w:val="008F3987"/>
    <w:rsid w:val="008F39C9"/>
    <w:rsid w:val="008F3A2D"/>
    <w:rsid w:val="008F3B34"/>
    <w:rsid w:val="008F3B91"/>
    <w:rsid w:val="008F3CB4"/>
    <w:rsid w:val="008F3CED"/>
    <w:rsid w:val="008F3CF5"/>
    <w:rsid w:val="008F3E04"/>
    <w:rsid w:val="008F3E7B"/>
    <w:rsid w:val="008F3EDB"/>
    <w:rsid w:val="008F3F1D"/>
    <w:rsid w:val="008F407E"/>
    <w:rsid w:val="008F40A0"/>
    <w:rsid w:val="008F40E3"/>
    <w:rsid w:val="008F4229"/>
    <w:rsid w:val="008F424D"/>
    <w:rsid w:val="008F42FB"/>
    <w:rsid w:val="008F43A4"/>
    <w:rsid w:val="008F43AC"/>
    <w:rsid w:val="008F445F"/>
    <w:rsid w:val="008F448F"/>
    <w:rsid w:val="008F449F"/>
    <w:rsid w:val="008F44D4"/>
    <w:rsid w:val="008F459D"/>
    <w:rsid w:val="008F45C5"/>
    <w:rsid w:val="008F467A"/>
    <w:rsid w:val="008F46FA"/>
    <w:rsid w:val="008F47E0"/>
    <w:rsid w:val="008F484F"/>
    <w:rsid w:val="008F48B5"/>
    <w:rsid w:val="008F48CA"/>
    <w:rsid w:val="008F4940"/>
    <w:rsid w:val="008F4963"/>
    <w:rsid w:val="008F49D6"/>
    <w:rsid w:val="008F49E8"/>
    <w:rsid w:val="008F4A0A"/>
    <w:rsid w:val="008F4A73"/>
    <w:rsid w:val="008F4A9C"/>
    <w:rsid w:val="008F4AB1"/>
    <w:rsid w:val="008F4B5E"/>
    <w:rsid w:val="008F4E42"/>
    <w:rsid w:val="008F4E7F"/>
    <w:rsid w:val="008F4F40"/>
    <w:rsid w:val="008F4F72"/>
    <w:rsid w:val="008F4FC9"/>
    <w:rsid w:val="008F5026"/>
    <w:rsid w:val="008F5031"/>
    <w:rsid w:val="008F512B"/>
    <w:rsid w:val="008F51A4"/>
    <w:rsid w:val="008F51B8"/>
    <w:rsid w:val="008F51CF"/>
    <w:rsid w:val="008F51D6"/>
    <w:rsid w:val="008F520F"/>
    <w:rsid w:val="008F524A"/>
    <w:rsid w:val="008F5260"/>
    <w:rsid w:val="008F53B0"/>
    <w:rsid w:val="008F53CA"/>
    <w:rsid w:val="008F53D5"/>
    <w:rsid w:val="008F53E5"/>
    <w:rsid w:val="008F54F9"/>
    <w:rsid w:val="008F5517"/>
    <w:rsid w:val="008F552F"/>
    <w:rsid w:val="008F56B5"/>
    <w:rsid w:val="008F56BB"/>
    <w:rsid w:val="008F575A"/>
    <w:rsid w:val="008F57C5"/>
    <w:rsid w:val="008F57E2"/>
    <w:rsid w:val="008F5840"/>
    <w:rsid w:val="008F58A5"/>
    <w:rsid w:val="008F5909"/>
    <w:rsid w:val="008F590C"/>
    <w:rsid w:val="008F5984"/>
    <w:rsid w:val="008F5A22"/>
    <w:rsid w:val="008F5AB0"/>
    <w:rsid w:val="008F5B3A"/>
    <w:rsid w:val="008F5B80"/>
    <w:rsid w:val="008F5C77"/>
    <w:rsid w:val="008F5CA3"/>
    <w:rsid w:val="008F5D9C"/>
    <w:rsid w:val="008F5E00"/>
    <w:rsid w:val="008F5E08"/>
    <w:rsid w:val="008F5E36"/>
    <w:rsid w:val="008F5EEB"/>
    <w:rsid w:val="008F5EF0"/>
    <w:rsid w:val="008F5F05"/>
    <w:rsid w:val="008F5F19"/>
    <w:rsid w:val="008F5F92"/>
    <w:rsid w:val="008F5FF1"/>
    <w:rsid w:val="008F6084"/>
    <w:rsid w:val="008F608F"/>
    <w:rsid w:val="008F60A5"/>
    <w:rsid w:val="008F60C0"/>
    <w:rsid w:val="008F60DF"/>
    <w:rsid w:val="008F6105"/>
    <w:rsid w:val="008F6117"/>
    <w:rsid w:val="008F6130"/>
    <w:rsid w:val="008F6150"/>
    <w:rsid w:val="008F6189"/>
    <w:rsid w:val="008F61B7"/>
    <w:rsid w:val="008F6274"/>
    <w:rsid w:val="008F62A5"/>
    <w:rsid w:val="008F62D1"/>
    <w:rsid w:val="008F6377"/>
    <w:rsid w:val="008F63DE"/>
    <w:rsid w:val="008F6403"/>
    <w:rsid w:val="008F6459"/>
    <w:rsid w:val="008F646F"/>
    <w:rsid w:val="008F6505"/>
    <w:rsid w:val="008F6566"/>
    <w:rsid w:val="008F65B5"/>
    <w:rsid w:val="008F65DD"/>
    <w:rsid w:val="008F65E3"/>
    <w:rsid w:val="008F65FE"/>
    <w:rsid w:val="008F665F"/>
    <w:rsid w:val="008F66EF"/>
    <w:rsid w:val="008F670B"/>
    <w:rsid w:val="008F675D"/>
    <w:rsid w:val="008F676C"/>
    <w:rsid w:val="008F677F"/>
    <w:rsid w:val="008F67AC"/>
    <w:rsid w:val="008F68B8"/>
    <w:rsid w:val="008F6916"/>
    <w:rsid w:val="008F6A25"/>
    <w:rsid w:val="008F6B69"/>
    <w:rsid w:val="008F6C96"/>
    <w:rsid w:val="008F6CA0"/>
    <w:rsid w:val="008F6CDF"/>
    <w:rsid w:val="008F6D15"/>
    <w:rsid w:val="008F6D7D"/>
    <w:rsid w:val="008F6DA3"/>
    <w:rsid w:val="008F6E39"/>
    <w:rsid w:val="008F6F09"/>
    <w:rsid w:val="008F6F29"/>
    <w:rsid w:val="008F6FDF"/>
    <w:rsid w:val="008F7087"/>
    <w:rsid w:val="008F71EA"/>
    <w:rsid w:val="008F7244"/>
    <w:rsid w:val="008F72E6"/>
    <w:rsid w:val="008F7315"/>
    <w:rsid w:val="008F7373"/>
    <w:rsid w:val="008F737A"/>
    <w:rsid w:val="008F73A9"/>
    <w:rsid w:val="008F73C2"/>
    <w:rsid w:val="008F73E2"/>
    <w:rsid w:val="008F7560"/>
    <w:rsid w:val="008F7589"/>
    <w:rsid w:val="008F7605"/>
    <w:rsid w:val="008F765B"/>
    <w:rsid w:val="008F767B"/>
    <w:rsid w:val="008F770F"/>
    <w:rsid w:val="008F773C"/>
    <w:rsid w:val="008F773F"/>
    <w:rsid w:val="008F7786"/>
    <w:rsid w:val="008F77C2"/>
    <w:rsid w:val="008F7854"/>
    <w:rsid w:val="008F78A9"/>
    <w:rsid w:val="008F78BD"/>
    <w:rsid w:val="008F78BF"/>
    <w:rsid w:val="008F78F7"/>
    <w:rsid w:val="008F7905"/>
    <w:rsid w:val="008F7928"/>
    <w:rsid w:val="008F7944"/>
    <w:rsid w:val="008F7958"/>
    <w:rsid w:val="008F7A1E"/>
    <w:rsid w:val="008F7B05"/>
    <w:rsid w:val="008F7B43"/>
    <w:rsid w:val="008F7BB1"/>
    <w:rsid w:val="008F7BCC"/>
    <w:rsid w:val="008F7C22"/>
    <w:rsid w:val="008F7CCA"/>
    <w:rsid w:val="008F7D7D"/>
    <w:rsid w:val="008F7DC2"/>
    <w:rsid w:val="008F7EFC"/>
    <w:rsid w:val="008F7F69"/>
    <w:rsid w:val="008F7FB0"/>
    <w:rsid w:val="00900007"/>
    <w:rsid w:val="009000E9"/>
    <w:rsid w:val="0090011C"/>
    <w:rsid w:val="00900133"/>
    <w:rsid w:val="00900190"/>
    <w:rsid w:val="009001C2"/>
    <w:rsid w:val="009001C9"/>
    <w:rsid w:val="00900360"/>
    <w:rsid w:val="00900388"/>
    <w:rsid w:val="0090040C"/>
    <w:rsid w:val="0090044F"/>
    <w:rsid w:val="0090054F"/>
    <w:rsid w:val="00900564"/>
    <w:rsid w:val="0090062A"/>
    <w:rsid w:val="00900662"/>
    <w:rsid w:val="0090066D"/>
    <w:rsid w:val="0090069C"/>
    <w:rsid w:val="009006E4"/>
    <w:rsid w:val="0090079D"/>
    <w:rsid w:val="00900817"/>
    <w:rsid w:val="0090089A"/>
    <w:rsid w:val="009008C8"/>
    <w:rsid w:val="00900978"/>
    <w:rsid w:val="00900A02"/>
    <w:rsid w:val="00900A1D"/>
    <w:rsid w:val="00900A2A"/>
    <w:rsid w:val="00900A2B"/>
    <w:rsid w:val="00900AC3"/>
    <w:rsid w:val="00900B10"/>
    <w:rsid w:val="00900B33"/>
    <w:rsid w:val="00900BCA"/>
    <w:rsid w:val="00900C46"/>
    <w:rsid w:val="00900C55"/>
    <w:rsid w:val="00900CE6"/>
    <w:rsid w:val="00900D51"/>
    <w:rsid w:val="00900D7C"/>
    <w:rsid w:val="00900D9D"/>
    <w:rsid w:val="00900DBE"/>
    <w:rsid w:val="00900DCE"/>
    <w:rsid w:val="00900DEA"/>
    <w:rsid w:val="00900E41"/>
    <w:rsid w:val="00900E47"/>
    <w:rsid w:val="00900E68"/>
    <w:rsid w:val="00900E8F"/>
    <w:rsid w:val="00900EF6"/>
    <w:rsid w:val="00900F19"/>
    <w:rsid w:val="00900F4B"/>
    <w:rsid w:val="00900F86"/>
    <w:rsid w:val="00900F8D"/>
    <w:rsid w:val="00900FB5"/>
    <w:rsid w:val="00900FC7"/>
    <w:rsid w:val="00901003"/>
    <w:rsid w:val="00901026"/>
    <w:rsid w:val="00901071"/>
    <w:rsid w:val="00901098"/>
    <w:rsid w:val="009010BD"/>
    <w:rsid w:val="00901131"/>
    <w:rsid w:val="00901192"/>
    <w:rsid w:val="009011A9"/>
    <w:rsid w:val="009011E6"/>
    <w:rsid w:val="00901281"/>
    <w:rsid w:val="0090134B"/>
    <w:rsid w:val="0090135F"/>
    <w:rsid w:val="009013BA"/>
    <w:rsid w:val="009013FA"/>
    <w:rsid w:val="00901412"/>
    <w:rsid w:val="0090145D"/>
    <w:rsid w:val="00901470"/>
    <w:rsid w:val="00901532"/>
    <w:rsid w:val="009015E4"/>
    <w:rsid w:val="00901654"/>
    <w:rsid w:val="009016AA"/>
    <w:rsid w:val="009016BD"/>
    <w:rsid w:val="009016BF"/>
    <w:rsid w:val="009016DF"/>
    <w:rsid w:val="00901780"/>
    <w:rsid w:val="009017D5"/>
    <w:rsid w:val="009017FB"/>
    <w:rsid w:val="00901802"/>
    <w:rsid w:val="00901829"/>
    <w:rsid w:val="0090183F"/>
    <w:rsid w:val="009018D7"/>
    <w:rsid w:val="009018E5"/>
    <w:rsid w:val="009018E9"/>
    <w:rsid w:val="009018FC"/>
    <w:rsid w:val="0090198C"/>
    <w:rsid w:val="009019A9"/>
    <w:rsid w:val="009019C3"/>
    <w:rsid w:val="009019D1"/>
    <w:rsid w:val="009019D8"/>
    <w:rsid w:val="00901A01"/>
    <w:rsid w:val="00901A1B"/>
    <w:rsid w:val="00901A36"/>
    <w:rsid w:val="00901A56"/>
    <w:rsid w:val="00901A77"/>
    <w:rsid w:val="00901AA3"/>
    <w:rsid w:val="00901B58"/>
    <w:rsid w:val="00901B5D"/>
    <w:rsid w:val="00901BA6"/>
    <w:rsid w:val="00901BD0"/>
    <w:rsid w:val="00901C75"/>
    <w:rsid w:val="00901C9E"/>
    <w:rsid w:val="00901D51"/>
    <w:rsid w:val="00901E7C"/>
    <w:rsid w:val="00901FCC"/>
    <w:rsid w:val="009020F4"/>
    <w:rsid w:val="0090211F"/>
    <w:rsid w:val="00902148"/>
    <w:rsid w:val="009021B7"/>
    <w:rsid w:val="0090228D"/>
    <w:rsid w:val="009022B4"/>
    <w:rsid w:val="00902309"/>
    <w:rsid w:val="00902326"/>
    <w:rsid w:val="0090236F"/>
    <w:rsid w:val="00902424"/>
    <w:rsid w:val="0090244A"/>
    <w:rsid w:val="0090250B"/>
    <w:rsid w:val="0090255B"/>
    <w:rsid w:val="00902642"/>
    <w:rsid w:val="00902659"/>
    <w:rsid w:val="009026D4"/>
    <w:rsid w:val="009027B9"/>
    <w:rsid w:val="009027C3"/>
    <w:rsid w:val="00902867"/>
    <w:rsid w:val="0090298D"/>
    <w:rsid w:val="009029D2"/>
    <w:rsid w:val="00902B83"/>
    <w:rsid w:val="00902B9E"/>
    <w:rsid w:val="00902BD1"/>
    <w:rsid w:val="00902D91"/>
    <w:rsid w:val="00902D93"/>
    <w:rsid w:val="00902D99"/>
    <w:rsid w:val="00902E1D"/>
    <w:rsid w:val="00902E1E"/>
    <w:rsid w:val="00902F0A"/>
    <w:rsid w:val="00902F42"/>
    <w:rsid w:val="00902F7B"/>
    <w:rsid w:val="00902FD5"/>
    <w:rsid w:val="00902FE9"/>
    <w:rsid w:val="00902FFB"/>
    <w:rsid w:val="0090300B"/>
    <w:rsid w:val="0090301E"/>
    <w:rsid w:val="0090304D"/>
    <w:rsid w:val="009030B7"/>
    <w:rsid w:val="009030E9"/>
    <w:rsid w:val="00903107"/>
    <w:rsid w:val="0090312D"/>
    <w:rsid w:val="00903166"/>
    <w:rsid w:val="009031C8"/>
    <w:rsid w:val="0090323E"/>
    <w:rsid w:val="00903260"/>
    <w:rsid w:val="00903299"/>
    <w:rsid w:val="009032A8"/>
    <w:rsid w:val="00903408"/>
    <w:rsid w:val="00903466"/>
    <w:rsid w:val="00903545"/>
    <w:rsid w:val="00903579"/>
    <w:rsid w:val="009035B4"/>
    <w:rsid w:val="0090362B"/>
    <w:rsid w:val="0090363D"/>
    <w:rsid w:val="00903754"/>
    <w:rsid w:val="0090376E"/>
    <w:rsid w:val="00903778"/>
    <w:rsid w:val="0090377D"/>
    <w:rsid w:val="00903826"/>
    <w:rsid w:val="00903921"/>
    <w:rsid w:val="0090392A"/>
    <w:rsid w:val="00903947"/>
    <w:rsid w:val="00903995"/>
    <w:rsid w:val="009039A3"/>
    <w:rsid w:val="00903A49"/>
    <w:rsid w:val="00903A6A"/>
    <w:rsid w:val="00903ADC"/>
    <w:rsid w:val="00903B18"/>
    <w:rsid w:val="00903B26"/>
    <w:rsid w:val="00903BFA"/>
    <w:rsid w:val="00903C31"/>
    <w:rsid w:val="00903C76"/>
    <w:rsid w:val="00903ECC"/>
    <w:rsid w:val="00903F04"/>
    <w:rsid w:val="00903F60"/>
    <w:rsid w:val="00903F75"/>
    <w:rsid w:val="00903F89"/>
    <w:rsid w:val="00903F93"/>
    <w:rsid w:val="009040AD"/>
    <w:rsid w:val="00904181"/>
    <w:rsid w:val="00904192"/>
    <w:rsid w:val="009041A2"/>
    <w:rsid w:val="009042C5"/>
    <w:rsid w:val="009042DA"/>
    <w:rsid w:val="009043D4"/>
    <w:rsid w:val="00904490"/>
    <w:rsid w:val="00904544"/>
    <w:rsid w:val="00904545"/>
    <w:rsid w:val="009045DB"/>
    <w:rsid w:val="009046C2"/>
    <w:rsid w:val="009046F5"/>
    <w:rsid w:val="00904711"/>
    <w:rsid w:val="00904724"/>
    <w:rsid w:val="0090472E"/>
    <w:rsid w:val="0090474B"/>
    <w:rsid w:val="009047A3"/>
    <w:rsid w:val="009047FD"/>
    <w:rsid w:val="00904911"/>
    <w:rsid w:val="00904917"/>
    <w:rsid w:val="00904934"/>
    <w:rsid w:val="009049FB"/>
    <w:rsid w:val="00904A0A"/>
    <w:rsid w:val="00904A1B"/>
    <w:rsid w:val="00904A30"/>
    <w:rsid w:val="00904A4D"/>
    <w:rsid w:val="00904A60"/>
    <w:rsid w:val="00904AA1"/>
    <w:rsid w:val="00904BB2"/>
    <w:rsid w:val="00904BBB"/>
    <w:rsid w:val="00904CA1"/>
    <w:rsid w:val="00904CD9"/>
    <w:rsid w:val="00904D1C"/>
    <w:rsid w:val="00904D3C"/>
    <w:rsid w:val="00904E88"/>
    <w:rsid w:val="00904F20"/>
    <w:rsid w:val="009050BE"/>
    <w:rsid w:val="00905257"/>
    <w:rsid w:val="009052B4"/>
    <w:rsid w:val="00905386"/>
    <w:rsid w:val="00905426"/>
    <w:rsid w:val="009054E6"/>
    <w:rsid w:val="00905501"/>
    <w:rsid w:val="00905511"/>
    <w:rsid w:val="0090564D"/>
    <w:rsid w:val="0090569B"/>
    <w:rsid w:val="0090570A"/>
    <w:rsid w:val="009057D1"/>
    <w:rsid w:val="00905847"/>
    <w:rsid w:val="00905861"/>
    <w:rsid w:val="009058B1"/>
    <w:rsid w:val="009058F8"/>
    <w:rsid w:val="00905971"/>
    <w:rsid w:val="009059A3"/>
    <w:rsid w:val="00905A3F"/>
    <w:rsid w:val="00905AB0"/>
    <w:rsid w:val="00905B24"/>
    <w:rsid w:val="00905C05"/>
    <w:rsid w:val="00905DC7"/>
    <w:rsid w:val="00905E83"/>
    <w:rsid w:val="00905EE6"/>
    <w:rsid w:val="00905EF9"/>
    <w:rsid w:val="00905F97"/>
    <w:rsid w:val="00905FEE"/>
    <w:rsid w:val="0090601C"/>
    <w:rsid w:val="00906048"/>
    <w:rsid w:val="0090605A"/>
    <w:rsid w:val="009060AA"/>
    <w:rsid w:val="009060DF"/>
    <w:rsid w:val="00906149"/>
    <w:rsid w:val="0090617D"/>
    <w:rsid w:val="009061AE"/>
    <w:rsid w:val="00906293"/>
    <w:rsid w:val="00906337"/>
    <w:rsid w:val="00906340"/>
    <w:rsid w:val="00906366"/>
    <w:rsid w:val="009063AD"/>
    <w:rsid w:val="00906454"/>
    <w:rsid w:val="009064B9"/>
    <w:rsid w:val="0090652F"/>
    <w:rsid w:val="00906540"/>
    <w:rsid w:val="00906574"/>
    <w:rsid w:val="00906696"/>
    <w:rsid w:val="00906731"/>
    <w:rsid w:val="0090673E"/>
    <w:rsid w:val="0090673F"/>
    <w:rsid w:val="0090674F"/>
    <w:rsid w:val="009067BF"/>
    <w:rsid w:val="00906839"/>
    <w:rsid w:val="00906A4F"/>
    <w:rsid w:val="00906AF6"/>
    <w:rsid w:val="00906B3F"/>
    <w:rsid w:val="00906B4F"/>
    <w:rsid w:val="00906B72"/>
    <w:rsid w:val="00906BEF"/>
    <w:rsid w:val="00906D2A"/>
    <w:rsid w:val="00906D75"/>
    <w:rsid w:val="00906E44"/>
    <w:rsid w:val="00906E49"/>
    <w:rsid w:val="00906E85"/>
    <w:rsid w:val="00906EC4"/>
    <w:rsid w:val="00906ED2"/>
    <w:rsid w:val="00906F47"/>
    <w:rsid w:val="00906F6A"/>
    <w:rsid w:val="00906FD9"/>
    <w:rsid w:val="0090702C"/>
    <w:rsid w:val="0090703B"/>
    <w:rsid w:val="009070CF"/>
    <w:rsid w:val="0090711C"/>
    <w:rsid w:val="0090713D"/>
    <w:rsid w:val="00907176"/>
    <w:rsid w:val="009071D7"/>
    <w:rsid w:val="00907225"/>
    <w:rsid w:val="009072E0"/>
    <w:rsid w:val="009072FA"/>
    <w:rsid w:val="0090737F"/>
    <w:rsid w:val="009073EA"/>
    <w:rsid w:val="00907421"/>
    <w:rsid w:val="00907496"/>
    <w:rsid w:val="009074D1"/>
    <w:rsid w:val="0090759A"/>
    <w:rsid w:val="009075DE"/>
    <w:rsid w:val="00907600"/>
    <w:rsid w:val="00907633"/>
    <w:rsid w:val="009076BD"/>
    <w:rsid w:val="009076F5"/>
    <w:rsid w:val="00907737"/>
    <w:rsid w:val="00907771"/>
    <w:rsid w:val="009077C9"/>
    <w:rsid w:val="0090789A"/>
    <w:rsid w:val="00907907"/>
    <w:rsid w:val="0090794A"/>
    <w:rsid w:val="00907984"/>
    <w:rsid w:val="00907AC9"/>
    <w:rsid w:val="00907B6C"/>
    <w:rsid w:val="00907C3A"/>
    <w:rsid w:val="00907C61"/>
    <w:rsid w:val="00907CD8"/>
    <w:rsid w:val="00907D36"/>
    <w:rsid w:val="00907D55"/>
    <w:rsid w:val="00907D57"/>
    <w:rsid w:val="00907DB4"/>
    <w:rsid w:val="00907DEE"/>
    <w:rsid w:val="00907E26"/>
    <w:rsid w:val="00907E66"/>
    <w:rsid w:val="00907E7D"/>
    <w:rsid w:val="00907ECF"/>
    <w:rsid w:val="00907FD5"/>
    <w:rsid w:val="0091003C"/>
    <w:rsid w:val="009100EA"/>
    <w:rsid w:val="00910240"/>
    <w:rsid w:val="00910258"/>
    <w:rsid w:val="009102BE"/>
    <w:rsid w:val="009102E2"/>
    <w:rsid w:val="00910338"/>
    <w:rsid w:val="00910378"/>
    <w:rsid w:val="00910420"/>
    <w:rsid w:val="00910481"/>
    <w:rsid w:val="009104EE"/>
    <w:rsid w:val="0091052B"/>
    <w:rsid w:val="009105DA"/>
    <w:rsid w:val="0091063A"/>
    <w:rsid w:val="00910686"/>
    <w:rsid w:val="00910819"/>
    <w:rsid w:val="00910893"/>
    <w:rsid w:val="0091090C"/>
    <w:rsid w:val="0091092B"/>
    <w:rsid w:val="00910961"/>
    <w:rsid w:val="009109F5"/>
    <w:rsid w:val="00910A1F"/>
    <w:rsid w:val="00910A51"/>
    <w:rsid w:val="00910A7A"/>
    <w:rsid w:val="00910AAD"/>
    <w:rsid w:val="00910ACF"/>
    <w:rsid w:val="00910B8D"/>
    <w:rsid w:val="00910BE1"/>
    <w:rsid w:val="00910CBC"/>
    <w:rsid w:val="00910DAE"/>
    <w:rsid w:val="00910DB1"/>
    <w:rsid w:val="00910E39"/>
    <w:rsid w:val="00910E77"/>
    <w:rsid w:val="00910E97"/>
    <w:rsid w:val="00910EEB"/>
    <w:rsid w:val="00910F87"/>
    <w:rsid w:val="00910FCA"/>
    <w:rsid w:val="00910FE3"/>
    <w:rsid w:val="00911119"/>
    <w:rsid w:val="0091115E"/>
    <w:rsid w:val="009111BB"/>
    <w:rsid w:val="009111BE"/>
    <w:rsid w:val="009111FF"/>
    <w:rsid w:val="00911217"/>
    <w:rsid w:val="00911247"/>
    <w:rsid w:val="009112F6"/>
    <w:rsid w:val="00911333"/>
    <w:rsid w:val="00911393"/>
    <w:rsid w:val="009113EF"/>
    <w:rsid w:val="00911402"/>
    <w:rsid w:val="00911421"/>
    <w:rsid w:val="0091145B"/>
    <w:rsid w:val="009115DB"/>
    <w:rsid w:val="009115FC"/>
    <w:rsid w:val="0091162E"/>
    <w:rsid w:val="00911644"/>
    <w:rsid w:val="009116BE"/>
    <w:rsid w:val="009116E3"/>
    <w:rsid w:val="0091176E"/>
    <w:rsid w:val="0091185D"/>
    <w:rsid w:val="009118B0"/>
    <w:rsid w:val="009118FF"/>
    <w:rsid w:val="0091190E"/>
    <w:rsid w:val="0091196B"/>
    <w:rsid w:val="00911A28"/>
    <w:rsid w:val="00911A40"/>
    <w:rsid w:val="00911AF3"/>
    <w:rsid w:val="00911B09"/>
    <w:rsid w:val="00911C94"/>
    <w:rsid w:val="00911CC5"/>
    <w:rsid w:val="00911D38"/>
    <w:rsid w:val="00911DC3"/>
    <w:rsid w:val="00911E1A"/>
    <w:rsid w:val="00911E3C"/>
    <w:rsid w:val="00911E6F"/>
    <w:rsid w:val="00911E8F"/>
    <w:rsid w:val="00911EA5"/>
    <w:rsid w:val="00912122"/>
    <w:rsid w:val="00912146"/>
    <w:rsid w:val="00912185"/>
    <w:rsid w:val="0091218A"/>
    <w:rsid w:val="009121BF"/>
    <w:rsid w:val="00912227"/>
    <w:rsid w:val="00912241"/>
    <w:rsid w:val="009122CA"/>
    <w:rsid w:val="00912342"/>
    <w:rsid w:val="009124DE"/>
    <w:rsid w:val="0091255A"/>
    <w:rsid w:val="009125F1"/>
    <w:rsid w:val="0091262E"/>
    <w:rsid w:val="009126B3"/>
    <w:rsid w:val="009127B2"/>
    <w:rsid w:val="009127D5"/>
    <w:rsid w:val="009128DB"/>
    <w:rsid w:val="00912926"/>
    <w:rsid w:val="00912986"/>
    <w:rsid w:val="0091299C"/>
    <w:rsid w:val="009129C1"/>
    <w:rsid w:val="00912A60"/>
    <w:rsid w:val="00912A65"/>
    <w:rsid w:val="00912AA6"/>
    <w:rsid w:val="00912AB6"/>
    <w:rsid w:val="00912B7A"/>
    <w:rsid w:val="00912BBE"/>
    <w:rsid w:val="00912BF2"/>
    <w:rsid w:val="00912BF4"/>
    <w:rsid w:val="00912C82"/>
    <w:rsid w:val="00912C97"/>
    <w:rsid w:val="00912CB8"/>
    <w:rsid w:val="00912CFE"/>
    <w:rsid w:val="00912D1F"/>
    <w:rsid w:val="00912D62"/>
    <w:rsid w:val="00912D7E"/>
    <w:rsid w:val="00912D95"/>
    <w:rsid w:val="00912E93"/>
    <w:rsid w:val="00912EA4"/>
    <w:rsid w:val="00912F0B"/>
    <w:rsid w:val="00912F21"/>
    <w:rsid w:val="00912F46"/>
    <w:rsid w:val="00912F92"/>
    <w:rsid w:val="00913004"/>
    <w:rsid w:val="009130EA"/>
    <w:rsid w:val="00913150"/>
    <w:rsid w:val="0091324C"/>
    <w:rsid w:val="00913283"/>
    <w:rsid w:val="00913288"/>
    <w:rsid w:val="0091332E"/>
    <w:rsid w:val="009133E0"/>
    <w:rsid w:val="00913438"/>
    <w:rsid w:val="00913453"/>
    <w:rsid w:val="00913457"/>
    <w:rsid w:val="0091357C"/>
    <w:rsid w:val="009135E7"/>
    <w:rsid w:val="0091365B"/>
    <w:rsid w:val="00913664"/>
    <w:rsid w:val="00913666"/>
    <w:rsid w:val="009136F3"/>
    <w:rsid w:val="0091377A"/>
    <w:rsid w:val="0091378D"/>
    <w:rsid w:val="00913881"/>
    <w:rsid w:val="00913892"/>
    <w:rsid w:val="00913962"/>
    <w:rsid w:val="0091398C"/>
    <w:rsid w:val="009139FF"/>
    <w:rsid w:val="00913A44"/>
    <w:rsid w:val="00913A76"/>
    <w:rsid w:val="00913A89"/>
    <w:rsid w:val="00913A9C"/>
    <w:rsid w:val="00913AB8"/>
    <w:rsid w:val="00913B5F"/>
    <w:rsid w:val="00913C49"/>
    <w:rsid w:val="00913D17"/>
    <w:rsid w:val="00913D30"/>
    <w:rsid w:val="00913DA9"/>
    <w:rsid w:val="00913DBC"/>
    <w:rsid w:val="00913DE8"/>
    <w:rsid w:val="00913F61"/>
    <w:rsid w:val="00913FE1"/>
    <w:rsid w:val="00914039"/>
    <w:rsid w:val="009140D0"/>
    <w:rsid w:val="009140FE"/>
    <w:rsid w:val="00914180"/>
    <w:rsid w:val="00914191"/>
    <w:rsid w:val="009141AB"/>
    <w:rsid w:val="009141D9"/>
    <w:rsid w:val="009141E7"/>
    <w:rsid w:val="0091427D"/>
    <w:rsid w:val="009142A0"/>
    <w:rsid w:val="00914367"/>
    <w:rsid w:val="009143C1"/>
    <w:rsid w:val="009143E6"/>
    <w:rsid w:val="00914478"/>
    <w:rsid w:val="00914523"/>
    <w:rsid w:val="00914547"/>
    <w:rsid w:val="009145AB"/>
    <w:rsid w:val="009145EB"/>
    <w:rsid w:val="0091464F"/>
    <w:rsid w:val="009146CD"/>
    <w:rsid w:val="009146FC"/>
    <w:rsid w:val="0091472C"/>
    <w:rsid w:val="00914794"/>
    <w:rsid w:val="00914825"/>
    <w:rsid w:val="009148A1"/>
    <w:rsid w:val="00914956"/>
    <w:rsid w:val="00914965"/>
    <w:rsid w:val="0091496C"/>
    <w:rsid w:val="009149D2"/>
    <w:rsid w:val="009149D4"/>
    <w:rsid w:val="00914A0C"/>
    <w:rsid w:val="00914B27"/>
    <w:rsid w:val="00914BC4"/>
    <w:rsid w:val="00914BCE"/>
    <w:rsid w:val="00914BF9"/>
    <w:rsid w:val="00914C22"/>
    <w:rsid w:val="00914C3C"/>
    <w:rsid w:val="00914C7C"/>
    <w:rsid w:val="00914C8A"/>
    <w:rsid w:val="00914CA1"/>
    <w:rsid w:val="00914CD6"/>
    <w:rsid w:val="00914D56"/>
    <w:rsid w:val="00914D81"/>
    <w:rsid w:val="00914E98"/>
    <w:rsid w:val="00914F31"/>
    <w:rsid w:val="00914FBA"/>
    <w:rsid w:val="00914FE8"/>
    <w:rsid w:val="00914FEF"/>
    <w:rsid w:val="00915024"/>
    <w:rsid w:val="00915108"/>
    <w:rsid w:val="00915115"/>
    <w:rsid w:val="0091515D"/>
    <w:rsid w:val="0091517B"/>
    <w:rsid w:val="0091518C"/>
    <w:rsid w:val="009151EB"/>
    <w:rsid w:val="009151F9"/>
    <w:rsid w:val="00915237"/>
    <w:rsid w:val="00915241"/>
    <w:rsid w:val="009152CC"/>
    <w:rsid w:val="00915386"/>
    <w:rsid w:val="00915416"/>
    <w:rsid w:val="0091548F"/>
    <w:rsid w:val="009154CF"/>
    <w:rsid w:val="009154D4"/>
    <w:rsid w:val="0091551C"/>
    <w:rsid w:val="00915578"/>
    <w:rsid w:val="009155AA"/>
    <w:rsid w:val="009155BF"/>
    <w:rsid w:val="00915633"/>
    <w:rsid w:val="009156D9"/>
    <w:rsid w:val="00915893"/>
    <w:rsid w:val="009158BE"/>
    <w:rsid w:val="009158F1"/>
    <w:rsid w:val="00915914"/>
    <w:rsid w:val="009159E2"/>
    <w:rsid w:val="00915A04"/>
    <w:rsid w:val="00915A83"/>
    <w:rsid w:val="00915B5B"/>
    <w:rsid w:val="00915B6C"/>
    <w:rsid w:val="00915BA9"/>
    <w:rsid w:val="00915BFD"/>
    <w:rsid w:val="00915C46"/>
    <w:rsid w:val="00915CC4"/>
    <w:rsid w:val="00915CF1"/>
    <w:rsid w:val="00915D1F"/>
    <w:rsid w:val="00915D92"/>
    <w:rsid w:val="00915E07"/>
    <w:rsid w:val="00915E14"/>
    <w:rsid w:val="00915EE3"/>
    <w:rsid w:val="00915F36"/>
    <w:rsid w:val="00915FC0"/>
    <w:rsid w:val="00915FEE"/>
    <w:rsid w:val="00916042"/>
    <w:rsid w:val="00916060"/>
    <w:rsid w:val="00916086"/>
    <w:rsid w:val="009160D8"/>
    <w:rsid w:val="009160F2"/>
    <w:rsid w:val="00916100"/>
    <w:rsid w:val="0091610F"/>
    <w:rsid w:val="00916161"/>
    <w:rsid w:val="00916187"/>
    <w:rsid w:val="009161B6"/>
    <w:rsid w:val="009162D9"/>
    <w:rsid w:val="00916309"/>
    <w:rsid w:val="009163F4"/>
    <w:rsid w:val="00916514"/>
    <w:rsid w:val="009165DC"/>
    <w:rsid w:val="0091664D"/>
    <w:rsid w:val="009166A5"/>
    <w:rsid w:val="009166A9"/>
    <w:rsid w:val="009166DF"/>
    <w:rsid w:val="00916721"/>
    <w:rsid w:val="00916767"/>
    <w:rsid w:val="009167A8"/>
    <w:rsid w:val="009167AF"/>
    <w:rsid w:val="009167B1"/>
    <w:rsid w:val="009168B6"/>
    <w:rsid w:val="009168CF"/>
    <w:rsid w:val="00916942"/>
    <w:rsid w:val="009169DE"/>
    <w:rsid w:val="00916A03"/>
    <w:rsid w:val="00916A09"/>
    <w:rsid w:val="00916A5C"/>
    <w:rsid w:val="00916A6F"/>
    <w:rsid w:val="00916A90"/>
    <w:rsid w:val="00916AA5"/>
    <w:rsid w:val="00916AC4"/>
    <w:rsid w:val="00916ACA"/>
    <w:rsid w:val="00916AF5"/>
    <w:rsid w:val="00916BA6"/>
    <w:rsid w:val="00916BAC"/>
    <w:rsid w:val="00916BB3"/>
    <w:rsid w:val="00916BDE"/>
    <w:rsid w:val="00916BE7"/>
    <w:rsid w:val="00916C3B"/>
    <w:rsid w:val="00916C56"/>
    <w:rsid w:val="00916C88"/>
    <w:rsid w:val="00916CA4"/>
    <w:rsid w:val="00916CD3"/>
    <w:rsid w:val="00916D05"/>
    <w:rsid w:val="00916D42"/>
    <w:rsid w:val="00916D4D"/>
    <w:rsid w:val="00916DB3"/>
    <w:rsid w:val="00916DD1"/>
    <w:rsid w:val="00916E19"/>
    <w:rsid w:val="00916E64"/>
    <w:rsid w:val="00916E73"/>
    <w:rsid w:val="00916E87"/>
    <w:rsid w:val="00916EC6"/>
    <w:rsid w:val="00916F0D"/>
    <w:rsid w:val="00916F38"/>
    <w:rsid w:val="00916F5B"/>
    <w:rsid w:val="00916F79"/>
    <w:rsid w:val="00916F86"/>
    <w:rsid w:val="00917015"/>
    <w:rsid w:val="009170E1"/>
    <w:rsid w:val="009170F3"/>
    <w:rsid w:val="0091716D"/>
    <w:rsid w:val="0091724D"/>
    <w:rsid w:val="009172A3"/>
    <w:rsid w:val="009172B9"/>
    <w:rsid w:val="0091731D"/>
    <w:rsid w:val="00917345"/>
    <w:rsid w:val="0091740B"/>
    <w:rsid w:val="0091746B"/>
    <w:rsid w:val="0091752E"/>
    <w:rsid w:val="00917556"/>
    <w:rsid w:val="00917579"/>
    <w:rsid w:val="009175DF"/>
    <w:rsid w:val="009176EF"/>
    <w:rsid w:val="009176F4"/>
    <w:rsid w:val="009176F5"/>
    <w:rsid w:val="0091770C"/>
    <w:rsid w:val="0091780F"/>
    <w:rsid w:val="00917870"/>
    <w:rsid w:val="009178B6"/>
    <w:rsid w:val="00917904"/>
    <w:rsid w:val="00917927"/>
    <w:rsid w:val="0091797D"/>
    <w:rsid w:val="009179BC"/>
    <w:rsid w:val="00917A23"/>
    <w:rsid w:val="00917AD9"/>
    <w:rsid w:val="00917B56"/>
    <w:rsid w:val="00917BA1"/>
    <w:rsid w:val="00917BAA"/>
    <w:rsid w:val="00917C0C"/>
    <w:rsid w:val="00917C3F"/>
    <w:rsid w:val="00917C60"/>
    <w:rsid w:val="00917C6E"/>
    <w:rsid w:val="00917CCE"/>
    <w:rsid w:val="00917D6E"/>
    <w:rsid w:val="00917D8D"/>
    <w:rsid w:val="00917E89"/>
    <w:rsid w:val="00917F14"/>
    <w:rsid w:val="00917F2D"/>
    <w:rsid w:val="00917F8E"/>
    <w:rsid w:val="00920038"/>
    <w:rsid w:val="00920059"/>
    <w:rsid w:val="009200F7"/>
    <w:rsid w:val="009201E7"/>
    <w:rsid w:val="00920258"/>
    <w:rsid w:val="0092025A"/>
    <w:rsid w:val="00920351"/>
    <w:rsid w:val="00920416"/>
    <w:rsid w:val="0092055B"/>
    <w:rsid w:val="009205C2"/>
    <w:rsid w:val="0092072A"/>
    <w:rsid w:val="00920787"/>
    <w:rsid w:val="009207BC"/>
    <w:rsid w:val="0092080A"/>
    <w:rsid w:val="0092081F"/>
    <w:rsid w:val="0092087B"/>
    <w:rsid w:val="009208C3"/>
    <w:rsid w:val="009208CB"/>
    <w:rsid w:val="00920931"/>
    <w:rsid w:val="00920961"/>
    <w:rsid w:val="0092096E"/>
    <w:rsid w:val="00920AAE"/>
    <w:rsid w:val="00920BEC"/>
    <w:rsid w:val="00920CBF"/>
    <w:rsid w:val="00920D6A"/>
    <w:rsid w:val="00920D74"/>
    <w:rsid w:val="00920E10"/>
    <w:rsid w:val="00920EF0"/>
    <w:rsid w:val="00920F30"/>
    <w:rsid w:val="00920FCE"/>
    <w:rsid w:val="00920FD5"/>
    <w:rsid w:val="00921070"/>
    <w:rsid w:val="00921074"/>
    <w:rsid w:val="00921086"/>
    <w:rsid w:val="009210CF"/>
    <w:rsid w:val="009210EC"/>
    <w:rsid w:val="009211C0"/>
    <w:rsid w:val="009211EA"/>
    <w:rsid w:val="00921276"/>
    <w:rsid w:val="009212A7"/>
    <w:rsid w:val="0092131F"/>
    <w:rsid w:val="00921320"/>
    <w:rsid w:val="009213F7"/>
    <w:rsid w:val="00921425"/>
    <w:rsid w:val="00921462"/>
    <w:rsid w:val="009215DA"/>
    <w:rsid w:val="0092163B"/>
    <w:rsid w:val="0092165B"/>
    <w:rsid w:val="0092171C"/>
    <w:rsid w:val="0092173E"/>
    <w:rsid w:val="0092179A"/>
    <w:rsid w:val="009217AF"/>
    <w:rsid w:val="009217D6"/>
    <w:rsid w:val="0092186D"/>
    <w:rsid w:val="009218D7"/>
    <w:rsid w:val="00921972"/>
    <w:rsid w:val="00921AEE"/>
    <w:rsid w:val="00921B28"/>
    <w:rsid w:val="00921B8C"/>
    <w:rsid w:val="00921B8F"/>
    <w:rsid w:val="00921CB0"/>
    <w:rsid w:val="00921CBD"/>
    <w:rsid w:val="00921D3E"/>
    <w:rsid w:val="00921D6C"/>
    <w:rsid w:val="00921DB3"/>
    <w:rsid w:val="00921DF0"/>
    <w:rsid w:val="00921E0C"/>
    <w:rsid w:val="00921EF8"/>
    <w:rsid w:val="00921EFE"/>
    <w:rsid w:val="00921F52"/>
    <w:rsid w:val="00921FEA"/>
    <w:rsid w:val="00922004"/>
    <w:rsid w:val="00922023"/>
    <w:rsid w:val="0092206E"/>
    <w:rsid w:val="009220ED"/>
    <w:rsid w:val="00922129"/>
    <w:rsid w:val="009221B6"/>
    <w:rsid w:val="009221BE"/>
    <w:rsid w:val="00922236"/>
    <w:rsid w:val="0092227A"/>
    <w:rsid w:val="009222D0"/>
    <w:rsid w:val="009222DD"/>
    <w:rsid w:val="009222F8"/>
    <w:rsid w:val="00922301"/>
    <w:rsid w:val="00922386"/>
    <w:rsid w:val="00922495"/>
    <w:rsid w:val="00922518"/>
    <w:rsid w:val="00922557"/>
    <w:rsid w:val="00922619"/>
    <w:rsid w:val="00922641"/>
    <w:rsid w:val="009226D0"/>
    <w:rsid w:val="009226FE"/>
    <w:rsid w:val="00922731"/>
    <w:rsid w:val="0092277A"/>
    <w:rsid w:val="00922882"/>
    <w:rsid w:val="009228BC"/>
    <w:rsid w:val="00922938"/>
    <w:rsid w:val="009229B1"/>
    <w:rsid w:val="00922B40"/>
    <w:rsid w:val="00922BE2"/>
    <w:rsid w:val="00922BE7"/>
    <w:rsid w:val="00922C1A"/>
    <w:rsid w:val="00922C78"/>
    <w:rsid w:val="00922C8E"/>
    <w:rsid w:val="00922CD7"/>
    <w:rsid w:val="00922D6E"/>
    <w:rsid w:val="00922D82"/>
    <w:rsid w:val="00922DCE"/>
    <w:rsid w:val="00922E3E"/>
    <w:rsid w:val="00922E9A"/>
    <w:rsid w:val="00922EB8"/>
    <w:rsid w:val="00922EF4"/>
    <w:rsid w:val="00922F77"/>
    <w:rsid w:val="00922FA5"/>
    <w:rsid w:val="00923019"/>
    <w:rsid w:val="009230CE"/>
    <w:rsid w:val="009230F1"/>
    <w:rsid w:val="009230F8"/>
    <w:rsid w:val="00923101"/>
    <w:rsid w:val="009231C3"/>
    <w:rsid w:val="0092320A"/>
    <w:rsid w:val="00923292"/>
    <w:rsid w:val="009232BE"/>
    <w:rsid w:val="00923347"/>
    <w:rsid w:val="0092346B"/>
    <w:rsid w:val="0092349C"/>
    <w:rsid w:val="0092351D"/>
    <w:rsid w:val="009235B9"/>
    <w:rsid w:val="00923645"/>
    <w:rsid w:val="0092366F"/>
    <w:rsid w:val="009236CA"/>
    <w:rsid w:val="00923761"/>
    <w:rsid w:val="00923765"/>
    <w:rsid w:val="00923834"/>
    <w:rsid w:val="00923849"/>
    <w:rsid w:val="00923876"/>
    <w:rsid w:val="009238BB"/>
    <w:rsid w:val="009238C8"/>
    <w:rsid w:val="0092391E"/>
    <w:rsid w:val="00923962"/>
    <w:rsid w:val="009239D9"/>
    <w:rsid w:val="00923A36"/>
    <w:rsid w:val="00923A53"/>
    <w:rsid w:val="00923A5D"/>
    <w:rsid w:val="00923B3B"/>
    <w:rsid w:val="00923B64"/>
    <w:rsid w:val="00923BA9"/>
    <w:rsid w:val="00923BCE"/>
    <w:rsid w:val="00923C28"/>
    <w:rsid w:val="00923C43"/>
    <w:rsid w:val="00923C52"/>
    <w:rsid w:val="00923C96"/>
    <w:rsid w:val="00923CE1"/>
    <w:rsid w:val="00923D2A"/>
    <w:rsid w:val="00923D32"/>
    <w:rsid w:val="00923F26"/>
    <w:rsid w:val="00923F39"/>
    <w:rsid w:val="00923F61"/>
    <w:rsid w:val="00923F79"/>
    <w:rsid w:val="00923FB0"/>
    <w:rsid w:val="00923FEE"/>
    <w:rsid w:val="00924067"/>
    <w:rsid w:val="00924114"/>
    <w:rsid w:val="0092415C"/>
    <w:rsid w:val="00924223"/>
    <w:rsid w:val="009242B8"/>
    <w:rsid w:val="009242DD"/>
    <w:rsid w:val="009242ED"/>
    <w:rsid w:val="009242F8"/>
    <w:rsid w:val="00924326"/>
    <w:rsid w:val="00924360"/>
    <w:rsid w:val="0092444C"/>
    <w:rsid w:val="00924458"/>
    <w:rsid w:val="00924464"/>
    <w:rsid w:val="009244A3"/>
    <w:rsid w:val="00924526"/>
    <w:rsid w:val="0092452B"/>
    <w:rsid w:val="00924619"/>
    <w:rsid w:val="0092461B"/>
    <w:rsid w:val="00924644"/>
    <w:rsid w:val="009246FB"/>
    <w:rsid w:val="0092471E"/>
    <w:rsid w:val="009247AF"/>
    <w:rsid w:val="009248ED"/>
    <w:rsid w:val="009248F8"/>
    <w:rsid w:val="00924941"/>
    <w:rsid w:val="009249E5"/>
    <w:rsid w:val="00924A8F"/>
    <w:rsid w:val="00924ADF"/>
    <w:rsid w:val="00924BCB"/>
    <w:rsid w:val="00924BEB"/>
    <w:rsid w:val="00924BEC"/>
    <w:rsid w:val="00924C05"/>
    <w:rsid w:val="00924C11"/>
    <w:rsid w:val="00924D16"/>
    <w:rsid w:val="00924D1E"/>
    <w:rsid w:val="00924D5C"/>
    <w:rsid w:val="00924D6F"/>
    <w:rsid w:val="00924D73"/>
    <w:rsid w:val="00924E4D"/>
    <w:rsid w:val="00924E5B"/>
    <w:rsid w:val="00924E72"/>
    <w:rsid w:val="00924EBB"/>
    <w:rsid w:val="00924EFC"/>
    <w:rsid w:val="00924EFE"/>
    <w:rsid w:val="00924F35"/>
    <w:rsid w:val="00924F79"/>
    <w:rsid w:val="00924F8F"/>
    <w:rsid w:val="00925022"/>
    <w:rsid w:val="00925043"/>
    <w:rsid w:val="0092513A"/>
    <w:rsid w:val="0092516A"/>
    <w:rsid w:val="0092519F"/>
    <w:rsid w:val="00925202"/>
    <w:rsid w:val="00925226"/>
    <w:rsid w:val="00925292"/>
    <w:rsid w:val="00925296"/>
    <w:rsid w:val="0092529C"/>
    <w:rsid w:val="0092535F"/>
    <w:rsid w:val="00925397"/>
    <w:rsid w:val="009253B2"/>
    <w:rsid w:val="009253FA"/>
    <w:rsid w:val="00925403"/>
    <w:rsid w:val="00925476"/>
    <w:rsid w:val="0092554C"/>
    <w:rsid w:val="009255BE"/>
    <w:rsid w:val="00925608"/>
    <w:rsid w:val="00925626"/>
    <w:rsid w:val="00925643"/>
    <w:rsid w:val="009256A3"/>
    <w:rsid w:val="009256FA"/>
    <w:rsid w:val="0092571E"/>
    <w:rsid w:val="0092576B"/>
    <w:rsid w:val="00925779"/>
    <w:rsid w:val="00925788"/>
    <w:rsid w:val="009257CF"/>
    <w:rsid w:val="00925847"/>
    <w:rsid w:val="0092589C"/>
    <w:rsid w:val="0092592F"/>
    <w:rsid w:val="0092598A"/>
    <w:rsid w:val="009259CF"/>
    <w:rsid w:val="009259D4"/>
    <w:rsid w:val="00925A0A"/>
    <w:rsid w:val="00925A81"/>
    <w:rsid w:val="00925AAC"/>
    <w:rsid w:val="00925B5E"/>
    <w:rsid w:val="00925BAB"/>
    <w:rsid w:val="00925BDB"/>
    <w:rsid w:val="00925C02"/>
    <w:rsid w:val="00925C0D"/>
    <w:rsid w:val="00925C4F"/>
    <w:rsid w:val="00925C8C"/>
    <w:rsid w:val="00925CBC"/>
    <w:rsid w:val="00925CE9"/>
    <w:rsid w:val="00925CFA"/>
    <w:rsid w:val="00925D01"/>
    <w:rsid w:val="00925DCD"/>
    <w:rsid w:val="00925DDF"/>
    <w:rsid w:val="00925DF9"/>
    <w:rsid w:val="00925E1C"/>
    <w:rsid w:val="00925E28"/>
    <w:rsid w:val="00925F27"/>
    <w:rsid w:val="00925FCB"/>
    <w:rsid w:val="00925FD8"/>
    <w:rsid w:val="00925FDE"/>
    <w:rsid w:val="00926053"/>
    <w:rsid w:val="0092605D"/>
    <w:rsid w:val="009260B6"/>
    <w:rsid w:val="009260F5"/>
    <w:rsid w:val="00926158"/>
    <w:rsid w:val="0092617E"/>
    <w:rsid w:val="009261C2"/>
    <w:rsid w:val="00926240"/>
    <w:rsid w:val="00926246"/>
    <w:rsid w:val="0092627A"/>
    <w:rsid w:val="009262BA"/>
    <w:rsid w:val="009262FB"/>
    <w:rsid w:val="00926315"/>
    <w:rsid w:val="00926403"/>
    <w:rsid w:val="00926467"/>
    <w:rsid w:val="00926488"/>
    <w:rsid w:val="0092648A"/>
    <w:rsid w:val="009264BA"/>
    <w:rsid w:val="009264D2"/>
    <w:rsid w:val="009264FC"/>
    <w:rsid w:val="0092653F"/>
    <w:rsid w:val="00926613"/>
    <w:rsid w:val="00926644"/>
    <w:rsid w:val="00926660"/>
    <w:rsid w:val="00926678"/>
    <w:rsid w:val="0092667A"/>
    <w:rsid w:val="00926714"/>
    <w:rsid w:val="0092676A"/>
    <w:rsid w:val="009267FB"/>
    <w:rsid w:val="00926811"/>
    <w:rsid w:val="0092684D"/>
    <w:rsid w:val="00926869"/>
    <w:rsid w:val="009268B8"/>
    <w:rsid w:val="009268D7"/>
    <w:rsid w:val="009268F3"/>
    <w:rsid w:val="00926905"/>
    <w:rsid w:val="00926940"/>
    <w:rsid w:val="00926942"/>
    <w:rsid w:val="00926975"/>
    <w:rsid w:val="009269A0"/>
    <w:rsid w:val="00926A76"/>
    <w:rsid w:val="00926AAC"/>
    <w:rsid w:val="00926B9F"/>
    <w:rsid w:val="00926C10"/>
    <w:rsid w:val="00926C1A"/>
    <w:rsid w:val="00926C56"/>
    <w:rsid w:val="00926C72"/>
    <w:rsid w:val="00926CCA"/>
    <w:rsid w:val="00926D0E"/>
    <w:rsid w:val="00926D65"/>
    <w:rsid w:val="00926EB0"/>
    <w:rsid w:val="00926F1C"/>
    <w:rsid w:val="00926F1D"/>
    <w:rsid w:val="00926F52"/>
    <w:rsid w:val="00926FCC"/>
    <w:rsid w:val="00926FE2"/>
    <w:rsid w:val="0092704E"/>
    <w:rsid w:val="009270A5"/>
    <w:rsid w:val="0092712B"/>
    <w:rsid w:val="0092712D"/>
    <w:rsid w:val="0092713C"/>
    <w:rsid w:val="00927199"/>
    <w:rsid w:val="0092719B"/>
    <w:rsid w:val="009271CE"/>
    <w:rsid w:val="009271DA"/>
    <w:rsid w:val="00927268"/>
    <w:rsid w:val="00927328"/>
    <w:rsid w:val="00927361"/>
    <w:rsid w:val="009273C9"/>
    <w:rsid w:val="009273F0"/>
    <w:rsid w:val="00927436"/>
    <w:rsid w:val="009274BE"/>
    <w:rsid w:val="00927596"/>
    <w:rsid w:val="009275B7"/>
    <w:rsid w:val="009275E0"/>
    <w:rsid w:val="009275E9"/>
    <w:rsid w:val="009275F5"/>
    <w:rsid w:val="00927635"/>
    <w:rsid w:val="0092764F"/>
    <w:rsid w:val="00927694"/>
    <w:rsid w:val="009276A2"/>
    <w:rsid w:val="009276BE"/>
    <w:rsid w:val="00927711"/>
    <w:rsid w:val="00927721"/>
    <w:rsid w:val="00927737"/>
    <w:rsid w:val="00927758"/>
    <w:rsid w:val="00927791"/>
    <w:rsid w:val="009277BB"/>
    <w:rsid w:val="0092781C"/>
    <w:rsid w:val="00927860"/>
    <w:rsid w:val="00927878"/>
    <w:rsid w:val="0092789F"/>
    <w:rsid w:val="009278DF"/>
    <w:rsid w:val="00927926"/>
    <w:rsid w:val="009279D1"/>
    <w:rsid w:val="00927A6A"/>
    <w:rsid w:val="00927A86"/>
    <w:rsid w:val="00927A8F"/>
    <w:rsid w:val="00927AAA"/>
    <w:rsid w:val="00927B62"/>
    <w:rsid w:val="00927B6E"/>
    <w:rsid w:val="00927C20"/>
    <w:rsid w:val="00927C5E"/>
    <w:rsid w:val="00927C8A"/>
    <w:rsid w:val="00927C9D"/>
    <w:rsid w:val="00927CF2"/>
    <w:rsid w:val="00927D4D"/>
    <w:rsid w:val="00927D6B"/>
    <w:rsid w:val="00927DAA"/>
    <w:rsid w:val="00927F1E"/>
    <w:rsid w:val="00927F1F"/>
    <w:rsid w:val="00927F34"/>
    <w:rsid w:val="00927F8A"/>
    <w:rsid w:val="00930026"/>
    <w:rsid w:val="00930070"/>
    <w:rsid w:val="009300E1"/>
    <w:rsid w:val="009300F4"/>
    <w:rsid w:val="009301AC"/>
    <w:rsid w:val="009301C8"/>
    <w:rsid w:val="009301EC"/>
    <w:rsid w:val="00930271"/>
    <w:rsid w:val="009302D0"/>
    <w:rsid w:val="009302E8"/>
    <w:rsid w:val="00930323"/>
    <w:rsid w:val="009303C0"/>
    <w:rsid w:val="009303D0"/>
    <w:rsid w:val="009303E3"/>
    <w:rsid w:val="009303F1"/>
    <w:rsid w:val="009304A3"/>
    <w:rsid w:val="00930500"/>
    <w:rsid w:val="0093051A"/>
    <w:rsid w:val="00930545"/>
    <w:rsid w:val="0093054A"/>
    <w:rsid w:val="00930643"/>
    <w:rsid w:val="00930680"/>
    <w:rsid w:val="00930717"/>
    <w:rsid w:val="00930721"/>
    <w:rsid w:val="0093080B"/>
    <w:rsid w:val="009308E4"/>
    <w:rsid w:val="0093092B"/>
    <w:rsid w:val="00930949"/>
    <w:rsid w:val="00930A1E"/>
    <w:rsid w:val="00930A20"/>
    <w:rsid w:val="00930AC1"/>
    <w:rsid w:val="00930AFE"/>
    <w:rsid w:val="00930B54"/>
    <w:rsid w:val="00930BB1"/>
    <w:rsid w:val="00930C46"/>
    <w:rsid w:val="00930D0E"/>
    <w:rsid w:val="00930D79"/>
    <w:rsid w:val="00930D88"/>
    <w:rsid w:val="00930D9D"/>
    <w:rsid w:val="00930DA9"/>
    <w:rsid w:val="00930DE8"/>
    <w:rsid w:val="00930DF0"/>
    <w:rsid w:val="00930E16"/>
    <w:rsid w:val="00930E30"/>
    <w:rsid w:val="00930E9B"/>
    <w:rsid w:val="00930F04"/>
    <w:rsid w:val="00930F0D"/>
    <w:rsid w:val="00931053"/>
    <w:rsid w:val="0093106C"/>
    <w:rsid w:val="00931173"/>
    <w:rsid w:val="00931197"/>
    <w:rsid w:val="009311B5"/>
    <w:rsid w:val="009311F9"/>
    <w:rsid w:val="0093120D"/>
    <w:rsid w:val="0093121A"/>
    <w:rsid w:val="00931243"/>
    <w:rsid w:val="00931259"/>
    <w:rsid w:val="009312AD"/>
    <w:rsid w:val="00931380"/>
    <w:rsid w:val="009313C5"/>
    <w:rsid w:val="00931467"/>
    <w:rsid w:val="009314A0"/>
    <w:rsid w:val="009314CF"/>
    <w:rsid w:val="00931546"/>
    <w:rsid w:val="00931573"/>
    <w:rsid w:val="009315FB"/>
    <w:rsid w:val="00931684"/>
    <w:rsid w:val="00931696"/>
    <w:rsid w:val="00931697"/>
    <w:rsid w:val="009316BA"/>
    <w:rsid w:val="009316C1"/>
    <w:rsid w:val="009316E8"/>
    <w:rsid w:val="0093176E"/>
    <w:rsid w:val="00931792"/>
    <w:rsid w:val="0093179C"/>
    <w:rsid w:val="00931806"/>
    <w:rsid w:val="0093186A"/>
    <w:rsid w:val="00931890"/>
    <w:rsid w:val="00931897"/>
    <w:rsid w:val="009318DD"/>
    <w:rsid w:val="00931910"/>
    <w:rsid w:val="00931929"/>
    <w:rsid w:val="0093194D"/>
    <w:rsid w:val="0093199E"/>
    <w:rsid w:val="00931A11"/>
    <w:rsid w:val="00931A60"/>
    <w:rsid w:val="00931ABD"/>
    <w:rsid w:val="00931ACE"/>
    <w:rsid w:val="00931B12"/>
    <w:rsid w:val="00931B5A"/>
    <w:rsid w:val="00931C06"/>
    <w:rsid w:val="00931C73"/>
    <w:rsid w:val="00931C7D"/>
    <w:rsid w:val="00931CAA"/>
    <w:rsid w:val="00931CF5"/>
    <w:rsid w:val="00931D18"/>
    <w:rsid w:val="00931DB7"/>
    <w:rsid w:val="00931E09"/>
    <w:rsid w:val="00931E31"/>
    <w:rsid w:val="00931E66"/>
    <w:rsid w:val="00931EAF"/>
    <w:rsid w:val="009321CA"/>
    <w:rsid w:val="009322B5"/>
    <w:rsid w:val="0093232C"/>
    <w:rsid w:val="009323E9"/>
    <w:rsid w:val="0093240E"/>
    <w:rsid w:val="0093242F"/>
    <w:rsid w:val="0093246D"/>
    <w:rsid w:val="00932476"/>
    <w:rsid w:val="009324A5"/>
    <w:rsid w:val="009325AF"/>
    <w:rsid w:val="0093261E"/>
    <w:rsid w:val="0093265A"/>
    <w:rsid w:val="0093266B"/>
    <w:rsid w:val="009326EA"/>
    <w:rsid w:val="00932821"/>
    <w:rsid w:val="0093283C"/>
    <w:rsid w:val="00932886"/>
    <w:rsid w:val="009328CD"/>
    <w:rsid w:val="0093291E"/>
    <w:rsid w:val="00932946"/>
    <w:rsid w:val="00932A35"/>
    <w:rsid w:val="00932A62"/>
    <w:rsid w:val="00932AD9"/>
    <w:rsid w:val="00932AE5"/>
    <w:rsid w:val="00932B15"/>
    <w:rsid w:val="00932C19"/>
    <w:rsid w:val="00932C1E"/>
    <w:rsid w:val="00932C49"/>
    <w:rsid w:val="00932C5D"/>
    <w:rsid w:val="00932C96"/>
    <w:rsid w:val="00932CDB"/>
    <w:rsid w:val="00932D8F"/>
    <w:rsid w:val="00932E31"/>
    <w:rsid w:val="00932E8F"/>
    <w:rsid w:val="00932EB8"/>
    <w:rsid w:val="00932F02"/>
    <w:rsid w:val="00932F48"/>
    <w:rsid w:val="00932F56"/>
    <w:rsid w:val="009330F5"/>
    <w:rsid w:val="009330FC"/>
    <w:rsid w:val="00933125"/>
    <w:rsid w:val="00933137"/>
    <w:rsid w:val="00933141"/>
    <w:rsid w:val="00933183"/>
    <w:rsid w:val="0093319E"/>
    <w:rsid w:val="00933284"/>
    <w:rsid w:val="00933288"/>
    <w:rsid w:val="009332AB"/>
    <w:rsid w:val="00933361"/>
    <w:rsid w:val="00933367"/>
    <w:rsid w:val="00933381"/>
    <w:rsid w:val="0093339F"/>
    <w:rsid w:val="00933599"/>
    <w:rsid w:val="009335A4"/>
    <w:rsid w:val="009335D3"/>
    <w:rsid w:val="00933689"/>
    <w:rsid w:val="0093373F"/>
    <w:rsid w:val="00933762"/>
    <w:rsid w:val="009337FC"/>
    <w:rsid w:val="00933813"/>
    <w:rsid w:val="00933833"/>
    <w:rsid w:val="009338AD"/>
    <w:rsid w:val="009338C7"/>
    <w:rsid w:val="00933A1A"/>
    <w:rsid w:val="00933A29"/>
    <w:rsid w:val="00933A44"/>
    <w:rsid w:val="00933A8A"/>
    <w:rsid w:val="00933B06"/>
    <w:rsid w:val="00933B84"/>
    <w:rsid w:val="00933BA7"/>
    <w:rsid w:val="00933C0A"/>
    <w:rsid w:val="00933CAF"/>
    <w:rsid w:val="00933D28"/>
    <w:rsid w:val="00933D6A"/>
    <w:rsid w:val="00933DF0"/>
    <w:rsid w:val="00933E06"/>
    <w:rsid w:val="00933E46"/>
    <w:rsid w:val="00933E7E"/>
    <w:rsid w:val="00933ED1"/>
    <w:rsid w:val="00933EDD"/>
    <w:rsid w:val="00934022"/>
    <w:rsid w:val="00934044"/>
    <w:rsid w:val="00934067"/>
    <w:rsid w:val="00934088"/>
    <w:rsid w:val="0093417D"/>
    <w:rsid w:val="00934292"/>
    <w:rsid w:val="00934294"/>
    <w:rsid w:val="00934305"/>
    <w:rsid w:val="009343D1"/>
    <w:rsid w:val="009343DA"/>
    <w:rsid w:val="0093440F"/>
    <w:rsid w:val="0093441A"/>
    <w:rsid w:val="00934420"/>
    <w:rsid w:val="00934426"/>
    <w:rsid w:val="00934481"/>
    <w:rsid w:val="00934489"/>
    <w:rsid w:val="0093449D"/>
    <w:rsid w:val="00934707"/>
    <w:rsid w:val="0093472C"/>
    <w:rsid w:val="00934752"/>
    <w:rsid w:val="009347E4"/>
    <w:rsid w:val="009347F9"/>
    <w:rsid w:val="00934838"/>
    <w:rsid w:val="009348CD"/>
    <w:rsid w:val="00934A54"/>
    <w:rsid w:val="00934AC9"/>
    <w:rsid w:val="00934B12"/>
    <w:rsid w:val="00934B1E"/>
    <w:rsid w:val="00934B20"/>
    <w:rsid w:val="00934B94"/>
    <w:rsid w:val="00934B9C"/>
    <w:rsid w:val="00934C5F"/>
    <w:rsid w:val="00934CA4"/>
    <w:rsid w:val="00934CAD"/>
    <w:rsid w:val="00934D3C"/>
    <w:rsid w:val="00934DF6"/>
    <w:rsid w:val="00934E8B"/>
    <w:rsid w:val="00934EB3"/>
    <w:rsid w:val="00934F42"/>
    <w:rsid w:val="00934F74"/>
    <w:rsid w:val="00935092"/>
    <w:rsid w:val="009350B2"/>
    <w:rsid w:val="009351BD"/>
    <w:rsid w:val="00935239"/>
    <w:rsid w:val="009352A1"/>
    <w:rsid w:val="00935362"/>
    <w:rsid w:val="009353DB"/>
    <w:rsid w:val="009353E4"/>
    <w:rsid w:val="00935441"/>
    <w:rsid w:val="009354B5"/>
    <w:rsid w:val="009354BF"/>
    <w:rsid w:val="00935507"/>
    <w:rsid w:val="00935522"/>
    <w:rsid w:val="0093553F"/>
    <w:rsid w:val="009355B7"/>
    <w:rsid w:val="00935668"/>
    <w:rsid w:val="009356D7"/>
    <w:rsid w:val="009356F3"/>
    <w:rsid w:val="0093571C"/>
    <w:rsid w:val="0093572C"/>
    <w:rsid w:val="00935760"/>
    <w:rsid w:val="00935789"/>
    <w:rsid w:val="0093578B"/>
    <w:rsid w:val="009357AD"/>
    <w:rsid w:val="009357ED"/>
    <w:rsid w:val="009357FA"/>
    <w:rsid w:val="009358DE"/>
    <w:rsid w:val="009358F5"/>
    <w:rsid w:val="0093599C"/>
    <w:rsid w:val="009359D1"/>
    <w:rsid w:val="009359D2"/>
    <w:rsid w:val="00935A6B"/>
    <w:rsid w:val="00935ADA"/>
    <w:rsid w:val="00935AF4"/>
    <w:rsid w:val="00935B13"/>
    <w:rsid w:val="00935B7D"/>
    <w:rsid w:val="00935BCD"/>
    <w:rsid w:val="00935C4C"/>
    <w:rsid w:val="00935C74"/>
    <w:rsid w:val="00935CA5"/>
    <w:rsid w:val="00935D50"/>
    <w:rsid w:val="00935DA2"/>
    <w:rsid w:val="00935DCB"/>
    <w:rsid w:val="00935DE4"/>
    <w:rsid w:val="00935E65"/>
    <w:rsid w:val="00935E8A"/>
    <w:rsid w:val="00935E94"/>
    <w:rsid w:val="00935EAA"/>
    <w:rsid w:val="00935ED9"/>
    <w:rsid w:val="00935EDD"/>
    <w:rsid w:val="00935F10"/>
    <w:rsid w:val="00935F24"/>
    <w:rsid w:val="00935F60"/>
    <w:rsid w:val="00935F8C"/>
    <w:rsid w:val="00936032"/>
    <w:rsid w:val="00936071"/>
    <w:rsid w:val="009360CA"/>
    <w:rsid w:val="009360E4"/>
    <w:rsid w:val="00936166"/>
    <w:rsid w:val="009362A1"/>
    <w:rsid w:val="009362A7"/>
    <w:rsid w:val="009362CA"/>
    <w:rsid w:val="009362D1"/>
    <w:rsid w:val="00936345"/>
    <w:rsid w:val="00936416"/>
    <w:rsid w:val="0093648B"/>
    <w:rsid w:val="009364CE"/>
    <w:rsid w:val="00936504"/>
    <w:rsid w:val="0093650D"/>
    <w:rsid w:val="009365A9"/>
    <w:rsid w:val="009365BD"/>
    <w:rsid w:val="0093661F"/>
    <w:rsid w:val="009367FB"/>
    <w:rsid w:val="0093682D"/>
    <w:rsid w:val="0093682F"/>
    <w:rsid w:val="009368A7"/>
    <w:rsid w:val="009368C5"/>
    <w:rsid w:val="009368D9"/>
    <w:rsid w:val="00936933"/>
    <w:rsid w:val="00936AAF"/>
    <w:rsid w:val="00936AEC"/>
    <w:rsid w:val="00936AED"/>
    <w:rsid w:val="00936B3A"/>
    <w:rsid w:val="00936B74"/>
    <w:rsid w:val="00936C17"/>
    <w:rsid w:val="00936DE6"/>
    <w:rsid w:val="00936DF7"/>
    <w:rsid w:val="00936F47"/>
    <w:rsid w:val="00936FAA"/>
    <w:rsid w:val="00936FAE"/>
    <w:rsid w:val="0093711D"/>
    <w:rsid w:val="00937143"/>
    <w:rsid w:val="0093717C"/>
    <w:rsid w:val="0093718E"/>
    <w:rsid w:val="009371A2"/>
    <w:rsid w:val="009371B0"/>
    <w:rsid w:val="0093721D"/>
    <w:rsid w:val="0093726F"/>
    <w:rsid w:val="00937294"/>
    <w:rsid w:val="009372D3"/>
    <w:rsid w:val="00937330"/>
    <w:rsid w:val="0093733D"/>
    <w:rsid w:val="009373FE"/>
    <w:rsid w:val="0093740F"/>
    <w:rsid w:val="009374A6"/>
    <w:rsid w:val="009374F9"/>
    <w:rsid w:val="00937516"/>
    <w:rsid w:val="009375A5"/>
    <w:rsid w:val="009375D6"/>
    <w:rsid w:val="009376A4"/>
    <w:rsid w:val="00937780"/>
    <w:rsid w:val="0093781B"/>
    <w:rsid w:val="0093787A"/>
    <w:rsid w:val="009378BD"/>
    <w:rsid w:val="009378EB"/>
    <w:rsid w:val="00937907"/>
    <w:rsid w:val="00937941"/>
    <w:rsid w:val="00937942"/>
    <w:rsid w:val="009379D1"/>
    <w:rsid w:val="009379ED"/>
    <w:rsid w:val="00937A05"/>
    <w:rsid w:val="00937A16"/>
    <w:rsid w:val="00937A3E"/>
    <w:rsid w:val="00937A4D"/>
    <w:rsid w:val="00937AB1"/>
    <w:rsid w:val="00937AC5"/>
    <w:rsid w:val="00937B3A"/>
    <w:rsid w:val="00937B40"/>
    <w:rsid w:val="00937B82"/>
    <w:rsid w:val="00937BAD"/>
    <w:rsid w:val="00937C3C"/>
    <w:rsid w:val="00937C4D"/>
    <w:rsid w:val="00937C5B"/>
    <w:rsid w:val="00937C5C"/>
    <w:rsid w:val="00937C62"/>
    <w:rsid w:val="00937C90"/>
    <w:rsid w:val="00937D2D"/>
    <w:rsid w:val="00937D94"/>
    <w:rsid w:val="00937DAF"/>
    <w:rsid w:val="00937E08"/>
    <w:rsid w:val="00937EAF"/>
    <w:rsid w:val="00937ED6"/>
    <w:rsid w:val="00937FDA"/>
    <w:rsid w:val="00940062"/>
    <w:rsid w:val="009401CA"/>
    <w:rsid w:val="00940216"/>
    <w:rsid w:val="00940219"/>
    <w:rsid w:val="0094029F"/>
    <w:rsid w:val="009402A7"/>
    <w:rsid w:val="00940353"/>
    <w:rsid w:val="009403B2"/>
    <w:rsid w:val="009403C0"/>
    <w:rsid w:val="00940498"/>
    <w:rsid w:val="0094054B"/>
    <w:rsid w:val="0094058D"/>
    <w:rsid w:val="0094060F"/>
    <w:rsid w:val="00940623"/>
    <w:rsid w:val="00940676"/>
    <w:rsid w:val="009406E3"/>
    <w:rsid w:val="009407E9"/>
    <w:rsid w:val="00940A08"/>
    <w:rsid w:val="00940A5E"/>
    <w:rsid w:val="00940A9A"/>
    <w:rsid w:val="00940B99"/>
    <w:rsid w:val="00940BC3"/>
    <w:rsid w:val="00940BF4"/>
    <w:rsid w:val="00940C21"/>
    <w:rsid w:val="00940C99"/>
    <w:rsid w:val="00940D4A"/>
    <w:rsid w:val="00940DFF"/>
    <w:rsid w:val="00940E1B"/>
    <w:rsid w:val="00940E73"/>
    <w:rsid w:val="00940EC3"/>
    <w:rsid w:val="00940EE4"/>
    <w:rsid w:val="00940F5C"/>
    <w:rsid w:val="00940F61"/>
    <w:rsid w:val="00940F79"/>
    <w:rsid w:val="00941007"/>
    <w:rsid w:val="00941067"/>
    <w:rsid w:val="00941075"/>
    <w:rsid w:val="00941184"/>
    <w:rsid w:val="00941188"/>
    <w:rsid w:val="0094121C"/>
    <w:rsid w:val="00941241"/>
    <w:rsid w:val="00941245"/>
    <w:rsid w:val="0094138C"/>
    <w:rsid w:val="009413D0"/>
    <w:rsid w:val="00941496"/>
    <w:rsid w:val="009415C7"/>
    <w:rsid w:val="009415E9"/>
    <w:rsid w:val="00941609"/>
    <w:rsid w:val="00941627"/>
    <w:rsid w:val="0094162E"/>
    <w:rsid w:val="00941648"/>
    <w:rsid w:val="009416E1"/>
    <w:rsid w:val="009417E9"/>
    <w:rsid w:val="009418FD"/>
    <w:rsid w:val="00941944"/>
    <w:rsid w:val="00941AEE"/>
    <w:rsid w:val="00941B04"/>
    <w:rsid w:val="00941B10"/>
    <w:rsid w:val="00941B8D"/>
    <w:rsid w:val="00941C91"/>
    <w:rsid w:val="00941CDB"/>
    <w:rsid w:val="00941D0E"/>
    <w:rsid w:val="00941D94"/>
    <w:rsid w:val="00941E73"/>
    <w:rsid w:val="00941EFC"/>
    <w:rsid w:val="00941FEA"/>
    <w:rsid w:val="0094201C"/>
    <w:rsid w:val="00942100"/>
    <w:rsid w:val="0094211F"/>
    <w:rsid w:val="0094224A"/>
    <w:rsid w:val="0094224F"/>
    <w:rsid w:val="009422A7"/>
    <w:rsid w:val="009422E8"/>
    <w:rsid w:val="009422EF"/>
    <w:rsid w:val="00942398"/>
    <w:rsid w:val="009423B5"/>
    <w:rsid w:val="00942436"/>
    <w:rsid w:val="0094245A"/>
    <w:rsid w:val="00942535"/>
    <w:rsid w:val="00942639"/>
    <w:rsid w:val="009426A9"/>
    <w:rsid w:val="0094270D"/>
    <w:rsid w:val="0094274B"/>
    <w:rsid w:val="00942772"/>
    <w:rsid w:val="009427EE"/>
    <w:rsid w:val="009427F1"/>
    <w:rsid w:val="0094281B"/>
    <w:rsid w:val="0094285D"/>
    <w:rsid w:val="0094285F"/>
    <w:rsid w:val="009428DB"/>
    <w:rsid w:val="00942927"/>
    <w:rsid w:val="00942940"/>
    <w:rsid w:val="00942959"/>
    <w:rsid w:val="00942A0A"/>
    <w:rsid w:val="00942A9A"/>
    <w:rsid w:val="00942ACB"/>
    <w:rsid w:val="00942AE3"/>
    <w:rsid w:val="00942B49"/>
    <w:rsid w:val="00942B6A"/>
    <w:rsid w:val="00942B81"/>
    <w:rsid w:val="00942BBB"/>
    <w:rsid w:val="00942D5C"/>
    <w:rsid w:val="00942D6F"/>
    <w:rsid w:val="00942DB6"/>
    <w:rsid w:val="00942DB8"/>
    <w:rsid w:val="00942DD5"/>
    <w:rsid w:val="00942F25"/>
    <w:rsid w:val="00943029"/>
    <w:rsid w:val="00943184"/>
    <w:rsid w:val="00943226"/>
    <w:rsid w:val="0094329F"/>
    <w:rsid w:val="009432FB"/>
    <w:rsid w:val="0094334D"/>
    <w:rsid w:val="009433C1"/>
    <w:rsid w:val="009433DA"/>
    <w:rsid w:val="00943425"/>
    <w:rsid w:val="0094346E"/>
    <w:rsid w:val="009434BC"/>
    <w:rsid w:val="009434C7"/>
    <w:rsid w:val="00943579"/>
    <w:rsid w:val="009435B1"/>
    <w:rsid w:val="00943603"/>
    <w:rsid w:val="00943607"/>
    <w:rsid w:val="00943613"/>
    <w:rsid w:val="00943630"/>
    <w:rsid w:val="0094369D"/>
    <w:rsid w:val="009436CB"/>
    <w:rsid w:val="009436F1"/>
    <w:rsid w:val="00943701"/>
    <w:rsid w:val="00943733"/>
    <w:rsid w:val="00943753"/>
    <w:rsid w:val="00943756"/>
    <w:rsid w:val="009437D2"/>
    <w:rsid w:val="009437FC"/>
    <w:rsid w:val="00943843"/>
    <w:rsid w:val="009438D3"/>
    <w:rsid w:val="00943939"/>
    <w:rsid w:val="009439C8"/>
    <w:rsid w:val="00943A13"/>
    <w:rsid w:val="00943B15"/>
    <w:rsid w:val="00943B61"/>
    <w:rsid w:val="00943B85"/>
    <w:rsid w:val="00943BA9"/>
    <w:rsid w:val="00943BCA"/>
    <w:rsid w:val="00943BDE"/>
    <w:rsid w:val="00943C78"/>
    <w:rsid w:val="00943C7B"/>
    <w:rsid w:val="00943C86"/>
    <w:rsid w:val="00943CF1"/>
    <w:rsid w:val="00943DC1"/>
    <w:rsid w:val="00943DEC"/>
    <w:rsid w:val="00943E1C"/>
    <w:rsid w:val="00943EF8"/>
    <w:rsid w:val="00943F83"/>
    <w:rsid w:val="00944015"/>
    <w:rsid w:val="00944038"/>
    <w:rsid w:val="00944162"/>
    <w:rsid w:val="0094419F"/>
    <w:rsid w:val="00944253"/>
    <w:rsid w:val="00944305"/>
    <w:rsid w:val="00944314"/>
    <w:rsid w:val="0094431F"/>
    <w:rsid w:val="00944364"/>
    <w:rsid w:val="009444A8"/>
    <w:rsid w:val="009444B2"/>
    <w:rsid w:val="00944520"/>
    <w:rsid w:val="00944536"/>
    <w:rsid w:val="0094454A"/>
    <w:rsid w:val="009445DC"/>
    <w:rsid w:val="009445F9"/>
    <w:rsid w:val="00944637"/>
    <w:rsid w:val="009446D5"/>
    <w:rsid w:val="00944725"/>
    <w:rsid w:val="0094472B"/>
    <w:rsid w:val="0094478A"/>
    <w:rsid w:val="009447B6"/>
    <w:rsid w:val="009447F3"/>
    <w:rsid w:val="0094481A"/>
    <w:rsid w:val="0094485F"/>
    <w:rsid w:val="009448D0"/>
    <w:rsid w:val="00944941"/>
    <w:rsid w:val="00944958"/>
    <w:rsid w:val="00944985"/>
    <w:rsid w:val="00944ABB"/>
    <w:rsid w:val="00944B2D"/>
    <w:rsid w:val="00944B84"/>
    <w:rsid w:val="00944BCF"/>
    <w:rsid w:val="00944C05"/>
    <w:rsid w:val="00944C53"/>
    <w:rsid w:val="00944CD1"/>
    <w:rsid w:val="00944D11"/>
    <w:rsid w:val="00944D23"/>
    <w:rsid w:val="00944D7B"/>
    <w:rsid w:val="00944DFF"/>
    <w:rsid w:val="00944E60"/>
    <w:rsid w:val="00944ED5"/>
    <w:rsid w:val="00944F51"/>
    <w:rsid w:val="00944F5F"/>
    <w:rsid w:val="0094507A"/>
    <w:rsid w:val="009450F0"/>
    <w:rsid w:val="00945235"/>
    <w:rsid w:val="00945279"/>
    <w:rsid w:val="0094527E"/>
    <w:rsid w:val="009452D6"/>
    <w:rsid w:val="009452EE"/>
    <w:rsid w:val="0094536F"/>
    <w:rsid w:val="00945377"/>
    <w:rsid w:val="009453C4"/>
    <w:rsid w:val="009453DE"/>
    <w:rsid w:val="0094543C"/>
    <w:rsid w:val="009454A2"/>
    <w:rsid w:val="0094551D"/>
    <w:rsid w:val="009455AC"/>
    <w:rsid w:val="009455CF"/>
    <w:rsid w:val="00945672"/>
    <w:rsid w:val="009456F0"/>
    <w:rsid w:val="00945965"/>
    <w:rsid w:val="00945997"/>
    <w:rsid w:val="009459E5"/>
    <w:rsid w:val="009459EE"/>
    <w:rsid w:val="00945B21"/>
    <w:rsid w:val="00945BC5"/>
    <w:rsid w:val="00945C0B"/>
    <w:rsid w:val="00945C20"/>
    <w:rsid w:val="00945C3F"/>
    <w:rsid w:val="00945C66"/>
    <w:rsid w:val="00945CBD"/>
    <w:rsid w:val="00945D62"/>
    <w:rsid w:val="00945D76"/>
    <w:rsid w:val="00945EC7"/>
    <w:rsid w:val="00945F00"/>
    <w:rsid w:val="00945F96"/>
    <w:rsid w:val="0094619A"/>
    <w:rsid w:val="009461FC"/>
    <w:rsid w:val="009462D3"/>
    <w:rsid w:val="009462E1"/>
    <w:rsid w:val="00946378"/>
    <w:rsid w:val="00946384"/>
    <w:rsid w:val="00946406"/>
    <w:rsid w:val="00946407"/>
    <w:rsid w:val="009464F9"/>
    <w:rsid w:val="0094651E"/>
    <w:rsid w:val="00946593"/>
    <w:rsid w:val="0094659F"/>
    <w:rsid w:val="00946609"/>
    <w:rsid w:val="00946632"/>
    <w:rsid w:val="00946669"/>
    <w:rsid w:val="00946670"/>
    <w:rsid w:val="009466FE"/>
    <w:rsid w:val="00946789"/>
    <w:rsid w:val="00946809"/>
    <w:rsid w:val="00946811"/>
    <w:rsid w:val="00946815"/>
    <w:rsid w:val="0094684E"/>
    <w:rsid w:val="0094687E"/>
    <w:rsid w:val="0094688C"/>
    <w:rsid w:val="009468B6"/>
    <w:rsid w:val="009469C1"/>
    <w:rsid w:val="00946A56"/>
    <w:rsid w:val="00946A79"/>
    <w:rsid w:val="00946ABA"/>
    <w:rsid w:val="00946D60"/>
    <w:rsid w:val="00946E5B"/>
    <w:rsid w:val="00946EF0"/>
    <w:rsid w:val="00946EF5"/>
    <w:rsid w:val="00946EFB"/>
    <w:rsid w:val="00946EFF"/>
    <w:rsid w:val="00946F1F"/>
    <w:rsid w:val="00946F53"/>
    <w:rsid w:val="00946F67"/>
    <w:rsid w:val="00946FB3"/>
    <w:rsid w:val="00947016"/>
    <w:rsid w:val="0094704E"/>
    <w:rsid w:val="00947062"/>
    <w:rsid w:val="00947097"/>
    <w:rsid w:val="009470F3"/>
    <w:rsid w:val="0094717F"/>
    <w:rsid w:val="0094719B"/>
    <w:rsid w:val="00947209"/>
    <w:rsid w:val="0094721E"/>
    <w:rsid w:val="0094722A"/>
    <w:rsid w:val="009472A3"/>
    <w:rsid w:val="00947395"/>
    <w:rsid w:val="00947459"/>
    <w:rsid w:val="00947487"/>
    <w:rsid w:val="0094748C"/>
    <w:rsid w:val="009474CB"/>
    <w:rsid w:val="00947583"/>
    <w:rsid w:val="00947651"/>
    <w:rsid w:val="009476A3"/>
    <w:rsid w:val="009476ED"/>
    <w:rsid w:val="00947714"/>
    <w:rsid w:val="0094778F"/>
    <w:rsid w:val="009477AA"/>
    <w:rsid w:val="009477DB"/>
    <w:rsid w:val="009477DD"/>
    <w:rsid w:val="0094785D"/>
    <w:rsid w:val="00947866"/>
    <w:rsid w:val="009478BF"/>
    <w:rsid w:val="00947935"/>
    <w:rsid w:val="00947974"/>
    <w:rsid w:val="009479E2"/>
    <w:rsid w:val="00947A55"/>
    <w:rsid w:val="00947AC3"/>
    <w:rsid w:val="00947ADD"/>
    <w:rsid w:val="00947B47"/>
    <w:rsid w:val="00947B4A"/>
    <w:rsid w:val="00947B5A"/>
    <w:rsid w:val="00947B9B"/>
    <w:rsid w:val="00947CEA"/>
    <w:rsid w:val="00947CFE"/>
    <w:rsid w:val="00947D22"/>
    <w:rsid w:val="00947D30"/>
    <w:rsid w:val="00947F2F"/>
    <w:rsid w:val="00947F82"/>
    <w:rsid w:val="00947FB8"/>
    <w:rsid w:val="0095001B"/>
    <w:rsid w:val="00950087"/>
    <w:rsid w:val="00950123"/>
    <w:rsid w:val="009501F4"/>
    <w:rsid w:val="00950206"/>
    <w:rsid w:val="0095028A"/>
    <w:rsid w:val="009502D4"/>
    <w:rsid w:val="0095037E"/>
    <w:rsid w:val="00950418"/>
    <w:rsid w:val="00950449"/>
    <w:rsid w:val="009504B0"/>
    <w:rsid w:val="009504BA"/>
    <w:rsid w:val="009505B4"/>
    <w:rsid w:val="00950665"/>
    <w:rsid w:val="00950690"/>
    <w:rsid w:val="00950693"/>
    <w:rsid w:val="009506BB"/>
    <w:rsid w:val="0095074D"/>
    <w:rsid w:val="009507BD"/>
    <w:rsid w:val="00950882"/>
    <w:rsid w:val="00950950"/>
    <w:rsid w:val="00950A51"/>
    <w:rsid w:val="00950A69"/>
    <w:rsid w:val="00950AB3"/>
    <w:rsid w:val="00950B0F"/>
    <w:rsid w:val="00950B28"/>
    <w:rsid w:val="00950B3A"/>
    <w:rsid w:val="00950B57"/>
    <w:rsid w:val="00950BF7"/>
    <w:rsid w:val="00950D36"/>
    <w:rsid w:val="00950D4F"/>
    <w:rsid w:val="00950D5D"/>
    <w:rsid w:val="00950D94"/>
    <w:rsid w:val="00950E05"/>
    <w:rsid w:val="00950E7D"/>
    <w:rsid w:val="00950F38"/>
    <w:rsid w:val="00950FA0"/>
    <w:rsid w:val="00951039"/>
    <w:rsid w:val="009510D2"/>
    <w:rsid w:val="009510E8"/>
    <w:rsid w:val="00951163"/>
    <w:rsid w:val="0095125F"/>
    <w:rsid w:val="00951315"/>
    <w:rsid w:val="00951349"/>
    <w:rsid w:val="009513A9"/>
    <w:rsid w:val="009513C9"/>
    <w:rsid w:val="009513D5"/>
    <w:rsid w:val="00951507"/>
    <w:rsid w:val="009515AC"/>
    <w:rsid w:val="009516D3"/>
    <w:rsid w:val="009517E6"/>
    <w:rsid w:val="00951807"/>
    <w:rsid w:val="0095181F"/>
    <w:rsid w:val="0095197F"/>
    <w:rsid w:val="009519A8"/>
    <w:rsid w:val="009519AB"/>
    <w:rsid w:val="009519EE"/>
    <w:rsid w:val="00951AAB"/>
    <w:rsid w:val="00951ADB"/>
    <w:rsid w:val="00951B2D"/>
    <w:rsid w:val="00951B6B"/>
    <w:rsid w:val="00951B6E"/>
    <w:rsid w:val="00951C18"/>
    <w:rsid w:val="00951C6E"/>
    <w:rsid w:val="00951C8D"/>
    <w:rsid w:val="00951C99"/>
    <w:rsid w:val="00951CE4"/>
    <w:rsid w:val="00951D03"/>
    <w:rsid w:val="00951E21"/>
    <w:rsid w:val="00951E62"/>
    <w:rsid w:val="00951E71"/>
    <w:rsid w:val="00951E79"/>
    <w:rsid w:val="00951EC4"/>
    <w:rsid w:val="00951EFA"/>
    <w:rsid w:val="00951F6A"/>
    <w:rsid w:val="00951FA4"/>
    <w:rsid w:val="00951FE4"/>
    <w:rsid w:val="00952064"/>
    <w:rsid w:val="0095209E"/>
    <w:rsid w:val="009520DA"/>
    <w:rsid w:val="009520F8"/>
    <w:rsid w:val="00952176"/>
    <w:rsid w:val="009521BA"/>
    <w:rsid w:val="00952260"/>
    <w:rsid w:val="00952279"/>
    <w:rsid w:val="00952365"/>
    <w:rsid w:val="0095237B"/>
    <w:rsid w:val="009524B4"/>
    <w:rsid w:val="009524C6"/>
    <w:rsid w:val="009526A5"/>
    <w:rsid w:val="009526CB"/>
    <w:rsid w:val="0095272A"/>
    <w:rsid w:val="009527AD"/>
    <w:rsid w:val="009527FF"/>
    <w:rsid w:val="0095286D"/>
    <w:rsid w:val="009528F2"/>
    <w:rsid w:val="00952920"/>
    <w:rsid w:val="00952928"/>
    <w:rsid w:val="00952951"/>
    <w:rsid w:val="009529AE"/>
    <w:rsid w:val="009529D6"/>
    <w:rsid w:val="009529EE"/>
    <w:rsid w:val="00952A32"/>
    <w:rsid w:val="00952A4F"/>
    <w:rsid w:val="00952AC3"/>
    <w:rsid w:val="00952BA8"/>
    <w:rsid w:val="00952BDB"/>
    <w:rsid w:val="00952C50"/>
    <w:rsid w:val="00952E1A"/>
    <w:rsid w:val="00952E20"/>
    <w:rsid w:val="00952E2F"/>
    <w:rsid w:val="00952E5D"/>
    <w:rsid w:val="00952E74"/>
    <w:rsid w:val="00952EE2"/>
    <w:rsid w:val="00952F55"/>
    <w:rsid w:val="00952FF6"/>
    <w:rsid w:val="0095302C"/>
    <w:rsid w:val="00953066"/>
    <w:rsid w:val="00953084"/>
    <w:rsid w:val="00953290"/>
    <w:rsid w:val="009532CB"/>
    <w:rsid w:val="00953384"/>
    <w:rsid w:val="009533DC"/>
    <w:rsid w:val="00953441"/>
    <w:rsid w:val="009534AB"/>
    <w:rsid w:val="009534F7"/>
    <w:rsid w:val="009535A4"/>
    <w:rsid w:val="009535D5"/>
    <w:rsid w:val="00953637"/>
    <w:rsid w:val="009536A7"/>
    <w:rsid w:val="009536F7"/>
    <w:rsid w:val="00953709"/>
    <w:rsid w:val="0095373F"/>
    <w:rsid w:val="009537B3"/>
    <w:rsid w:val="009537B8"/>
    <w:rsid w:val="00953811"/>
    <w:rsid w:val="00953915"/>
    <w:rsid w:val="00953917"/>
    <w:rsid w:val="009539DF"/>
    <w:rsid w:val="00953A71"/>
    <w:rsid w:val="00953A90"/>
    <w:rsid w:val="00953B74"/>
    <w:rsid w:val="00953B78"/>
    <w:rsid w:val="00953BA1"/>
    <w:rsid w:val="00953BB5"/>
    <w:rsid w:val="00953BBB"/>
    <w:rsid w:val="00953C61"/>
    <w:rsid w:val="00953DC2"/>
    <w:rsid w:val="00953DC6"/>
    <w:rsid w:val="00953E4E"/>
    <w:rsid w:val="00953E89"/>
    <w:rsid w:val="00953ED2"/>
    <w:rsid w:val="00953EED"/>
    <w:rsid w:val="00953F10"/>
    <w:rsid w:val="00953F44"/>
    <w:rsid w:val="00953F79"/>
    <w:rsid w:val="00953F7F"/>
    <w:rsid w:val="00953F99"/>
    <w:rsid w:val="00953FAD"/>
    <w:rsid w:val="0095400D"/>
    <w:rsid w:val="00954048"/>
    <w:rsid w:val="00954050"/>
    <w:rsid w:val="00954116"/>
    <w:rsid w:val="00954163"/>
    <w:rsid w:val="009541ED"/>
    <w:rsid w:val="009541F5"/>
    <w:rsid w:val="009542C6"/>
    <w:rsid w:val="009542DF"/>
    <w:rsid w:val="00954338"/>
    <w:rsid w:val="009543CE"/>
    <w:rsid w:val="009543D9"/>
    <w:rsid w:val="009543FD"/>
    <w:rsid w:val="0095446D"/>
    <w:rsid w:val="0095449D"/>
    <w:rsid w:val="0095455A"/>
    <w:rsid w:val="00954584"/>
    <w:rsid w:val="0095458F"/>
    <w:rsid w:val="0095460D"/>
    <w:rsid w:val="00954612"/>
    <w:rsid w:val="009546C3"/>
    <w:rsid w:val="00954747"/>
    <w:rsid w:val="00954753"/>
    <w:rsid w:val="0095478C"/>
    <w:rsid w:val="0095481B"/>
    <w:rsid w:val="0095488D"/>
    <w:rsid w:val="009549BB"/>
    <w:rsid w:val="00954A12"/>
    <w:rsid w:val="00954A64"/>
    <w:rsid w:val="00954AD2"/>
    <w:rsid w:val="00954ADC"/>
    <w:rsid w:val="00954BAB"/>
    <w:rsid w:val="00954BCB"/>
    <w:rsid w:val="00954C69"/>
    <w:rsid w:val="00954C8E"/>
    <w:rsid w:val="00954CF5"/>
    <w:rsid w:val="00954D51"/>
    <w:rsid w:val="00954D64"/>
    <w:rsid w:val="00954D95"/>
    <w:rsid w:val="00954E34"/>
    <w:rsid w:val="00954E96"/>
    <w:rsid w:val="00954FAE"/>
    <w:rsid w:val="00954FFC"/>
    <w:rsid w:val="0095500A"/>
    <w:rsid w:val="00955091"/>
    <w:rsid w:val="009550AD"/>
    <w:rsid w:val="009550F8"/>
    <w:rsid w:val="00955189"/>
    <w:rsid w:val="009551B9"/>
    <w:rsid w:val="00955399"/>
    <w:rsid w:val="009553AC"/>
    <w:rsid w:val="009553B5"/>
    <w:rsid w:val="00955427"/>
    <w:rsid w:val="009555B0"/>
    <w:rsid w:val="009555B5"/>
    <w:rsid w:val="009556CA"/>
    <w:rsid w:val="009556D8"/>
    <w:rsid w:val="009556E0"/>
    <w:rsid w:val="009556F1"/>
    <w:rsid w:val="0095570A"/>
    <w:rsid w:val="00955741"/>
    <w:rsid w:val="00955798"/>
    <w:rsid w:val="0095581E"/>
    <w:rsid w:val="00955889"/>
    <w:rsid w:val="00955906"/>
    <w:rsid w:val="00955917"/>
    <w:rsid w:val="00955918"/>
    <w:rsid w:val="0095594A"/>
    <w:rsid w:val="00955989"/>
    <w:rsid w:val="0095599B"/>
    <w:rsid w:val="009559EF"/>
    <w:rsid w:val="00955A3A"/>
    <w:rsid w:val="00955A80"/>
    <w:rsid w:val="00955B0B"/>
    <w:rsid w:val="00955B4B"/>
    <w:rsid w:val="00955C07"/>
    <w:rsid w:val="00955C39"/>
    <w:rsid w:val="00955C56"/>
    <w:rsid w:val="00955D13"/>
    <w:rsid w:val="00955D15"/>
    <w:rsid w:val="00955E6C"/>
    <w:rsid w:val="00955EC5"/>
    <w:rsid w:val="00955FB2"/>
    <w:rsid w:val="00955FB5"/>
    <w:rsid w:val="00956027"/>
    <w:rsid w:val="0095608D"/>
    <w:rsid w:val="00956099"/>
    <w:rsid w:val="0095617B"/>
    <w:rsid w:val="009561CF"/>
    <w:rsid w:val="009561E8"/>
    <w:rsid w:val="00956223"/>
    <w:rsid w:val="0095622B"/>
    <w:rsid w:val="009562A1"/>
    <w:rsid w:val="009562D1"/>
    <w:rsid w:val="009562F6"/>
    <w:rsid w:val="009563AF"/>
    <w:rsid w:val="0095644D"/>
    <w:rsid w:val="00956466"/>
    <w:rsid w:val="009564A2"/>
    <w:rsid w:val="009564E3"/>
    <w:rsid w:val="009564EC"/>
    <w:rsid w:val="009564F8"/>
    <w:rsid w:val="00956545"/>
    <w:rsid w:val="0095655A"/>
    <w:rsid w:val="009565AC"/>
    <w:rsid w:val="0095670F"/>
    <w:rsid w:val="00956750"/>
    <w:rsid w:val="00956793"/>
    <w:rsid w:val="009567D5"/>
    <w:rsid w:val="009567E5"/>
    <w:rsid w:val="00956827"/>
    <w:rsid w:val="0095684A"/>
    <w:rsid w:val="00956862"/>
    <w:rsid w:val="00956884"/>
    <w:rsid w:val="009568FD"/>
    <w:rsid w:val="00956987"/>
    <w:rsid w:val="009569AF"/>
    <w:rsid w:val="009569C7"/>
    <w:rsid w:val="00956A97"/>
    <w:rsid w:val="00956ADF"/>
    <w:rsid w:val="00956AF6"/>
    <w:rsid w:val="00956B79"/>
    <w:rsid w:val="00956BAF"/>
    <w:rsid w:val="00956BDC"/>
    <w:rsid w:val="00956C39"/>
    <w:rsid w:val="00956C73"/>
    <w:rsid w:val="00956CA0"/>
    <w:rsid w:val="00956CDF"/>
    <w:rsid w:val="00956EAB"/>
    <w:rsid w:val="00956EB6"/>
    <w:rsid w:val="00956ED9"/>
    <w:rsid w:val="00956F1B"/>
    <w:rsid w:val="00956F4C"/>
    <w:rsid w:val="00956FF2"/>
    <w:rsid w:val="0095704D"/>
    <w:rsid w:val="0095707B"/>
    <w:rsid w:val="009570A5"/>
    <w:rsid w:val="009571B0"/>
    <w:rsid w:val="009571B6"/>
    <w:rsid w:val="00957217"/>
    <w:rsid w:val="00957236"/>
    <w:rsid w:val="00957239"/>
    <w:rsid w:val="0095730F"/>
    <w:rsid w:val="0095733F"/>
    <w:rsid w:val="00957362"/>
    <w:rsid w:val="0095742B"/>
    <w:rsid w:val="00957457"/>
    <w:rsid w:val="009574F3"/>
    <w:rsid w:val="00957520"/>
    <w:rsid w:val="0095752B"/>
    <w:rsid w:val="009575AF"/>
    <w:rsid w:val="009575B2"/>
    <w:rsid w:val="0095761B"/>
    <w:rsid w:val="009576FF"/>
    <w:rsid w:val="00957741"/>
    <w:rsid w:val="0095776E"/>
    <w:rsid w:val="009578CB"/>
    <w:rsid w:val="009578ED"/>
    <w:rsid w:val="00957916"/>
    <w:rsid w:val="00957A65"/>
    <w:rsid w:val="00957AFF"/>
    <w:rsid w:val="00957B2F"/>
    <w:rsid w:val="00957B37"/>
    <w:rsid w:val="00957B49"/>
    <w:rsid w:val="00957B86"/>
    <w:rsid w:val="00957C53"/>
    <w:rsid w:val="00957C84"/>
    <w:rsid w:val="00957C89"/>
    <w:rsid w:val="00957CE5"/>
    <w:rsid w:val="00957D7E"/>
    <w:rsid w:val="00957DB1"/>
    <w:rsid w:val="00957E05"/>
    <w:rsid w:val="00957EA5"/>
    <w:rsid w:val="00957EF5"/>
    <w:rsid w:val="00957EF6"/>
    <w:rsid w:val="00957F59"/>
    <w:rsid w:val="00957FF8"/>
    <w:rsid w:val="009600B3"/>
    <w:rsid w:val="009600D1"/>
    <w:rsid w:val="00960130"/>
    <w:rsid w:val="00960143"/>
    <w:rsid w:val="00960174"/>
    <w:rsid w:val="009601E1"/>
    <w:rsid w:val="00960275"/>
    <w:rsid w:val="0096028E"/>
    <w:rsid w:val="009602DD"/>
    <w:rsid w:val="009602E3"/>
    <w:rsid w:val="00960320"/>
    <w:rsid w:val="0096034A"/>
    <w:rsid w:val="00960354"/>
    <w:rsid w:val="00960360"/>
    <w:rsid w:val="00960490"/>
    <w:rsid w:val="00960557"/>
    <w:rsid w:val="009606B0"/>
    <w:rsid w:val="009606C0"/>
    <w:rsid w:val="009606D9"/>
    <w:rsid w:val="009606EF"/>
    <w:rsid w:val="00960700"/>
    <w:rsid w:val="00960724"/>
    <w:rsid w:val="00960787"/>
    <w:rsid w:val="009607D7"/>
    <w:rsid w:val="009608AE"/>
    <w:rsid w:val="009608C6"/>
    <w:rsid w:val="0096097D"/>
    <w:rsid w:val="009609C5"/>
    <w:rsid w:val="009609EA"/>
    <w:rsid w:val="00960A2B"/>
    <w:rsid w:val="00960A45"/>
    <w:rsid w:val="00960A4B"/>
    <w:rsid w:val="00960A69"/>
    <w:rsid w:val="00960A96"/>
    <w:rsid w:val="00960A98"/>
    <w:rsid w:val="00960ADD"/>
    <w:rsid w:val="00960B20"/>
    <w:rsid w:val="00960D62"/>
    <w:rsid w:val="00960D6C"/>
    <w:rsid w:val="00960DF1"/>
    <w:rsid w:val="00960FA5"/>
    <w:rsid w:val="00960FF4"/>
    <w:rsid w:val="009610C2"/>
    <w:rsid w:val="00961186"/>
    <w:rsid w:val="00961302"/>
    <w:rsid w:val="00961352"/>
    <w:rsid w:val="00961391"/>
    <w:rsid w:val="00961394"/>
    <w:rsid w:val="009613DE"/>
    <w:rsid w:val="009613F3"/>
    <w:rsid w:val="009614A2"/>
    <w:rsid w:val="00961567"/>
    <w:rsid w:val="009615A3"/>
    <w:rsid w:val="00961653"/>
    <w:rsid w:val="00961656"/>
    <w:rsid w:val="00961692"/>
    <w:rsid w:val="0096169F"/>
    <w:rsid w:val="009616AA"/>
    <w:rsid w:val="0096171E"/>
    <w:rsid w:val="00961782"/>
    <w:rsid w:val="009617C7"/>
    <w:rsid w:val="00961838"/>
    <w:rsid w:val="0096187F"/>
    <w:rsid w:val="00961885"/>
    <w:rsid w:val="009618A7"/>
    <w:rsid w:val="009618B0"/>
    <w:rsid w:val="009618C6"/>
    <w:rsid w:val="00961946"/>
    <w:rsid w:val="00961977"/>
    <w:rsid w:val="0096197E"/>
    <w:rsid w:val="009619FB"/>
    <w:rsid w:val="00961A4E"/>
    <w:rsid w:val="00961A5F"/>
    <w:rsid w:val="00961B02"/>
    <w:rsid w:val="00961B14"/>
    <w:rsid w:val="00961B26"/>
    <w:rsid w:val="00961B29"/>
    <w:rsid w:val="00961C52"/>
    <w:rsid w:val="00961CC7"/>
    <w:rsid w:val="00961D30"/>
    <w:rsid w:val="00961E43"/>
    <w:rsid w:val="00961E56"/>
    <w:rsid w:val="00961EA4"/>
    <w:rsid w:val="00961EB3"/>
    <w:rsid w:val="00961EF3"/>
    <w:rsid w:val="00961EF7"/>
    <w:rsid w:val="00961FCE"/>
    <w:rsid w:val="00962008"/>
    <w:rsid w:val="00962010"/>
    <w:rsid w:val="00962065"/>
    <w:rsid w:val="00962083"/>
    <w:rsid w:val="009620E7"/>
    <w:rsid w:val="0096211F"/>
    <w:rsid w:val="0096216B"/>
    <w:rsid w:val="009621C4"/>
    <w:rsid w:val="00962272"/>
    <w:rsid w:val="009622C1"/>
    <w:rsid w:val="009622D2"/>
    <w:rsid w:val="009623A6"/>
    <w:rsid w:val="009623BD"/>
    <w:rsid w:val="009623D6"/>
    <w:rsid w:val="009623D9"/>
    <w:rsid w:val="00962406"/>
    <w:rsid w:val="00962456"/>
    <w:rsid w:val="00962460"/>
    <w:rsid w:val="0096247E"/>
    <w:rsid w:val="009624C7"/>
    <w:rsid w:val="009624DD"/>
    <w:rsid w:val="009624F0"/>
    <w:rsid w:val="00962558"/>
    <w:rsid w:val="009625AE"/>
    <w:rsid w:val="0096266E"/>
    <w:rsid w:val="0096267E"/>
    <w:rsid w:val="0096269A"/>
    <w:rsid w:val="0096269C"/>
    <w:rsid w:val="00962781"/>
    <w:rsid w:val="0096278E"/>
    <w:rsid w:val="009627CD"/>
    <w:rsid w:val="0096280F"/>
    <w:rsid w:val="0096288C"/>
    <w:rsid w:val="0096289C"/>
    <w:rsid w:val="009628D4"/>
    <w:rsid w:val="0096291F"/>
    <w:rsid w:val="0096295B"/>
    <w:rsid w:val="0096299B"/>
    <w:rsid w:val="009629F0"/>
    <w:rsid w:val="00962AC9"/>
    <w:rsid w:val="00962C21"/>
    <w:rsid w:val="00962C55"/>
    <w:rsid w:val="00962C79"/>
    <w:rsid w:val="00962D56"/>
    <w:rsid w:val="00962E7B"/>
    <w:rsid w:val="00962E9D"/>
    <w:rsid w:val="00962E9F"/>
    <w:rsid w:val="00962EC5"/>
    <w:rsid w:val="00962F4B"/>
    <w:rsid w:val="00962F4C"/>
    <w:rsid w:val="00962FC9"/>
    <w:rsid w:val="00962FE2"/>
    <w:rsid w:val="00963044"/>
    <w:rsid w:val="00963087"/>
    <w:rsid w:val="009630B0"/>
    <w:rsid w:val="009630DF"/>
    <w:rsid w:val="00963165"/>
    <w:rsid w:val="00963186"/>
    <w:rsid w:val="009631EA"/>
    <w:rsid w:val="009631EF"/>
    <w:rsid w:val="00963204"/>
    <w:rsid w:val="00963267"/>
    <w:rsid w:val="0096327B"/>
    <w:rsid w:val="009632B8"/>
    <w:rsid w:val="009632CC"/>
    <w:rsid w:val="009632D1"/>
    <w:rsid w:val="00963302"/>
    <w:rsid w:val="0096338D"/>
    <w:rsid w:val="009633CE"/>
    <w:rsid w:val="009633EE"/>
    <w:rsid w:val="00963438"/>
    <w:rsid w:val="00963495"/>
    <w:rsid w:val="009634C7"/>
    <w:rsid w:val="00963519"/>
    <w:rsid w:val="009635D4"/>
    <w:rsid w:val="009635E2"/>
    <w:rsid w:val="00963673"/>
    <w:rsid w:val="00963689"/>
    <w:rsid w:val="009636A3"/>
    <w:rsid w:val="009637B4"/>
    <w:rsid w:val="009637B7"/>
    <w:rsid w:val="009637EE"/>
    <w:rsid w:val="00963819"/>
    <w:rsid w:val="0096383D"/>
    <w:rsid w:val="00963887"/>
    <w:rsid w:val="00963920"/>
    <w:rsid w:val="00963930"/>
    <w:rsid w:val="00963932"/>
    <w:rsid w:val="009639AB"/>
    <w:rsid w:val="00963AC5"/>
    <w:rsid w:val="00963B1F"/>
    <w:rsid w:val="00963C64"/>
    <w:rsid w:val="00963C66"/>
    <w:rsid w:val="00963CF4"/>
    <w:rsid w:val="00963D5F"/>
    <w:rsid w:val="00963D80"/>
    <w:rsid w:val="00963EAA"/>
    <w:rsid w:val="00963F31"/>
    <w:rsid w:val="00963F6F"/>
    <w:rsid w:val="009640E0"/>
    <w:rsid w:val="0096410B"/>
    <w:rsid w:val="00964110"/>
    <w:rsid w:val="0096411F"/>
    <w:rsid w:val="0096416E"/>
    <w:rsid w:val="009641DD"/>
    <w:rsid w:val="009641F0"/>
    <w:rsid w:val="00964204"/>
    <w:rsid w:val="00964300"/>
    <w:rsid w:val="00964302"/>
    <w:rsid w:val="00964316"/>
    <w:rsid w:val="00964391"/>
    <w:rsid w:val="009643DD"/>
    <w:rsid w:val="009644BD"/>
    <w:rsid w:val="009644D0"/>
    <w:rsid w:val="009644E0"/>
    <w:rsid w:val="0096452E"/>
    <w:rsid w:val="00964573"/>
    <w:rsid w:val="009645FE"/>
    <w:rsid w:val="0096470F"/>
    <w:rsid w:val="009647C7"/>
    <w:rsid w:val="009648C4"/>
    <w:rsid w:val="009648FB"/>
    <w:rsid w:val="0096493E"/>
    <w:rsid w:val="00964AB8"/>
    <w:rsid w:val="00964AD6"/>
    <w:rsid w:val="00964B58"/>
    <w:rsid w:val="00964BE7"/>
    <w:rsid w:val="00964BE8"/>
    <w:rsid w:val="00964BFA"/>
    <w:rsid w:val="00964C15"/>
    <w:rsid w:val="00964D04"/>
    <w:rsid w:val="00964D7D"/>
    <w:rsid w:val="00964E26"/>
    <w:rsid w:val="00964E7E"/>
    <w:rsid w:val="00964EA2"/>
    <w:rsid w:val="00964EFE"/>
    <w:rsid w:val="0096503B"/>
    <w:rsid w:val="00965128"/>
    <w:rsid w:val="00965161"/>
    <w:rsid w:val="00965194"/>
    <w:rsid w:val="009651DD"/>
    <w:rsid w:val="009652A9"/>
    <w:rsid w:val="009652AD"/>
    <w:rsid w:val="009652E4"/>
    <w:rsid w:val="009653A4"/>
    <w:rsid w:val="009653EB"/>
    <w:rsid w:val="009654D4"/>
    <w:rsid w:val="00965535"/>
    <w:rsid w:val="00965536"/>
    <w:rsid w:val="009655AD"/>
    <w:rsid w:val="00965623"/>
    <w:rsid w:val="009656B9"/>
    <w:rsid w:val="0096584E"/>
    <w:rsid w:val="009658EC"/>
    <w:rsid w:val="00965967"/>
    <w:rsid w:val="0096598C"/>
    <w:rsid w:val="00965A74"/>
    <w:rsid w:val="00965A94"/>
    <w:rsid w:val="00965AB7"/>
    <w:rsid w:val="00965AC4"/>
    <w:rsid w:val="00965B0F"/>
    <w:rsid w:val="00965CA2"/>
    <w:rsid w:val="00965DC5"/>
    <w:rsid w:val="00965E6D"/>
    <w:rsid w:val="00965EE5"/>
    <w:rsid w:val="00965F44"/>
    <w:rsid w:val="00966086"/>
    <w:rsid w:val="00966120"/>
    <w:rsid w:val="009661A0"/>
    <w:rsid w:val="009661EF"/>
    <w:rsid w:val="0096625D"/>
    <w:rsid w:val="0096626F"/>
    <w:rsid w:val="00966306"/>
    <w:rsid w:val="00966338"/>
    <w:rsid w:val="00966343"/>
    <w:rsid w:val="009663BA"/>
    <w:rsid w:val="009663C4"/>
    <w:rsid w:val="009663E1"/>
    <w:rsid w:val="00966425"/>
    <w:rsid w:val="00966432"/>
    <w:rsid w:val="00966433"/>
    <w:rsid w:val="0096643B"/>
    <w:rsid w:val="0096649A"/>
    <w:rsid w:val="009665F5"/>
    <w:rsid w:val="00966668"/>
    <w:rsid w:val="00966699"/>
    <w:rsid w:val="009666A0"/>
    <w:rsid w:val="00966783"/>
    <w:rsid w:val="009667B3"/>
    <w:rsid w:val="009668A3"/>
    <w:rsid w:val="009668A4"/>
    <w:rsid w:val="00966905"/>
    <w:rsid w:val="00966910"/>
    <w:rsid w:val="0096694E"/>
    <w:rsid w:val="00966964"/>
    <w:rsid w:val="0096697E"/>
    <w:rsid w:val="00966983"/>
    <w:rsid w:val="0096699A"/>
    <w:rsid w:val="009669AC"/>
    <w:rsid w:val="00966A33"/>
    <w:rsid w:val="00966A3D"/>
    <w:rsid w:val="00966C07"/>
    <w:rsid w:val="00966C1C"/>
    <w:rsid w:val="00966CBA"/>
    <w:rsid w:val="00966CC8"/>
    <w:rsid w:val="00966D29"/>
    <w:rsid w:val="00966D66"/>
    <w:rsid w:val="00966E5C"/>
    <w:rsid w:val="00966E70"/>
    <w:rsid w:val="00966EB8"/>
    <w:rsid w:val="00966F1F"/>
    <w:rsid w:val="00966FA4"/>
    <w:rsid w:val="00967041"/>
    <w:rsid w:val="00967065"/>
    <w:rsid w:val="009670E4"/>
    <w:rsid w:val="00967129"/>
    <w:rsid w:val="009671C3"/>
    <w:rsid w:val="009672B1"/>
    <w:rsid w:val="009672FF"/>
    <w:rsid w:val="009673CA"/>
    <w:rsid w:val="00967412"/>
    <w:rsid w:val="00967468"/>
    <w:rsid w:val="00967507"/>
    <w:rsid w:val="009675D7"/>
    <w:rsid w:val="00967602"/>
    <w:rsid w:val="00967627"/>
    <w:rsid w:val="00967628"/>
    <w:rsid w:val="00967652"/>
    <w:rsid w:val="0096765B"/>
    <w:rsid w:val="009677FD"/>
    <w:rsid w:val="00967832"/>
    <w:rsid w:val="00967858"/>
    <w:rsid w:val="00967891"/>
    <w:rsid w:val="009678EF"/>
    <w:rsid w:val="00967928"/>
    <w:rsid w:val="009679AB"/>
    <w:rsid w:val="009679EE"/>
    <w:rsid w:val="00967A45"/>
    <w:rsid w:val="00967A75"/>
    <w:rsid w:val="00967ABE"/>
    <w:rsid w:val="00967B19"/>
    <w:rsid w:val="00967BE7"/>
    <w:rsid w:val="00967C0F"/>
    <w:rsid w:val="00967C10"/>
    <w:rsid w:val="00967C48"/>
    <w:rsid w:val="00967C87"/>
    <w:rsid w:val="00967C88"/>
    <w:rsid w:val="00967CD0"/>
    <w:rsid w:val="00967D4C"/>
    <w:rsid w:val="00967D51"/>
    <w:rsid w:val="00967D99"/>
    <w:rsid w:val="00967E3B"/>
    <w:rsid w:val="00967E57"/>
    <w:rsid w:val="00967E9B"/>
    <w:rsid w:val="00967EDA"/>
    <w:rsid w:val="00967F0E"/>
    <w:rsid w:val="00967FBA"/>
    <w:rsid w:val="00970025"/>
    <w:rsid w:val="0097005A"/>
    <w:rsid w:val="009700C5"/>
    <w:rsid w:val="009700D4"/>
    <w:rsid w:val="009700FC"/>
    <w:rsid w:val="009701A4"/>
    <w:rsid w:val="009701AA"/>
    <w:rsid w:val="009702AF"/>
    <w:rsid w:val="009702D8"/>
    <w:rsid w:val="009702EB"/>
    <w:rsid w:val="0097032A"/>
    <w:rsid w:val="0097052A"/>
    <w:rsid w:val="009705E4"/>
    <w:rsid w:val="00970640"/>
    <w:rsid w:val="00970655"/>
    <w:rsid w:val="00970685"/>
    <w:rsid w:val="009706B7"/>
    <w:rsid w:val="009706C6"/>
    <w:rsid w:val="009706CD"/>
    <w:rsid w:val="00970735"/>
    <w:rsid w:val="0097075E"/>
    <w:rsid w:val="00970859"/>
    <w:rsid w:val="0097086E"/>
    <w:rsid w:val="00970921"/>
    <w:rsid w:val="00970938"/>
    <w:rsid w:val="0097094F"/>
    <w:rsid w:val="00970994"/>
    <w:rsid w:val="00970997"/>
    <w:rsid w:val="009709AF"/>
    <w:rsid w:val="00970A5E"/>
    <w:rsid w:val="00970A64"/>
    <w:rsid w:val="00970A88"/>
    <w:rsid w:val="00970AA6"/>
    <w:rsid w:val="00970AD2"/>
    <w:rsid w:val="00970BA4"/>
    <w:rsid w:val="00970C98"/>
    <w:rsid w:val="00970D29"/>
    <w:rsid w:val="00970DAF"/>
    <w:rsid w:val="00970DC7"/>
    <w:rsid w:val="00970DE8"/>
    <w:rsid w:val="00970DFB"/>
    <w:rsid w:val="00970E1A"/>
    <w:rsid w:val="00970E54"/>
    <w:rsid w:val="00970E67"/>
    <w:rsid w:val="00970EF9"/>
    <w:rsid w:val="00970F99"/>
    <w:rsid w:val="00970FBB"/>
    <w:rsid w:val="0097101E"/>
    <w:rsid w:val="009710BC"/>
    <w:rsid w:val="009710D3"/>
    <w:rsid w:val="009710E7"/>
    <w:rsid w:val="0097111E"/>
    <w:rsid w:val="0097118E"/>
    <w:rsid w:val="009711C1"/>
    <w:rsid w:val="009711EF"/>
    <w:rsid w:val="00971265"/>
    <w:rsid w:val="0097127C"/>
    <w:rsid w:val="00971281"/>
    <w:rsid w:val="00971333"/>
    <w:rsid w:val="00971383"/>
    <w:rsid w:val="009713AD"/>
    <w:rsid w:val="00971452"/>
    <w:rsid w:val="00971464"/>
    <w:rsid w:val="00971474"/>
    <w:rsid w:val="009714CF"/>
    <w:rsid w:val="009714F9"/>
    <w:rsid w:val="00971510"/>
    <w:rsid w:val="009717BE"/>
    <w:rsid w:val="009718CC"/>
    <w:rsid w:val="009718E3"/>
    <w:rsid w:val="00971A05"/>
    <w:rsid w:val="00971AA6"/>
    <w:rsid w:val="00971AC7"/>
    <w:rsid w:val="00971B4B"/>
    <w:rsid w:val="00971B4E"/>
    <w:rsid w:val="00971B51"/>
    <w:rsid w:val="00971BA0"/>
    <w:rsid w:val="00971D99"/>
    <w:rsid w:val="00971DE3"/>
    <w:rsid w:val="00971EFE"/>
    <w:rsid w:val="00971F13"/>
    <w:rsid w:val="00972021"/>
    <w:rsid w:val="00972086"/>
    <w:rsid w:val="009720DE"/>
    <w:rsid w:val="009720E2"/>
    <w:rsid w:val="009720F4"/>
    <w:rsid w:val="0097212F"/>
    <w:rsid w:val="0097213E"/>
    <w:rsid w:val="0097216D"/>
    <w:rsid w:val="009721BC"/>
    <w:rsid w:val="00972246"/>
    <w:rsid w:val="009722D4"/>
    <w:rsid w:val="009723D7"/>
    <w:rsid w:val="00972421"/>
    <w:rsid w:val="00972447"/>
    <w:rsid w:val="00972467"/>
    <w:rsid w:val="009724A7"/>
    <w:rsid w:val="009724C7"/>
    <w:rsid w:val="0097256B"/>
    <w:rsid w:val="0097261C"/>
    <w:rsid w:val="00972639"/>
    <w:rsid w:val="00972685"/>
    <w:rsid w:val="009726B5"/>
    <w:rsid w:val="00972739"/>
    <w:rsid w:val="00972832"/>
    <w:rsid w:val="00972838"/>
    <w:rsid w:val="0097286E"/>
    <w:rsid w:val="00972937"/>
    <w:rsid w:val="00972949"/>
    <w:rsid w:val="00972AAE"/>
    <w:rsid w:val="00972AD1"/>
    <w:rsid w:val="00972ADE"/>
    <w:rsid w:val="00972B41"/>
    <w:rsid w:val="00972B8F"/>
    <w:rsid w:val="00972B9F"/>
    <w:rsid w:val="00972BEF"/>
    <w:rsid w:val="00972C1D"/>
    <w:rsid w:val="00972C20"/>
    <w:rsid w:val="00972C31"/>
    <w:rsid w:val="00972D70"/>
    <w:rsid w:val="00972DEF"/>
    <w:rsid w:val="00972FC2"/>
    <w:rsid w:val="00972FEE"/>
    <w:rsid w:val="0097320A"/>
    <w:rsid w:val="00973250"/>
    <w:rsid w:val="009732D2"/>
    <w:rsid w:val="0097335F"/>
    <w:rsid w:val="009733A6"/>
    <w:rsid w:val="009733F1"/>
    <w:rsid w:val="00973484"/>
    <w:rsid w:val="009734CE"/>
    <w:rsid w:val="00973615"/>
    <w:rsid w:val="00973621"/>
    <w:rsid w:val="009736B4"/>
    <w:rsid w:val="00973705"/>
    <w:rsid w:val="009737AF"/>
    <w:rsid w:val="0097389C"/>
    <w:rsid w:val="009738D3"/>
    <w:rsid w:val="00973929"/>
    <w:rsid w:val="0097396D"/>
    <w:rsid w:val="009739E3"/>
    <w:rsid w:val="00973A16"/>
    <w:rsid w:val="00973ADC"/>
    <w:rsid w:val="00973AE0"/>
    <w:rsid w:val="00973B07"/>
    <w:rsid w:val="00973B3D"/>
    <w:rsid w:val="00973B44"/>
    <w:rsid w:val="00973B8A"/>
    <w:rsid w:val="00973BCB"/>
    <w:rsid w:val="00973C1E"/>
    <w:rsid w:val="00973C1F"/>
    <w:rsid w:val="00973C60"/>
    <w:rsid w:val="00973C83"/>
    <w:rsid w:val="00973CA3"/>
    <w:rsid w:val="00973D2D"/>
    <w:rsid w:val="00973D96"/>
    <w:rsid w:val="00973D9A"/>
    <w:rsid w:val="00973DDE"/>
    <w:rsid w:val="00973DEC"/>
    <w:rsid w:val="00973EE4"/>
    <w:rsid w:val="00973F42"/>
    <w:rsid w:val="00973FA1"/>
    <w:rsid w:val="00973FE8"/>
    <w:rsid w:val="00973FFB"/>
    <w:rsid w:val="00974033"/>
    <w:rsid w:val="009740CA"/>
    <w:rsid w:val="009741EB"/>
    <w:rsid w:val="009741FD"/>
    <w:rsid w:val="0097420D"/>
    <w:rsid w:val="00974227"/>
    <w:rsid w:val="0097424E"/>
    <w:rsid w:val="00974276"/>
    <w:rsid w:val="009742AF"/>
    <w:rsid w:val="009742B3"/>
    <w:rsid w:val="009742FE"/>
    <w:rsid w:val="00974352"/>
    <w:rsid w:val="0097445D"/>
    <w:rsid w:val="009744A1"/>
    <w:rsid w:val="00974507"/>
    <w:rsid w:val="00974532"/>
    <w:rsid w:val="00974567"/>
    <w:rsid w:val="0097458B"/>
    <w:rsid w:val="0097458F"/>
    <w:rsid w:val="0097462A"/>
    <w:rsid w:val="009746CA"/>
    <w:rsid w:val="009746F2"/>
    <w:rsid w:val="009748B8"/>
    <w:rsid w:val="009749C4"/>
    <w:rsid w:val="00974A02"/>
    <w:rsid w:val="00974A2E"/>
    <w:rsid w:val="00974ABD"/>
    <w:rsid w:val="00974AD7"/>
    <w:rsid w:val="00974AF5"/>
    <w:rsid w:val="00974B0D"/>
    <w:rsid w:val="00974BDB"/>
    <w:rsid w:val="00974C74"/>
    <w:rsid w:val="00974C87"/>
    <w:rsid w:val="00974CCE"/>
    <w:rsid w:val="00974DDB"/>
    <w:rsid w:val="00974DF8"/>
    <w:rsid w:val="00974E15"/>
    <w:rsid w:val="00974E18"/>
    <w:rsid w:val="00974E8E"/>
    <w:rsid w:val="00974EEC"/>
    <w:rsid w:val="00974F3C"/>
    <w:rsid w:val="00974FB6"/>
    <w:rsid w:val="0097507F"/>
    <w:rsid w:val="009750BE"/>
    <w:rsid w:val="009750E1"/>
    <w:rsid w:val="009750EA"/>
    <w:rsid w:val="009750EE"/>
    <w:rsid w:val="009750F6"/>
    <w:rsid w:val="0097512D"/>
    <w:rsid w:val="0097515D"/>
    <w:rsid w:val="0097520A"/>
    <w:rsid w:val="0097527D"/>
    <w:rsid w:val="0097529E"/>
    <w:rsid w:val="009752F8"/>
    <w:rsid w:val="0097535D"/>
    <w:rsid w:val="0097538B"/>
    <w:rsid w:val="009753AE"/>
    <w:rsid w:val="009753FB"/>
    <w:rsid w:val="0097546B"/>
    <w:rsid w:val="00975485"/>
    <w:rsid w:val="0097551C"/>
    <w:rsid w:val="0097567F"/>
    <w:rsid w:val="009756B2"/>
    <w:rsid w:val="0097578B"/>
    <w:rsid w:val="0097581A"/>
    <w:rsid w:val="00975942"/>
    <w:rsid w:val="009759CD"/>
    <w:rsid w:val="00975A31"/>
    <w:rsid w:val="00975AC4"/>
    <w:rsid w:val="00975AC5"/>
    <w:rsid w:val="00975B47"/>
    <w:rsid w:val="00975CA1"/>
    <w:rsid w:val="00975CE5"/>
    <w:rsid w:val="00975CF4"/>
    <w:rsid w:val="00975D14"/>
    <w:rsid w:val="00975D47"/>
    <w:rsid w:val="00975D7E"/>
    <w:rsid w:val="00975D93"/>
    <w:rsid w:val="00975DFC"/>
    <w:rsid w:val="00975E17"/>
    <w:rsid w:val="00975E75"/>
    <w:rsid w:val="00975EA8"/>
    <w:rsid w:val="00975EAA"/>
    <w:rsid w:val="00975EB6"/>
    <w:rsid w:val="00975EF2"/>
    <w:rsid w:val="00975F51"/>
    <w:rsid w:val="00975F7C"/>
    <w:rsid w:val="0097602E"/>
    <w:rsid w:val="0097602F"/>
    <w:rsid w:val="00976072"/>
    <w:rsid w:val="009761A9"/>
    <w:rsid w:val="009762A4"/>
    <w:rsid w:val="009762CE"/>
    <w:rsid w:val="009762D0"/>
    <w:rsid w:val="009762FD"/>
    <w:rsid w:val="00976456"/>
    <w:rsid w:val="00976585"/>
    <w:rsid w:val="00976651"/>
    <w:rsid w:val="009766E3"/>
    <w:rsid w:val="009767A6"/>
    <w:rsid w:val="0097680D"/>
    <w:rsid w:val="00976856"/>
    <w:rsid w:val="009768DC"/>
    <w:rsid w:val="009768EE"/>
    <w:rsid w:val="0097691B"/>
    <w:rsid w:val="0097698D"/>
    <w:rsid w:val="009769C6"/>
    <w:rsid w:val="009769E8"/>
    <w:rsid w:val="00976A18"/>
    <w:rsid w:val="00976ABA"/>
    <w:rsid w:val="00976B80"/>
    <w:rsid w:val="00976BE0"/>
    <w:rsid w:val="00976BF1"/>
    <w:rsid w:val="00976BF8"/>
    <w:rsid w:val="00976C12"/>
    <w:rsid w:val="00976CE5"/>
    <w:rsid w:val="00976DD8"/>
    <w:rsid w:val="00976DF4"/>
    <w:rsid w:val="00976EF7"/>
    <w:rsid w:val="00976F71"/>
    <w:rsid w:val="00977010"/>
    <w:rsid w:val="009771C9"/>
    <w:rsid w:val="009771D4"/>
    <w:rsid w:val="00977288"/>
    <w:rsid w:val="009772AA"/>
    <w:rsid w:val="00977350"/>
    <w:rsid w:val="0097736C"/>
    <w:rsid w:val="009773BF"/>
    <w:rsid w:val="009773F3"/>
    <w:rsid w:val="00977538"/>
    <w:rsid w:val="00977541"/>
    <w:rsid w:val="00977588"/>
    <w:rsid w:val="00977682"/>
    <w:rsid w:val="009776AE"/>
    <w:rsid w:val="009777C3"/>
    <w:rsid w:val="00977875"/>
    <w:rsid w:val="0097789E"/>
    <w:rsid w:val="009778F2"/>
    <w:rsid w:val="00977957"/>
    <w:rsid w:val="0097796D"/>
    <w:rsid w:val="00977A34"/>
    <w:rsid w:val="00977A5C"/>
    <w:rsid w:val="00977B1C"/>
    <w:rsid w:val="00977B4A"/>
    <w:rsid w:val="00977B64"/>
    <w:rsid w:val="00977C78"/>
    <w:rsid w:val="00977C9C"/>
    <w:rsid w:val="00977CE9"/>
    <w:rsid w:val="00977D58"/>
    <w:rsid w:val="00977D7A"/>
    <w:rsid w:val="00977DCF"/>
    <w:rsid w:val="00977DFA"/>
    <w:rsid w:val="00977E9B"/>
    <w:rsid w:val="00977ECE"/>
    <w:rsid w:val="00977ED3"/>
    <w:rsid w:val="00977EDA"/>
    <w:rsid w:val="00977EF7"/>
    <w:rsid w:val="00977FCA"/>
    <w:rsid w:val="009800B9"/>
    <w:rsid w:val="009800E9"/>
    <w:rsid w:val="0098010E"/>
    <w:rsid w:val="009801D8"/>
    <w:rsid w:val="0098029A"/>
    <w:rsid w:val="009803AD"/>
    <w:rsid w:val="00980448"/>
    <w:rsid w:val="00980467"/>
    <w:rsid w:val="00980494"/>
    <w:rsid w:val="009804F3"/>
    <w:rsid w:val="00980523"/>
    <w:rsid w:val="009805A5"/>
    <w:rsid w:val="00980650"/>
    <w:rsid w:val="0098071F"/>
    <w:rsid w:val="0098072D"/>
    <w:rsid w:val="009807A7"/>
    <w:rsid w:val="009807C3"/>
    <w:rsid w:val="009808BD"/>
    <w:rsid w:val="009808EC"/>
    <w:rsid w:val="0098090C"/>
    <w:rsid w:val="00980946"/>
    <w:rsid w:val="00980954"/>
    <w:rsid w:val="0098095A"/>
    <w:rsid w:val="009809B3"/>
    <w:rsid w:val="00980A11"/>
    <w:rsid w:val="00980A4B"/>
    <w:rsid w:val="00980A80"/>
    <w:rsid w:val="00980AB6"/>
    <w:rsid w:val="00980AC1"/>
    <w:rsid w:val="00980B43"/>
    <w:rsid w:val="00980C17"/>
    <w:rsid w:val="00980C26"/>
    <w:rsid w:val="00980C56"/>
    <w:rsid w:val="00980D51"/>
    <w:rsid w:val="00980D73"/>
    <w:rsid w:val="00980DB0"/>
    <w:rsid w:val="00980DB5"/>
    <w:rsid w:val="00980F54"/>
    <w:rsid w:val="00980F99"/>
    <w:rsid w:val="00980FC4"/>
    <w:rsid w:val="00980FDC"/>
    <w:rsid w:val="00981044"/>
    <w:rsid w:val="0098106C"/>
    <w:rsid w:val="0098115F"/>
    <w:rsid w:val="00981180"/>
    <w:rsid w:val="00981284"/>
    <w:rsid w:val="00981354"/>
    <w:rsid w:val="00981395"/>
    <w:rsid w:val="009813FE"/>
    <w:rsid w:val="00981467"/>
    <w:rsid w:val="00981491"/>
    <w:rsid w:val="009814DE"/>
    <w:rsid w:val="0098150A"/>
    <w:rsid w:val="0098150C"/>
    <w:rsid w:val="0098154A"/>
    <w:rsid w:val="00981575"/>
    <w:rsid w:val="00981577"/>
    <w:rsid w:val="00981590"/>
    <w:rsid w:val="009815B9"/>
    <w:rsid w:val="009815E7"/>
    <w:rsid w:val="00981615"/>
    <w:rsid w:val="00981692"/>
    <w:rsid w:val="009816C4"/>
    <w:rsid w:val="009816E1"/>
    <w:rsid w:val="00981711"/>
    <w:rsid w:val="00981721"/>
    <w:rsid w:val="00981751"/>
    <w:rsid w:val="0098177B"/>
    <w:rsid w:val="009817E9"/>
    <w:rsid w:val="00981826"/>
    <w:rsid w:val="009818DD"/>
    <w:rsid w:val="0098191D"/>
    <w:rsid w:val="00981967"/>
    <w:rsid w:val="009819A1"/>
    <w:rsid w:val="009819FE"/>
    <w:rsid w:val="00981A64"/>
    <w:rsid w:val="00981BA7"/>
    <w:rsid w:val="00981BB6"/>
    <w:rsid w:val="00981C38"/>
    <w:rsid w:val="00981C84"/>
    <w:rsid w:val="00981C92"/>
    <w:rsid w:val="00981CB7"/>
    <w:rsid w:val="00981CB8"/>
    <w:rsid w:val="00981D51"/>
    <w:rsid w:val="00981F03"/>
    <w:rsid w:val="009820BE"/>
    <w:rsid w:val="0098211F"/>
    <w:rsid w:val="00982147"/>
    <w:rsid w:val="00982156"/>
    <w:rsid w:val="009821D4"/>
    <w:rsid w:val="009822E0"/>
    <w:rsid w:val="009822F7"/>
    <w:rsid w:val="0098232B"/>
    <w:rsid w:val="0098236C"/>
    <w:rsid w:val="009823DA"/>
    <w:rsid w:val="00982516"/>
    <w:rsid w:val="0098252F"/>
    <w:rsid w:val="0098264B"/>
    <w:rsid w:val="00982677"/>
    <w:rsid w:val="0098268F"/>
    <w:rsid w:val="009826E8"/>
    <w:rsid w:val="00982735"/>
    <w:rsid w:val="0098276F"/>
    <w:rsid w:val="00982789"/>
    <w:rsid w:val="009827D4"/>
    <w:rsid w:val="009828AD"/>
    <w:rsid w:val="00982A00"/>
    <w:rsid w:val="00982A50"/>
    <w:rsid w:val="00982ADE"/>
    <w:rsid w:val="00982AEA"/>
    <w:rsid w:val="00982B78"/>
    <w:rsid w:val="00982B8E"/>
    <w:rsid w:val="00982BE4"/>
    <w:rsid w:val="00982C0F"/>
    <w:rsid w:val="00982C69"/>
    <w:rsid w:val="00982C90"/>
    <w:rsid w:val="00982CB6"/>
    <w:rsid w:val="00982CF2"/>
    <w:rsid w:val="00982D6E"/>
    <w:rsid w:val="00982D84"/>
    <w:rsid w:val="00982DE8"/>
    <w:rsid w:val="00982EDD"/>
    <w:rsid w:val="00982FF3"/>
    <w:rsid w:val="00983132"/>
    <w:rsid w:val="0098314C"/>
    <w:rsid w:val="00983166"/>
    <w:rsid w:val="00983217"/>
    <w:rsid w:val="00983223"/>
    <w:rsid w:val="009832BF"/>
    <w:rsid w:val="0098330D"/>
    <w:rsid w:val="009833B7"/>
    <w:rsid w:val="009833E4"/>
    <w:rsid w:val="009833E5"/>
    <w:rsid w:val="00983421"/>
    <w:rsid w:val="00983485"/>
    <w:rsid w:val="00983491"/>
    <w:rsid w:val="0098352D"/>
    <w:rsid w:val="00983591"/>
    <w:rsid w:val="009835AA"/>
    <w:rsid w:val="009835D4"/>
    <w:rsid w:val="00983613"/>
    <w:rsid w:val="00983674"/>
    <w:rsid w:val="0098370A"/>
    <w:rsid w:val="00983713"/>
    <w:rsid w:val="0098374B"/>
    <w:rsid w:val="00983785"/>
    <w:rsid w:val="0098381F"/>
    <w:rsid w:val="00983829"/>
    <w:rsid w:val="00983874"/>
    <w:rsid w:val="0098387E"/>
    <w:rsid w:val="00983891"/>
    <w:rsid w:val="009838E2"/>
    <w:rsid w:val="0098393F"/>
    <w:rsid w:val="00983949"/>
    <w:rsid w:val="00983982"/>
    <w:rsid w:val="009839CF"/>
    <w:rsid w:val="00983AE8"/>
    <w:rsid w:val="00983B6B"/>
    <w:rsid w:val="00983B81"/>
    <w:rsid w:val="00983C31"/>
    <w:rsid w:val="00983C41"/>
    <w:rsid w:val="00983E28"/>
    <w:rsid w:val="00983F13"/>
    <w:rsid w:val="00983FB5"/>
    <w:rsid w:val="00983FCF"/>
    <w:rsid w:val="00983FE5"/>
    <w:rsid w:val="0098401F"/>
    <w:rsid w:val="009840B0"/>
    <w:rsid w:val="00984110"/>
    <w:rsid w:val="0098419A"/>
    <w:rsid w:val="0098422F"/>
    <w:rsid w:val="0098426C"/>
    <w:rsid w:val="00984322"/>
    <w:rsid w:val="0098437B"/>
    <w:rsid w:val="0098438E"/>
    <w:rsid w:val="00984418"/>
    <w:rsid w:val="0098447B"/>
    <w:rsid w:val="0098452A"/>
    <w:rsid w:val="0098459C"/>
    <w:rsid w:val="009845E6"/>
    <w:rsid w:val="00984690"/>
    <w:rsid w:val="0098474A"/>
    <w:rsid w:val="00984773"/>
    <w:rsid w:val="0098479A"/>
    <w:rsid w:val="00984801"/>
    <w:rsid w:val="00984985"/>
    <w:rsid w:val="009849BA"/>
    <w:rsid w:val="009849C2"/>
    <w:rsid w:val="00984A96"/>
    <w:rsid w:val="00984AA7"/>
    <w:rsid w:val="00984B2C"/>
    <w:rsid w:val="00984BA3"/>
    <w:rsid w:val="00984BC7"/>
    <w:rsid w:val="00984C53"/>
    <w:rsid w:val="00984C6E"/>
    <w:rsid w:val="00984C89"/>
    <w:rsid w:val="00984D6C"/>
    <w:rsid w:val="00984D7F"/>
    <w:rsid w:val="00984D99"/>
    <w:rsid w:val="00984DB4"/>
    <w:rsid w:val="00984DD6"/>
    <w:rsid w:val="00984E40"/>
    <w:rsid w:val="00984EC5"/>
    <w:rsid w:val="00984F16"/>
    <w:rsid w:val="00984F2E"/>
    <w:rsid w:val="00985086"/>
    <w:rsid w:val="00985097"/>
    <w:rsid w:val="009850B0"/>
    <w:rsid w:val="00985164"/>
    <w:rsid w:val="00985225"/>
    <w:rsid w:val="00985271"/>
    <w:rsid w:val="0098527D"/>
    <w:rsid w:val="0098529F"/>
    <w:rsid w:val="009852A0"/>
    <w:rsid w:val="009852D6"/>
    <w:rsid w:val="00985344"/>
    <w:rsid w:val="00985401"/>
    <w:rsid w:val="00985475"/>
    <w:rsid w:val="009854BA"/>
    <w:rsid w:val="0098561B"/>
    <w:rsid w:val="00985637"/>
    <w:rsid w:val="0098568D"/>
    <w:rsid w:val="009857EB"/>
    <w:rsid w:val="009857FF"/>
    <w:rsid w:val="0098581A"/>
    <w:rsid w:val="00985895"/>
    <w:rsid w:val="009858CF"/>
    <w:rsid w:val="0098594C"/>
    <w:rsid w:val="0098596D"/>
    <w:rsid w:val="00985A1C"/>
    <w:rsid w:val="00985A21"/>
    <w:rsid w:val="00985A54"/>
    <w:rsid w:val="00985A69"/>
    <w:rsid w:val="00985ADD"/>
    <w:rsid w:val="00985B22"/>
    <w:rsid w:val="00985B2E"/>
    <w:rsid w:val="00985BD3"/>
    <w:rsid w:val="00985D95"/>
    <w:rsid w:val="00985E15"/>
    <w:rsid w:val="00985E27"/>
    <w:rsid w:val="00985EF2"/>
    <w:rsid w:val="00985EF7"/>
    <w:rsid w:val="00985F18"/>
    <w:rsid w:val="00985F1D"/>
    <w:rsid w:val="00985F23"/>
    <w:rsid w:val="00985F33"/>
    <w:rsid w:val="00986015"/>
    <w:rsid w:val="00986046"/>
    <w:rsid w:val="0098608F"/>
    <w:rsid w:val="00986142"/>
    <w:rsid w:val="009861A0"/>
    <w:rsid w:val="0098620C"/>
    <w:rsid w:val="00986277"/>
    <w:rsid w:val="00986312"/>
    <w:rsid w:val="009863AA"/>
    <w:rsid w:val="009863FB"/>
    <w:rsid w:val="00986468"/>
    <w:rsid w:val="0098646D"/>
    <w:rsid w:val="009864DB"/>
    <w:rsid w:val="0098656F"/>
    <w:rsid w:val="0098657D"/>
    <w:rsid w:val="00986586"/>
    <w:rsid w:val="00986654"/>
    <w:rsid w:val="009866A3"/>
    <w:rsid w:val="009866E9"/>
    <w:rsid w:val="009866FA"/>
    <w:rsid w:val="00986756"/>
    <w:rsid w:val="00986766"/>
    <w:rsid w:val="009867BA"/>
    <w:rsid w:val="0098683E"/>
    <w:rsid w:val="00986869"/>
    <w:rsid w:val="009868F2"/>
    <w:rsid w:val="00986938"/>
    <w:rsid w:val="00986AC0"/>
    <w:rsid w:val="00986B3B"/>
    <w:rsid w:val="00986B4F"/>
    <w:rsid w:val="00986B8D"/>
    <w:rsid w:val="00986BB9"/>
    <w:rsid w:val="00986BF4"/>
    <w:rsid w:val="00986C44"/>
    <w:rsid w:val="00986CA7"/>
    <w:rsid w:val="00986CF3"/>
    <w:rsid w:val="00986D26"/>
    <w:rsid w:val="00986D32"/>
    <w:rsid w:val="00986D5A"/>
    <w:rsid w:val="00986D78"/>
    <w:rsid w:val="00986D7A"/>
    <w:rsid w:val="00986DAC"/>
    <w:rsid w:val="00986E34"/>
    <w:rsid w:val="00986E4C"/>
    <w:rsid w:val="00986E98"/>
    <w:rsid w:val="00986EAA"/>
    <w:rsid w:val="00986EB8"/>
    <w:rsid w:val="00986FED"/>
    <w:rsid w:val="0098701F"/>
    <w:rsid w:val="00987079"/>
    <w:rsid w:val="009871CB"/>
    <w:rsid w:val="00987246"/>
    <w:rsid w:val="00987287"/>
    <w:rsid w:val="009872D7"/>
    <w:rsid w:val="009872DB"/>
    <w:rsid w:val="009872DF"/>
    <w:rsid w:val="00987408"/>
    <w:rsid w:val="00987429"/>
    <w:rsid w:val="009874C7"/>
    <w:rsid w:val="009875DE"/>
    <w:rsid w:val="009875FD"/>
    <w:rsid w:val="00987611"/>
    <w:rsid w:val="009877D1"/>
    <w:rsid w:val="0098783D"/>
    <w:rsid w:val="0098785D"/>
    <w:rsid w:val="0098789F"/>
    <w:rsid w:val="00987905"/>
    <w:rsid w:val="00987946"/>
    <w:rsid w:val="00987B16"/>
    <w:rsid w:val="00987B1F"/>
    <w:rsid w:val="00987B31"/>
    <w:rsid w:val="00987B71"/>
    <w:rsid w:val="00987B86"/>
    <w:rsid w:val="00987BD0"/>
    <w:rsid w:val="00987C2C"/>
    <w:rsid w:val="00987C66"/>
    <w:rsid w:val="00987CE1"/>
    <w:rsid w:val="00987CF5"/>
    <w:rsid w:val="00987D15"/>
    <w:rsid w:val="00987D38"/>
    <w:rsid w:val="00987D57"/>
    <w:rsid w:val="00987D81"/>
    <w:rsid w:val="00987E3F"/>
    <w:rsid w:val="00987E48"/>
    <w:rsid w:val="00987FC3"/>
    <w:rsid w:val="00987FE8"/>
    <w:rsid w:val="009900B5"/>
    <w:rsid w:val="0099011D"/>
    <w:rsid w:val="00990317"/>
    <w:rsid w:val="00990330"/>
    <w:rsid w:val="00990374"/>
    <w:rsid w:val="0099038B"/>
    <w:rsid w:val="00990408"/>
    <w:rsid w:val="00990465"/>
    <w:rsid w:val="00990581"/>
    <w:rsid w:val="009905A7"/>
    <w:rsid w:val="009905A9"/>
    <w:rsid w:val="009905EE"/>
    <w:rsid w:val="009906B2"/>
    <w:rsid w:val="009906CF"/>
    <w:rsid w:val="00990769"/>
    <w:rsid w:val="009907B8"/>
    <w:rsid w:val="00990832"/>
    <w:rsid w:val="00990853"/>
    <w:rsid w:val="0099085F"/>
    <w:rsid w:val="0099092F"/>
    <w:rsid w:val="00990935"/>
    <w:rsid w:val="0099096F"/>
    <w:rsid w:val="0099099C"/>
    <w:rsid w:val="00990A23"/>
    <w:rsid w:val="00990ACB"/>
    <w:rsid w:val="00990AE7"/>
    <w:rsid w:val="00990B1A"/>
    <w:rsid w:val="00990B5E"/>
    <w:rsid w:val="00990C1A"/>
    <w:rsid w:val="00990C50"/>
    <w:rsid w:val="00990CAF"/>
    <w:rsid w:val="00990CC8"/>
    <w:rsid w:val="00990CFF"/>
    <w:rsid w:val="00990DEB"/>
    <w:rsid w:val="00990E10"/>
    <w:rsid w:val="00990EEC"/>
    <w:rsid w:val="00990F10"/>
    <w:rsid w:val="00990FD5"/>
    <w:rsid w:val="00991069"/>
    <w:rsid w:val="009910E2"/>
    <w:rsid w:val="00991139"/>
    <w:rsid w:val="0099113D"/>
    <w:rsid w:val="00991194"/>
    <w:rsid w:val="00991206"/>
    <w:rsid w:val="0099131F"/>
    <w:rsid w:val="00991362"/>
    <w:rsid w:val="009913CF"/>
    <w:rsid w:val="0099140A"/>
    <w:rsid w:val="00991468"/>
    <w:rsid w:val="00991486"/>
    <w:rsid w:val="009914F6"/>
    <w:rsid w:val="0099154B"/>
    <w:rsid w:val="0099158D"/>
    <w:rsid w:val="00991667"/>
    <w:rsid w:val="009916C4"/>
    <w:rsid w:val="00991709"/>
    <w:rsid w:val="00991719"/>
    <w:rsid w:val="00991744"/>
    <w:rsid w:val="00991792"/>
    <w:rsid w:val="009917A7"/>
    <w:rsid w:val="0099184A"/>
    <w:rsid w:val="00991885"/>
    <w:rsid w:val="009918AF"/>
    <w:rsid w:val="009918BC"/>
    <w:rsid w:val="009918D7"/>
    <w:rsid w:val="009918E0"/>
    <w:rsid w:val="009919BB"/>
    <w:rsid w:val="00991A83"/>
    <w:rsid w:val="00991AA3"/>
    <w:rsid w:val="00991B44"/>
    <w:rsid w:val="00991B6E"/>
    <w:rsid w:val="00991BAF"/>
    <w:rsid w:val="00991CA9"/>
    <w:rsid w:val="00991CD2"/>
    <w:rsid w:val="00991D13"/>
    <w:rsid w:val="00991D32"/>
    <w:rsid w:val="00991D48"/>
    <w:rsid w:val="00991DE2"/>
    <w:rsid w:val="00991DF2"/>
    <w:rsid w:val="00991DF6"/>
    <w:rsid w:val="00991E20"/>
    <w:rsid w:val="00991E5C"/>
    <w:rsid w:val="00991EA4"/>
    <w:rsid w:val="00991ED5"/>
    <w:rsid w:val="00991F41"/>
    <w:rsid w:val="00991F8A"/>
    <w:rsid w:val="00991FCC"/>
    <w:rsid w:val="00992017"/>
    <w:rsid w:val="00992029"/>
    <w:rsid w:val="00992032"/>
    <w:rsid w:val="0099208F"/>
    <w:rsid w:val="009920AB"/>
    <w:rsid w:val="009920B1"/>
    <w:rsid w:val="0099215A"/>
    <w:rsid w:val="009921CD"/>
    <w:rsid w:val="0099220B"/>
    <w:rsid w:val="0099222C"/>
    <w:rsid w:val="0099224F"/>
    <w:rsid w:val="00992293"/>
    <w:rsid w:val="009922F3"/>
    <w:rsid w:val="00992316"/>
    <w:rsid w:val="0099231F"/>
    <w:rsid w:val="0099238D"/>
    <w:rsid w:val="009923B8"/>
    <w:rsid w:val="009923DB"/>
    <w:rsid w:val="0099241E"/>
    <w:rsid w:val="00992475"/>
    <w:rsid w:val="009924A8"/>
    <w:rsid w:val="009924B8"/>
    <w:rsid w:val="0099255A"/>
    <w:rsid w:val="00992671"/>
    <w:rsid w:val="00992689"/>
    <w:rsid w:val="009926F4"/>
    <w:rsid w:val="00992721"/>
    <w:rsid w:val="0099279B"/>
    <w:rsid w:val="009927B9"/>
    <w:rsid w:val="00992852"/>
    <w:rsid w:val="00992881"/>
    <w:rsid w:val="00992895"/>
    <w:rsid w:val="0099294B"/>
    <w:rsid w:val="00992B0C"/>
    <w:rsid w:val="00992B1C"/>
    <w:rsid w:val="00992B24"/>
    <w:rsid w:val="00992B47"/>
    <w:rsid w:val="00992B4D"/>
    <w:rsid w:val="00992C59"/>
    <w:rsid w:val="00992D3B"/>
    <w:rsid w:val="00992D72"/>
    <w:rsid w:val="00992E86"/>
    <w:rsid w:val="00992E8E"/>
    <w:rsid w:val="00992EBA"/>
    <w:rsid w:val="00992EC1"/>
    <w:rsid w:val="00992F13"/>
    <w:rsid w:val="00992F26"/>
    <w:rsid w:val="00992F53"/>
    <w:rsid w:val="00992FA8"/>
    <w:rsid w:val="00992FE2"/>
    <w:rsid w:val="0099309C"/>
    <w:rsid w:val="0099309E"/>
    <w:rsid w:val="009930A1"/>
    <w:rsid w:val="009930B0"/>
    <w:rsid w:val="009931FE"/>
    <w:rsid w:val="0099321D"/>
    <w:rsid w:val="009932B2"/>
    <w:rsid w:val="009932FD"/>
    <w:rsid w:val="0099330D"/>
    <w:rsid w:val="0099333F"/>
    <w:rsid w:val="0099337F"/>
    <w:rsid w:val="009933EB"/>
    <w:rsid w:val="00993488"/>
    <w:rsid w:val="0099348F"/>
    <w:rsid w:val="00993502"/>
    <w:rsid w:val="009935A4"/>
    <w:rsid w:val="009935B2"/>
    <w:rsid w:val="0099361F"/>
    <w:rsid w:val="00993681"/>
    <w:rsid w:val="00993727"/>
    <w:rsid w:val="00993742"/>
    <w:rsid w:val="00993746"/>
    <w:rsid w:val="00993778"/>
    <w:rsid w:val="0099377D"/>
    <w:rsid w:val="0099378F"/>
    <w:rsid w:val="0099383B"/>
    <w:rsid w:val="009938B4"/>
    <w:rsid w:val="00993951"/>
    <w:rsid w:val="00993954"/>
    <w:rsid w:val="009939F8"/>
    <w:rsid w:val="00993A91"/>
    <w:rsid w:val="00993B3E"/>
    <w:rsid w:val="00993B5B"/>
    <w:rsid w:val="00993B7E"/>
    <w:rsid w:val="00993B8F"/>
    <w:rsid w:val="00993B9F"/>
    <w:rsid w:val="00993BE9"/>
    <w:rsid w:val="00993BF6"/>
    <w:rsid w:val="00993C83"/>
    <w:rsid w:val="00993CF0"/>
    <w:rsid w:val="00993DAC"/>
    <w:rsid w:val="00993E1C"/>
    <w:rsid w:val="00993E70"/>
    <w:rsid w:val="00993E85"/>
    <w:rsid w:val="00993E9F"/>
    <w:rsid w:val="00993F01"/>
    <w:rsid w:val="00993F04"/>
    <w:rsid w:val="00993F18"/>
    <w:rsid w:val="00993FC4"/>
    <w:rsid w:val="0099400B"/>
    <w:rsid w:val="009940C7"/>
    <w:rsid w:val="00994148"/>
    <w:rsid w:val="0099414D"/>
    <w:rsid w:val="009941C7"/>
    <w:rsid w:val="00994273"/>
    <w:rsid w:val="0099435D"/>
    <w:rsid w:val="009943C3"/>
    <w:rsid w:val="00994441"/>
    <w:rsid w:val="0099444A"/>
    <w:rsid w:val="009944F3"/>
    <w:rsid w:val="0099456D"/>
    <w:rsid w:val="009945D6"/>
    <w:rsid w:val="0099461B"/>
    <w:rsid w:val="0099466C"/>
    <w:rsid w:val="00994737"/>
    <w:rsid w:val="00994759"/>
    <w:rsid w:val="009948B5"/>
    <w:rsid w:val="009948B8"/>
    <w:rsid w:val="00994955"/>
    <w:rsid w:val="00994A34"/>
    <w:rsid w:val="00994AB2"/>
    <w:rsid w:val="00994B1B"/>
    <w:rsid w:val="00994BA9"/>
    <w:rsid w:val="00994BFA"/>
    <w:rsid w:val="00994C18"/>
    <w:rsid w:val="00994CBC"/>
    <w:rsid w:val="00994CF8"/>
    <w:rsid w:val="00994D14"/>
    <w:rsid w:val="00994D2C"/>
    <w:rsid w:val="00994D71"/>
    <w:rsid w:val="00994E8A"/>
    <w:rsid w:val="00994E93"/>
    <w:rsid w:val="00994F4E"/>
    <w:rsid w:val="00994F66"/>
    <w:rsid w:val="00994F83"/>
    <w:rsid w:val="009950CD"/>
    <w:rsid w:val="00995100"/>
    <w:rsid w:val="00995141"/>
    <w:rsid w:val="009951DF"/>
    <w:rsid w:val="00995208"/>
    <w:rsid w:val="009952C5"/>
    <w:rsid w:val="00995300"/>
    <w:rsid w:val="0099530A"/>
    <w:rsid w:val="0099538E"/>
    <w:rsid w:val="009953BF"/>
    <w:rsid w:val="009953C3"/>
    <w:rsid w:val="009953F3"/>
    <w:rsid w:val="00995436"/>
    <w:rsid w:val="0099550F"/>
    <w:rsid w:val="009955C5"/>
    <w:rsid w:val="00995630"/>
    <w:rsid w:val="00995652"/>
    <w:rsid w:val="0099575D"/>
    <w:rsid w:val="00995789"/>
    <w:rsid w:val="0099581F"/>
    <w:rsid w:val="0099584F"/>
    <w:rsid w:val="00995875"/>
    <w:rsid w:val="0099588B"/>
    <w:rsid w:val="009958EC"/>
    <w:rsid w:val="0099592E"/>
    <w:rsid w:val="00995946"/>
    <w:rsid w:val="0099597A"/>
    <w:rsid w:val="00995993"/>
    <w:rsid w:val="009959DD"/>
    <w:rsid w:val="009959EC"/>
    <w:rsid w:val="00995A23"/>
    <w:rsid w:val="00995A5E"/>
    <w:rsid w:val="00995A8B"/>
    <w:rsid w:val="00995AA2"/>
    <w:rsid w:val="00995AAB"/>
    <w:rsid w:val="00995AB9"/>
    <w:rsid w:val="00995AE4"/>
    <w:rsid w:val="00995B4E"/>
    <w:rsid w:val="00995B70"/>
    <w:rsid w:val="00995BCA"/>
    <w:rsid w:val="00995BD3"/>
    <w:rsid w:val="00995BFF"/>
    <w:rsid w:val="00995D01"/>
    <w:rsid w:val="00995D89"/>
    <w:rsid w:val="00995DFD"/>
    <w:rsid w:val="00995E90"/>
    <w:rsid w:val="00995F63"/>
    <w:rsid w:val="00995F72"/>
    <w:rsid w:val="00995F90"/>
    <w:rsid w:val="00995FE4"/>
    <w:rsid w:val="00996010"/>
    <w:rsid w:val="0099602F"/>
    <w:rsid w:val="00996034"/>
    <w:rsid w:val="009960B2"/>
    <w:rsid w:val="009960C5"/>
    <w:rsid w:val="00996146"/>
    <w:rsid w:val="009961D1"/>
    <w:rsid w:val="009961E9"/>
    <w:rsid w:val="00996203"/>
    <w:rsid w:val="0099623E"/>
    <w:rsid w:val="009962B2"/>
    <w:rsid w:val="00996328"/>
    <w:rsid w:val="0099644F"/>
    <w:rsid w:val="009965C8"/>
    <w:rsid w:val="009966B8"/>
    <w:rsid w:val="009966D0"/>
    <w:rsid w:val="009966E1"/>
    <w:rsid w:val="0099672F"/>
    <w:rsid w:val="0099678B"/>
    <w:rsid w:val="009967AB"/>
    <w:rsid w:val="00996840"/>
    <w:rsid w:val="009968D8"/>
    <w:rsid w:val="0099692F"/>
    <w:rsid w:val="009969F9"/>
    <w:rsid w:val="00996B5D"/>
    <w:rsid w:val="00996B7E"/>
    <w:rsid w:val="00996B96"/>
    <w:rsid w:val="00996C0D"/>
    <w:rsid w:val="00996C47"/>
    <w:rsid w:val="00996C4A"/>
    <w:rsid w:val="00996C62"/>
    <w:rsid w:val="00996CC3"/>
    <w:rsid w:val="00996D7F"/>
    <w:rsid w:val="00996DD7"/>
    <w:rsid w:val="00996E02"/>
    <w:rsid w:val="00996E23"/>
    <w:rsid w:val="00996E78"/>
    <w:rsid w:val="00996EC3"/>
    <w:rsid w:val="00996EE6"/>
    <w:rsid w:val="00996F1D"/>
    <w:rsid w:val="009970C3"/>
    <w:rsid w:val="00997122"/>
    <w:rsid w:val="00997139"/>
    <w:rsid w:val="00997142"/>
    <w:rsid w:val="009971DE"/>
    <w:rsid w:val="009971F1"/>
    <w:rsid w:val="00997251"/>
    <w:rsid w:val="009972A5"/>
    <w:rsid w:val="0099736C"/>
    <w:rsid w:val="009973B4"/>
    <w:rsid w:val="009973D8"/>
    <w:rsid w:val="0099743D"/>
    <w:rsid w:val="00997461"/>
    <w:rsid w:val="009974AB"/>
    <w:rsid w:val="009974B5"/>
    <w:rsid w:val="0099758D"/>
    <w:rsid w:val="009975A5"/>
    <w:rsid w:val="009975E8"/>
    <w:rsid w:val="0099761A"/>
    <w:rsid w:val="009976E9"/>
    <w:rsid w:val="009976F3"/>
    <w:rsid w:val="009977B0"/>
    <w:rsid w:val="009978E5"/>
    <w:rsid w:val="00997985"/>
    <w:rsid w:val="0099799D"/>
    <w:rsid w:val="009979BB"/>
    <w:rsid w:val="009979BF"/>
    <w:rsid w:val="009979C5"/>
    <w:rsid w:val="009979CA"/>
    <w:rsid w:val="009979DE"/>
    <w:rsid w:val="00997A99"/>
    <w:rsid w:val="00997AD1"/>
    <w:rsid w:val="00997AE4"/>
    <w:rsid w:val="00997AED"/>
    <w:rsid w:val="00997B36"/>
    <w:rsid w:val="00997C2F"/>
    <w:rsid w:val="00997C6C"/>
    <w:rsid w:val="00997D3C"/>
    <w:rsid w:val="00997D83"/>
    <w:rsid w:val="00997E14"/>
    <w:rsid w:val="00997E6C"/>
    <w:rsid w:val="00997E8F"/>
    <w:rsid w:val="00997EC8"/>
    <w:rsid w:val="009A0047"/>
    <w:rsid w:val="009A01D1"/>
    <w:rsid w:val="009A01EE"/>
    <w:rsid w:val="009A02CC"/>
    <w:rsid w:val="009A0353"/>
    <w:rsid w:val="009A0430"/>
    <w:rsid w:val="009A0453"/>
    <w:rsid w:val="009A049E"/>
    <w:rsid w:val="009A04ED"/>
    <w:rsid w:val="009A04EE"/>
    <w:rsid w:val="009A05B8"/>
    <w:rsid w:val="009A0685"/>
    <w:rsid w:val="009A06E0"/>
    <w:rsid w:val="009A0707"/>
    <w:rsid w:val="009A07E5"/>
    <w:rsid w:val="009A0819"/>
    <w:rsid w:val="009A082A"/>
    <w:rsid w:val="009A08FF"/>
    <w:rsid w:val="009A09E9"/>
    <w:rsid w:val="009A0A72"/>
    <w:rsid w:val="009A0B19"/>
    <w:rsid w:val="009A0B89"/>
    <w:rsid w:val="009A0C90"/>
    <w:rsid w:val="009A0D4C"/>
    <w:rsid w:val="009A0D7B"/>
    <w:rsid w:val="009A0DBD"/>
    <w:rsid w:val="009A0DC2"/>
    <w:rsid w:val="009A0DCA"/>
    <w:rsid w:val="009A0E05"/>
    <w:rsid w:val="009A0E43"/>
    <w:rsid w:val="009A0EC8"/>
    <w:rsid w:val="009A0F79"/>
    <w:rsid w:val="009A0F9A"/>
    <w:rsid w:val="009A0FC4"/>
    <w:rsid w:val="009A1012"/>
    <w:rsid w:val="009A1085"/>
    <w:rsid w:val="009A10F4"/>
    <w:rsid w:val="009A10FB"/>
    <w:rsid w:val="009A11B6"/>
    <w:rsid w:val="009A120F"/>
    <w:rsid w:val="009A126D"/>
    <w:rsid w:val="009A1281"/>
    <w:rsid w:val="009A12CC"/>
    <w:rsid w:val="009A13AF"/>
    <w:rsid w:val="009A13BF"/>
    <w:rsid w:val="009A1415"/>
    <w:rsid w:val="009A1493"/>
    <w:rsid w:val="009A14A7"/>
    <w:rsid w:val="009A14B1"/>
    <w:rsid w:val="009A14C4"/>
    <w:rsid w:val="009A14DD"/>
    <w:rsid w:val="009A14F7"/>
    <w:rsid w:val="009A1506"/>
    <w:rsid w:val="009A150F"/>
    <w:rsid w:val="009A1576"/>
    <w:rsid w:val="009A1628"/>
    <w:rsid w:val="009A1735"/>
    <w:rsid w:val="009A1754"/>
    <w:rsid w:val="009A17A0"/>
    <w:rsid w:val="009A17E7"/>
    <w:rsid w:val="009A1820"/>
    <w:rsid w:val="009A19BF"/>
    <w:rsid w:val="009A19DE"/>
    <w:rsid w:val="009A1A69"/>
    <w:rsid w:val="009A1A85"/>
    <w:rsid w:val="009A1BB8"/>
    <w:rsid w:val="009A1BC9"/>
    <w:rsid w:val="009A1BD7"/>
    <w:rsid w:val="009A1C68"/>
    <w:rsid w:val="009A1CA5"/>
    <w:rsid w:val="009A1CA8"/>
    <w:rsid w:val="009A1CF8"/>
    <w:rsid w:val="009A1D03"/>
    <w:rsid w:val="009A1D76"/>
    <w:rsid w:val="009A1D8C"/>
    <w:rsid w:val="009A1D9B"/>
    <w:rsid w:val="009A1DE8"/>
    <w:rsid w:val="009A1E0F"/>
    <w:rsid w:val="009A1EEA"/>
    <w:rsid w:val="009A1F3F"/>
    <w:rsid w:val="009A2046"/>
    <w:rsid w:val="009A2080"/>
    <w:rsid w:val="009A208C"/>
    <w:rsid w:val="009A20AF"/>
    <w:rsid w:val="009A20E1"/>
    <w:rsid w:val="009A20E2"/>
    <w:rsid w:val="009A2121"/>
    <w:rsid w:val="009A2184"/>
    <w:rsid w:val="009A2201"/>
    <w:rsid w:val="009A224F"/>
    <w:rsid w:val="009A22B6"/>
    <w:rsid w:val="009A231A"/>
    <w:rsid w:val="009A23DB"/>
    <w:rsid w:val="009A23F0"/>
    <w:rsid w:val="009A23F4"/>
    <w:rsid w:val="009A244B"/>
    <w:rsid w:val="009A244C"/>
    <w:rsid w:val="009A2559"/>
    <w:rsid w:val="009A258C"/>
    <w:rsid w:val="009A2633"/>
    <w:rsid w:val="009A265F"/>
    <w:rsid w:val="009A2668"/>
    <w:rsid w:val="009A26A5"/>
    <w:rsid w:val="009A26DF"/>
    <w:rsid w:val="009A27F9"/>
    <w:rsid w:val="009A27FB"/>
    <w:rsid w:val="009A28AD"/>
    <w:rsid w:val="009A28B0"/>
    <w:rsid w:val="009A28CE"/>
    <w:rsid w:val="009A29E8"/>
    <w:rsid w:val="009A29F1"/>
    <w:rsid w:val="009A2A6F"/>
    <w:rsid w:val="009A2B40"/>
    <w:rsid w:val="009A2B4C"/>
    <w:rsid w:val="009A2BDD"/>
    <w:rsid w:val="009A2D7C"/>
    <w:rsid w:val="009A2DBA"/>
    <w:rsid w:val="009A2E3C"/>
    <w:rsid w:val="009A2F1B"/>
    <w:rsid w:val="009A2F30"/>
    <w:rsid w:val="009A2FE8"/>
    <w:rsid w:val="009A304C"/>
    <w:rsid w:val="009A3093"/>
    <w:rsid w:val="009A30D0"/>
    <w:rsid w:val="009A313B"/>
    <w:rsid w:val="009A315A"/>
    <w:rsid w:val="009A318B"/>
    <w:rsid w:val="009A32EF"/>
    <w:rsid w:val="009A3324"/>
    <w:rsid w:val="009A332E"/>
    <w:rsid w:val="009A334F"/>
    <w:rsid w:val="009A3391"/>
    <w:rsid w:val="009A3395"/>
    <w:rsid w:val="009A3434"/>
    <w:rsid w:val="009A362C"/>
    <w:rsid w:val="009A36AA"/>
    <w:rsid w:val="009A36BE"/>
    <w:rsid w:val="009A371F"/>
    <w:rsid w:val="009A37BD"/>
    <w:rsid w:val="009A3815"/>
    <w:rsid w:val="009A382E"/>
    <w:rsid w:val="009A387E"/>
    <w:rsid w:val="009A38ED"/>
    <w:rsid w:val="009A391C"/>
    <w:rsid w:val="009A393D"/>
    <w:rsid w:val="009A39EF"/>
    <w:rsid w:val="009A3A6A"/>
    <w:rsid w:val="009A3A7C"/>
    <w:rsid w:val="009A3A7F"/>
    <w:rsid w:val="009A3A9E"/>
    <w:rsid w:val="009A3ABC"/>
    <w:rsid w:val="009A3AF0"/>
    <w:rsid w:val="009A3B64"/>
    <w:rsid w:val="009A3BCB"/>
    <w:rsid w:val="009A3C0D"/>
    <w:rsid w:val="009A3C70"/>
    <w:rsid w:val="009A3CAF"/>
    <w:rsid w:val="009A3CD3"/>
    <w:rsid w:val="009A3D4E"/>
    <w:rsid w:val="009A3D6E"/>
    <w:rsid w:val="009A3ECC"/>
    <w:rsid w:val="009A3F23"/>
    <w:rsid w:val="009A3F6A"/>
    <w:rsid w:val="009A3F7F"/>
    <w:rsid w:val="009A3FC4"/>
    <w:rsid w:val="009A403F"/>
    <w:rsid w:val="009A4142"/>
    <w:rsid w:val="009A421E"/>
    <w:rsid w:val="009A4250"/>
    <w:rsid w:val="009A4262"/>
    <w:rsid w:val="009A42B2"/>
    <w:rsid w:val="009A42C4"/>
    <w:rsid w:val="009A42F8"/>
    <w:rsid w:val="009A43F0"/>
    <w:rsid w:val="009A446F"/>
    <w:rsid w:val="009A4471"/>
    <w:rsid w:val="009A448F"/>
    <w:rsid w:val="009A4533"/>
    <w:rsid w:val="009A4563"/>
    <w:rsid w:val="009A4693"/>
    <w:rsid w:val="009A4694"/>
    <w:rsid w:val="009A46A2"/>
    <w:rsid w:val="009A46F7"/>
    <w:rsid w:val="009A478C"/>
    <w:rsid w:val="009A478E"/>
    <w:rsid w:val="009A4838"/>
    <w:rsid w:val="009A483D"/>
    <w:rsid w:val="009A4857"/>
    <w:rsid w:val="009A4886"/>
    <w:rsid w:val="009A4897"/>
    <w:rsid w:val="009A4999"/>
    <w:rsid w:val="009A49F2"/>
    <w:rsid w:val="009A4A5B"/>
    <w:rsid w:val="009A4AF2"/>
    <w:rsid w:val="009A4BAC"/>
    <w:rsid w:val="009A4BD7"/>
    <w:rsid w:val="009A4BDA"/>
    <w:rsid w:val="009A4C08"/>
    <w:rsid w:val="009A4C2E"/>
    <w:rsid w:val="009A4C35"/>
    <w:rsid w:val="009A4C3D"/>
    <w:rsid w:val="009A4C88"/>
    <w:rsid w:val="009A4DB9"/>
    <w:rsid w:val="009A4E7D"/>
    <w:rsid w:val="009A4E7E"/>
    <w:rsid w:val="009A4E82"/>
    <w:rsid w:val="009A4F1F"/>
    <w:rsid w:val="009A4F57"/>
    <w:rsid w:val="009A4F6D"/>
    <w:rsid w:val="009A50D7"/>
    <w:rsid w:val="009A50E6"/>
    <w:rsid w:val="009A50EB"/>
    <w:rsid w:val="009A5125"/>
    <w:rsid w:val="009A5294"/>
    <w:rsid w:val="009A52AD"/>
    <w:rsid w:val="009A5343"/>
    <w:rsid w:val="009A5356"/>
    <w:rsid w:val="009A539B"/>
    <w:rsid w:val="009A545F"/>
    <w:rsid w:val="009A547F"/>
    <w:rsid w:val="009A5482"/>
    <w:rsid w:val="009A5564"/>
    <w:rsid w:val="009A55A3"/>
    <w:rsid w:val="009A55B1"/>
    <w:rsid w:val="009A55CC"/>
    <w:rsid w:val="009A564C"/>
    <w:rsid w:val="009A5674"/>
    <w:rsid w:val="009A56AF"/>
    <w:rsid w:val="009A5838"/>
    <w:rsid w:val="009A585E"/>
    <w:rsid w:val="009A5894"/>
    <w:rsid w:val="009A58DA"/>
    <w:rsid w:val="009A58E8"/>
    <w:rsid w:val="009A5927"/>
    <w:rsid w:val="009A59C1"/>
    <w:rsid w:val="009A5A3C"/>
    <w:rsid w:val="009A5A7D"/>
    <w:rsid w:val="009A5AC7"/>
    <w:rsid w:val="009A5C2D"/>
    <w:rsid w:val="009A5CEC"/>
    <w:rsid w:val="009A5DF1"/>
    <w:rsid w:val="009A5EF3"/>
    <w:rsid w:val="009A5F14"/>
    <w:rsid w:val="009A5F22"/>
    <w:rsid w:val="009A6021"/>
    <w:rsid w:val="009A6037"/>
    <w:rsid w:val="009A603C"/>
    <w:rsid w:val="009A6041"/>
    <w:rsid w:val="009A60A3"/>
    <w:rsid w:val="009A60E8"/>
    <w:rsid w:val="009A615B"/>
    <w:rsid w:val="009A61A0"/>
    <w:rsid w:val="009A61E5"/>
    <w:rsid w:val="009A6248"/>
    <w:rsid w:val="009A6252"/>
    <w:rsid w:val="009A62A4"/>
    <w:rsid w:val="009A63DF"/>
    <w:rsid w:val="009A6401"/>
    <w:rsid w:val="009A6488"/>
    <w:rsid w:val="009A6522"/>
    <w:rsid w:val="009A6579"/>
    <w:rsid w:val="009A65F7"/>
    <w:rsid w:val="009A674B"/>
    <w:rsid w:val="009A67DF"/>
    <w:rsid w:val="009A67E3"/>
    <w:rsid w:val="009A680B"/>
    <w:rsid w:val="009A6869"/>
    <w:rsid w:val="009A6919"/>
    <w:rsid w:val="009A696E"/>
    <w:rsid w:val="009A69DB"/>
    <w:rsid w:val="009A6A22"/>
    <w:rsid w:val="009A6A3B"/>
    <w:rsid w:val="009A6B24"/>
    <w:rsid w:val="009A6B3F"/>
    <w:rsid w:val="009A6BA9"/>
    <w:rsid w:val="009A6BD8"/>
    <w:rsid w:val="009A6C92"/>
    <w:rsid w:val="009A6CBB"/>
    <w:rsid w:val="009A6CFE"/>
    <w:rsid w:val="009A6D0C"/>
    <w:rsid w:val="009A6D10"/>
    <w:rsid w:val="009A6ECF"/>
    <w:rsid w:val="009A6F02"/>
    <w:rsid w:val="009A6F9E"/>
    <w:rsid w:val="009A6FC9"/>
    <w:rsid w:val="009A7062"/>
    <w:rsid w:val="009A70A1"/>
    <w:rsid w:val="009A70B7"/>
    <w:rsid w:val="009A7215"/>
    <w:rsid w:val="009A721B"/>
    <w:rsid w:val="009A7258"/>
    <w:rsid w:val="009A72A5"/>
    <w:rsid w:val="009A73FB"/>
    <w:rsid w:val="009A73FE"/>
    <w:rsid w:val="009A750E"/>
    <w:rsid w:val="009A751F"/>
    <w:rsid w:val="009A75C6"/>
    <w:rsid w:val="009A75E5"/>
    <w:rsid w:val="009A76C4"/>
    <w:rsid w:val="009A76D2"/>
    <w:rsid w:val="009A76EF"/>
    <w:rsid w:val="009A7709"/>
    <w:rsid w:val="009A773F"/>
    <w:rsid w:val="009A7768"/>
    <w:rsid w:val="009A7786"/>
    <w:rsid w:val="009A77BA"/>
    <w:rsid w:val="009A78B1"/>
    <w:rsid w:val="009A797C"/>
    <w:rsid w:val="009A799B"/>
    <w:rsid w:val="009A79B0"/>
    <w:rsid w:val="009A79FB"/>
    <w:rsid w:val="009A7A45"/>
    <w:rsid w:val="009A7AD2"/>
    <w:rsid w:val="009A7BE4"/>
    <w:rsid w:val="009A7C02"/>
    <w:rsid w:val="009A7C0C"/>
    <w:rsid w:val="009A7C1A"/>
    <w:rsid w:val="009A7C4F"/>
    <w:rsid w:val="009A7C8C"/>
    <w:rsid w:val="009A7CA5"/>
    <w:rsid w:val="009A7CDD"/>
    <w:rsid w:val="009A7D9C"/>
    <w:rsid w:val="009A7DE5"/>
    <w:rsid w:val="009A7E02"/>
    <w:rsid w:val="009A7E1C"/>
    <w:rsid w:val="009A7E2A"/>
    <w:rsid w:val="009A7E47"/>
    <w:rsid w:val="009A7ECF"/>
    <w:rsid w:val="009A7ED8"/>
    <w:rsid w:val="009A7EDB"/>
    <w:rsid w:val="009A7F9C"/>
    <w:rsid w:val="009B0030"/>
    <w:rsid w:val="009B00B7"/>
    <w:rsid w:val="009B0151"/>
    <w:rsid w:val="009B01FD"/>
    <w:rsid w:val="009B0248"/>
    <w:rsid w:val="009B0282"/>
    <w:rsid w:val="009B02B0"/>
    <w:rsid w:val="009B0309"/>
    <w:rsid w:val="009B03F1"/>
    <w:rsid w:val="009B04AC"/>
    <w:rsid w:val="009B04E0"/>
    <w:rsid w:val="009B04F0"/>
    <w:rsid w:val="009B050B"/>
    <w:rsid w:val="009B056C"/>
    <w:rsid w:val="009B057C"/>
    <w:rsid w:val="009B0644"/>
    <w:rsid w:val="009B06A8"/>
    <w:rsid w:val="009B06CD"/>
    <w:rsid w:val="009B083D"/>
    <w:rsid w:val="009B08E0"/>
    <w:rsid w:val="009B097D"/>
    <w:rsid w:val="009B0A16"/>
    <w:rsid w:val="009B0A7B"/>
    <w:rsid w:val="009B0B2B"/>
    <w:rsid w:val="009B0B85"/>
    <w:rsid w:val="009B0C11"/>
    <w:rsid w:val="009B0C57"/>
    <w:rsid w:val="009B0CE4"/>
    <w:rsid w:val="009B0CF0"/>
    <w:rsid w:val="009B0D9A"/>
    <w:rsid w:val="009B0DD8"/>
    <w:rsid w:val="009B0E05"/>
    <w:rsid w:val="009B0E86"/>
    <w:rsid w:val="009B0EA5"/>
    <w:rsid w:val="009B0F31"/>
    <w:rsid w:val="009B0F3F"/>
    <w:rsid w:val="009B0FDD"/>
    <w:rsid w:val="009B118A"/>
    <w:rsid w:val="009B1279"/>
    <w:rsid w:val="009B1298"/>
    <w:rsid w:val="009B12A2"/>
    <w:rsid w:val="009B12E9"/>
    <w:rsid w:val="009B1305"/>
    <w:rsid w:val="009B1364"/>
    <w:rsid w:val="009B1443"/>
    <w:rsid w:val="009B14A4"/>
    <w:rsid w:val="009B15F2"/>
    <w:rsid w:val="009B1636"/>
    <w:rsid w:val="009B16BA"/>
    <w:rsid w:val="009B16C0"/>
    <w:rsid w:val="009B1705"/>
    <w:rsid w:val="009B17C7"/>
    <w:rsid w:val="009B17E5"/>
    <w:rsid w:val="009B1979"/>
    <w:rsid w:val="009B19B1"/>
    <w:rsid w:val="009B1A4D"/>
    <w:rsid w:val="009B1B4A"/>
    <w:rsid w:val="009B1B4F"/>
    <w:rsid w:val="009B1BCA"/>
    <w:rsid w:val="009B1BE5"/>
    <w:rsid w:val="009B1D38"/>
    <w:rsid w:val="009B1D40"/>
    <w:rsid w:val="009B1D82"/>
    <w:rsid w:val="009B1EE9"/>
    <w:rsid w:val="009B1F3F"/>
    <w:rsid w:val="009B1F70"/>
    <w:rsid w:val="009B2066"/>
    <w:rsid w:val="009B209C"/>
    <w:rsid w:val="009B216B"/>
    <w:rsid w:val="009B21C7"/>
    <w:rsid w:val="009B21CA"/>
    <w:rsid w:val="009B223C"/>
    <w:rsid w:val="009B22A2"/>
    <w:rsid w:val="009B22C0"/>
    <w:rsid w:val="009B231D"/>
    <w:rsid w:val="009B2416"/>
    <w:rsid w:val="009B246B"/>
    <w:rsid w:val="009B2496"/>
    <w:rsid w:val="009B24A2"/>
    <w:rsid w:val="009B24A3"/>
    <w:rsid w:val="009B2583"/>
    <w:rsid w:val="009B25A0"/>
    <w:rsid w:val="009B25C5"/>
    <w:rsid w:val="009B263B"/>
    <w:rsid w:val="009B2708"/>
    <w:rsid w:val="009B2720"/>
    <w:rsid w:val="009B2729"/>
    <w:rsid w:val="009B283C"/>
    <w:rsid w:val="009B2860"/>
    <w:rsid w:val="009B2866"/>
    <w:rsid w:val="009B2887"/>
    <w:rsid w:val="009B28C3"/>
    <w:rsid w:val="009B28D3"/>
    <w:rsid w:val="009B2A11"/>
    <w:rsid w:val="009B2AAF"/>
    <w:rsid w:val="009B2AE2"/>
    <w:rsid w:val="009B2BD1"/>
    <w:rsid w:val="009B2C23"/>
    <w:rsid w:val="009B2CDB"/>
    <w:rsid w:val="009B2D0C"/>
    <w:rsid w:val="009B2D25"/>
    <w:rsid w:val="009B2D8A"/>
    <w:rsid w:val="009B2E3B"/>
    <w:rsid w:val="009B2E43"/>
    <w:rsid w:val="009B2EBB"/>
    <w:rsid w:val="009B2EFF"/>
    <w:rsid w:val="009B2F2C"/>
    <w:rsid w:val="009B2F8A"/>
    <w:rsid w:val="009B2FDF"/>
    <w:rsid w:val="009B2FF8"/>
    <w:rsid w:val="009B3007"/>
    <w:rsid w:val="009B3244"/>
    <w:rsid w:val="009B3282"/>
    <w:rsid w:val="009B32B0"/>
    <w:rsid w:val="009B32CD"/>
    <w:rsid w:val="009B3420"/>
    <w:rsid w:val="009B3436"/>
    <w:rsid w:val="009B3521"/>
    <w:rsid w:val="009B3544"/>
    <w:rsid w:val="009B356F"/>
    <w:rsid w:val="009B3591"/>
    <w:rsid w:val="009B359C"/>
    <w:rsid w:val="009B35E0"/>
    <w:rsid w:val="009B35F5"/>
    <w:rsid w:val="009B3643"/>
    <w:rsid w:val="009B3654"/>
    <w:rsid w:val="009B3723"/>
    <w:rsid w:val="009B37AB"/>
    <w:rsid w:val="009B37DA"/>
    <w:rsid w:val="009B381B"/>
    <w:rsid w:val="009B383E"/>
    <w:rsid w:val="009B3916"/>
    <w:rsid w:val="009B3940"/>
    <w:rsid w:val="009B3A7B"/>
    <w:rsid w:val="009B3B35"/>
    <w:rsid w:val="009B3C2D"/>
    <w:rsid w:val="009B3C70"/>
    <w:rsid w:val="009B3CB4"/>
    <w:rsid w:val="009B3D4E"/>
    <w:rsid w:val="009B3D7A"/>
    <w:rsid w:val="009B3E1B"/>
    <w:rsid w:val="009B3E34"/>
    <w:rsid w:val="009B3ECA"/>
    <w:rsid w:val="009B3F99"/>
    <w:rsid w:val="009B4063"/>
    <w:rsid w:val="009B409B"/>
    <w:rsid w:val="009B4102"/>
    <w:rsid w:val="009B415F"/>
    <w:rsid w:val="009B4218"/>
    <w:rsid w:val="009B42C9"/>
    <w:rsid w:val="009B43B0"/>
    <w:rsid w:val="009B43BB"/>
    <w:rsid w:val="009B4413"/>
    <w:rsid w:val="009B44D1"/>
    <w:rsid w:val="009B45A7"/>
    <w:rsid w:val="009B478F"/>
    <w:rsid w:val="009B4812"/>
    <w:rsid w:val="009B483F"/>
    <w:rsid w:val="009B4866"/>
    <w:rsid w:val="009B48C1"/>
    <w:rsid w:val="009B4914"/>
    <w:rsid w:val="009B4967"/>
    <w:rsid w:val="009B49A3"/>
    <w:rsid w:val="009B49E2"/>
    <w:rsid w:val="009B4A2B"/>
    <w:rsid w:val="009B4A4A"/>
    <w:rsid w:val="009B4A8B"/>
    <w:rsid w:val="009B4A99"/>
    <w:rsid w:val="009B4AAD"/>
    <w:rsid w:val="009B4B6A"/>
    <w:rsid w:val="009B4BE3"/>
    <w:rsid w:val="009B4C4F"/>
    <w:rsid w:val="009B4C64"/>
    <w:rsid w:val="009B4CC6"/>
    <w:rsid w:val="009B4CD6"/>
    <w:rsid w:val="009B4D30"/>
    <w:rsid w:val="009B4D83"/>
    <w:rsid w:val="009B4DC7"/>
    <w:rsid w:val="009B4E1D"/>
    <w:rsid w:val="009B4E24"/>
    <w:rsid w:val="009B4E52"/>
    <w:rsid w:val="009B4EE6"/>
    <w:rsid w:val="009B4F14"/>
    <w:rsid w:val="009B4FCF"/>
    <w:rsid w:val="009B505E"/>
    <w:rsid w:val="009B50AD"/>
    <w:rsid w:val="009B50FC"/>
    <w:rsid w:val="009B5110"/>
    <w:rsid w:val="009B5189"/>
    <w:rsid w:val="009B5240"/>
    <w:rsid w:val="009B5245"/>
    <w:rsid w:val="009B52CD"/>
    <w:rsid w:val="009B53D7"/>
    <w:rsid w:val="009B5445"/>
    <w:rsid w:val="009B544A"/>
    <w:rsid w:val="009B5529"/>
    <w:rsid w:val="009B558B"/>
    <w:rsid w:val="009B55BF"/>
    <w:rsid w:val="009B55C0"/>
    <w:rsid w:val="009B55CD"/>
    <w:rsid w:val="009B55CE"/>
    <w:rsid w:val="009B5623"/>
    <w:rsid w:val="009B5669"/>
    <w:rsid w:val="009B5771"/>
    <w:rsid w:val="009B581E"/>
    <w:rsid w:val="009B583F"/>
    <w:rsid w:val="009B5841"/>
    <w:rsid w:val="009B58A0"/>
    <w:rsid w:val="009B5954"/>
    <w:rsid w:val="009B595F"/>
    <w:rsid w:val="009B5A0F"/>
    <w:rsid w:val="009B5A65"/>
    <w:rsid w:val="009B5ABF"/>
    <w:rsid w:val="009B5CAA"/>
    <w:rsid w:val="009B5D1A"/>
    <w:rsid w:val="009B5D6D"/>
    <w:rsid w:val="009B5DE1"/>
    <w:rsid w:val="009B5FAC"/>
    <w:rsid w:val="009B6054"/>
    <w:rsid w:val="009B6077"/>
    <w:rsid w:val="009B60FA"/>
    <w:rsid w:val="009B6115"/>
    <w:rsid w:val="009B614F"/>
    <w:rsid w:val="009B61D6"/>
    <w:rsid w:val="009B6222"/>
    <w:rsid w:val="009B626C"/>
    <w:rsid w:val="009B6290"/>
    <w:rsid w:val="009B6291"/>
    <w:rsid w:val="009B62B9"/>
    <w:rsid w:val="009B62D6"/>
    <w:rsid w:val="009B62DB"/>
    <w:rsid w:val="009B63E3"/>
    <w:rsid w:val="009B64BD"/>
    <w:rsid w:val="009B657A"/>
    <w:rsid w:val="009B6604"/>
    <w:rsid w:val="009B664E"/>
    <w:rsid w:val="009B678F"/>
    <w:rsid w:val="009B67B4"/>
    <w:rsid w:val="009B67EA"/>
    <w:rsid w:val="009B6914"/>
    <w:rsid w:val="009B69D8"/>
    <w:rsid w:val="009B6A57"/>
    <w:rsid w:val="009B6AC2"/>
    <w:rsid w:val="009B6AEA"/>
    <w:rsid w:val="009B6BA7"/>
    <w:rsid w:val="009B6BDE"/>
    <w:rsid w:val="009B6C05"/>
    <w:rsid w:val="009B6C33"/>
    <w:rsid w:val="009B6C59"/>
    <w:rsid w:val="009B6CD4"/>
    <w:rsid w:val="009B6D12"/>
    <w:rsid w:val="009B6D3F"/>
    <w:rsid w:val="009B6EA7"/>
    <w:rsid w:val="009B6ECD"/>
    <w:rsid w:val="009B6F4F"/>
    <w:rsid w:val="009B6FF3"/>
    <w:rsid w:val="009B6FFA"/>
    <w:rsid w:val="009B7018"/>
    <w:rsid w:val="009B7044"/>
    <w:rsid w:val="009B706E"/>
    <w:rsid w:val="009B7117"/>
    <w:rsid w:val="009B7120"/>
    <w:rsid w:val="009B7212"/>
    <w:rsid w:val="009B723D"/>
    <w:rsid w:val="009B7288"/>
    <w:rsid w:val="009B72DA"/>
    <w:rsid w:val="009B7321"/>
    <w:rsid w:val="009B7327"/>
    <w:rsid w:val="009B73A9"/>
    <w:rsid w:val="009B7481"/>
    <w:rsid w:val="009B7487"/>
    <w:rsid w:val="009B74D2"/>
    <w:rsid w:val="009B7518"/>
    <w:rsid w:val="009B759D"/>
    <w:rsid w:val="009B763F"/>
    <w:rsid w:val="009B764E"/>
    <w:rsid w:val="009B76C7"/>
    <w:rsid w:val="009B7828"/>
    <w:rsid w:val="009B7844"/>
    <w:rsid w:val="009B784B"/>
    <w:rsid w:val="009B793B"/>
    <w:rsid w:val="009B79A3"/>
    <w:rsid w:val="009B7A07"/>
    <w:rsid w:val="009B7A96"/>
    <w:rsid w:val="009B7AAB"/>
    <w:rsid w:val="009B7AB4"/>
    <w:rsid w:val="009B7C0A"/>
    <w:rsid w:val="009B7C58"/>
    <w:rsid w:val="009B7C63"/>
    <w:rsid w:val="009B7CAA"/>
    <w:rsid w:val="009B7D1F"/>
    <w:rsid w:val="009B7D29"/>
    <w:rsid w:val="009B7D59"/>
    <w:rsid w:val="009B7D92"/>
    <w:rsid w:val="009B7DE9"/>
    <w:rsid w:val="009B7E47"/>
    <w:rsid w:val="009B7EAA"/>
    <w:rsid w:val="009B7ED6"/>
    <w:rsid w:val="009B7FD7"/>
    <w:rsid w:val="009C0070"/>
    <w:rsid w:val="009C00B0"/>
    <w:rsid w:val="009C0161"/>
    <w:rsid w:val="009C017A"/>
    <w:rsid w:val="009C018F"/>
    <w:rsid w:val="009C0259"/>
    <w:rsid w:val="009C029B"/>
    <w:rsid w:val="009C02A7"/>
    <w:rsid w:val="009C0344"/>
    <w:rsid w:val="009C0347"/>
    <w:rsid w:val="009C0358"/>
    <w:rsid w:val="009C03E8"/>
    <w:rsid w:val="009C0562"/>
    <w:rsid w:val="009C05E9"/>
    <w:rsid w:val="009C0658"/>
    <w:rsid w:val="009C065A"/>
    <w:rsid w:val="009C06E2"/>
    <w:rsid w:val="009C0730"/>
    <w:rsid w:val="009C0797"/>
    <w:rsid w:val="009C0806"/>
    <w:rsid w:val="009C0839"/>
    <w:rsid w:val="009C08D5"/>
    <w:rsid w:val="009C095B"/>
    <w:rsid w:val="009C0A2E"/>
    <w:rsid w:val="009C0B09"/>
    <w:rsid w:val="009C0BAB"/>
    <w:rsid w:val="009C0CE3"/>
    <w:rsid w:val="009C0D01"/>
    <w:rsid w:val="009C0D0F"/>
    <w:rsid w:val="009C0DC9"/>
    <w:rsid w:val="009C0E21"/>
    <w:rsid w:val="009C0E68"/>
    <w:rsid w:val="009C0EB8"/>
    <w:rsid w:val="009C0F13"/>
    <w:rsid w:val="009C1009"/>
    <w:rsid w:val="009C109E"/>
    <w:rsid w:val="009C10B6"/>
    <w:rsid w:val="009C1163"/>
    <w:rsid w:val="009C1188"/>
    <w:rsid w:val="009C1195"/>
    <w:rsid w:val="009C11BD"/>
    <w:rsid w:val="009C1280"/>
    <w:rsid w:val="009C128B"/>
    <w:rsid w:val="009C12A2"/>
    <w:rsid w:val="009C1303"/>
    <w:rsid w:val="009C13CF"/>
    <w:rsid w:val="009C13D6"/>
    <w:rsid w:val="009C143D"/>
    <w:rsid w:val="009C144B"/>
    <w:rsid w:val="009C146E"/>
    <w:rsid w:val="009C1471"/>
    <w:rsid w:val="009C1496"/>
    <w:rsid w:val="009C1536"/>
    <w:rsid w:val="009C15F5"/>
    <w:rsid w:val="009C15FE"/>
    <w:rsid w:val="009C176B"/>
    <w:rsid w:val="009C1778"/>
    <w:rsid w:val="009C17B2"/>
    <w:rsid w:val="009C17F9"/>
    <w:rsid w:val="009C18D2"/>
    <w:rsid w:val="009C1900"/>
    <w:rsid w:val="009C1975"/>
    <w:rsid w:val="009C1980"/>
    <w:rsid w:val="009C19EE"/>
    <w:rsid w:val="009C1A65"/>
    <w:rsid w:val="009C1AA1"/>
    <w:rsid w:val="009C1B60"/>
    <w:rsid w:val="009C1B88"/>
    <w:rsid w:val="009C1BFE"/>
    <w:rsid w:val="009C1C89"/>
    <w:rsid w:val="009C1E3F"/>
    <w:rsid w:val="009C1EAB"/>
    <w:rsid w:val="009C1F80"/>
    <w:rsid w:val="009C1FA1"/>
    <w:rsid w:val="009C1FC9"/>
    <w:rsid w:val="009C1FDD"/>
    <w:rsid w:val="009C2057"/>
    <w:rsid w:val="009C2072"/>
    <w:rsid w:val="009C208E"/>
    <w:rsid w:val="009C20B7"/>
    <w:rsid w:val="009C20BB"/>
    <w:rsid w:val="009C2162"/>
    <w:rsid w:val="009C2173"/>
    <w:rsid w:val="009C217F"/>
    <w:rsid w:val="009C21A8"/>
    <w:rsid w:val="009C21EE"/>
    <w:rsid w:val="009C2350"/>
    <w:rsid w:val="009C2394"/>
    <w:rsid w:val="009C23A4"/>
    <w:rsid w:val="009C257C"/>
    <w:rsid w:val="009C261F"/>
    <w:rsid w:val="009C2740"/>
    <w:rsid w:val="009C288F"/>
    <w:rsid w:val="009C28F7"/>
    <w:rsid w:val="009C2971"/>
    <w:rsid w:val="009C2972"/>
    <w:rsid w:val="009C29C9"/>
    <w:rsid w:val="009C2A8C"/>
    <w:rsid w:val="009C2B05"/>
    <w:rsid w:val="009C2B0E"/>
    <w:rsid w:val="009C2B34"/>
    <w:rsid w:val="009C2B45"/>
    <w:rsid w:val="009C2B4C"/>
    <w:rsid w:val="009C2B83"/>
    <w:rsid w:val="009C2C05"/>
    <w:rsid w:val="009C2C06"/>
    <w:rsid w:val="009C2CA5"/>
    <w:rsid w:val="009C2CF7"/>
    <w:rsid w:val="009C2CFC"/>
    <w:rsid w:val="009C2EC7"/>
    <w:rsid w:val="009C2FCD"/>
    <w:rsid w:val="009C2FFD"/>
    <w:rsid w:val="009C3060"/>
    <w:rsid w:val="009C3074"/>
    <w:rsid w:val="009C30AF"/>
    <w:rsid w:val="009C30BA"/>
    <w:rsid w:val="009C3161"/>
    <w:rsid w:val="009C318A"/>
    <w:rsid w:val="009C323F"/>
    <w:rsid w:val="009C326D"/>
    <w:rsid w:val="009C327D"/>
    <w:rsid w:val="009C32BD"/>
    <w:rsid w:val="009C33AA"/>
    <w:rsid w:val="009C344F"/>
    <w:rsid w:val="009C3557"/>
    <w:rsid w:val="009C3565"/>
    <w:rsid w:val="009C358A"/>
    <w:rsid w:val="009C3617"/>
    <w:rsid w:val="009C36D6"/>
    <w:rsid w:val="009C36E4"/>
    <w:rsid w:val="009C37AA"/>
    <w:rsid w:val="009C389C"/>
    <w:rsid w:val="009C3922"/>
    <w:rsid w:val="009C3936"/>
    <w:rsid w:val="009C3A01"/>
    <w:rsid w:val="009C3A4A"/>
    <w:rsid w:val="009C3A8A"/>
    <w:rsid w:val="009C3A96"/>
    <w:rsid w:val="009C3B24"/>
    <w:rsid w:val="009C3B64"/>
    <w:rsid w:val="009C3C73"/>
    <w:rsid w:val="009C3C96"/>
    <w:rsid w:val="009C3CFC"/>
    <w:rsid w:val="009C3D5E"/>
    <w:rsid w:val="009C3D97"/>
    <w:rsid w:val="009C3DD8"/>
    <w:rsid w:val="009C3E14"/>
    <w:rsid w:val="009C3E30"/>
    <w:rsid w:val="009C3F12"/>
    <w:rsid w:val="009C4062"/>
    <w:rsid w:val="009C40B3"/>
    <w:rsid w:val="009C41DF"/>
    <w:rsid w:val="009C41EB"/>
    <w:rsid w:val="009C42A2"/>
    <w:rsid w:val="009C430A"/>
    <w:rsid w:val="009C432E"/>
    <w:rsid w:val="009C434F"/>
    <w:rsid w:val="009C439C"/>
    <w:rsid w:val="009C43B0"/>
    <w:rsid w:val="009C4413"/>
    <w:rsid w:val="009C4415"/>
    <w:rsid w:val="009C4556"/>
    <w:rsid w:val="009C4558"/>
    <w:rsid w:val="009C4564"/>
    <w:rsid w:val="009C46EB"/>
    <w:rsid w:val="009C4778"/>
    <w:rsid w:val="009C47B2"/>
    <w:rsid w:val="009C47F2"/>
    <w:rsid w:val="009C48C2"/>
    <w:rsid w:val="009C48EE"/>
    <w:rsid w:val="009C4963"/>
    <w:rsid w:val="009C49C8"/>
    <w:rsid w:val="009C4A2F"/>
    <w:rsid w:val="009C4A6E"/>
    <w:rsid w:val="009C4AB8"/>
    <w:rsid w:val="009C4B16"/>
    <w:rsid w:val="009C4B63"/>
    <w:rsid w:val="009C4C89"/>
    <w:rsid w:val="009C4C8D"/>
    <w:rsid w:val="009C4D65"/>
    <w:rsid w:val="009C4D70"/>
    <w:rsid w:val="009C4D94"/>
    <w:rsid w:val="009C4D9B"/>
    <w:rsid w:val="009C4EE1"/>
    <w:rsid w:val="009C4EE9"/>
    <w:rsid w:val="009C4F3C"/>
    <w:rsid w:val="009C4F41"/>
    <w:rsid w:val="009C4F68"/>
    <w:rsid w:val="009C5007"/>
    <w:rsid w:val="009C5063"/>
    <w:rsid w:val="009C50A1"/>
    <w:rsid w:val="009C50B6"/>
    <w:rsid w:val="009C516A"/>
    <w:rsid w:val="009C51D0"/>
    <w:rsid w:val="009C51EC"/>
    <w:rsid w:val="009C5290"/>
    <w:rsid w:val="009C5292"/>
    <w:rsid w:val="009C5326"/>
    <w:rsid w:val="009C53D1"/>
    <w:rsid w:val="009C5412"/>
    <w:rsid w:val="009C545D"/>
    <w:rsid w:val="009C549E"/>
    <w:rsid w:val="009C54DA"/>
    <w:rsid w:val="009C551E"/>
    <w:rsid w:val="009C553E"/>
    <w:rsid w:val="009C5563"/>
    <w:rsid w:val="009C5567"/>
    <w:rsid w:val="009C565F"/>
    <w:rsid w:val="009C5691"/>
    <w:rsid w:val="009C571D"/>
    <w:rsid w:val="009C58B1"/>
    <w:rsid w:val="009C58E6"/>
    <w:rsid w:val="009C5948"/>
    <w:rsid w:val="009C59F4"/>
    <w:rsid w:val="009C5A5E"/>
    <w:rsid w:val="009C5ACE"/>
    <w:rsid w:val="009C5BD3"/>
    <w:rsid w:val="009C5C69"/>
    <w:rsid w:val="009C5CF0"/>
    <w:rsid w:val="009C5CFA"/>
    <w:rsid w:val="009C5D0E"/>
    <w:rsid w:val="009C5D5E"/>
    <w:rsid w:val="009C5D7D"/>
    <w:rsid w:val="009C5D82"/>
    <w:rsid w:val="009C5DF9"/>
    <w:rsid w:val="009C5E84"/>
    <w:rsid w:val="009C5E90"/>
    <w:rsid w:val="009C5ED7"/>
    <w:rsid w:val="009C5F73"/>
    <w:rsid w:val="009C604E"/>
    <w:rsid w:val="009C6103"/>
    <w:rsid w:val="009C6140"/>
    <w:rsid w:val="009C625D"/>
    <w:rsid w:val="009C62E6"/>
    <w:rsid w:val="009C62EC"/>
    <w:rsid w:val="009C6304"/>
    <w:rsid w:val="009C6337"/>
    <w:rsid w:val="009C63EA"/>
    <w:rsid w:val="009C6465"/>
    <w:rsid w:val="009C64F2"/>
    <w:rsid w:val="009C64F3"/>
    <w:rsid w:val="009C6522"/>
    <w:rsid w:val="009C656A"/>
    <w:rsid w:val="009C65F9"/>
    <w:rsid w:val="009C6734"/>
    <w:rsid w:val="009C6771"/>
    <w:rsid w:val="009C6835"/>
    <w:rsid w:val="009C6840"/>
    <w:rsid w:val="009C689B"/>
    <w:rsid w:val="009C68E7"/>
    <w:rsid w:val="009C69A0"/>
    <w:rsid w:val="009C6A80"/>
    <w:rsid w:val="009C6B17"/>
    <w:rsid w:val="009C6BE6"/>
    <w:rsid w:val="009C6C0F"/>
    <w:rsid w:val="009C6C66"/>
    <w:rsid w:val="009C6C93"/>
    <w:rsid w:val="009C6CFE"/>
    <w:rsid w:val="009C6D73"/>
    <w:rsid w:val="009C6D82"/>
    <w:rsid w:val="009C6D84"/>
    <w:rsid w:val="009C6E82"/>
    <w:rsid w:val="009C6EAC"/>
    <w:rsid w:val="009C6F1E"/>
    <w:rsid w:val="009C6F7B"/>
    <w:rsid w:val="009C6F92"/>
    <w:rsid w:val="009C6FC7"/>
    <w:rsid w:val="009C707A"/>
    <w:rsid w:val="009C70D9"/>
    <w:rsid w:val="009C70E7"/>
    <w:rsid w:val="009C7119"/>
    <w:rsid w:val="009C7142"/>
    <w:rsid w:val="009C7295"/>
    <w:rsid w:val="009C733A"/>
    <w:rsid w:val="009C739F"/>
    <w:rsid w:val="009C73F6"/>
    <w:rsid w:val="009C7449"/>
    <w:rsid w:val="009C744A"/>
    <w:rsid w:val="009C751D"/>
    <w:rsid w:val="009C7605"/>
    <w:rsid w:val="009C768D"/>
    <w:rsid w:val="009C780D"/>
    <w:rsid w:val="009C787E"/>
    <w:rsid w:val="009C78CF"/>
    <w:rsid w:val="009C7937"/>
    <w:rsid w:val="009C7955"/>
    <w:rsid w:val="009C7992"/>
    <w:rsid w:val="009C79AE"/>
    <w:rsid w:val="009C7A29"/>
    <w:rsid w:val="009C7A52"/>
    <w:rsid w:val="009C7A8E"/>
    <w:rsid w:val="009C7A93"/>
    <w:rsid w:val="009C7B15"/>
    <w:rsid w:val="009C7B6B"/>
    <w:rsid w:val="009C7B7D"/>
    <w:rsid w:val="009C7BDD"/>
    <w:rsid w:val="009C7C62"/>
    <w:rsid w:val="009C7D21"/>
    <w:rsid w:val="009C7D43"/>
    <w:rsid w:val="009C7D81"/>
    <w:rsid w:val="009C7DA2"/>
    <w:rsid w:val="009C7DAB"/>
    <w:rsid w:val="009C7E03"/>
    <w:rsid w:val="009C7EAB"/>
    <w:rsid w:val="009C7FB4"/>
    <w:rsid w:val="009D0042"/>
    <w:rsid w:val="009D0059"/>
    <w:rsid w:val="009D0065"/>
    <w:rsid w:val="009D013B"/>
    <w:rsid w:val="009D0190"/>
    <w:rsid w:val="009D020F"/>
    <w:rsid w:val="009D0236"/>
    <w:rsid w:val="009D02A4"/>
    <w:rsid w:val="009D03A9"/>
    <w:rsid w:val="009D041C"/>
    <w:rsid w:val="009D04B8"/>
    <w:rsid w:val="009D04FB"/>
    <w:rsid w:val="009D05A4"/>
    <w:rsid w:val="009D0665"/>
    <w:rsid w:val="009D07CD"/>
    <w:rsid w:val="009D07F0"/>
    <w:rsid w:val="009D0810"/>
    <w:rsid w:val="009D0817"/>
    <w:rsid w:val="009D0862"/>
    <w:rsid w:val="009D0874"/>
    <w:rsid w:val="009D094D"/>
    <w:rsid w:val="009D09B7"/>
    <w:rsid w:val="009D0A66"/>
    <w:rsid w:val="009D0A7B"/>
    <w:rsid w:val="009D0A8A"/>
    <w:rsid w:val="009D0B54"/>
    <w:rsid w:val="009D0B86"/>
    <w:rsid w:val="009D0BC7"/>
    <w:rsid w:val="009D0C74"/>
    <w:rsid w:val="009D0D6C"/>
    <w:rsid w:val="009D0D7D"/>
    <w:rsid w:val="009D0DA9"/>
    <w:rsid w:val="009D0E11"/>
    <w:rsid w:val="009D0E22"/>
    <w:rsid w:val="009D0F4C"/>
    <w:rsid w:val="009D0F52"/>
    <w:rsid w:val="009D0F86"/>
    <w:rsid w:val="009D103E"/>
    <w:rsid w:val="009D1062"/>
    <w:rsid w:val="009D10A6"/>
    <w:rsid w:val="009D10B3"/>
    <w:rsid w:val="009D113C"/>
    <w:rsid w:val="009D1166"/>
    <w:rsid w:val="009D1180"/>
    <w:rsid w:val="009D12F9"/>
    <w:rsid w:val="009D130C"/>
    <w:rsid w:val="009D138A"/>
    <w:rsid w:val="009D148D"/>
    <w:rsid w:val="009D1513"/>
    <w:rsid w:val="009D1698"/>
    <w:rsid w:val="009D16ED"/>
    <w:rsid w:val="009D16F1"/>
    <w:rsid w:val="009D1756"/>
    <w:rsid w:val="009D177A"/>
    <w:rsid w:val="009D1781"/>
    <w:rsid w:val="009D1793"/>
    <w:rsid w:val="009D179A"/>
    <w:rsid w:val="009D17B9"/>
    <w:rsid w:val="009D1829"/>
    <w:rsid w:val="009D1879"/>
    <w:rsid w:val="009D18D5"/>
    <w:rsid w:val="009D1905"/>
    <w:rsid w:val="009D19B3"/>
    <w:rsid w:val="009D19C8"/>
    <w:rsid w:val="009D1A02"/>
    <w:rsid w:val="009D1A2A"/>
    <w:rsid w:val="009D1A73"/>
    <w:rsid w:val="009D1A79"/>
    <w:rsid w:val="009D1A82"/>
    <w:rsid w:val="009D1A9B"/>
    <w:rsid w:val="009D1ABA"/>
    <w:rsid w:val="009D1BA6"/>
    <w:rsid w:val="009D1BDB"/>
    <w:rsid w:val="009D1C28"/>
    <w:rsid w:val="009D1C58"/>
    <w:rsid w:val="009D1C85"/>
    <w:rsid w:val="009D1CCD"/>
    <w:rsid w:val="009D1DE6"/>
    <w:rsid w:val="009D1E76"/>
    <w:rsid w:val="009D1E9A"/>
    <w:rsid w:val="009D1ECA"/>
    <w:rsid w:val="009D1F48"/>
    <w:rsid w:val="009D1F60"/>
    <w:rsid w:val="009D1F7C"/>
    <w:rsid w:val="009D2028"/>
    <w:rsid w:val="009D2077"/>
    <w:rsid w:val="009D2149"/>
    <w:rsid w:val="009D214C"/>
    <w:rsid w:val="009D2155"/>
    <w:rsid w:val="009D220A"/>
    <w:rsid w:val="009D231E"/>
    <w:rsid w:val="009D2370"/>
    <w:rsid w:val="009D2393"/>
    <w:rsid w:val="009D239A"/>
    <w:rsid w:val="009D23F0"/>
    <w:rsid w:val="009D243B"/>
    <w:rsid w:val="009D2448"/>
    <w:rsid w:val="009D24A3"/>
    <w:rsid w:val="009D24D1"/>
    <w:rsid w:val="009D24DB"/>
    <w:rsid w:val="009D2535"/>
    <w:rsid w:val="009D2560"/>
    <w:rsid w:val="009D2565"/>
    <w:rsid w:val="009D260B"/>
    <w:rsid w:val="009D26C4"/>
    <w:rsid w:val="009D26F8"/>
    <w:rsid w:val="009D2720"/>
    <w:rsid w:val="009D2721"/>
    <w:rsid w:val="009D2808"/>
    <w:rsid w:val="009D2845"/>
    <w:rsid w:val="009D28AD"/>
    <w:rsid w:val="009D28F7"/>
    <w:rsid w:val="009D28FC"/>
    <w:rsid w:val="009D291F"/>
    <w:rsid w:val="009D2922"/>
    <w:rsid w:val="009D2956"/>
    <w:rsid w:val="009D298A"/>
    <w:rsid w:val="009D2AA6"/>
    <w:rsid w:val="009D2AD9"/>
    <w:rsid w:val="009D2ADE"/>
    <w:rsid w:val="009D2B34"/>
    <w:rsid w:val="009D2CBB"/>
    <w:rsid w:val="009D2CC8"/>
    <w:rsid w:val="009D2D18"/>
    <w:rsid w:val="009D2D49"/>
    <w:rsid w:val="009D2D8E"/>
    <w:rsid w:val="009D2DAB"/>
    <w:rsid w:val="009D2E56"/>
    <w:rsid w:val="009D2E9F"/>
    <w:rsid w:val="009D2EFB"/>
    <w:rsid w:val="009D2EFC"/>
    <w:rsid w:val="009D2F75"/>
    <w:rsid w:val="009D3086"/>
    <w:rsid w:val="009D30CF"/>
    <w:rsid w:val="009D30D5"/>
    <w:rsid w:val="009D30FF"/>
    <w:rsid w:val="009D315C"/>
    <w:rsid w:val="009D31B5"/>
    <w:rsid w:val="009D31CF"/>
    <w:rsid w:val="009D323F"/>
    <w:rsid w:val="009D3272"/>
    <w:rsid w:val="009D32CD"/>
    <w:rsid w:val="009D3301"/>
    <w:rsid w:val="009D333B"/>
    <w:rsid w:val="009D3346"/>
    <w:rsid w:val="009D3441"/>
    <w:rsid w:val="009D356D"/>
    <w:rsid w:val="009D3579"/>
    <w:rsid w:val="009D359D"/>
    <w:rsid w:val="009D3645"/>
    <w:rsid w:val="009D3741"/>
    <w:rsid w:val="009D379A"/>
    <w:rsid w:val="009D38F1"/>
    <w:rsid w:val="009D3906"/>
    <w:rsid w:val="009D392D"/>
    <w:rsid w:val="009D3960"/>
    <w:rsid w:val="009D39E5"/>
    <w:rsid w:val="009D3A35"/>
    <w:rsid w:val="009D3A90"/>
    <w:rsid w:val="009D3B7F"/>
    <w:rsid w:val="009D3B94"/>
    <w:rsid w:val="009D3C09"/>
    <w:rsid w:val="009D3C4B"/>
    <w:rsid w:val="009D3C7A"/>
    <w:rsid w:val="009D3CF6"/>
    <w:rsid w:val="009D3D69"/>
    <w:rsid w:val="009D3ECF"/>
    <w:rsid w:val="009D3F40"/>
    <w:rsid w:val="009D3F69"/>
    <w:rsid w:val="009D3FE4"/>
    <w:rsid w:val="009D4068"/>
    <w:rsid w:val="009D4081"/>
    <w:rsid w:val="009D4093"/>
    <w:rsid w:val="009D41A2"/>
    <w:rsid w:val="009D41D9"/>
    <w:rsid w:val="009D426C"/>
    <w:rsid w:val="009D42FF"/>
    <w:rsid w:val="009D4395"/>
    <w:rsid w:val="009D43E0"/>
    <w:rsid w:val="009D4410"/>
    <w:rsid w:val="009D444B"/>
    <w:rsid w:val="009D4494"/>
    <w:rsid w:val="009D44AB"/>
    <w:rsid w:val="009D4569"/>
    <w:rsid w:val="009D4577"/>
    <w:rsid w:val="009D4591"/>
    <w:rsid w:val="009D45B8"/>
    <w:rsid w:val="009D4611"/>
    <w:rsid w:val="009D4612"/>
    <w:rsid w:val="009D4629"/>
    <w:rsid w:val="009D4686"/>
    <w:rsid w:val="009D4721"/>
    <w:rsid w:val="009D476F"/>
    <w:rsid w:val="009D4817"/>
    <w:rsid w:val="009D482B"/>
    <w:rsid w:val="009D49F4"/>
    <w:rsid w:val="009D4A17"/>
    <w:rsid w:val="009D4A71"/>
    <w:rsid w:val="009D4B03"/>
    <w:rsid w:val="009D4B4F"/>
    <w:rsid w:val="009D4B81"/>
    <w:rsid w:val="009D4BC5"/>
    <w:rsid w:val="009D4C15"/>
    <w:rsid w:val="009D4C16"/>
    <w:rsid w:val="009D4CB2"/>
    <w:rsid w:val="009D4D8D"/>
    <w:rsid w:val="009D4EFE"/>
    <w:rsid w:val="009D4F14"/>
    <w:rsid w:val="009D4F29"/>
    <w:rsid w:val="009D4F46"/>
    <w:rsid w:val="009D50EB"/>
    <w:rsid w:val="009D51BE"/>
    <w:rsid w:val="009D522A"/>
    <w:rsid w:val="009D5376"/>
    <w:rsid w:val="009D540C"/>
    <w:rsid w:val="009D5468"/>
    <w:rsid w:val="009D547E"/>
    <w:rsid w:val="009D550E"/>
    <w:rsid w:val="009D5539"/>
    <w:rsid w:val="009D55B2"/>
    <w:rsid w:val="009D55B8"/>
    <w:rsid w:val="009D5662"/>
    <w:rsid w:val="009D569F"/>
    <w:rsid w:val="009D56CC"/>
    <w:rsid w:val="009D56DD"/>
    <w:rsid w:val="009D575E"/>
    <w:rsid w:val="009D5768"/>
    <w:rsid w:val="009D57CF"/>
    <w:rsid w:val="009D580F"/>
    <w:rsid w:val="009D5836"/>
    <w:rsid w:val="009D583D"/>
    <w:rsid w:val="009D584F"/>
    <w:rsid w:val="009D58CE"/>
    <w:rsid w:val="009D5902"/>
    <w:rsid w:val="009D59D3"/>
    <w:rsid w:val="009D5A02"/>
    <w:rsid w:val="009D5A6B"/>
    <w:rsid w:val="009D5A95"/>
    <w:rsid w:val="009D5BE1"/>
    <w:rsid w:val="009D5C3C"/>
    <w:rsid w:val="009D5C4D"/>
    <w:rsid w:val="009D5CA1"/>
    <w:rsid w:val="009D5D90"/>
    <w:rsid w:val="009D5DD3"/>
    <w:rsid w:val="009D5E5F"/>
    <w:rsid w:val="009D5E8F"/>
    <w:rsid w:val="009D5E9B"/>
    <w:rsid w:val="009D5E9E"/>
    <w:rsid w:val="009D5FB2"/>
    <w:rsid w:val="009D6020"/>
    <w:rsid w:val="009D6051"/>
    <w:rsid w:val="009D6104"/>
    <w:rsid w:val="009D615E"/>
    <w:rsid w:val="009D61A1"/>
    <w:rsid w:val="009D61C0"/>
    <w:rsid w:val="009D61C6"/>
    <w:rsid w:val="009D61EF"/>
    <w:rsid w:val="009D620B"/>
    <w:rsid w:val="009D626A"/>
    <w:rsid w:val="009D631D"/>
    <w:rsid w:val="009D64D6"/>
    <w:rsid w:val="009D64E2"/>
    <w:rsid w:val="009D650D"/>
    <w:rsid w:val="009D6542"/>
    <w:rsid w:val="009D656C"/>
    <w:rsid w:val="009D657E"/>
    <w:rsid w:val="009D65DF"/>
    <w:rsid w:val="009D6616"/>
    <w:rsid w:val="009D66EF"/>
    <w:rsid w:val="009D670C"/>
    <w:rsid w:val="009D673B"/>
    <w:rsid w:val="009D674D"/>
    <w:rsid w:val="009D67B7"/>
    <w:rsid w:val="009D67F9"/>
    <w:rsid w:val="009D6803"/>
    <w:rsid w:val="009D680F"/>
    <w:rsid w:val="009D688A"/>
    <w:rsid w:val="009D68E4"/>
    <w:rsid w:val="009D6966"/>
    <w:rsid w:val="009D699A"/>
    <w:rsid w:val="009D6A20"/>
    <w:rsid w:val="009D6A7B"/>
    <w:rsid w:val="009D6B70"/>
    <w:rsid w:val="009D6BCF"/>
    <w:rsid w:val="009D6BEE"/>
    <w:rsid w:val="009D6C45"/>
    <w:rsid w:val="009D6D85"/>
    <w:rsid w:val="009D6E52"/>
    <w:rsid w:val="009D6EA2"/>
    <w:rsid w:val="009D6F18"/>
    <w:rsid w:val="009D6F3E"/>
    <w:rsid w:val="009D6F5C"/>
    <w:rsid w:val="009D6F5F"/>
    <w:rsid w:val="009D6F62"/>
    <w:rsid w:val="009D6F98"/>
    <w:rsid w:val="009D6FFB"/>
    <w:rsid w:val="009D7115"/>
    <w:rsid w:val="009D71AC"/>
    <w:rsid w:val="009D71BA"/>
    <w:rsid w:val="009D71E3"/>
    <w:rsid w:val="009D723E"/>
    <w:rsid w:val="009D7288"/>
    <w:rsid w:val="009D72C3"/>
    <w:rsid w:val="009D732C"/>
    <w:rsid w:val="009D739D"/>
    <w:rsid w:val="009D7523"/>
    <w:rsid w:val="009D7525"/>
    <w:rsid w:val="009D75B5"/>
    <w:rsid w:val="009D762E"/>
    <w:rsid w:val="009D7637"/>
    <w:rsid w:val="009D76CD"/>
    <w:rsid w:val="009D778E"/>
    <w:rsid w:val="009D7844"/>
    <w:rsid w:val="009D7855"/>
    <w:rsid w:val="009D794F"/>
    <w:rsid w:val="009D7989"/>
    <w:rsid w:val="009D79D5"/>
    <w:rsid w:val="009D7A62"/>
    <w:rsid w:val="009D7B7C"/>
    <w:rsid w:val="009D7B88"/>
    <w:rsid w:val="009D7BD6"/>
    <w:rsid w:val="009D7BE0"/>
    <w:rsid w:val="009D7BE3"/>
    <w:rsid w:val="009D7BFF"/>
    <w:rsid w:val="009D7C51"/>
    <w:rsid w:val="009D7C9B"/>
    <w:rsid w:val="009D7D4C"/>
    <w:rsid w:val="009D7D69"/>
    <w:rsid w:val="009D7E15"/>
    <w:rsid w:val="009D7FC6"/>
    <w:rsid w:val="009E0143"/>
    <w:rsid w:val="009E01EE"/>
    <w:rsid w:val="009E0293"/>
    <w:rsid w:val="009E034B"/>
    <w:rsid w:val="009E03A5"/>
    <w:rsid w:val="009E041E"/>
    <w:rsid w:val="009E0497"/>
    <w:rsid w:val="009E04A1"/>
    <w:rsid w:val="009E04BA"/>
    <w:rsid w:val="009E04D7"/>
    <w:rsid w:val="009E0528"/>
    <w:rsid w:val="009E05A4"/>
    <w:rsid w:val="009E062B"/>
    <w:rsid w:val="009E06FE"/>
    <w:rsid w:val="009E0795"/>
    <w:rsid w:val="009E07B1"/>
    <w:rsid w:val="009E07B3"/>
    <w:rsid w:val="009E07DC"/>
    <w:rsid w:val="009E081E"/>
    <w:rsid w:val="009E0864"/>
    <w:rsid w:val="009E0906"/>
    <w:rsid w:val="009E090B"/>
    <w:rsid w:val="009E0921"/>
    <w:rsid w:val="009E094F"/>
    <w:rsid w:val="009E0977"/>
    <w:rsid w:val="009E09AD"/>
    <w:rsid w:val="009E0A3B"/>
    <w:rsid w:val="009E0A65"/>
    <w:rsid w:val="009E0AAF"/>
    <w:rsid w:val="009E0AC9"/>
    <w:rsid w:val="009E0B9F"/>
    <w:rsid w:val="009E0BB7"/>
    <w:rsid w:val="009E0BEF"/>
    <w:rsid w:val="009E0C8D"/>
    <w:rsid w:val="009E0CCB"/>
    <w:rsid w:val="009E0D17"/>
    <w:rsid w:val="009E0D65"/>
    <w:rsid w:val="009E0D73"/>
    <w:rsid w:val="009E0DB6"/>
    <w:rsid w:val="009E0E15"/>
    <w:rsid w:val="009E0E30"/>
    <w:rsid w:val="009E0E3F"/>
    <w:rsid w:val="009E0E4A"/>
    <w:rsid w:val="009E0E5E"/>
    <w:rsid w:val="009E0E6B"/>
    <w:rsid w:val="009E0EB5"/>
    <w:rsid w:val="009E0F31"/>
    <w:rsid w:val="009E0F6A"/>
    <w:rsid w:val="009E1003"/>
    <w:rsid w:val="009E1132"/>
    <w:rsid w:val="009E115B"/>
    <w:rsid w:val="009E1166"/>
    <w:rsid w:val="009E118C"/>
    <w:rsid w:val="009E1222"/>
    <w:rsid w:val="009E1274"/>
    <w:rsid w:val="009E1290"/>
    <w:rsid w:val="009E13A1"/>
    <w:rsid w:val="009E13AE"/>
    <w:rsid w:val="009E13DB"/>
    <w:rsid w:val="009E13F5"/>
    <w:rsid w:val="009E1407"/>
    <w:rsid w:val="009E1419"/>
    <w:rsid w:val="009E145F"/>
    <w:rsid w:val="009E15D6"/>
    <w:rsid w:val="009E15DB"/>
    <w:rsid w:val="009E166F"/>
    <w:rsid w:val="009E17B2"/>
    <w:rsid w:val="009E17C5"/>
    <w:rsid w:val="009E17F0"/>
    <w:rsid w:val="009E183E"/>
    <w:rsid w:val="009E187B"/>
    <w:rsid w:val="009E189D"/>
    <w:rsid w:val="009E1980"/>
    <w:rsid w:val="009E19FF"/>
    <w:rsid w:val="009E1A42"/>
    <w:rsid w:val="009E1A5F"/>
    <w:rsid w:val="009E1AC3"/>
    <w:rsid w:val="009E1AD2"/>
    <w:rsid w:val="009E1AD6"/>
    <w:rsid w:val="009E1AF6"/>
    <w:rsid w:val="009E1AF7"/>
    <w:rsid w:val="009E1B19"/>
    <w:rsid w:val="009E1B7D"/>
    <w:rsid w:val="009E1BAB"/>
    <w:rsid w:val="009E1BC4"/>
    <w:rsid w:val="009E1CEC"/>
    <w:rsid w:val="009E1D1A"/>
    <w:rsid w:val="009E1E4D"/>
    <w:rsid w:val="009E1E5C"/>
    <w:rsid w:val="009E1E73"/>
    <w:rsid w:val="009E1ED0"/>
    <w:rsid w:val="009E1EEE"/>
    <w:rsid w:val="009E1F08"/>
    <w:rsid w:val="009E1F13"/>
    <w:rsid w:val="009E1FCF"/>
    <w:rsid w:val="009E2098"/>
    <w:rsid w:val="009E214A"/>
    <w:rsid w:val="009E21AA"/>
    <w:rsid w:val="009E221A"/>
    <w:rsid w:val="009E224F"/>
    <w:rsid w:val="009E2293"/>
    <w:rsid w:val="009E22E2"/>
    <w:rsid w:val="009E2301"/>
    <w:rsid w:val="009E237B"/>
    <w:rsid w:val="009E238E"/>
    <w:rsid w:val="009E23A3"/>
    <w:rsid w:val="009E24BA"/>
    <w:rsid w:val="009E251E"/>
    <w:rsid w:val="009E257B"/>
    <w:rsid w:val="009E2597"/>
    <w:rsid w:val="009E25B6"/>
    <w:rsid w:val="009E262A"/>
    <w:rsid w:val="009E2707"/>
    <w:rsid w:val="009E2709"/>
    <w:rsid w:val="009E2749"/>
    <w:rsid w:val="009E2793"/>
    <w:rsid w:val="009E27B8"/>
    <w:rsid w:val="009E280E"/>
    <w:rsid w:val="009E2816"/>
    <w:rsid w:val="009E2856"/>
    <w:rsid w:val="009E285D"/>
    <w:rsid w:val="009E28B2"/>
    <w:rsid w:val="009E2908"/>
    <w:rsid w:val="009E29AB"/>
    <w:rsid w:val="009E29CF"/>
    <w:rsid w:val="009E29FF"/>
    <w:rsid w:val="009E2A38"/>
    <w:rsid w:val="009E2A43"/>
    <w:rsid w:val="009E2AA2"/>
    <w:rsid w:val="009E2ACE"/>
    <w:rsid w:val="009E2BDF"/>
    <w:rsid w:val="009E2C08"/>
    <w:rsid w:val="009E2C23"/>
    <w:rsid w:val="009E2C7E"/>
    <w:rsid w:val="009E2D06"/>
    <w:rsid w:val="009E2DAC"/>
    <w:rsid w:val="009E2DC2"/>
    <w:rsid w:val="009E2E19"/>
    <w:rsid w:val="009E2E73"/>
    <w:rsid w:val="009E2EB5"/>
    <w:rsid w:val="009E2FB0"/>
    <w:rsid w:val="009E301B"/>
    <w:rsid w:val="009E3050"/>
    <w:rsid w:val="009E3088"/>
    <w:rsid w:val="009E308A"/>
    <w:rsid w:val="009E308B"/>
    <w:rsid w:val="009E30BB"/>
    <w:rsid w:val="009E3126"/>
    <w:rsid w:val="009E3150"/>
    <w:rsid w:val="009E31C6"/>
    <w:rsid w:val="009E336A"/>
    <w:rsid w:val="009E33B7"/>
    <w:rsid w:val="009E35AB"/>
    <w:rsid w:val="009E360D"/>
    <w:rsid w:val="009E3628"/>
    <w:rsid w:val="009E3636"/>
    <w:rsid w:val="009E3672"/>
    <w:rsid w:val="009E370E"/>
    <w:rsid w:val="009E371B"/>
    <w:rsid w:val="009E3751"/>
    <w:rsid w:val="009E37B4"/>
    <w:rsid w:val="009E37E5"/>
    <w:rsid w:val="009E380C"/>
    <w:rsid w:val="009E384A"/>
    <w:rsid w:val="009E3874"/>
    <w:rsid w:val="009E3980"/>
    <w:rsid w:val="009E398B"/>
    <w:rsid w:val="009E39D6"/>
    <w:rsid w:val="009E3B46"/>
    <w:rsid w:val="009E3BDD"/>
    <w:rsid w:val="009E3C0E"/>
    <w:rsid w:val="009E3C99"/>
    <w:rsid w:val="009E3C9F"/>
    <w:rsid w:val="009E3CEF"/>
    <w:rsid w:val="009E3D09"/>
    <w:rsid w:val="009E3D10"/>
    <w:rsid w:val="009E3D33"/>
    <w:rsid w:val="009E3D53"/>
    <w:rsid w:val="009E3D74"/>
    <w:rsid w:val="009E3D93"/>
    <w:rsid w:val="009E3DB8"/>
    <w:rsid w:val="009E3DD1"/>
    <w:rsid w:val="009E3DED"/>
    <w:rsid w:val="009E3E9B"/>
    <w:rsid w:val="009E3EAE"/>
    <w:rsid w:val="009E3F03"/>
    <w:rsid w:val="009E3F19"/>
    <w:rsid w:val="009E3F1D"/>
    <w:rsid w:val="009E3FA9"/>
    <w:rsid w:val="009E3FE9"/>
    <w:rsid w:val="009E413A"/>
    <w:rsid w:val="009E416B"/>
    <w:rsid w:val="009E416E"/>
    <w:rsid w:val="009E41B0"/>
    <w:rsid w:val="009E4239"/>
    <w:rsid w:val="009E426B"/>
    <w:rsid w:val="009E42C8"/>
    <w:rsid w:val="009E42F1"/>
    <w:rsid w:val="009E42FE"/>
    <w:rsid w:val="009E4341"/>
    <w:rsid w:val="009E43A4"/>
    <w:rsid w:val="009E43BC"/>
    <w:rsid w:val="009E43C6"/>
    <w:rsid w:val="009E4405"/>
    <w:rsid w:val="009E4406"/>
    <w:rsid w:val="009E4467"/>
    <w:rsid w:val="009E44A1"/>
    <w:rsid w:val="009E44FA"/>
    <w:rsid w:val="009E4502"/>
    <w:rsid w:val="009E45AC"/>
    <w:rsid w:val="009E45DC"/>
    <w:rsid w:val="009E45E4"/>
    <w:rsid w:val="009E4675"/>
    <w:rsid w:val="009E468C"/>
    <w:rsid w:val="009E46E4"/>
    <w:rsid w:val="009E4774"/>
    <w:rsid w:val="009E4793"/>
    <w:rsid w:val="009E47A8"/>
    <w:rsid w:val="009E482D"/>
    <w:rsid w:val="009E4830"/>
    <w:rsid w:val="009E4833"/>
    <w:rsid w:val="009E4837"/>
    <w:rsid w:val="009E483A"/>
    <w:rsid w:val="009E484F"/>
    <w:rsid w:val="009E4933"/>
    <w:rsid w:val="009E49EC"/>
    <w:rsid w:val="009E49F5"/>
    <w:rsid w:val="009E4AB3"/>
    <w:rsid w:val="009E4AB4"/>
    <w:rsid w:val="009E4B42"/>
    <w:rsid w:val="009E4CAA"/>
    <w:rsid w:val="009E4CD4"/>
    <w:rsid w:val="009E4CF2"/>
    <w:rsid w:val="009E4D5E"/>
    <w:rsid w:val="009E4D6E"/>
    <w:rsid w:val="009E4D88"/>
    <w:rsid w:val="009E4D98"/>
    <w:rsid w:val="009E4DC3"/>
    <w:rsid w:val="009E4E0D"/>
    <w:rsid w:val="009E4E54"/>
    <w:rsid w:val="009E4E9C"/>
    <w:rsid w:val="009E4EED"/>
    <w:rsid w:val="009E4F95"/>
    <w:rsid w:val="009E4FBD"/>
    <w:rsid w:val="009E5177"/>
    <w:rsid w:val="009E51B6"/>
    <w:rsid w:val="009E51BB"/>
    <w:rsid w:val="009E5230"/>
    <w:rsid w:val="009E530D"/>
    <w:rsid w:val="009E53BA"/>
    <w:rsid w:val="009E53E9"/>
    <w:rsid w:val="009E53F1"/>
    <w:rsid w:val="009E5465"/>
    <w:rsid w:val="009E5480"/>
    <w:rsid w:val="009E54D2"/>
    <w:rsid w:val="009E54F8"/>
    <w:rsid w:val="009E54FC"/>
    <w:rsid w:val="009E5572"/>
    <w:rsid w:val="009E55CE"/>
    <w:rsid w:val="009E565D"/>
    <w:rsid w:val="009E5671"/>
    <w:rsid w:val="009E56DB"/>
    <w:rsid w:val="009E56EF"/>
    <w:rsid w:val="009E5879"/>
    <w:rsid w:val="009E5922"/>
    <w:rsid w:val="009E5947"/>
    <w:rsid w:val="009E59D1"/>
    <w:rsid w:val="009E59D6"/>
    <w:rsid w:val="009E5A10"/>
    <w:rsid w:val="009E5A23"/>
    <w:rsid w:val="009E5A29"/>
    <w:rsid w:val="009E5A5B"/>
    <w:rsid w:val="009E5AED"/>
    <w:rsid w:val="009E5B45"/>
    <w:rsid w:val="009E5B9D"/>
    <w:rsid w:val="009E5C03"/>
    <w:rsid w:val="009E5C09"/>
    <w:rsid w:val="009E5CCB"/>
    <w:rsid w:val="009E5D6F"/>
    <w:rsid w:val="009E5D7E"/>
    <w:rsid w:val="009E5DA8"/>
    <w:rsid w:val="009E5E43"/>
    <w:rsid w:val="009E5EAC"/>
    <w:rsid w:val="009E5F42"/>
    <w:rsid w:val="009E5F54"/>
    <w:rsid w:val="009E6008"/>
    <w:rsid w:val="009E6019"/>
    <w:rsid w:val="009E601A"/>
    <w:rsid w:val="009E605A"/>
    <w:rsid w:val="009E609E"/>
    <w:rsid w:val="009E60B5"/>
    <w:rsid w:val="009E612A"/>
    <w:rsid w:val="009E612B"/>
    <w:rsid w:val="009E6140"/>
    <w:rsid w:val="009E617C"/>
    <w:rsid w:val="009E61A6"/>
    <w:rsid w:val="009E61D7"/>
    <w:rsid w:val="009E6253"/>
    <w:rsid w:val="009E6344"/>
    <w:rsid w:val="009E637B"/>
    <w:rsid w:val="009E63F8"/>
    <w:rsid w:val="009E63FA"/>
    <w:rsid w:val="009E648C"/>
    <w:rsid w:val="009E652C"/>
    <w:rsid w:val="009E652E"/>
    <w:rsid w:val="009E6531"/>
    <w:rsid w:val="009E6553"/>
    <w:rsid w:val="009E659B"/>
    <w:rsid w:val="009E65E2"/>
    <w:rsid w:val="009E660A"/>
    <w:rsid w:val="009E6698"/>
    <w:rsid w:val="009E6781"/>
    <w:rsid w:val="009E67DF"/>
    <w:rsid w:val="009E67F3"/>
    <w:rsid w:val="009E680C"/>
    <w:rsid w:val="009E6825"/>
    <w:rsid w:val="009E68AF"/>
    <w:rsid w:val="009E6A0D"/>
    <w:rsid w:val="009E6B17"/>
    <w:rsid w:val="009E6C3A"/>
    <w:rsid w:val="009E6C88"/>
    <w:rsid w:val="009E6D0D"/>
    <w:rsid w:val="009E6D46"/>
    <w:rsid w:val="009E6D50"/>
    <w:rsid w:val="009E6D6A"/>
    <w:rsid w:val="009E6DAF"/>
    <w:rsid w:val="009E6E82"/>
    <w:rsid w:val="009E6EAA"/>
    <w:rsid w:val="009E6F52"/>
    <w:rsid w:val="009E6FD3"/>
    <w:rsid w:val="009E7013"/>
    <w:rsid w:val="009E706D"/>
    <w:rsid w:val="009E70CA"/>
    <w:rsid w:val="009E70FB"/>
    <w:rsid w:val="009E7157"/>
    <w:rsid w:val="009E71A0"/>
    <w:rsid w:val="009E71E2"/>
    <w:rsid w:val="009E7225"/>
    <w:rsid w:val="009E722C"/>
    <w:rsid w:val="009E7247"/>
    <w:rsid w:val="009E72A0"/>
    <w:rsid w:val="009E730E"/>
    <w:rsid w:val="009E73B1"/>
    <w:rsid w:val="009E73B3"/>
    <w:rsid w:val="009E73D7"/>
    <w:rsid w:val="009E73EB"/>
    <w:rsid w:val="009E741E"/>
    <w:rsid w:val="009E7440"/>
    <w:rsid w:val="009E74BF"/>
    <w:rsid w:val="009E74C4"/>
    <w:rsid w:val="009E74D1"/>
    <w:rsid w:val="009E766F"/>
    <w:rsid w:val="009E7680"/>
    <w:rsid w:val="009E7714"/>
    <w:rsid w:val="009E7773"/>
    <w:rsid w:val="009E778C"/>
    <w:rsid w:val="009E77A3"/>
    <w:rsid w:val="009E77FC"/>
    <w:rsid w:val="009E7803"/>
    <w:rsid w:val="009E78BF"/>
    <w:rsid w:val="009E791B"/>
    <w:rsid w:val="009E7931"/>
    <w:rsid w:val="009E794E"/>
    <w:rsid w:val="009E79D3"/>
    <w:rsid w:val="009E7A44"/>
    <w:rsid w:val="009E7A4D"/>
    <w:rsid w:val="009E7AB7"/>
    <w:rsid w:val="009E7B03"/>
    <w:rsid w:val="009E7C28"/>
    <w:rsid w:val="009E7D36"/>
    <w:rsid w:val="009E7D40"/>
    <w:rsid w:val="009E7DB4"/>
    <w:rsid w:val="009E7E3A"/>
    <w:rsid w:val="009E7E6E"/>
    <w:rsid w:val="009E7E83"/>
    <w:rsid w:val="009E7EF5"/>
    <w:rsid w:val="009E7F86"/>
    <w:rsid w:val="009F0009"/>
    <w:rsid w:val="009F0050"/>
    <w:rsid w:val="009F0129"/>
    <w:rsid w:val="009F018C"/>
    <w:rsid w:val="009F01B3"/>
    <w:rsid w:val="009F01E7"/>
    <w:rsid w:val="009F0237"/>
    <w:rsid w:val="009F0239"/>
    <w:rsid w:val="009F02B5"/>
    <w:rsid w:val="009F02F1"/>
    <w:rsid w:val="009F03FC"/>
    <w:rsid w:val="009F0402"/>
    <w:rsid w:val="009F0410"/>
    <w:rsid w:val="009F0467"/>
    <w:rsid w:val="009F0472"/>
    <w:rsid w:val="009F057C"/>
    <w:rsid w:val="009F07B5"/>
    <w:rsid w:val="009F07D1"/>
    <w:rsid w:val="009F07E4"/>
    <w:rsid w:val="009F07EE"/>
    <w:rsid w:val="009F08AB"/>
    <w:rsid w:val="009F08FC"/>
    <w:rsid w:val="009F0965"/>
    <w:rsid w:val="009F096D"/>
    <w:rsid w:val="009F09F4"/>
    <w:rsid w:val="009F0A13"/>
    <w:rsid w:val="009F0A20"/>
    <w:rsid w:val="009F0B7C"/>
    <w:rsid w:val="009F0B87"/>
    <w:rsid w:val="009F0B89"/>
    <w:rsid w:val="009F0BB8"/>
    <w:rsid w:val="009F0C35"/>
    <w:rsid w:val="009F0C68"/>
    <w:rsid w:val="009F0CCD"/>
    <w:rsid w:val="009F0D35"/>
    <w:rsid w:val="009F0D6E"/>
    <w:rsid w:val="009F0DC8"/>
    <w:rsid w:val="009F0DF0"/>
    <w:rsid w:val="009F0EA0"/>
    <w:rsid w:val="009F0FB2"/>
    <w:rsid w:val="009F1050"/>
    <w:rsid w:val="009F115D"/>
    <w:rsid w:val="009F1165"/>
    <w:rsid w:val="009F120C"/>
    <w:rsid w:val="009F1212"/>
    <w:rsid w:val="009F1272"/>
    <w:rsid w:val="009F12F6"/>
    <w:rsid w:val="009F1310"/>
    <w:rsid w:val="009F136C"/>
    <w:rsid w:val="009F13A1"/>
    <w:rsid w:val="009F1467"/>
    <w:rsid w:val="009F155B"/>
    <w:rsid w:val="009F1576"/>
    <w:rsid w:val="009F1591"/>
    <w:rsid w:val="009F15DC"/>
    <w:rsid w:val="009F1603"/>
    <w:rsid w:val="009F1643"/>
    <w:rsid w:val="009F1650"/>
    <w:rsid w:val="009F1679"/>
    <w:rsid w:val="009F16BC"/>
    <w:rsid w:val="009F16BF"/>
    <w:rsid w:val="009F171F"/>
    <w:rsid w:val="009F18BF"/>
    <w:rsid w:val="009F18CC"/>
    <w:rsid w:val="009F1903"/>
    <w:rsid w:val="009F19C1"/>
    <w:rsid w:val="009F1A69"/>
    <w:rsid w:val="009F1AAF"/>
    <w:rsid w:val="009F1AC6"/>
    <w:rsid w:val="009F1ADB"/>
    <w:rsid w:val="009F1B56"/>
    <w:rsid w:val="009F1C14"/>
    <w:rsid w:val="009F1C4A"/>
    <w:rsid w:val="009F1D2E"/>
    <w:rsid w:val="009F1E67"/>
    <w:rsid w:val="009F1E85"/>
    <w:rsid w:val="009F1EEA"/>
    <w:rsid w:val="009F1F31"/>
    <w:rsid w:val="009F1F7D"/>
    <w:rsid w:val="009F1F7F"/>
    <w:rsid w:val="009F1FE3"/>
    <w:rsid w:val="009F20D8"/>
    <w:rsid w:val="009F20FC"/>
    <w:rsid w:val="009F2103"/>
    <w:rsid w:val="009F219A"/>
    <w:rsid w:val="009F2207"/>
    <w:rsid w:val="009F2210"/>
    <w:rsid w:val="009F2329"/>
    <w:rsid w:val="009F23B7"/>
    <w:rsid w:val="009F240E"/>
    <w:rsid w:val="009F2470"/>
    <w:rsid w:val="009F2499"/>
    <w:rsid w:val="009F24FB"/>
    <w:rsid w:val="009F2608"/>
    <w:rsid w:val="009F2665"/>
    <w:rsid w:val="009F26B0"/>
    <w:rsid w:val="009F273F"/>
    <w:rsid w:val="009F2767"/>
    <w:rsid w:val="009F2782"/>
    <w:rsid w:val="009F2784"/>
    <w:rsid w:val="009F2869"/>
    <w:rsid w:val="009F2950"/>
    <w:rsid w:val="009F29C8"/>
    <w:rsid w:val="009F2A25"/>
    <w:rsid w:val="009F2ACD"/>
    <w:rsid w:val="009F2AD8"/>
    <w:rsid w:val="009F2B30"/>
    <w:rsid w:val="009F2BFE"/>
    <w:rsid w:val="009F2C58"/>
    <w:rsid w:val="009F2CC0"/>
    <w:rsid w:val="009F2CDC"/>
    <w:rsid w:val="009F2D8A"/>
    <w:rsid w:val="009F2DE7"/>
    <w:rsid w:val="009F2E2A"/>
    <w:rsid w:val="009F2E76"/>
    <w:rsid w:val="009F2EF2"/>
    <w:rsid w:val="009F2F23"/>
    <w:rsid w:val="009F2F32"/>
    <w:rsid w:val="009F2F4A"/>
    <w:rsid w:val="009F2F79"/>
    <w:rsid w:val="009F2FE4"/>
    <w:rsid w:val="009F2FF3"/>
    <w:rsid w:val="009F311C"/>
    <w:rsid w:val="009F316C"/>
    <w:rsid w:val="009F3175"/>
    <w:rsid w:val="009F31A0"/>
    <w:rsid w:val="009F31E4"/>
    <w:rsid w:val="009F31F8"/>
    <w:rsid w:val="009F3202"/>
    <w:rsid w:val="009F3234"/>
    <w:rsid w:val="009F3249"/>
    <w:rsid w:val="009F3252"/>
    <w:rsid w:val="009F329D"/>
    <w:rsid w:val="009F329F"/>
    <w:rsid w:val="009F3324"/>
    <w:rsid w:val="009F3370"/>
    <w:rsid w:val="009F33C5"/>
    <w:rsid w:val="009F33E6"/>
    <w:rsid w:val="009F33F3"/>
    <w:rsid w:val="009F3497"/>
    <w:rsid w:val="009F34CE"/>
    <w:rsid w:val="009F3552"/>
    <w:rsid w:val="009F3597"/>
    <w:rsid w:val="009F35E0"/>
    <w:rsid w:val="009F361C"/>
    <w:rsid w:val="009F3630"/>
    <w:rsid w:val="009F373D"/>
    <w:rsid w:val="009F37A8"/>
    <w:rsid w:val="009F3875"/>
    <w:rsid w:val="009F38E1"/>
    <w:rsid w:val="009F3932"/>
    <w:rsid w:val="009F39AE"/>
    <w:rsid w:val="009F39EA"/>
    <w:rsid w:val="009F3A42"/>
    <w:rsid w:val="009F3AAA"/>
    <w:rsid w:val="009F3C28"/>
    <w:rsid w:val="009F3C5F"/>
    <w:rsid w:val="009F3D39"/>
    <w:rsid w:val="009F3E85"/>
    <w:rsid w:val="009F3E92"/>
    <w:rsid w:val="009F3E93"/>
    <w:rsid w:val="009F3ED7"/>
    <w:rsid w:val="009F3EEA"/>
    <w:rsid w:val="009F4060"/>
    <w:rsid w:val="009F4066"/>
    <w:rsid w:val="009F406E"/>
    <w:rsid w:val="009F4076"/>
    <w:rsid w:val="009F40FC"/>
    <w:rsid w:val="009F417F"/>
    <w:rsid w:val="009F4262"/>
    <w:rsid w:val="009F4288"/>
    <w:rsid w:val="009F4332"/>
    <w:rsid w:val="009F4438"/>
    <w:rsid w:val="009F446D"/>
    <w:rsid w:val="009F4492"/>
    <w:rsid w:val="009F44B7"/>
    <w:rsid w:val="009F44CA"/>
    <w:rsid w:val="009F44D3"/>
    <w:rsid w:val="009F45CD"/>
    <w:rsid w:val="009F46AE"/>
    <w:rsid w:val="009F46CA"/>
    <w:rsid w:val="009F4703"/>
    <w:rsid w:val="009F478C"/>
    <w:rsid w:val="009F47C7"/>
    <w:rsid w:val="009F4810"/>
    <w:rsid w:val="009F4830"/>
    <w:rsid w:val="009F484A"/>
    <w:rsid w:val="009F493F"/>
    <w:rsid w:val="009F496E"/>
    <w:rsid w:val="009F49DA"/>
    <w:rsid w:val="009F49FB"/>
    <w:rsid w:val="009F4A42"/>
    <w:rsid w:val="009F4A56"/>
    <w:rsid w:val="009F4A62"/>
    <w:rsid w:val="009F4A98"/>
    <w:rsid w:val="009F4ABE"/>
    <w:rsid w:val="009F4ACE"/>
    <w:rsid w:val="009F4B1D"/>
    <w:rsid w:val="009F4B75"/>
    <w:rsid w:val="009F4C1A"/>
    <w:rsid w:val="009F4C70"/>
    <w:rsid w:val="009F4E7F"/>
    <w:rsid w:val="009F4EA0"/>
    <w:rsid w:val="009F4F38"/>
    <w:rsid w:val="009F4F39"/>
    <w:rsid w:val="009F4FA0"/>
    <w:rsid w:val="009F4FAD"/>
    <w:rsid w:val="009F5025"/>
    <w:rsid w:val="009F503E"/>
    <w:rsid w:val="009F50D4"/>
    <w:rsid w:val="009F51DB"/>
    <w:rsid w:val="009F51E9"/>
    <w:rsid w:val="009F5230"/>
    <w:rsid w:val="009F5240"/>
    <w:rsid w:val="009F52A3"/>
    <w:rsid w:val="009F52F8"/>
    <w:rsid w:val="009F52FA"/>
    <w:rsid w:val="009F5347"/>
    <w:rsid w:val="009F5378"/>
    <w:rsid w:val="009F5386"/>
    <w:rsid w:val="009F552B"/>
    <w:rsid w:val="009F554B"/>
    <w:rsid w:val="009F55DB"/>
    <w:rsid w:val="009F560F"/>
    <w:rsid w:val="009F5617"/>
    <w:rsid w:val="009F562C"/>
    <w:rsid w:val="009F565F"/>
    <w:rsid w:val="009F56D2"/>
    <w:rsid w:val="009F56F3"/>
    <w:rsid w:val="009F5704"/>
    <w:rsid w:val="009F578C"/>
    <w:rsid w:val="009F57F8"/>
    <w:rsid w:val="009F5809"/>
    <w:rsid w:val="009F58DD"/>
    <w:rsid w:val="009F5901"/>
    <w:rsid w:val="009F591C"/>
    <w:rsid w:val="009F591E"/>
    <w:rsid w:val="009F59E9"/>
    <w:rsid w:val="009F5A04"/>
    <w:rsid w:val="009F5A2A"/>
    <w:rsid w:val="009F5A32"/>
    <w:rsid w:val="009F5A58"/>
    <w:rsid w:val="009F5A77"/>
    <w:rsid w:val="009F5AEF"/>
    <w:rsid w:val="009F5B66"/>
    <w:rsid w:val="009F5B71"/>
    <w:rsid w:val="009F5BC4"/>
    <w:rsid w:val="009F5BD8"/>
    <w:rsid w:val="009F5BF7"/>
    <w:rsid w:val="009F5C53"/>
    <w:rsid w:val="009F5CE4"/>
    <w:rsid w:val="009F5D02"/>
    <w:rsid w:val="009F5D12"/>
    <w:rsid w:val="009F5D32"/>
    <w:rsid w:val="009F5D49"/>
    <w:rsid w:val="009F5DD8"/>
    <w:rsid w:val="009F5DE7"/>
    <w:rsid w:val="009F5E39"/>
    <w:rsid w:val="009F5E44"/>
    <w:rsid w:val="009F5EB9"/>
    <w:rsid w:val="009F5F5C"/>
    <w:rsid w:val="009F5FE5"/>
    <w:rsid w:val="009F606A"/>
    <w:rsid w:val="009F606D"/>
    <w:rsid w:val="009F60C9"/>
    <w:rsid w:val="009F6111"/>
    <w:rsid w:val="009F61A4"/>
    <w:rsid w:val="009F625E"/>
    <w:rsid w:val="009F62CC"/>
    <w:rsid w:val="009F630F"/>
    <w:rsid w:val="009F6327"/>
    <w:rsid w:val="009F633C"/>
    <w:rsid w:val="009F6376"/>
    <w:rsid w:val="009F6383"/>
    <w:rsid w:val="009F639F"/>
    <w:rsid w:val="009F63AC"/>
    <w:rsid w:val="009F63D5"/>
    <w:rsid w:val="009F63FB"/>
    <w:rsid w:val="009F6470"/>
    <w:rsid w:val="009F64BB"/>
    <w:rsid w:val="009F6500"/>
    <w:rsid w:val="009F650E"/>
    <w:rsid w:val="009F6542"/>
    <w:rsid w:val="009F65B8"/>
    <w:rsid w:val="009F65C5"/>
    <w:rsid w:val="009F661A"/>
    <w:rsid w:val="009F6683"/>
    <w:rsid w:val="009F66C2"/>
    <w:rsid w:val="009F67C7"/>
    <w:rsid w:val="009F67C9"/>
    <w:rsid w:val="009F67FE"/>
    <w:rsid w:val="009F6875"/>
    <w:rsid w:val="009F690E"/>
    <w:rsid w:val="009F692D"/>
    <w:rsid w:val="009F6945"/>
    <w:rsid w:val="009F69A7"/>
    <w:rsid w:val="009F69BF"/>
    <w:rsid w:val="009F6ADD"/>
    <w:rsid w:val="009F6CB4"/>
    <w:rsid w:val="009F6CD2"/>
    <w:rsid w:val="009F6D40"/>
    <w:rsid w:val="009F6D6F"/>
    <w:rsid w:val="009F6E4E"/>
    <w:rsid w:val="009F6E5C"/>
    <w:rsid w:val="009F6E7F"/>
    <w:rsid w:val="009F6F19"/>
    <w:rsid w:val="009F6F20"/>
    <w:rsid w:val="009F6F34"/>
    <w:rsid w:val="009F6F6C"/>
    <w:rsid w:val="009F6FC9"/>
    <w:rsid w:val="009F6FF7"/>
    <w:rsid w:val="009F7038"/>
    <w:rsid w:val="009F7091"/>
    <w:rsid w:val="009F70E2"/>
    <w:rsid w:val="009F714A"/>
    <w:rsid w:val="009F7157"/>
    <w:rsid w:val="009F728B"/>
    <w:rsid w:val="009F7296"/>
    <w:rsid w:val="009F72B9"/>
    <w:rsid w:val="009F733A"/>
    <w:rsid w:val="009F7341"/>
    <w:rsid w:val="009F7415"/>
    <w:rsid w:val="009F7488"/>
    <w:rsid w:val="009F74F5"/>
    <w:rsid w:val="009F7518"/>
    <w:rsid w:val="009F751A"/>
    <w:rsid w:val="009F7523"/>
    <w:rsid w:val="009F7546"/>
    <w:rsid w:val="009F75C2"/>
    <w:rsid w:val="009F75E4"/>
    <w:rsid w:val="009F7600"/>
    <w:rsid w:val="009F771A"/>
    <w:rsid w:val="009F7773"/>
    <w:rsid w:val="009F77B5"/>
    <w:rsid w:val="009F77F8"/>
    <w:rsid w:val="009F7806"/>
    <w:rsid w:val="009F784F"/>
    <w:rsid w:val="009F78C1"/>
    <w:rsid w:val="009F78EA"/>
    <w:rsid w:val="009F791B"/>
    <w:rsid w:val="009F794E"/>
    <w:rsid w:val="009F7956"/>
    <w:rsid w:val="009F7A21"/>
    <w:rsid w:val="009F7A46"/>
    <w:rsid w:val="009F7A51"/>
    <w:rsid w:val="009F7B25"/>
    <w:rsid w:val="009F7B91"/>
    <w:rsid w:val="009F7BEA"/>
    <w:rsid w:val="009F7C47"/>
    <w:rsid w:val="009F7C94"/>
    <w:rsid w:val="009F7CEF"/>
    <w:rsid w:val="009F7DA1"/>
    <w:rsid w:val="009F7DD0"/>
    <w:rsid w:val="009F7DD7"/>
    <w:rsid w:val="009F7E60"/>
    <w:rsid w:val="009F7E99"/>
    <w:rsid w:val="009F7EAF"/>
    <w:rsid w:val="009F7EC5"/>
    <w:rsid w:val="009F7F00"/>
    <w:rsid w:val="009F7F3E"/>
    <w:rsid w:val="009F7F55"/>
    <w:rsid w:val="009F7FE8"/>
    <w:rsid w:val="00A0000A"/>
    <w:rsid w:val="00A0000C"/>
    <w:rsid w:val="00A0008A"/>
    <w:rsid w:val="00A000B1"/>
    <w:rsid w:val="00A0017C"/>
    <w:rsid w:val="00A00187"/>
    <w:rsid w:val="00A001D4"/>
    <w:rsid w:val="00A0024A"/>
    <w:rsid w:val="00A0026F"/>
    <w:rsid w:val="00A00286"/>
    <w:rsid w:val="00A002A5"/>
    <w:rsid w:val="00A00351"/>
    <w:rsid w:val="00A0036B"/>
    <w:rsid w:val="00A003A2"/>
    <w:rsid w:val="00A003A9"/>
    <w:rsid w:val="00A003B2"/>
    <w:rsid w:val="00A003F8"/>
    <w:rsid w:val="00A003FC"/>
    <w:rsid w:val="00A00409"/>
    <w:rsid w:val="00A00460"/>
    <w:rsid w:val="00A0060B"/>
    <w:rsid w:val="00A006EF"/>
    <w:rsid w:val="00A00719"/>
    <w:rsid w:val="00A007B6"/>
    <w:rsid w:val="00A0082B"/>
    <w:rsid w:val="00A00830"/>
    <w:rsid w:val="00A0083E"/>
    <w:rsid w:val="00A00851"/>
    <w:rsid w:val="00A00876"/>
    <w:rsid w:val="00A00985"/>
    <w:rsid w:val="00A009F6"/>
    <w:rsid w:val="00A00AD3"/>
    <w:rsid w:val="00A00C47"/>
    <w:rsid w:val="00A00CE8"/>
    <w:rsid w:val="00A00CF1"/>
    <w:rsid w:val="00A00D0A"/>
    <w:rsid w:val="00A00D58"/>
    <w:rsid w:val="00A00D7F"/>
    <w:rsid w:val="00A00D87"/>
    <w:rsid w:val="00A00EDD"/>
    <w:rsid w:val="00A00FB0"/>
    <w:rsid w:val="00A0103E"/>
    <w:rsid w:val="00A01053"/>
    <w:rsid w:val="00A010BF"/>
    <w:rsid w:val="00A01167"/>
    <w:rsid w:val="00A011A0"/>
    <w:rsid w:val="00A011B3"/>
    <w:rsid w:val="00A011DA"/>
    <w:rsid w:val="00A011DF"/>
    <w:rsid w:val="00A01201"/>
    <w:rsid w:val="00A01239"/>
    <w:rsid w:val="00A01273"/>
    <w:rsid w:val="00A0141D"/>
    <w:rsid w:val="00A01560"/>
    <w:rsid w:val="00A0156A"/>
    <w:rsid w:val="00A01589"/>
    <w:rsid w:val="00A015C2"/>
    <w:rsid w:val="00A015C5"/>
    <w:rsid w:val="00A0162E"/>
    <w:rsid w:val="00A0166B"/>
    <w:rsid w:val="00A0177A"/>
    <w:rsid w:val="00A017B0"/>
    <w:rsid w:val="00A01802"/>
    <w:rsid w:val="00A0184C"/>
    <w:rsid w:val="00A0186B"/>
    <w:rsid w:val="00A01883"/>
    <w:rsid w:val="00A018BB"/>
    <w:rsid w:val="00A01960"/>
    <w:rsid w:val="00A0198A"/>
    <w:rsid w:val="00A019BD"/>
    <w:rsid w:val="00A01A1F"/>
    <w:rsid w:val="00A01ACA"/>
    <w:rsid w:val="00A01B1D"/>
    <w:rsid w:val="00A01B58"/>
    <w:rsid w:val="00A01B5D"/>
    <w:rsid w:val="00A01B77"/>
    <w:rsid w:val="00A01B7C"/>
    <w:rsid w:val="00A01BB8"/>
    <w:rsid w:val="00A01BC5"/>
    <w:rsid w:val="00A01C21"/>
    <w:rsid w:val="00A01C4A"/>
    <w:rsid w:val="00A01C52"/>
    <w:rsid w:val="00A01D0B"/>
    <w:rsid w:val="00A01D16"/>
    <w:rsid w:val="00A01D6B"/>
    <w:rsid w:val="00A01D82"/>
    <w:rsid w:val="00A01DFF"/>
    <w:rsid w:val="00A01FE3"/>
    <w:rsid w:val="00A020E9"/>
    <w:rsid w:val="00A0213D"/>
    <w:rsid w:val="00A02165"/>
    <w:rsid w:val="00A0217D"/>
    <w:rsid w:val="00A0218D"/>
    <w:rsid w:val="00A02201"/>
    <w:rsid w:val="00A0220B"/>
    <w:rsid w:val="00A02217"/>
    <w:rsid w:val="00A02255"/>
    <w:rsid w:val="00A02398"/>
    <w:rsid w:val="00A0241B"/>
    <w:rsid w:val="00A02429"/>
    <w:rsid w:val="00A0243B"/>
    <w:rsid w:val="00A024F5"/>
    <w:rsid w:val="00A02585"/>
    <w:rsid w:val="00A025DF"/>
    <w:rsid w:val="00A02654"/>
    <w:rsid w:val="00A02669"/>
    <w:rsid w:val="00A02817"/>
    <w:rsid w:val="00A028D1"/>
    <w:rsid w:val="00A028D9"/>
    <w:rsid w:val="00A02910"/>
    <w:rsid w:val="00A02931"/>
    <w:rsid w:val="00A02976"/>
    <w:rsid w:val="00A029C1"/>
    <w:rsid w:val="00A02A05"/>
    <w:rsid w:val="00A02A12"/>
    <w:rsid w:val="00A02A1C"/>
    <w:rsid w:val="00A02A39"/>
    <w:rsid w:val="00A02A3E"/>
    <w:rsid w:val="00A02A74"/>
    <w:rsid w:val="00A02A76"/>
    <w:rsid w:val="00A02B37"/>
    <w:rsid w:val="00A02B3D"/>
    <w:rsid w:val="00A02BA0"/>
    <w:rsid w:val="00A02C2A"/>
    <w:rsid w:val="00A02C39"/>
    <w:rsid w:val="00A02C60"/>
    <w:rsid w:val="00A02C6F"/>
    <w:rsid w:val="00A02C7D"/>
    <w:rsid w:val="00A02CDA"/>
    <w:rsid w:val="00A02CF3"/>
    <w:rsid w:val="00A02CFB"/>
    <w:rsid w:val="00A02D48"/>
    <w:rsid w:val="00A02DA9"/>
    <w:rsid w:val="00A030F1"/>
    <w:rsid w:val="00A030FB"/>
    <w:rsid w:val="00A03181"/>
    <w:rsid w:val="00A031B3"/>
    <w:rsid w:val="00A03223"/>
    <w:rsid w:val="00A03281"/>
    <w:rsid w:val="00A032A0"/>
    <w:rsid w:val="00A03366"/>
    <w:rsid w:val="00A033A7"/>
    <w:rsid w:val="00A03419"/>
    <w:rsid w:val="00A034AE"/>
    <w:rsid w:val="00A034ED"/>
    <w:rsid w:val="00A0363C"/>
    <w:rsid w:val="00A03656"/>
    <w:rsid w:val="00A0365C"/>
    <w:rsid w:val="00A036BD"/>
    <w:rsid w:val="00A03723"/>
    <w:rsid w:val="00A03733"/>
    <w:rsid w:val="00A03734"/>
    <w:rsid w:val="00A0374E"/>
    <w:rsid w:val="00A0375D"/>
    <w:rsid w:val="00A0377C"/>
    <w:rsid w:val="00A037C1"/>
    <w:rsid w:val="00A03839"/>
    <w:rsid w:val="00A03853"/>
    <w:rsid w:val="00A03884"/>
    <w:rsid w:val="00A038AF"/>
    <w:rsid w:val="00A038BB"/>
    <w:rsid w:val="00A0395F"/>
    <w:rsid w:val="00A039F2"/>
    <w:rsid w:val="00A039FD"/>
    <w:rsid w:val="00A03AFF"/>
    <w:rsid w:val="00A03B1F"/>
    <w:rsid w:val="00A03B3C"/>
    <w:rsid w:val="00A03B99"/>
    <w:rsid w:val="00A03C1B"/>
    <w:rsid w:val="00A03C5E"/>
    <w:rsid w:val="00A03D80"/>
    <w:rsid w:val="00A03DF2"/>
    <w:rsid w:val="00A03E15"/>
    <w:rsid w:val="00A03E43"/>
    <w:rsid w:val="00A03E7C"/>
    <w:rsid w:val="00A03EA1"/>
    <w:rsid w:val="00A03EC9"/>
    <w:rsid w:val="00A03EEC"/>
    <w:rsid w:val="00A03F1F"/>
    <w:rsid w:val="00A03F4B"/>
    <w:rsid w:val="00A03FD4"/>
    <w:rsid w:val="00A03FE3"/>
    <w:rsid w:val="00A03FEE"/>
    <w:rsid w:val="00A0402C"/>
    <w:rsid w:val="00A04030"/>
    <w:rsid w:val="00A0405A"/>
    <w:rsid w:val="00A040AE"/>
    <w:rsid w:val="00A04106"/>
    <w:rsid w:val="00A04304"/>
    <w:rsid w:val="00A04338"/>
    <w:rsid w:val="00A0433A"/>
    <w:rsid w:val="00A04392"/>
    <w:rsid w:val="00A043BF"/>
    <w:rsid w:val="00A043C8"/>
    <w:rsid w:val="00A04415"/>
    <w:rsid w:val="00A04418"/>
    <w:rsid w:val="00A04461"/>
    <w:rsid w:val="00A04468"/>
    <w:rsid w:val="00A044F0"/>
    <w:rsid w:val="00A0456F"/>
    <w:rsid w:val="00A045D1"/>
    <w:rsid w:val="00A045EF"/>
    <w:rsid w:val="00A0462F"/>
    <w:rsid w:val="00A04649"/>
    <w:rsid w:val="00A04777"/>
    <w:rsid w:val="00A047A2"/>
    <w:rsid w:val="00A047DE"/>
    <w:rsid w:val="00A0488F"/>
    <w:rsid w:val="00A048FE"/>
    <w:rsid w:val="00A04965"/>
    <w:rsid w:val="00A049B5"/>
    <w:rsid w:val="00A04A21"/>
    <w:rsid w:val="00A04A6D"/>
    <w:rsid w:val="00A04AA8"/>
    <w:rsid w:val="00A04B92"/>
    <w:rsid w:val="00A04BCA"/>
    <w:rsid w:val="00A04C07"/>
    <w:rsid w:val="00A04C6F"/>
    <w:rsid w:val="00A04CBD"/>
    <w:rsid w:val="00A04CC8"/>
    <w:rsid w:val="00A04CF1"/>
    <w:rsid w:val="00A04D40"/>
    <w:rsid w:val="00A04D56"/>
    <w:rsid w:val="00A04D6D"/>
    <w:rsid w:val="00A04D8F"/>
    <w:rsid w:val="00A04E2D"/>
    <w:rsid w:val="00A04E65"/>
    <w:rsid w:val="00A04E67"/>
    <w:rsid w:val="00A04EFB"/>
    <w:rsid w:val="00A04F3B"/>
    <w:rsid w:val="00A04F4C"/>
    <w:rsid w:val="00A04FC1"/>
    <w:rsid w:val="00A05063"/>
    <w:rsid w:val="00A05068"/>
    <w:rsid w:val="00A050C0"/>
    <w:rsid w:val="00A05186"/>
    <w:rsid w:val="00A051A0"/>
    <w:rsid w:val="00A0521D"/>
    <w:rsid w:val="00A052BE"/>
    <w:rsid w:val="00A052BF"/>
    <w:rsid w:val="00A052FF"/>
    <w:rsid w:val="00A0533E"/>
    <w:rsid w:val="00A0535C"/>
    <w:rsid w:val="00A0538C"/>
    <w:rsid w:val="00A053B5"/>
    <w:rsid w:val="00A053B7"/>
    <w:rsid w:val="00A053C9"/>
    <w:rsid w:val="00A05525"/>
    <w:rsid w:val="00A0554D"/>
    <w:rsid w:val="00A05574"/>
    <w:rsid w:val="00A05581"/>
    <w:rsid w:val="00A055C7"/>
    <w:rsid w:val="00A0561E"/>
    <w:rsid w:val="00A057BF"/>
    <w:rsid w:val="00A05803"/>
    <w:rsid w:val="00A05806"/>
    <w:rsid w:val="00A0582D"/>
    <w:rsid w:val="00A05853"/>
    <w:rsid w:val="00A058AC"/>
    <w:rsid w:val="00A05953"/>
    <w:rsid w:val="00A05B86"/>
    <w:rsid w:val="00A05B92"/>
    <w:rsid w:val="00A05C92"/>
    <w:rsid w:val="00A05CF5"/>
    <w:rsid w:val="00A05D91"/>
    <w:rsid w:val="00A05DC6"/>
    <w:rsid w:val="00A05E89"/>
    <w:rsid w:val="00A05EC3"/>
    <w:rsid w:val="00A05F77"/>
    <w:rsid w:val="00A05F97"/>
    <w:rsid w:val="00A05F99"/>
    <w:rsid w:val="00A05FEF"/>
    <w:rsid w:val="00A0602A"/>
    <w:rsid w:val="00A060A3"/>
    <w:rsid w:val="00A06158"/>
    <w:rsid w:val="00A061A3"/>
    <w:rsid w:val="00A061C2"/>
    <w:rsid w:val="00A0622D"/>
    <w:rsid w:val="00A06298"/>
    <w:rsid w:val="00A062FF"/>
    <w:rsid w:val="00A0633B"/>
    <w:rsid w:val="00A06368"/>
    <w:rsid w:val="00A063E3"/>
    <w:rsid w:val="00A063E7"/>
    <w:rsid w:val="00A06473"/>
    <w:rsid w:val="00A0649A"/>
    <w:rsid w:val="00A064AE"/>
    <w:rsid w:val="00A064B9"/>
    <w:rsid w:val="00A064FC"/>
    <w:rsid w:val="00A06500"/>
    <w:rsid w:val="00A06516"/>
    <w:rsid w:val="00A0654E"/>
    <w:rsid w:val="00A06562"/>
    <w:rsid w:val="00A06653"/>
    <w:rsid w:val="00A0669B"/>
    <w:rsid w:val="00A06710"/>
    <w:rsid w:val="00A0674E"/>
    <w:rsid w:val="00A06799"/>
    <w:rsid w:val="00A06856"/>
    <w:rsid w:val="00A0685A"/>
    <w:rsid w:val="00A0689A"/>
    <w:rsid w:val="00A06905"/>
    <w:rsid w:val="00A06AA7"/>
    <w:rsid w:val="00A06ABE"/>
    <w:rsid w:val="00A06AD8"/>
    <w:rsid w:val="00A06B13"/>
    <w:rsid w:val="00A06BBB"/>
    <w:rsid w:val="00A06C58"/>
    <w:rsid w:val="00A06C5C"/>
    <w:rsid w:val="00A06D04"/>
    <w:rsid w:val="00A06D13"/>
    <w:rsid w:val="00A06E24"/>
    <w:rsid w:val="00A06E26"/>
    <w:rsid w:val="00A06E98"/>
    <w:rsid w:val="00A06F5D"/>
    <w:rsid w:val="00A06FF3"/>
    <w:rsid w:val="00A0705D"/>
    <w:rsid w:val="00A07088"/>
    <w:rsid w:val="00A070B2"/>
    <w:rsid w:val="00A0714A"/>
    <w:rsid w:val="00A0718A"/>
    <w:rsid w:val="00A071B9"/>
    <w:rsid w:val="00A071ED"/>
    <w:rsid w:val="00A07213"/>
    <w:rsid w:val="00A0722B"/>
    <w:rsid w:val="00A07296"/>
    <w:rsid w:val="00A072FF"/>
    <w:rsid w:val="00A07302"/>
    <w:rsid w:val="00A07352"/>
    <w:rsid w:val="00A07386"/>
    <w:rsid w:val="00A073A5"/>
    <w:rsid w:val="00A07458"/>
    <w:rsid w:val="00A0745F"/>
    <w:rsid w:val="00A0747C"/>
    <w:rsid w:val="00A0748E"/>
    <w:rsid w:val="00A07577"/>
    <w:rsid w:val="00A0761B"/>
    <w:rsid w:val="00A07681"/>
    <w:rsid w:val="00A07849"/>
    <w:rsid w:val="00A0784B"/>
    <w:rsid w:val="00A07858"/>
    <w:rsid w:val="00A078B7"/>
    <w:rsid w:val="00A07955"/>
    <w:rsid w:val="00A07962"/>
    <w:rsid w:val="00A07A41"/>
    <w:rsid w:val="00A07A42"/>
    <w:rsid w:val="00A07A70"/>
    <w:rsid w:val="00A07B5D"/>
    <w:rsid w:val="00A07B88"/>
    <w:rsid w:val="00A07C49"/>
    <w:rsid w:val="00A07C4F"/>
    <w:rsid w:val="00A07D28"/>
    <w:rsid w:val="00A07DAF"/>
    <w:rsid w:val="00A07E32"/>
    <w:rsid w:val="00A07EA1"/>
    <w:rsid w:val="00A07F2A"/>
    <w:rsid w:val="00A07F6D"/>
    <w:rsid w:val="00A07FAA"/>
    <w:rsid w:val="00A10031"/>
    <w:rsid w:val="00A10062"/>
    <w:rsid w:val="00A100AD"/>
    <w:rsid w:val="00A1023F"/>
    <w:rsid w:val="00A1024A"/>
    <w:rsid w:val="00A10256"/>
    <w:rsid w:val="00A102AF"/>
    <w:rsid w:val="00A102C4"/>
    <w:rsid w:val="00A102D8"/>
    <w:rsid w:val="00A102E1"/>
    <w:rsid w:val="00A1032D"/>
    <w:rsid w:val="00A1033A"/>
    <w:rsid w:val="00A1037F"/>
    <w:rsid w:val="00A10398"/>
    <w:rsid w:val="00A10401"/>
    <w:rsid w:val="00A10410"/>
    <w:rsid w:val="00A10493"/>
    <w:rsid w:val="00A10519"/>
    <w:rsid w:val="00A1051F"/>
    <w:rsid w:val="00A1054F"/>
    <w:rsid w:val="00A10632"/>
    <w:rsid w:val="00A10638"/>
    <w:rsid w:val="00A10666"/>
    <w:rsid w:val="00A10687"/>
    <w:rsid w:val="00A106B7"/>
    <w:rsid w:val="00A1072F"/>
    <w:rsid w:val="00A107D4"/>
    <w:rsid w:val="00A10802"/>
    <w:rsid w:val="00A10810"/>
    <w:rsid w:val="00A10849"/>
    <w:rsid w:val="00A109AE"/>
    <w:rsid w:val="00A109B3"/>
    <w:rsid w:val="00A109FC"/>
    <w:rsid w:val="00A10A34"/>
    <w:rsid w:val="00A10A9C"/>
    <w:rsid w:val="00A10AA1"/>
    <w:rsid w:val="00A10B00"/>
    <w:rsid w:val="00A10B04"/>
    <w:rsid w:val="00A10B4C"/>
    <w:rsid w:val="00A10BA4"/>
    <w:rsid w:val="00A10BDE"/>
    <w:rsid w:val="00A10C38"/>
    <w:rsid w:val="00A10C4A"/>
    <w:rsid w:val="00A10CDB"/>
    <w:rsid w:val="00A10E64"/>
    <w:rsid w:val="00A10E7D"/>
    <w:rsid w:val="00A10EDF"/>
    <w:rsid w:val="00A10F1B"/>
    <w:rsid w:val="00A10F23"/>
    <w:rsid w:val="00A10F46"/>
    <w:rsid w:val="00A1104A"/>
    <w:rsid w:val="00A11061"/>
    <w:rsid w:val="00A110AC"/>
    <w:rsid w:val="00A110F6"/>
    <w:rsid w:val="00A11196"/>
    <w:rsid w:val="00A1123A"/>
    <w:rsid w:val="00A113F4"/>
    <w:rsid w:val="00A1141E"/>
    <w:rsid w:val="00A11516"/>
    <w:rsid w:val="00A11603"/>
    <w:rsid w:val="00A116A0"/>
    <w:rsid w:val="00A11784"/>
    <w:rsid w:val="00A117D4"/>
    <w:rsid w:val="00A117E8"/>
    <w:rsid w:val="00A11839"/>
    <w:rsid w:val="00A11940"/>
    <w:rsid w:val="00A11942"/>
    <w:rsid w:val="00A11971"/>
    <w:rsid w:val="00A119A0"/>
    <w:rsid w:val="00A11AA1"/>
    <w:rsid w:val="00A11AA5"/>
    <w:rsid w:val="00A11B2A"/>
    <w:rsid w:val="00A11B46"/>
    <w:rsid w:val="00A11C9F"/>
    <w:rsid w:val="00A11CA6"/>
    <w:rsid w:val="00A11CA8"/>
    <w:rsid w:val="00A11CAC"/>
    <w:rsid w:val="00A11CD4"/>
    <w:rsid w:val="00A11E2A"/>
    <w:rsid w:val="00A11E37"/>
    <w:rsid w:val="00A11E46"/>
    <w:rsid w:val="00A11E76"/>
    <w:rsid w:val="00A11EC1"/>
    <w:rsid w:val="00A11F64"/>
    <w:rsid w:val="00A11F75"/>
    <w:rsid w:val="00A1200B"/>
    <w:rsid w:val="00A12098"/>
    <w:rsid w:val="00A120B6"/>
    <w:rsid w:val="00A121BA"/>
    <w:rsid w:val="00A12213"/>
    <w:rsid w:val="00A1225C"/>
    <w:rsid w:val="00A12287"/>
    <w:rsid w:val="00A122EE"/>
    <w:rsid w:val="00A1232B"/>
    <w:rsid w:val="00A123D2"/>
    <w:rsid w:val="00A12469"/>
    <w:rsid w:val="00A124BD"/>
    <w:rsid w:val="00A124F9"/>
    <w:rsid w:val="00A12579"/>
    <w:rsid w:val="00A126C9"/>
    <w:rsid w:val="00A12707"/>
    <w:rsid w:val="00A1273C"/>
    <w:rsid w:val="00A127BD"/>
    <w:rsid w:val="00A1282A"/>
    <w:rsid w:val="00A12871"/>
    <w:rsid w:val="00A12958"/>
    <w:rsid w:val="00A1296D"/>
    <w:rsid w:val="00A1299C"/>
    <w:rsid w:val="00A129BE"/>
    <w:rsid w:val="00A12AC5"/>
    <w:rsid w:val="00A12BF1"/>
    <w:rsid w:val="00A12C01"/>
    <w:rsid w:val="00A12C9E"/>
    <w:rsid w:val="00A12DD5"/>
    <w:rsid w:val="00A12E20"/>
    <w:rsid w:val="00A12E24"/>
    <w:rsid w:val="00A12E69"/>
    <w:rsid w:val="00A12F28"/>
    <w:rsid w:val="00A12FF6"/>
    <w:rsid w:val="00A13026"/>
    <w:rsid w:val="00A13067"/>
    <w:rsid w:val="00A13081"/>
    <w:rsid w:val="00A130B3"/>
    <w:rsid w:val="00A130C9"/>
    <w:rsid w:val="00A1310E"/>
    <w:rsid w:val="00A13161"/>
    <w:rsid w:val="00A13199"/>
    <w:rsid w:val="00A131A0"/>
    <w:rsid w:val="00A131A5"/>
    <w:rsid w:val="00A131AB"/>
    <w:rsid w:val="00A131ED"/>
    <w:rsid w:val="00A13218"/>
    <w:rsid w:val="00A132A0"/>
    <w:rsid w:val="00A132BF"/>
    <w:rsid w:val="00A132D4"/>
    <w:rsid w:val="00A132ED"/>
    <w:rsid w:val="00A13321"/>
    <w:rsid w:val="00A13371"/>
    <w:rsid w:val="00A13377"/>
    <w:rsid w:val="00A135F0"/>
    <w:rsid w:val="00A1364E"/>
    <w:rsid w:val="00A13698"/>
    <w:rsid w:val="00A13712"/>
    <w:rsid w:val="00A137DB"/>
    <w:rsid w:val="00A137DD"/>
    <w:rsid w:val="00A13806"/>
    <w:rsid w:val="00A13858"/>
    <w:rsid w:val="00A13861"/>
    <w:rsid w:val="00A13863"/>
    <w:rsid w:val="00A13875"/>
    <w:rsid w:val="00A13876"/>
    <w:rsid w:val="00A13895"/>
    <w:rsid w:val="00A13927"/>
    <w:rsid w:val="00A13961"/>
    <w:rsid w:val="00A13A05"/>
    <w:rsid w:val="00A13A2A"/>
    <w:rsid w:val="00A13A33"/>
    <w:rsid w:val="00A13A59"/>
    <w:rsid w:val="00A13AE8"/>
    <w:rsid w:val="00A13AF6"/>
    <w:rsid w:val="00A13B50"/>
    <w:rsid w:val="00A13BAD"/>
    <w:rsid w:val="00A13BB7"/>
    <w:rsid w:val="00A13BB8"/>
    <w:rsid w:val="00A13CCC"/>
    <w:rsid w:val="00A13DF9"/>
    <w:rsid w:val="00A13DFA"/>
    <w:rsid w:val="00A13EA9"/>
    <w:rsid w:val="00A13F3F"/>
    <w:rsid w:val="00A13F59"/>
    <w:rsid w:val="00A13F6E"/>
    <w:rsid w:val="00A13FFA"/>
    <w:rsid w:val="00A140D6"/>
    <w:rsid w:val="00A1416A"/>
    <w:rsid w:val="00A141A7"/>
    <w:rsid w:val="00A141C6"/>
    <w:rsid w:val="00A141D2"/>
    <w:rsid w:val="00A1420F"/>
    <w:rsid w:val="00A14287"/>
    <w:rsid w:val="00A1435F"/>
    <w:rsid w:val="00A1437C"/>
    <w:rsid w:val="00A1439A"/>
    <w:rsid w:val="00A14498"/>
    <w:rsid w:val="00A145C5"/>
    <w:rsid w:val="00A1466B"/>
    <w:rsid w:val="00A1469E"/>
    <w:rsid w:val="00A14865"/>
    <w:rsid w:val="00A1497A"/>
    <w:rsid w:val="00A149D3"/>
    <w:rsid w:val="00A149F8"/>
    <w:rsid w:val="00A14A6C"/>
    <w:rsid w:val="00A14BAE"/>
    <w:rsid w:val="00A14BDB"/>
    <w:rsid w:val="00A14BF7"/>
    <w:rsid w:val="00A14C1C"/>
    <w:rsid w:val="00A14C8B"/>
    <w:rsid w:val="00A14C90"/>
    <w:rsid w:val="00A14CCE"/>
    <w:rsid w:val="00A14D0C"/>
    <w:rsid w:val="00A14D55"/>
    <w:rsid w:val="00A14DDD"/>
    <w:rsid w:val="00A14E21"/>
    <w:rsid w:val="00A14E23"/>
    <w:rsid w:val="00A14E34"/>
    <w:rsid w:val="00A14E55"/>
    <w:rsid w:val="00A14F70"/>
    <w:rsid w:val="00A14FAA"/>
    <w:rsid w:val="00A14FFD"/>
    <w:rsid w:val="00A150A1"/>
    <w:rsid w:val="00A1518B"/>
    <w:rsid w:val="00A151B1"/>
    <w:rsid w:val="00A151D0"/>
    <w:rsid w:val="00A151FA"/>
    <w:rsid w:val="00A15216"/>
    <w:rsid w:val="00A1525B"/>
    <w:rsid w:val="00A152D8"/>
    <w:rsid w:val="00A15304"/>
    <w:rsid w:val="00A15394"/>
    <w:rsid w:val="00A1546F"/>
    <w:rsid w:val="00A15495"/>
    <w:rsid w:val="00A154C1"/>
    <w:rsid w:val="00A15526"/>
    <w:rsid w:val="00A15558"/>
    <w:rsid w:val="00A1556F"/>
    <w:rsid w:val="00A155BC"/>
    <w:rsid w:val="00A15607"/>
    <w:rsid w:val="00A1560F"/>
    <w:rsid w:val="00A15648"/>
    <w:rsid w:val="00A15797"/>
    <w:rsid w:val="00A157A4"/>
    <w:rsid w:val="00A157EF"/>
    <w:rsid w:val="00A157FE"/>
    <w:rsid w:val="00A158F8"/>
    <w:rsid w:val="00A1591C"/>
    <w:rsid w:val="00A15A03"/>
    <w:rsid w:val="00A15A56"/>
    <w:rsid w:val="00A15A78"/>
    <w:rsid w:val="00A15AA4"/>
    <w:rsid w:val="00A15AA7"/>
    <w:rsid w:val="00A15B21"/>
    <w:rsid w:val="00A15B35"/>
    <w:rsid w:val="00A15B82"/>
    <w:rsid w:val="00A15B86"/>
    <w:rsid w:val="00A15CE5"/>
    <w:rsid w:val="00A15D1A"/>
    <w:rsid w:val="00A15D2C"/>
    <w:rsid w:val="00A15D3C"/>
    <w:rsid w:val="00A15D6F"/>
    <w:rsid w:val="00A15D7D"/>
    <w:rsid w:val="00A15E39"/>
    <w:rsid w:val="00A15E56"/>
    <w:rsid w:val="00A15E5E"/>
    <w:rsid w:val="00A15E74"/>
    <w:rsid w:val="00A15EC7"/>
    <w:rsid w:val="00A15FF7"/>
    <w:rsid w:val="00A16002"/>
    <w:rsid w:val="00A160CC"/>
    <w:rsid w:val="00A16143"/>
    <w:rsid w:val="00A1619D"/>
    <w:rsid w:val="00A161F2"/>
    <w:rsid w:val="00A16200"/>
    <w:rsid w:val="00A16279"/>
    <w:rsid w:val="00A16338"/>
    <w:rsid w:val="00A16362"/>
    <w:rsid w:val="00A16415"/>
    <w:rsid w:val="00A164C4"/>
    <w:rsid w:val="00A1655A"/>
    <w:rsid w:val="00A16571"/>
    <w:rsid w:val="00A165B1"/>
    <w:rsid w:val="00A165D4"/>
    <w:rsid w:val="00A16604"/>
    <w:rsid w:val="00A1666E"/>
    <w:rsid w:val="00A166A2"/>
    <w:rsid w:val="00A166A7"/>
    <w:rsid w:val="00A166CF"/>
    <w:rsid w:val="00A166F2"/>
    <w:rsid w:val="00A1671F"/>
    <w:rsid w:val="00A1675D"/>
    <w:rsid w:val="00A16795"/>
    <w:rsid w:val="00A1679F"/>
    <w:rsid w:val="00A16841"/>
    <w:rsid w:val="00A168CD"/>
    <w:rsid w:val="00A169A1"/>
    <w:rsid w:val="00A169F7"/>
    <w:rsid w:val="00A16AE3"/>
    <w:rsid w:val="00A16B03"/>
    <w:rsid w:val="00A16B06"/>
    <w:rsid w:val="00A16B7F"/>
    <w:rsid w:val="00A16BC0"/>
    <w:rsid w:val="00A16C09"/>
    <w:rsid w:val="00A16C9D"/>
    <w:rsid w:val="00A16DAD"/>
    <w:rsid w:val="00A16DE0"/>
    <w:rsid w:val="00A16E30"/>
    <w:rsid w:val="00A16E67"/>
    <w:rsid w:val="00A16E73"/>
    <w:rsid w:val="00A16EAE"/>
    <w:rsid w:val="00A16F01"/>
    <w:rsid w:val="00A16FD2"/>
    <w:rsid w:val="00A17024"/>
    <w:rsid w:val="00A1703B"/>
    <w:rsid w:val="00A17158"/>
    <w:rsid w:val="00A17198"/>
    <w:rsid w:val="00A17218"/>
    <w:rsid w:val="00A17260"/>
    <w:rsid w:val="00A172B3"/>
    <w:rsid w:val="00A173A8"/>
    <w:rsid w:val="00A173CC"/>
    <w:rsid w:val="00A17469"/>
    <w:rsid w:val="00A1749F"/>
    <w:rsid w:val="00A1750D"/>
    <w:rsid w:val="00A17593"/>
    <w:rsid w:val="00A17596"/>
    <w:rsid w:val="00A1761D"/>
    <w:rsid w:val="00A17622"/>
    <w:rsid w:val="00A17721"/>
    <w:rsid w:val="00A1784C"/>
    <w:rsid w:val="00A178BD"/>
    <w:rsid w:val="00A17903"/>
    <w:rsid w:val="00A1797B"/>
    <w:rsid w:val="00A17A2F"/>
    <w:rsid w:val="00A17BF7"/>
    <w:rsid w:val="00A17C2E"/>
    <w:rsid w:val="00A17CD5"/>
    <w:rsid w:val="00A17CF2"/>
    <w:rsid w:val="00A17D9A"/>
    <w:rsid w:val="00A17D9E"/>
    <w:rsid w:val="00A17E93"/>
    <w:rsid w:val="00A17EB2"/>
    <w:rsid w:val="00A17EC8"/>
    <w:rsid w:val="00A17ECD"/>
    <w:rsid w:val="00A17F0B"/>
    <w:rsid w:val="00A17F41"/>
    <w:rsid w:val="00A17FAB"/>
    <w:rsid w:val="00A17FF6"/>
    <w:rsid w:val="00A20044"/>
    <w:rsid w:val="00A200A8"/>
    <w:rsid w:val="00A200CE"/>
    <w:rsid w:val="00A20111"/>
    <w:rsid w:val="00A20171"/>
    <w:rsid w:val="00A201DE"/>
    <w:rsid w:val="00A20235"/>
    <w:rsid w:val="00A2025F"/>
    <w:rsid w:val="00A20281"/>
    <w:rsid w:val="00A202DB"/>
    <w:rsid w:val="00A20327"/>
    <w:rsid w:val="00A20381"/>
    <w:rsid w:val="00A2038A"/>
    <w:rsid w:val="00A203B2"/>
    <w:rsid w:val="00A20465"/>
    <w:rsid w:val="00A20668"/>
    <w:rsid w:val="00A206C6"/>
    <w:rsid w:val="00A20738"/>
    <w:rsid w:val="00A20758"/>
    <w:rsid w:val="00A20779"/>
    <w:rsid w:val="00A207E8"/>
    <w:rsid w:val="00A2081C"/>
    <w:rsid w:val="00A2089F"/>
    <w:rsid w:val="00A20989"/>
    <w:rsid w:val="00A209F3"/>
    <w:rsid w:val="00A20AAD"/>
    <w:rsid w:val="00A20BC8"/>
    <w:rsid w:val="00A20BE3"/>
    <w:rsid w:val="00A20BF0"/>
    <w:rsid w:val="00A20D6B"/>
    <w:rsid w:val="00A20D93"/>
    <w:rsid w:val="00A20DE5"/>
    <w:rsid w:val="00A20E27"/>
    <w:rsid w:val="00A20E2F"/>
    <w:rsid w:val="00A20EE3"/>
    <w:rsid w:val="00A2102B"/>
    <w:rsid w:val="00A211EB"/>
    <w:rsid w:val="00A21203"/>
    <w:rsid w:val="00A212BE"/>
    <w:rsid w:val="00A21381"/>
    <w:rsid w:val="00A213B3"/>
    <w:rsid w:val="00A214AA"/>
    <w:rsid w:val="00A214EE"/>
    <w:rsid w:val="00A214FD"/>
    <w:rsid w:val="00A21524"/>
    <w:rsid w:val="00A2153D"/>
    <w:rsid w:val="00A21545"/>
    <w:rsid w:val="00A21594"/>
    <w:rsid w:val="00A215F6"/>
    <w:rsid w:val="00A2162B"/>
    <w:rsid w:val="00A2168C"/>
    <w:rsid w:val="00A21717"/>
    <w:rsid w:val="00A21734"/>
    <w:rsid w:val="00A218A7"/>
    <w:rsid w:val="00A218DF"/>
    <w:rsid w:val="00A218FC"/>
    <w:rsid w:val="00A2194B"/>
    <w:rsid w:val="00A2195D"/>
    <w:rsid w:val="00A2198A"/>
    <w:rsid w:val="00A219AB"/>
    <w:rsid w:val="00A21A00"/>
    <w:rsid w:val="00A21A1F"/>
    <w:rsid w:val="00A21A37"/>
    <w:rsid w:val="00A21AB8"/>
    <w:rsid w:val="00A21ACC"/>
    <w:rsid w:val="00A21B45"/>
    <w:rsid w:val="00A21B7B"/>
    <w:rsid w:val="00A21C1F"/>
    <w:rsid w:val="00A21C3B"/>
    <w:rsid w:val="00A21C5A"/>
    <w:rsid w:val="00A21CB3"/>
    <w:rsid w:val="00A21CB9"/>
    <w:rsid w:val="00A21D50"/>
    <w:rsid w:val="00A21DDB"/>
    <w:rsid w:val="00A21E6E"/>
    <w:rsid w:val="00A21EDF"/>
    <w:rsid w:val="00A21EF7"/>
    <w:rsid w:val="00A21FBB"/>
    <w:rsid w:val="00A21FC8"/>
    <w:rsid w:val="00A21FCE"/>
    <w:rsid w:val="00A21FFF"/>
    <w:rsid w:val="00A22078"/>
    <w:rsid w:val="00A220B0"/>
    <w:rsid w:val="00A220D1"/>
    <w:rsid w:val="00A22137"/>
    <w:rsid w:val="00A22174"/>
    <w:rsid w:val="00A2217B"/>
    <w:rsid w:val="00A221FD"/>
    <w:rsid w:val="00A22224"/>
    <w:rsid w:val="00A22336"/>
    <w:rsid w:val="00A2233C"/>
    <w:rsid w:val="00A223A1"/>
    <w:rsid w:val="00A223AE"/>
    <w:rsid w:val="00A223B8"/>
    <w:rsid w:val="00A223C8"/>
    <w:rsid w:val="00A224B6"/>
    <w:rsid w:val="00A2253A"/>
    <w:rsid w:val="00A2253B"/>
    <w:rsid w:val="00A22546"/>
    <w:rsid w:val="00A22566"/>
    <w:rsid w:val="00A22572"/>
    <w:rsid w:val="00A225A0"/>
    <w:rsid w:val="00A226A2"/>
    <w:rsid w:val="00A226E5"/>
    <w:rsid w:val="00A22734"/>
    <w:rsid w:val="00A22738"/>
    <w:rsid w:val="00A2274A"/>
    <w:rsid w:val="00A2286F"/>
    <w:rsid w:val="00A228F3"/>
    <w:rsid w:val="00A228F6"/>
    <w:rsid w:val="00A22921"/>
    <w:rsid w:val="00A229C6"/>
    <w:rsid w:val="00A229CF"/>
    <w:rsid w:val="00A22ABA"/>
    <w:rsid w:val="00A22BBA"/>
    <w:rsid w:val="00A22BC5"/>
    <w:rsid w:val="00A22BC9"/>
    <w:rsid w:val="00A22CC3"/>
    <w:rsid w:val="00A22CEC"/>
    <w:rsid w:val="00A22D76"/>
    <w:rsid w:val="00A22DA5"/>
    <w:rsid w:val="00A22DD1"/>
    <w:rsid w:val="00A22E03"/>
    <w:rsid w:val="00A22E92"/>
    <w:rsid w:val="00A22EE0"/>
    <w:rsid w:val="00A22F80"/>
    <w:rsid w:val="00A2301A"/>
    <w:rsid w:val="00A2311E"/>
    <w:rsid w:val="00A2319F"/>
    <w:rsid w:val="00A231CA"/>
    <w:rsid w:val="00A2323B"/>
    <w:rsid w:val="00A23246"/>
    <w:rsid w:val="00A23262"/>
    <w:rsid w:val="00A2328B"/>
    <w:rsid w:val="00A23309"/>
    <w:rsid w:val="00A23336"/>
    <w:rsid w:val="00A23355"/>
    <w:rsid w:val="00A2335C"/>
    <w:rsid w:val="00A2339B"/>
    <w:rsid w:val="00A233A9"/>
    <w:rsid w:val="00A233B5"/>
    <w:rsid w:val="00A23487"/>
    <w:rsid w:val="00A234C6"/>
    <w:rsid w:val="00A234E1"/>
    <w:rsid w:val="00A23596"/>
    <w:rsid w:val="00A235AE"/>
    <w:rsid w:val="00A235FF"/>
    <w:rsid w:val="00A236A1"/>
    <w:rsid w:val="00A236AB"/>
    <w:rsid w:val="00A2372F"/>
    <w:rsid w:val="00A237B5"/>
    <w:rsid w:val="00A238C5"/>
    <w:rsid w:val="00A238D0"/>
    <w:rsid w:val="00A239A7"/>
    <w:rsid w:val="00A23A19"/>
    <w:rsid w:val="00A23A43"/>
    <w:rsid w:val="00A23A93"/>
    <w:rsid w:val="00A23AF6"/>
    <w:rsid w:val="00A23B7B"/>
    <w:rsid w:val="00A23C22"/>
    <w:rsid w:val="00A23C33"/>
    <w:rsid w:val="00A23C59"/>
    <w:rsid w:val="00A23CC8"/>
    <w:rsid w:val="00A23CFF"/>
    <w:rsid w:val="00A23D67"/>
    <w:rsid w:val="00A23D8F"/>
    <w:rsid w:val="00A23DB2"/>
    <w:rsid w:val="00A23DCC"/>
    <w:rsid w:val="00A23E05"/>
    <w:rsid w:val="00A23E90"/>
    <w:rsid w:val="00A23EAE"/>
    <w:rsid w:val="00A24020"/>
    <w:rsid w:val="00A2412B"/>
    <w:rsid w:val="00A2425D"/>
    <w:rsid w:val="00A24274"/>
    <w:rsid w:val="00A24296"/>
    <w:rsid w:val="00A2430D"/>
    <w:rsid w:val="00A2434F"/>
    <w:rsid w:val="00A2437E"/>
    <w:rsid w:val="00A2439F"/>
    <w:rsid w:val="00A243D6"/>
    <w:rsid w:val="00A2445A"/>
    <w:rsid w:val="00A244AE"/>
    <w:rsid w:val="00A244BD"/>
    <w:rsid w:val="00A244C2"/>
    <w:rsid w:val="00A244F1"/>
    <w:rsid w:val="00A24502"/>
    <w:rsid w:val="00A2454A"/>
    <w:rsid w:val="00A2454B"/>
    <w:rsid w:val="00A2459A"/>
    <w:rsid w:val="00A245A8"/>
    <w:rsid w:val="00A245B6"/>
    <w:rsid w:val="00A24631"/>
    <w:rsid w:val="00A2464D"/>
    <w:rsid w:val="00A24656"/>
    <w:rsid w:val="00A2475C"/>
    <w:rsid w:val="00A2478A"/>
    <w:rsid w:val="00A247BA"/>
    <w:rsid w:val="00A247CB"/>
    <w:rsid w:val="00A247FD"/>
    <w:rsid w:val="00A24877"/>
    <w:rsid w:val="00A24879"/>
    <w:rsid w:val="00A248B0"/>
    <w:rsid w:val="00A24965"/>
    <w:rsid w:val="00A24A07"/>
    <w:rsid w:val="00A24A2D"/>
    <w:rsid w:val="00A24A4B"/>
    <w:rsid w:val="00A24ACD"/>
    <w:rsid w:val="00A24AEF"/>
    <w:rsid w:val="00A24B48"/>
    <w:rsid w:val="00A24BEE"/>
    <w:rsid w:val="00A24BF7"/>
    <w:rsid w:val="00A24C40"/>
    <w:rsid w:val="00A24CB5"/>
    <w:rsid w:val="00A24D5B"/>
    <w:rsid w:val="00A24DD2"/>
    <w:rsid w:val="00A24E42"/>
    <w:rsid w:val="00A24EA3"/>
    <w:rsid w:val="00A24EC3"/>
    <w:rsid w:val="00A24EEE"/>
    <w:rsid w:val="00A24FE3"/>
    <w:rsid w:val="00A2502B"/>
    <w:rsid w:val="00A250C3"/>
    <w:rsid w:val="00A2519D"/>
    <w:rsid w:val="00A2520D"/>
    <w:rsid w:val="00A2523E"/>
    <w:rsid w:val="00A2527A"/>
    <w:rsid w:val="00A25324"/>
    <w:rsid w:val="00A25336"/>
    <w:rsid w:val="00A2539C"/>
    <w:rsid w:val="00A25467"/>
    <w:rsid w:val="00A254EC"/>
    <w:rsid w:val="00A25578"/>
    <w:rsid w:val="00A25593"/>
    <w:rsid w:val="00A255DF"/>
    <w:rsid w:val="00A255E1"/>
    <w:rsid w:val="00A255FC"/>
    <w:rsid w:val="00A25684"/>
    <w:rsid w:val="00A2569C"/>
    <w:rsid w:val="00A256BC"/>
    <w:rsid w:val="00A25786"/>
    <w:rsid w:val="00A2578A"/>
    <w:rsid w:val="00A258AE"/>
    <w:rsid w:val="00A258ED"/>
    <w:rsid w:val="00A2590C"/>
    <w:rsid w:val="00A2595F"/>
    <w:rsid w:val="00A2597C"/>
    <w:rsid w:val="00A259AC"/>
    <w:rsid w:val="00A259AE"/>
    <w:rsid w:val="00A259B8"/>
    <w:rsid w:val="00A25A09"/>
    <w:rsid w:val="00A25A41"/>
    <w:rsid w:val="00A25AD7"/>
    <w:rsid w:val="00A25B4D"/>
    <w:rsid w:val="00A25BCF"/>
    <w:rsid w:val="00A25BD4"/>
    <w:rsid w:val="00A25BF6"/>
    <w:rsid w:val="00A25C40"/>
    <w:rsid w:val="00A25C71"/>
    <w:rsid w:val="00A25CE8"/>
    <w:rsid w:val="00A25D53"/>
    <w:rsid w:val="00A25D7B"/>
    <w:rsid w:val="00A25DF0"/>
    <w:rsid w:val="00A2607C"/>
    <w:rsid w:val="00A26081"/>
    <w:rsid w:val="00A26092"/>
    <w:rsid w:val="00A2610D"/>
    <w:rsid w:val="00A26192"/>
    <w:rsid w:val="00A261B3"/>
    <w:rsid w:val="00A26208"/>
    <w:rsid w:val="00A26211"/>
    <w:rsid w:val="00A26243"/>
    <w:rsid w:val="00A2629B"/>
    <w:rsid w:val="00A262DD"/>
    <w:rsid w:val="00A2633C"/>
    <w:rsid w:val="00A263B8"/>
    <w:rsid w:val="00A2641D"/>
    <w:rsid w:val="00A2645D"/>
    <w:rsid w:val="00A26472"/>
    <w:rsid w:val="00A2648B"/>
    <w:rsid w:val="00A264BD"/>
    <w:rsid w:val="00A264C7"/>
    <w:rsid w:val="00A264CB"/>
    <w:rsid w:val="00A264DC"/>
    <w:rsid w:val="00A264F9"/>
    <w:rsid w:val="00A26580"/>
    <w:rsid w:val="00A265DC"/>
    <w:rsid w:val="00A266A1"/>
    <w:rsid w:val="00A266AD"/>
    <w:rsid w:val="00A2673F"/>
    <w:rsid w:val="00A2674A"/>
    <w:rsid w:val="00A26863"/>
    <w:rsid w:val="00A268A5"/>
    <w:rsid w:val="00A268D2"/>
    <w:rsid w:val="00A268ED"/>
    <w:rsid w:val="00A26944"/>
    <w:rsid w:val="00A26995"/>
    <w:rsid w:val="00A26A17"/>
    <w:rsid w:val="00A26A93"/>
    <w:rsid w:val="00A26C10"/>
    <w:rsid w:val="00A26C3F"/>
    <w:rsid w:val="00A26CB1"/>
    <w:rsid w:val="00A26D67"/>
    <w:rsid w:val="00A26DC7"/>
    <w:rsid w:val="00A26DD7"/>
    <w:rsid w:val="00A26E3E"/>
    <w:rsid w:val="00A26E98"/>
    <w:rsid w:val="00A26E9D"/>
    <w:rsid w:val="00A26EB5"/>
    <w:rsid w:val="00A26F1F"/>
    <w:rsid w:val="00A27072"/>
    <w:rsid w:val="00A27074"/>
    <w:rsid w:val="00A270B1"/>
    <w:rsid w:val="00A270C3"/>
    <w:rsid w:val="00A270D3"/>
    <w:rsid w:val="00A271CC"/>
    <w:rsid w:val="00A273B2"/>
    <w:rsid w:val="00A273E9"/>
    <w:rsid w:val="00A2740A"/>
    <w:rsid w:val="00A2748E"/>
    <w:rsid w:val="00A27663"/>
    <w:rsid w:val="00A2767F"/>
    <w:rsid w:val="00A276AD"/>
    <w:rsid w:val="00A27892"/>
    <w:rsid w:val="00A278BB"/>
    <w:rsid w:val="00A278CE"/>
    <w:rsid w:val="00A27909"/>
    <w:rsid w:val="00A27952"/>
    <w:rsid w:val="00A27995"/>
    <w:rsid w:val="00A27ADF"/>
    <w:rsid w:val="00A27B48"/>
    <w:rsid w:val="00A27B52"/>
    <w:rsid w:val="00A27BDF"/>
    <w:rsid w:val="00A27C06"/>
    <w:rsid w:val="00A27C57"/>
    <w:rsid w:val="00A27D63"/>
    <w:rsid w:val="00A27D94"/>
    <w:rsid w:val="00A27DB9"/>
    <w:rsid w:val="00A27DCA"/>
    <w:rsid w:val="00A27DDE"/>
    <w:rsid w:val="00A27E0E"/>
    <w:rsid w:val="00A27E3D"/>
    <w:rsid w:val="00A27ED3"/>
    <w:rsid w:val="00A27FA5"/>
    <w:rsid w:val="00A27FB6"/>
    <w:rsid w:val="00A27FD0"/>
    <w:rsid w:val="00A30056"/>
    <w:rsid w:val="00A3006B"/>
    <w:rsid w:val="00A300A2"/>
    <w:rsid w:val="00A300FA"/>
    <w:rsid w:val="00A30104"/>
    <w:rsid w:val="00A3016D"/>
    <w:rsid w:val="00A30186"/>
    <w:rsid w:val="00A301AB"/>
    <w:rsid w:val="00A30210"/>
    <w:rsid w:val="00A30216"/>
    <w:rsid w:val="00A3028F"/>
    <w:rsid w:val="00A302CB"/>
    <w:rsid w:val="00A302EB"/>
    <w:rsid w:val="00A30301"/>
    <w:rsid w:val="00A30306"/>
    <w:rsid w:val="00A3038B"/>
    <w:rsid w:val="00A3044F"/>
    <w:rsid w:val="00A304E0"/>
    <w:rsid w:val="00A304F1"/>
    <w:rsid w:val="00A30524"/>
    <w:rsid w:val="00A30549"/>
    <w:rsid w:val="00A3057B"/>
    <w:rsid w:val="00A30600"/>
    <w:rsid w:val="00A306BA"/>
    <w:rsid w:val="00A306F6"/>
    <w:rsid w:val="00A3075F"/>
    <w:rsid w:val="00A307A4"/>
    <w:rsid w:val="00A309C3"/>
    <w:rsid w:val="00A30A74"/>
    <w:rsid w:val="00A30B05"/>
    <w:rsid w:val="00A30B9A"/>
    <w:rsid w:val="00A30BE5"/>
    <w:rsid w:val="00A30C68"/>
    <w:rsid w:val="00A30C91"/>
    <w:rsid w:val="00A30C94"/>
    <w:rsid w:val="00A30CCA"/>
    <w:rsid w:val="00A30CE2"/>
    <w:rsid w:val="00A30CEF"/>
    <w:rsid w:val="00A30D15"/>
    <w:rsid w:val="00A30D3A"/>
    <w:rsid w:val="00A30D43"/>
    <w:rsid w:val="00A30D51"/>
    <w:rsid w:val="00A30D53"/>
    <w:rsid w:val="00A30E0E"/>
    <w:rsid w:val="00A3102A"/>
    <w:rsid w:val="00A31068"/>
    <w:rsid w:val="00A31079"/>
    <w:rsid w:val="00A3107B"/>
    <w:rsid w:val="00A3117E"/>
    <w:rsid w:val="00A3122E"/>
    <w:rsid w:val="00A3132C"/>
    <w:rsid w:val="00A31332"/>
    <w:rsid w:val="00A3134E"/>
    <w:rsid w:val="00A3135B"/>
    <w:rsid w:val="00A313A6"/>
    <w:rsid w:val="00A31490"/>
    <w:rsid w:val="00A31548"/>
    <w:rsid w:val="00A315AC"/>
    <w:rsid w:val="00A31614"/>
    <w:rsid w:val="00A316C4"/>
    <w:rsid w:val="00A316EE"/>
    <w:rsid w:val="00A317EF"/>
    <w:rsid w:val="00A318AB"/>
    <w:rsid w:val="00A318F2"/>
    <w:rsid w:val="00A3191D"/>
    <w:rsid w:val="00A3192A"/>
    <w:rsid w:val="00A31AC2"/>
    <w:rsid w:val="00A31B5D"/>
    <w:rsid w:val="00A31B83"/>
    <w:rsid w:val="00A31C48"/>
    <w:rsid w:val="00A31C7A"/>
    <w:rsid w:val="00A31D2F"/>
    <w:rsid w:val="00A31D50"/>
    <w:rsid w:val="00A31D92"/>
    <w:rsid w:val="00A31E1C"/>
    <w:rsid w:val="00A31E4E"/>
    <w:rsid w:val="00A31E76"/>
    <w:rsid w:val="00A31E7E"/>
    <w:rsid w:val="00A31EE2"/>
    <w:rsid w:val="00A31F59"/>
    <w:rsid w:val="00A31FD0"/>
    <w:rsid w:val="00A3200A"/>
    <w:rsid w:val="00A32121"/>
    <w:rsid w:val="00A32129"/>
    <w:rsid w:val="00A321BD"/>
    <w:rsid w:val="00A321D7"/>
    <w:rsid w:val="00A322E7"/>
    <w:rsid w:val="00A32344"/>
    <w:rsid w:val="00A32371"/>
    <w:rsid w:val="00A32453"/>
    <w:rsid w:val="00A32459"/>
    <w:rsid w:val="00A32482"/>
    <w:rsid w:val="00A324B9"/>
    <w:rsid w:val="00A32530"/>
    <w:rsid w:val="00A325B4"/>
    <w:rsid w:val="00A325C9"/>
    <w:rsid w:val="00A325ED"/>
    <w:rsid w:val="00A3262F"/>
    <w:rsid w:val="00A32692"/>
    <w:rsid w:val="00A32785"/>
    <w:rsid w:val="00A327D9"/>
    <w:rsid w:val="00A3287F"/>
    <w:rsid w:val="00A32920"/>
    <w:rsid w:val="00A3295A"/>
    <w:rsid w:val="00A32960"/>
    <w:rsid w:val="00A32973"/>
    <w:rsid w:val="00A32998"/>
    <w:rsid w:val="00A329B8"/>
    <w:rsid w:val="00A329D2"/>
    <w:rsid w:val="00A32A15"/>
    <w:rsid w:val="00A32A50"/>
    <w:rsid w:val="00A32A87"/>
    <w:rsid w:val="00A32AAB"/>
    <w:rsid w:val="00A32AB7"/>
    <w:rsid w:val="00A32B32"/>
    <w:rsid w:val="00A32B45"/>
    <w:rsid w:val="00A32B75"/>
    <w:rsid w:val="00A32B8A"/>
    <w:rsid w:val="00A32B95"/>
    <w:rsid w:val="00A32BD3"/>
    <w:rsid w:val="00A32C2B"/>
    <w:rsid w:val="00A32CB2"/>
    <w:rsid w:val="00A32D6C"/>
    <w:rsid w:val="00A32DD1"/>
    <w:rsid w:val="00A32E12"/>
    <w:rsid w:val="00A32E7A"/>
    <w:rsid w:val="00A32F40"/>
    <w:rsid w:val="00A32F65"/>
    <w:rsid w:val="00A33017"/>
    <w:rsid w:val="00A3307B"/>
    <w:rsid w:val="00A330E3"/>
    <w:rsid w:val="00A33105"/>
    <w:rsid w:val="00A3315C"/>
    <w:rsid w:val="00A332B0"/>
    <w:rsid w:val="00A33357"/>
    <w:rsid w:val="00A33415"/>
    <w:rsid w:val="00A334A4"/>
    <w:rsid w:val="00A33564"/>
    <w:rsid w:val="00A3363A"/>
    <w:rsid w:val="00A33722"/>
    <w:rsid w:val="00A33738"/>
    <w:rsid w:val="00A3373D"/>
    <w:rsid w:val="00A33787"/>
    <w:rsid w:val="00A337A3"/>
    <w:rsid w:val="00A337C2"/>
    <w:rsid w:val="00A33872"/>
    <w:rsid w:val="00A3387E"/>
    <w:rsid w:val="00A338DD"/>
    <w:rsid w:val="00A33950"/>
    <w:rsid w:val="00A33995"/>
    <w:rsid w:val="00A339E1"/>
    <w:rsid w:val="00A339F6"/>
    <w:rsid w:val="00A33AAA"/>
    <w:rsid w:val="00A33AB0"/>
    <w:rsid w:val="00A33AD8"/>
    <w:rsid w:val="00A33B5E"/>
    <w:rsid w:val="00A33B80"/>
    <w:rsid w:val="00A33B97"/>
    <w:rsid w:val="00A33B9B"/>
    <w:rsid w:val="00A33D30"/>
    <w:rsid w:val="00A33E77"/>
    <w:rsid w:val="00A33FB8"/>
    <w:rsid w:val="00A33FCB"/>
    <w:rsid w:val="00A33FD2"/>
    <w:rsid w:val="00A34038"/>
    <w:rsid w:val="00A340D1"/>
    <w:rsid w:val="00A340FB"/>
    <w:rsid w:val="00A34103"/>
    <w:rsid w:val="00A341E8"/>
    <w:rsid w:val="00A3425D"/>
    <w:rsid w:val="00A3428F"/>
    <w:rsid w:val="00A34419"/>
    <w:rsid w:val="00A34444"/>
    <w:rsid w:val="00A344CA"/>
    <w:rsid w:val="00A344D7"/>
    <w:rsid w:val="00A34574"/>
    <w:rsid w:val="00A34664"/>
    <w:rsid w:val="00A346A3"/>
    <w:rsid w:val="00A34727"/>
    <w:rsid w:val="00A34739"/>
    <w:rsid w:val="00A34831"/>
    <w:rsid w:val="00A348F0"/>
    <w:rsid w:val="00A349BC"/>
    <w:rsid w:val="00A349D3"/>
    <w:rsid w:val="00A34ACD"/>
    <w:rsid w:val="00A34B21"/>
    <w:rsid w:val="00A34B2E"/>
    <w:rsid w:val="00A34BC9"/>
    <w:rsid w:val="00A34C87"/>
    <w:rsid w:val="00A34CE3"/>
    <w:rsid w:val="00A34DE9"/>
    <w:rsid w:val="00A34E57"/>
    <w:rsid w:val="00A34E69"/>
    <w:rsid w:val="00A34EEB"/>
    <w:rsid w:val="00A34EED"/>
    <w:rsid w:val="00A34EF2"/>
    <w:rsid w:val="00A34F3A"/>
    <w:rsid w:val="00A35006"/>
    <w:rsid w:val="00A3503A"/>
    <w:rsid w:val="00A35076"/>
    <w:rsid w:val="00A35082"/>
    <w:rsid w:val="00A350D9"/>
    <w:rsid w:val="00A35108"/>
    <w:rsid w:val="00A35122"/>
    <w:rsid w:val="00A351C8"/>
    <w:rsid w:val="00A351DC"/>
    <w:rsid w:val="00A35232"/>
    <w:rsid w:val="00A35234"/>
    <w:rsid w:val="00A352A6"/>
    <w:rsid w:val="00A352D8"/>
    <w:rsid w:val="00A35329"/>
    <w:rsid w:val="00A35354"/>
    <w:rsid w:val="00A35361"/>
    <w:rsid w:val="00A3539D"/>
    <w:rsid w:val="00A354A8"/>
    <w:rsid w:val="00A35544"/>
    <w:rsid w:val="00A3557F"/>
    <w:rsid w:val="00A355AB"/>
    <w:rsid w:val="00A3571A"/>
    <w:rsid w:val="00A3576A"/>
    <w:rsid w:val="00A357C7"/>
    <w:rsid w:val="00A358D9"/>
    <w:rsid w:val="00A35969"/>
    <w:rsid w:val="00A3596F"/>
    <w:rsid w:val="00A35A7B"/>
    <w:rsid w:val="00A35B20"/>
    <w:rsid w:val="00A35C0D"/>
    <w:rsid w:val="00A35C32"/>
    <w:rsid w:val="00A35C8B"/>
    <w:rsid w:val="00A35C9F"/>
    <w:rsid w:val="00A35CE7"/>
    <w:rsid w:val="00A35D3A"/>
    <w:rsid w:val="00A35DE4"/>
    <w:rsid w:val="00A35E22"/>
    <w:rsid w:val="00A35E29"/>
    <w:rsid w:val="00A35E47"/>
    <w:rsid w:val="00A35E71"/>
    <w:rsid w:val="00A35E96"/>
    <w:rsid w:val="00A35EDD"/>
    <w:rsid w:val="00A35F53"/>
    <w:rsid w:val="00A35F7D"/>
    <w:rsid w:val="00A36020"/>
    <w:rsid w:val="00A36023"/>
    <w:rsid w:val="00A360B5"/>
    <w:rsid w:val="00A361B4"/>
    <w:rsid w:val="00A361D2"/>
    <w:rsid w:val="00A361F1"/>
    <w:rsid w:val="00A3626E"/>
    <w:rsid w:val="00A362F9"/>
    <w:rsid w:val="00A3634A"/>
    <w:rsid w:val="00A3637C"/>
    <w:rsid w:val="00A363A9"/>
    <w:rsid w:val="00A363AB"/>
    <w:rsid w:val="00A363B2"/>
    <w:rsid w:val="00A363C8"/>
    <w:rsid w:val="00A364E6"/>
    <w:rsid w:val="00A364FE"/>
    <w:rsid w:val="00A36533"/>
    <w:rsid w:val="00A3657C"/>
    <w:rsid w:val="00A365FD"/>
    <w:rsid w:val="00A36652"/>
    <w:rsid w:val="00A3665E"/>
    <w:rsid w:val="00A367B6"/>
    <w:rsid w:val="00A367F8"/>
    <w:rsid w:val="00A3686A"/>
    <w:rsid w:val="00A368EF"/>
    <w:rsid w:val="00A369C8"/>
    <w:rsid w:val="00A369FA"/>
    <w:rsid w:val="00A36B33"/>
    <w:rsid w:val="00A36B3F"/>
    <w:rsid w:val="00A36B41"/>
    <w:rsid w:val="00A36B82"/>
    <w:rsid w:val="00A36BA5"/>
    <w:rsid w:val="00A36D9D"/>
    <w:rsid w:val="00A36E1F"/>
    <w:rsid w:val="00A36E4A"/>
    <w:rsid w:val="00A36E72"/>
    <w:rsid w:val="00A37008"/>
    <w:rsid w:val="00A37073"/>
    <w:rsid w:val="00A370CB"/>
    <w:rsid w:val="00A37109"/>
    <w:rsid w:val="00A37137"/>
    <w:rsid w:val="00A37139"/>
    <w:rsid w:val="00A37248"/>
    <w:rsid w:val="00A3726B"/>
    <w:rsid w:val="00A3731B"/>
    <w:rsid w:val="00A37337"/>
    <w:rsid w:val="00A3739F"/>
    <w:rsid w:val="00A37523"/>
    <w:rsid w:val="00A3758A"/>
    <w:rsid w:val="00A375BF"/>
    <w:rsid w:val="00A375DE"/>
    <w:rsid w:val="00A375EE"/>
    <w:rsid w:val="00A37734"/>
    <w:rsid w:val="00A37750"/>
    <w:rsid w:val="00A377AE"/>
    <w:rsid w:val="00A3782A"/>
    <w:rsid w:val="00A3788A"/>
    <w:rsid w:val="00A3791B"/>
    <w:rsid w:val="00A379C5"/>
    <w:rsid w:val="00A37A32"/>
    <w:rsid w:val="00A37AF4"/>
    <w:rsid w:val="00A37B4C"/>
    <w:rsid w:val="00A37BE9"/>
    <w:rsid w:val="00A37C5F"/>
    <w:rsid w:val="00A37C7C"/>
    <w:rsid w:val="00A37CA0"/>
    <w:rsid w:val="00A37CCB"/>
    <w:rsid w:val="00A37D41"/>
    <w:rsid w:val="00A37D88"/>
    <w:rsid w:val="00A37DF7"/>
    <w:rsid w:val="00A37E05"/>
    <w:rsid w:val="00A37E77"/>
    <w:rsid w:val="00A37F28"/>
    <w:rsid w:val="00A37F3F"/>
    <w:rsid w:val="00A400CE"/>
    <w:rsid w:val="00A40117"/>
    <w:rsid w:val="00A40128"/>
    <w:rsid w:val="00A401D2"/>
    <w:rsid w:val="00A402B8"/>
    <w:rsid w:val="00A402F5"/>
    <w:rsid w:val="00A4032A"/>
    <w:rsid w:val="00A40364"/>
    <w:rsid w:val="00A40447"/>
    <w:rsid w:val="00A40450"/>
    <w:rsid w:val="00A4051F"/>
    <w:rsid w:val="00A40544"/>
    <w:rsid w:val="00A4057F"/>
    <w:rsid w:val="00A40629"/>
    <w:rsid w:val="00A4065C"/>
    <w:rsid w:val="00A40662"/>
    <w:rsid w:val="00A4069E"/>
    <w:rsid w:val="00A406E4"/>
    <w:rsid w:val="00A406E5"/>
    <w:rsid w:val="00A40714"/>
    <w:rsid w:val="00A40721"/>
    <w:rsid w:val="00A40722"/>
    <w:rsid w:val="00A40773"/>
    <w:rsid w:val="00A4078C"/>
    <w:rsid w:val="00A40978"/>
    <w:rsid w:val="00A40A3F"/>
    <w:rsid w:val="00A40A90"/>
    <w:rsid w:val="00A40B86"/>
    <w:rsid w:val="00A40C12"/>
    <w:rsid w:val="00A40C48"/>
    <w:rsid w:val="00A40D6D"/>
    <w:rsid w:val="00A40E08"/>
    <w:rsid w:val="00A40E62"/>
    <w:rsid w:val="00A40E66"/>
    <w:rsid w:val="00A40EB8"/>
    <w:rsid w:val="00A40ECF"/>
    <w:rsid w:val="00A410B1"/>
    <w:rsid w:val="00A41137"/>
    <w:rsid w:val="00A4113D"/>
    <w:rsid w:val="00A411B5"/>
    <w:rsid w:val="00A411CC"/>
    <w:rsid w:val="00A411F9"/>
    <w:rsid w:val="00A4131A"/>
    <w:rsid w:val="00A41394"/>
    <w:rsid w:val="00A413BB"/>
    <w:rsid w:val="00A41405"/>
    <w:rsid w:val="00A414E6"/>
    <w:rsid w:val="00A414FE"/>
    <w:rsid w:val="00A4151F"/>
    <w:rsid w:val="00A4160C"/>
    <w:rsid w:val="00A4168D"/>
    <w:rsid w:val="00A416FC"/>
    <w:rsid w:val="00A417EE"/>
    <w:rsid w:val="00A417F0"/>
    <w:rsid w:val="00A41875"/>
    <w:rsid w:val="00A41907"/>
    <w:rsid w:val="00A41978"/>
    <w:rsid w:val="00A419E5"/>
    <w:rsid w:val="00A419EC"/>
    <w:rsid w:val="00A41A82"/>
    <w:rsid w:val="00A41B6D"/>
    <w:rsid w:val="00A41BAD"/>
    <w:rsid w:val="00A41BE3"/>
    <w:rsid w:val="00A41C16"/>
    <w:rsid w:val="00A41C53"/>
    <w:rsid w:val="00A41C76"/>
    <w:rsid w:val="00A41D38"/>
    <w:rsid w:val="00A41DE7"/>
    <w:rsid w:val="00A41F06"/>
    <w:rsid w:val="00A41F39"/>
    <w:rsid w:val="00A41F5B"/>
    <w:rsid w:val="00A41F7D"/>
    <w:rsid w:val="00A41F8B"/>
    <w:rsid w:val="00A41FAF"/>
    <w:rsid w:val="00A41FB5"/>
    <w:rsid w:val="00A4208F"/>
    <w:rsid w:val="00A420AC"/>
    <w:rsid w:val="00A42154"/>
    <w:rsid w:val="00A42195"/>
    <w:rsid w:val="00A421E8"/>
    <w:rsid w:val="00A421F0"/>
    <w:rsid w:val="00A42235"/>
    <w:rsid w:val="00A4227C"/>
    <w:rsid w:val="00A422F0"/>
    <w:rsid w:val="00A42321"/>
    <w:rsid w:val="00A4232E"/>
    <w:rsid w:val="00A42366"/>
    <w:rsid w:val="00A4240E"/>
    <w:rsid w:val="00A42512"/>
    <w:rsid w:val="00A4251C"/>
    <w:rsid w:val="00A4263A"/>
    <w:rsid w:val="00A4264D"/>
    <w:rsid w:val="00A4265A"/>
    <w:rsid w:val="00A426B2"/>
    <w:rsid w:val="00A426D5"/>
    <w:rsid w:val="00A42718"/>
    <w:rsid w:val="00A427A4"/>
    <w:rsid w:val="00A427FB"/>
    <w:rsid w:val="00A42804"/>
    <w:rsid w:val="00A42814"/>
    <w:rsid w:val="00A428E9"/>
    <w:rsid w:val="00A428F5"/>
    <w:rsid w:val="00A429AD"/>
    <w:rsid w:val="00A42A4A"/>
    <w:rsid w:val="00A42AEB"/>
    <w:rsid w:val="00A42D0E"/>
    <w:rsid w:val="00A42D79"/>
    <w:rsid w:val="00A42D83"/>
    <w:rsid w:val="00A42DDE"/>
    <w:rsid w:val="00A42E0B"/>
    <w:rsid w:val="00A42E0F"/>
    <w:rsid w:val="00A42E85"/>
    <w:rsid w:val="00A42E9E"/>
    <w:rsid w:val="00A42EE8"/>
    <w:rsid w:val="00A42F62"/>
    <w:rsid w:val="00A42FA6"/>
    <w:rsid w:val="00A430D6"/>
    <w:rsid w:val="00A430EC"/>
    <w:rsid w:val="00A43161"/>
    <w:rsid w:val="00A4323C"/>
    <w:rsid w:val="00A43275"/>
    <w:rsid w:val="00A43329"/>
    <w:rsid w:val="00A43361"/>
    <w:rsid w:val="00A433BD"/>
    <w:rsid w:val="00A43457"/>
    <w:rsid w:val="00A4345B"/>
    <w:rsid w:val="00A43523"/>
    <w:rsid w:val="00A43532"/>
    <w:rsid w:val="00A43594"/>
    <w:rsid w:val="00A4363A"/>
    <w:rsid w:val="00A4365A"/>
    <w:rsid w:val="00A43668"/>
    <w:rsid w:val="00A43684"/>
    <w:rsid w:val="00A4370C"/>
    <w:rsid w:val="00A43768"/>
    <w:rsid w:val="00A43804"/>
    <w:rsid w:val="00A4386D"/>
    <w:rsid w:val="00A438C0"/>
    <w:rsid w:val="00A438CB"/>
    <w:rsid w:val="00A438DB"/>
    <w:rsid w:val="00A438FD"/>
    <w:rsid w:val="00A43938"/>
    <w:rsid w:val="00A4395B"/>
    <w:rsid w:val="00A43997"/>
    <w:rsid w:val="00A439D2"/>
    <w:rsid w:val="00A439E2"/>
    <w:rsid w:val="00A439E9"/>
    <w:rsid w:val="00A43A0F"/>
    <w:rsid w:val="00A43A32"/>
    <w:rsid w:val="00A43A49"/>
    <w:rsid w:val="00A43A81"/>
    <w:rsid w:val="00A43AAE"/>
    <w:rsid w:val="00A43B43"/>
    <w:rsid w:val="00A43B56"/>
    <w:rsid w:val="00A43B8E"/>
    <w:rsid w:val="00A43C4C"/>
    <w:rsid w:val="00A43D10"/>
    <w:rsid w:val="00A43DB6"/>
    <w:rsid w:val="00A43E13"/>
    <w:rsid w:val="00A43E36"/>
    <w:rsid w:val="00A43E46"/>
    <w:rsid w:val="00A43ECA"/>
    <w:rsid w:val="00A43F1D"/>
    <w:rsid w:val="00A44033"/>
    <w:rsid w:val="00A44036"/>
    <w:rsid w:val="00A44088"/>
    <w:rsid w:val="00A44179"/>
    <w:rsid w:val="00A4418D"/>
    <w:rsid w:val="00A44269"/>
    <w:rsid w:val="00A44399"/>
    <w:rsid w:val="00A443C8"/>
    <w:rsid w:val="00A443D8"/>
    <w:rsid w:val="00A4442A"/>
    <w:rsid w:val="00A4445B"/>
    <w:rsid w:val="00A444B8"/>
    <w:rsid w:val="00A4450A"/>
    <w:rsid w:val="00A4453A"/>
    <w:rsid w:val="00A445C7"/>
    <w:rsid w:val="00A44649"/>
    <w:rsid w:val="00A4469F"/>
    <w:rsid w:val="00A4481E"/>
    <w:rsid w:val="00A44878"/>
    <w:rsid w:val="00A44888"/>
    <w:rsid w:val="00A448A5"/>
    <w:rsid w:val="00A4497C"/>
    <w:rsid w:val="00A449AA"/>
    <w:rsid w:val="00A449AC"/>
    <w:rsid w:val="00A449D8"/>
    <w:rsid w:val="00A44A58"/>
    <w:rsid w:val="00A44AB0"/>
    <w:rsid w:val="00A44B84"/>
    <w:rsid w:val="00A44BBF"/>
    <w:rsid w:val="00A44C2B"/>
    <w:rsid w:val="00A44C44"/>
    <w:rsid w:val="00A44C49"/>
    <w:rsid w:val="00A44D55"/>
    <w:rsid w:val="00A44E7D"/>
    <w:rsid w:val="00A44F4A"/>
    <w:rsid w:val="00A44F4F"/>
    <w:rsid w:val="00A44F90"/>
    <w:rsid w:val="00A44FCA"/>
    <w:rsid w:val="00A44FCB"/>
    <w:rsid w:val="00A4500E"/>
    <w:rsid w:val="00A4504A"/>
    <w:rsid w:val="00A4505D"/>
    <w:rsid w:val="00A45093"/>
    <w:rsid w:val="00A45235"/>
    <w:rsid w:val="00A452E0"/>
    <w:rsid w:val="00A45319"/>
    <w:rsid w:val="00A45343"/>
    <w:rsid w:val="00A4535C"/>
    <w:rsid w:val="00A453A1"/>
    <w:rsid w:val="00A453B4"/>
    <w:rsid w:val="00A453BA"/>
    <w:rsid w:val="00A454D7"/>
    <w:rsid w:val="00A454F6"/>
    <w:rsid w:val="00A45557"/>
    <w:rsid w:val="00A456C2"/>
    <w:rsid w:val="00A4573E"/>
    <w:rsid w:val="00A4580E"/>
    <w:rsid w:val="00A45857"/>
    <w:rsid w:val="00A4587D"/>
    <w:rsid w:val="00A459C0"/>
    <w:rsid w:val="00A45AB7"/>
    <w:rsid w:val="00A45AC7"/>
    <w:rsid w:val="00A45AF9"/>
    <w:rsid w:val="00A45B9C"/>
    <w:rsid w:val="00A45BC3"/>
    <w:rsid w:val="00A45C03"/>
    <w:rsid w:val="00A45C31"/>
    <w:rsid w:val="00A45CCD"/>
    <w:rsid w:val="00A45D9D"/>
    <w:rsid w:val="00A45E31"/>
    <w:rsid w:val="00A45F0F"/>
    <w:rsid w:val="00A45F2C"/>
    <w:rsid w:val="00A45F4B"/>
    <w:rsid w:val="00A45F6C"/>
    <w:rsid w:val="00A460C5"/>
    <w:rsid w:val="00A46124"/>
    <w:rsid w:val="00A4618C"/>
    <w:rsid w:val="00A46193"/>
    <w:rsid w:val="00A461C9"/>
    <w:rsid w:val="00A461DB"/>
    <w:rsid w:val="00A462E2"/>
    <w:rsid w:val="00A462FD"/>
    <w:rsid w:val="00A4630E"/>
    <w:rsid w:val="00A46331"/>
    <w:rsid w:val="00A4638F"/>
    <w:rsid w:val="00A463A5"/>
    <w:rsid w:val="00A46437"/>
    <w:rsid w:val="00A46442"/>
    <w:rsid w:val="00A4649F"/>
    <w:rsid w:val="00A464AA"/>
    <w:rsid w:val="00A46505"/>
    <w:rsid w:val="00A4661D"/>
    <w:rsid w:val="00A46662"/>
    <w:rsid w:val="00A4668D"/>
    <w:rsid w:val="00A466B7"/>
    <w:rsid w:val="00A46720"/>
    <w:rsid w:val="00A46752"/>
    <w:rsid w:val="00A46761"/>
    <w:rsid w:val="00A46762"/>
    <w:rsid w:val="00A4686A"/>
    <w:rsid w:val="00A46879"/>
    <w:rsid w:val="00A468F8"/>
    <w:rsid w:val="00A46907"/>
    <w:rsid w:val="00A46935"/>
    <w:rsid w:val="00A46994"/>
    <w:rsid w:val="00A469A2"/>
    <w:rsid w:val="00A46A4E"/>
    <w:rsid w:val="00A46A79"/>
    <w:rsid w:val="00A46AB8"/>
    <w:rsid w:val="00A46ABD"/>
    <w:rsid w:val="00A46B1D"/>
    <w:rsid w:val="00A46BC5"/>
    <w:rsid w:val="00A46C6A"/>
    <w:rsid w:val="00A46CE5"/>
    <w:rsid w:val="00A46DE7"/>
    <w:rsid w:val="00A46E05"/>
    <w:rsid w:val="00A46E45"/>
    <w:rsid w:val="00A46E83"/>
    <w:rsid w:val="00A46F57"/>
    <w:rsid w:val="00A47049"/>
    <w:rsid w:val="00A470B7"/>
    <w:rsid w:val="00A470E3"/>
    <w:rsid w:val="00A471DD"/>
    <w:rsid w:val="00A4720E"/>
    <w:rsid w:val="00A47278"/>
    <w:rsid w:val="00A47282"/>
    <w:rsid w:val="00A472C5"/>
    <w:rsid w:val="00A47339"/>
    <w:rsid w:val="00A473CD"/>
    <w:rsid w:val="00A474ED"/>
    <w:rsid w:val="00A475D3"/>
    <w:rsid w:val="00A4763E"/>
    <w:rsid w:val="00A4768A"/>
    <w:rsid w:val="00A476E9"/>
    <w:rsid w:val="00A47789"/>
    <w:rsid w:val="00A478CC"/>
    <w:rsid w:val="00A4797E"/>
    <w:rsid w:val="00A479FD"/>
    <w:rsid w:val="00A47A5C"/>
    <w:rsid w:val="00A47A95"/>
    <w:rsid w:val="00A47B2E"/>
    <w:rsid w:val="00A47BFA"/>
    <w:rsid w:val="00A47C2C"/>
    <w:rsid w:val="00A47CBC"/>
    <w:rsid w:val="00A47CBD"/>
    <w:rsid w:val="00A47D76"/>
    <w:rsid w:val="00A47D7A"/>
    <w:rsid w:val="00A47D7F"/>
    <w:rsid w:val="00A47DDB"/>
    <w:rsid w:val="00A47DE4"/>
    <w:rsid w:val="00A47E08"/>
    <w:rsid w:val="00A47E55"/>
    <w:rsid w:val="00A47E6E"/>
    <w:rsid w:val="00A47E74"/>
    <w:rsid w:val="00A47E90"/>
    <w:rsid w:val="00A47ED4"/>
    <w:rsid w:val="00A47FE0"/>
    <w:rsid w:val="00A50058"/>
    <w:rsid w:val="00A500A6"/>
    <w:rsid w:val="00A500BE"/>
    <w:rsid w:val="00A500C7"/>
    <w:rsid w:val="00A5011E"/>
    <w:rsid w:val="00A50162"/>
    <w:rsid w:val="00A50171"/>
    <w:rsid w:val="00A501DF"/>
    <w:rsid w:val="00A50276"/>
    <w:rsid w:val="00A50287"/>
    <w:rsid w:val="00A502C5"/>
    <w:rsid w:val="00A50356"/>
    <w:rsid w:val="00A50361"/>
    <w:rsid w:val="00A50375"/>
    <w:rsid w:val="00A503D5"/>
    <w:rsid w:val="00A50410"/>
    <w:rsid w:val="00A50485"/>
    <w:rsid w:val="00A5050B"/>
    <w:rsid w:val="00A50561"/>
    <w:rsid w:val="00A505BA"/>
    <w:rsid w:val="00A506E5"/>
    <w:rsid w:val="00A5070F"/>
    <w:rsid w:val="00A50746"/>
    <w:rsid w:val="00A50775"/>
    <w:rsid w:val="00A50933"/>
    <w:rsid w:val="00A509AF"/>
    <w:rsid w:val="00A50A87"/>
    <w:rsid w:val="00A50CBA"/>
    <w:rsid w:val="00A50D76"/>
    <w:rsid w:val="00A50D9A"/>
    <w:rsid w:val="00A50DAB"/>
    <w:rsid w:val="00A50F36"/>
    <w:rsid w:val="00A50FF3"/>
    <w:rsid w:val="00A5102B"/>
    <w:rsid w:val="00A510D0"/>
    <w:rsid w:val="00A5112C"/>
    <w:rsid w:val="00A5114F"/>
    <w:rsid w:val="00A5124C"/>
    <w:rsid w:val="00A512E0"/>
    <w:rsid w:val="00A513BD"/>
    <w:rsid w:val="00A514C4"/>
    <w:rsid w:val="00A51555"/>
    <w:rsid w:val="00A51598"/>
    <w:rsid w:val="00A51643"/>
    <w:rsid w:val="00A516AB"/>
    <w:rsid w:val="00A516C3"/>
    <w:rsid w:val="00A516CA"/>
    <w:rsid w:val="00A516F4"/>
    <w:rsid w:val="00A51734"/>
    <w:rsid w:val="00A5178D"/>
    <w:rsid w:val="00A5180A"/>
    <w:rsid w:val="00A5182E"/>
    <w:rsid w:val="00A5199B"/>
    <w:rsid w:val="00A519EC"/>
    <w:rsid w:val="00A51AD4"/>
    <w:rsid w:val="00A51AE6"/>
    <w:rsid w:val="00A51C04"/>
    <w:rsid w:val="00A51C0B"/>
    <w:rsid w:val="00A51C27"/>
    <w:rsid w:val="00A51CB4"/>
    <w:rsid w:val="00A51D5A"/>
    <w:rsid w:val="00A51F1F"/>
    <w:rsid w:val="00A51F48"/>
    <w:rsid w:val="00A51F60"/>
    <w:rsid w:val="00A51F6C"/>
    <w:rsid w:val="00A51F7B"/>
    <w:rsid w:val="00A51FA3"/>
    <w:rsid w:val="00A52031"/>
    <w:rsid w:val="00A52045"/>
    <w:rsid w:val="00A52062"/>
    <w:rsid w:val="00A5206E"/>
    <w:rsid w:val="00A5209F"/>
    <w:rsid w:val="00A5210B"/>
    <w:rsid w:val="00A521AA"/>
    <w:rsid w:val="00A521C1"/>
    <w:rsid w:val="00A521C5"/>
    <w:rsid w:val="00A52241"/>
    <w:rsid w:val="00A5231B"/>
    <w:rsid w:val="00A5232B"/>
    <w:rsid w:val="00A52339"/>
    <w:rsid w:val="00A5235C"/>
    <w:rsid w:val="00A5237B"/>
    <w:rsid w:val="00A523DB"/>
    <w:rsid w:val="00A52416"/>
    <w:rsid w:val="00A5241E"/>
    <w:rsid w:val="00A52486"/>
    <w:rsid w:val="00A524CD"/>
    <w:rsid w:val="00A52587"/>
    <w:rsid w:val="00A525A4"/>
    <w:rsid w:val="00A52694"/>
    <w:rsid w:val="00A526E1"/>
    <w:rsid w:val="00A526E6"/>
    <w:rsid w:val="00A52748"/>
    <w:rsid w:val="00A52769"/>
    <w:rsid w:val="00A52846"/>
    <w:rsid w:val="00A528EB"/>
    <w:rsid w:val="00A52907"/>
    <w:rsid w:val="00A5290E"/>
    <w:rsid w:val="00A52974"/>
    <w:rsid w:val="00A529EB"/>
    <w:rsid w:val="00A52A0A"/>
    <w:rsid w:val="00A52A70"/>
    <w:rsid w:val="00A52AC1"/>
    <w:rsid w:val="00A52AE7"/>
    <w:rsid w:val="00A52AEF"/>
    <w:rsid w:val="00A52B16"/>
    <w:rsid w:val="00A52B66"/>
    <w:rsid w:val="00A52B95"/>
    <w:rsid w:val="00A52C23"/>
    <w:rsid w:val="00A52C48"/>
    <w:rsid w:val="00A52C98"/>
    <w:rsid w:val="00A52CAA"/>
    <w:rsid w:val="00A52D30"/>
    <w:rsid w:val="00A52D98"/>
    <w:rsid w:val="00A52DBA"/>
    <w:rsid w:val="00A52E42"/>
    <w:rsid w:val="00A52E85"/>
    <w:rsid w:val="00A52F07"/>
    <w:rsid w:val="00A52FCB"/>
    <w:rsid w:val="00A5302B"/>
    <w:rsid w:val="00A5302E"/>
    <w:rsid w:val="00A530DC"/>
    <w:rsid w:val="00A53167"/>
    <w:rsid w:val="00A531B9"/>
    <w:rsid w:val="00A531E3"/>
    <w:rsid w:val="00A5321B"/>
    <w:rsid w:val="00A53245"/>
    <w:rsid w:val="00A532CA"/>
    <w:rsid w:val="00A532FF"/>
    <w:rsid w:val="00A53316"/>
    <w:rsid w:val="00A53357"/>
    <w:rsid w:val="00A53367"/>
    <w:rsid w:val="00A53392"/>
    <w:rsid w:val="00A533B9"/>
    <w:rsid w:val="00A53418"/>
    <w:rsid w:val="00A53486"/>
    <w:rsid w:val="00A53489"/>
    <w:rsid w:val="00A534CF"/>
    <w:rsid w:val="00A534D1"/>
    <w:rsid w:val="00A53550"/>
    <w:rsid w:val="00A5361C"/>
    <w:rsid w:val="00A53663"/>
    <w:rsid w:val="00A53695"/>
    <w:rsid w:val="00A5371F"/>
    <w:rsid w:val="00A53749"/>
    <w:rsid w:val="00A5375F"/>
    <w:rsid w:val="00A53881"/>
    <w:rsid w:val="00A538C2"/>
    <w:rsid w:val="00A539DD"/>
    <w:rsid w:val="00A53A06"/>
    <w:rsid w:val="00A53AED"/>
    <w:rsid w:val="00A53B32"/>
    <w:rsid w:val="00A53BD9"/>
    <w:rsid w:val="00A53C5F"/>
    <w:rsid w:val="00A53CEE"/>
    <w:rsid w:val="00A53D50"/>
    <w:rsid w:val="00A53DF0"/>
    <w:rsid w:val="00A53E29"/>
    <w:rsid w:val="00A53E59"/>
    <w:rsid w:val="00A53E8A"/>
    <w:rsid w:val="00A53ECE"/>
    <w:rsid w:val="00A53F54"/>
    <w:rsid w:val="00A53F55"/>
    <w:rsid w:val="00A54066"/>
    <w:rsid w:val="00A540C4"/>
    <w:rsid w:val="00A540DF"/>
    <w:rsid w:val="00A541AC"/>
    <w:rsid w:val="00A541B8"/>
    <w:rsid w:val="00A541CF"/>
    <w:rsid w:val="00A542A9"/>
    <w:rsid w:val="00A54306"/>
    <w:rsid w:val="00A543BB"/>
    <w:rsid w:val="00A54409"/>
    <w:rsid w:val="00A54420"/>
    <w:rsid w:val="00A54494"/>
    <w:rsid w:val="00A5449A"/>
    <w:rsid w:val="00A544A9"/>
    <w:rsid w:val="00A54502"/>
    <w:rsid w:val="00A5456D"/>
    <w:rsid w:val="00A54575"/>
    <w:rsid w:val="00A54630"/>
    <w:rsid w:val="00A54636"/>
    <w:rsid w:val="00A54648"/>
    <w:rsid w:val="00A546EB"/>
    <w:rsid w:val="00A54755"/>
    <w:rsid w:val="00A5479C"/>
    <w:rsid w:val="00A547A3"/>
    <w:rsid w:val="00A547D6"/>
    <w:rsid w:val="00A5491E"/>
    <w:rsid w:val="00A549D0"/>
    <w:rsid w:val="00A549DD"/>
    <w:rsid w:val="00A54A11"/>
    <w:rsid w:val="00A54A21"/>
    <w:rsid w:val="00A54A28"/>
    <w:rsid w:val="00A54A47"/>
    <w:rsid w:val="00A54A8C"/>
    <w:rsid w:val="00A54AF3"/>
    <w:rsid w:val="00A54B5B"/>
    <w:rsid w:val="00A54DAF"/>
    <w:rsid w:val="00A54DFF"/>
    <w:rsid w:val="00A54E75"/>
    <w:rsid w:val="00A54EA2"/>
    <w:rsid w:val="00A54EDD"/>
    <w:rsid w:val="00A54F9C"/>
    <w:rsid w:val="00A55013"/>
    <w:rsid w:val="00A55061"/>
    <w:rsid w:val="00A55071"/>
    <w:rsid w:val="00A5507E"/>
    <w:rsid w:val="00A550D7"/>
    <w:rsid w:val="00A5513A"/>
    <w:rsid w:val="00A5515D"/>
    <w:rsid w:val="00A55212"/>
    <w:rsid w:val="00A55223"/>
    <w:rsid w:val="00A5523A"/>
    <w:rsid w:val="00A552D7"/>
    <w:rsid w:val="00A5539B"/>
    <w:rsid w:val="00A554B2"/>
    <w:rsid w:val="00A554C4"/>
    <w:rsid w:val="00A5553B"/>
    <w:rsid w:val="00A55552"/>
    <w:rsid w:val="00A555FA"/>
    <w:rsid w:val="00A55619"/>
    <w:rsid w:val="00A55664"/>
    <w:rsid w:val="00A556EA"/>
    <w:rsid w:val="00A5581A"/>
    <w:rsid w:val="00A55876"/>
    <w:rsid w:val="00A558FA"/>
    <w:rsid w:val="00A5590C"/>
    <w:rsid w:val="00A559DE"/>
    <w:rsid w:val="00A55A37"/>
    <w:rsid w:val="00A55A6A"/>
    <w:rsid w:val="00A55ABD"/>
    <w:rsid w:val="00A55B3B"/>
    <w:rsid w:val="00A55B53"/>
    <w:rsid w:val="00A55BA5"/>
    <w:rsid w:val="00A55BAC"/>
    <w:rsid w:val="00A55BFB"/>
    <w:rsid w:val="00A55C14"/>
    <w:rsid w:val="00A55CB9"/>
    <w:rsid w:val="00A55D84"/>
    <w:rsid w:val="00A55D96"/>
    <w:rsid w:val="00A55DB6"/>
    <w:rsid w:val="00A55E40"/>
    <w:rsid w:val="00A55E4D"/>
    <w:rsid w:val="00A55E59"/>
    <w:rsid w:val="00A55E84"/>
    <w:rsid w:val="00A55E8C"/>
    <w:rsid w:val="00A55EA1"/>
    <w:rsid w:val="00A55EE2"/>
    <w:rsid w:val="00A55FB8"/>
    <w:rsid w:val="00A55FC6"/>
    <w:rsid w:val="00A55FCA"/>
    <w:rsid w:val="00A56016"/>
    <w:rsid w:val="00A56050"/>
    <w:rsid w:val="00A560D4"/>
    <w:rsid w:val="00A56125"/>
    <w:rsid w:val="00A5612E"/>
    <w:rsid w:val="00A561D2"/>
    <w:rsid w:val="00A562A9"/>
    <w:rsid w:val="00A562B2"/>
    <w:rsid w:val="00A5636B"/>
    <w:rsid w:val="00A56378"/>
    <w:rsid w:val="00A56387"/>
    <w:rsid w:val="00A56415"/>
    <w:rsid w:val="00A564E6"/>
    <w:rsid w:val="00A564F9"/>
    <w:rsid w:val="00A5652A"/>
    <w:rsid w:val="00A56556"/>
    <w:rsid w:val="00A56588"/>
    <w:rsid w:val="00A56698"/>
    <w:rsid w:val="00A566A7"/>
    <w:rsid w:val="00A566B1"/>
    <w:rsid w:val="00A566D8"/>
    <w:rsid w:val="00A56750"/>
    <w:rsid w:val="00A56756"/>
    <w:rsid w:val="00A56774"/>
    <w:rsid w:val="00A567B7"/>
    <w:rsid w:val="00A5681F"/>
    <w:rsid w:val="00A56847"/>
    <w:rsid w:val="00A5687B"/>
    <w:rsid w:val="00A56931"/>
    <w:rsid w:val="00A56967"/>
    <w:rsid w:val="00A56A65"/>
    <w:rsid w:val="00A56A8F"/>
    <w:rsid w:val="00A56AE9"/>
    <w:rsid w:val="00A56BD4"/>
    <w:rsid w:val="00A56C21"/>
    <w:rsid w:val="00A56C9E"/>
    <w:rsid w:val="00A56DC9"/>
    <w:rsid w:val="00A56E0A"/>
    <w:rsid w:val="00A56E7B"/>
    <w:rsid w:val="00A56ECA"/>
    <w:rsid w:val="00A57028"/>
    <w:rsid w:val="00A5709B"/>
    <w:rsid w:val="00A5710E"/>
    <w:rsid w:val="00A57215"/>
    <w:rsid w:val="00A5723E"/>
    <w:rsid w:val="00A572B3"/>
    <w:rsid w:val="00A573E0"/>
    <w:rsid w:val="00A57482"/>
    <w:rsid w:val="00A574B1"/>
    <w:rsid w:val="00A574C3"/>
    <w:rsid w:val="00A574E2"/>
    <w:rsid w:val="00A574ED"/>
    <w:rsid w:val="00A5751E"/>
    <w:rsid w:val="00A5753F"/>
    <w:rsid w:val="00A57544"/>
    <w:rsid w:val="00A57546"/>
    <w:rsid w:val="00A57583"/>
    <w:rsid w:val="00A57669"/>
    <w:rsid w:val="00A57678"/>
    <w:rsid w:val="00A576AE"/>
    <w:rsid w:val="00A576C8"/>
    <w:rsid w:val="00A577E4"/>
    <w:rsid w:val="00A57821"/>
    <w:rsid w:val="00A578B9"/>
    <w:rsid w:val="00A578EC"/>
    <w:rsid w:val="00A578F4"/>
    <w:rsid w:val="00A57920"/>
    <w:rsid w:val="00A5797A"/>
    <w:rsid w:val="00A57AD1"/>
    <w:rsid w:val="00A57AD6"/>
    <w:rsid w:val="00A57AEE"/>
    <w:rsid w:val="00A57B04"/>
    <w:rsid w:val="00A57B10"/>
    <w:rsid w:val="00A57BC3"/>
    <w:rsid w:val="00A57BC9"/>
    <w:rsid w:val="00A57BCE"/>
    <w:rsid w:val="00A57BE6"/>
    <w:rsid w:val="00A57C1E"/>
    <w:rsid w:val="00A57C72"/>
    <w:rsid w:val="00A57C8F"/>
    <w:rsid w:val="00A57CBD"/>
    <w:rsid w:val="00A57D25"/>
    <w:rsid w:val="00A57DB1"/>
    <w:rsid w:val="00A57DDE"/>
    <w:rsid w:val="00A57F13"/>
    <w:rsid w:val="00A57F44"/>
    <w:rsid w:val="00A60043"/>
    <w:rsid w:val="00A600EB"/>
    <w:rsid w:val="00A600F0"/>
    <w:rsid w:val="00A60151"/>
    <w:rsid w:val="00A60163"/>
    <w:rsid w:val="00A601BD"/>
    <w:rsid w:val="00A601CE"/>
    <w:rsid w:val="00A60202"/>
    <w:rsid w:val="00A6021C"/>
    <w:rsid w:val="00A6024B"/>
    <w:rsid w:val="00A60252"/>
    <w:rsid w:val="00A602B8"/>
    <w:rsid w:val="00A602C9"/>
    <w:rsid w:val="00A603DA"/>
    <w:rsid w:val="00A6044A"/>
    <w:rsid w:val="00A60481"/>
    <w:rsid w:val="00A604DA"/>
    <w:rsid w:val="00A60501"/>
    <w:rsid w:val="00A60518"/>
    <w:rsid w:val="00A60524"/>
    <w:rsid w:val="00A6057D"/>
    <w:rsid w:val="00A60599"/>
    <w:rsid w:val="00A605B8"/>
    <w:rsid w:val="00A605DC"/>
    <w:rsid w:val="00A60737"/>
    <w:rsid w:val="00A60743"/>
    <w:rsid w:val="00A608B2"/>
    <w:rsid w:val="00A60902"/>
    <w:rsid w:val="00A60954"/>
    <w:rsid w:val="00A60958"/>
    <w:rsid w:val="00A609BE"/>
    <w:rsid w:val="00A60A4A"/>
    <w:rsid w:val="00A60AC1"/>
    <w:rsid w:val="00A60B0A"/>
    <w:rsid w:val="00A60B4D"/>
    <w:rsid w:val="00A60BFC"/>
    <w:rsid w:val="00A60C09"/>
    <w:rsid w:val="00A60C11"/>
    <w:rsid w:val="00A60C4A"/>
    <w:rsid w:val="00A60CF6"/>
    <w:rsid w:val="00A60DF4"/>
    <w:rsid w:val="00A60E2E"/>
    <w:rsid w:val="00A60E50"/>
    <w:rsid w:val="00A60ED6"/>
    <w:rsid w:val="00A60F3C"/>
    <w:rsid w:val="00A60FA7"/>
    <w:rsid w:val="00A6103F"/>
    <w:rsid w:val="00A61083"/>
    <w:rsid w:val="00A610E2"/>
    <w:rsid w:val="00A61152"/>
    <w:rsid w:val="00A611CD"/>
    <w:rsid w:val="00A61235"/>
    <w:rsid w:val="00A612AC"/>
    <w:rsid w:val="00A613A3"/>
    <w:rsid w:val="00A61459"/>
    <w:rsid w:val="00A61483"/>
    <w:rsid w:val="00A614BB"/>
    <w:rsid w:val="00A61567"/>
    <w:rsid w:val="00A61590"/>
    <w:rsid w:val="00A615A4"/>
    <w:rsid w:val="00A615E2"/>
    <w:rsid w:val="00A61620"/>
    <w:rsid w:val="00A61673"/>
    <w:rsid w:val="00A6168B"/>
    <w:rsid w:val="00A61691"/>
    <w:rsid w:val="00A617AA"/>
    <w:rsid w:val="00A618D7"/>
    <w:rsid w:val="00A618E2"/>
    <w:rsid w:val="00A618FE"/>
    <w:rsid w:val="00A619DA"/>
    <w:rsid w:val="00A61A06"/>
    <w:rsid w:val="00A61A84"/>
    <w:rsid w:val="00A61B64"/>
    <w:rsid w:val="00A61CBC"/>
    <w:rsid w:val="00A61D43"/>
    <w:rsid w:val="00A61D8C"/>
    <w:rsid w:val="00A61E93"/>
    <w:rsid w:val="00A61EFC"/>
    <w:rsid w:val="00A61F5F"/>
    <w:rsid w:val="00A61F6C"/>
    <w:rsid w:val="00A62042"/>
    <w:rsid w:val="00A62145"/>
    <w:rsid w:val="00A621CE"/>
    <w:rsid w:val="00A622E0"/>
    <w:rsid w:val="00A62306"/>
    <w:rsid w:val="00A6234E"/>
    <w:rsid w:val="00A62350"/>
    <w:rsid w:val="00A6235E"/>
    <w:rsid w:val="00A62383"/>
    <w:rsid w:val="00A62424"/>
    <w:rsid w:val="00A624B1"/>
    <w:rsid w:val="00A62629"/>
    <w:rsid w:val="00A62651"/>
    <w:rsid w:val="00A62698"/>
    <w:rsid w:val="00A62699"/>
    <w:rsid w:val="00A626BB"/>
    <w:rsid w:val="00A6271C"/>
    <w:rsid w:val="00A6274A"/>
    <w:rsid w:val="00A62847"/>
    <w:rsid w:val="00A628A4"/>
    <w:rsid w:val="00A628A6"/>
    <w:rsid w:val="00A628FE"/>
    <w:rsid w:val="00A629DE"/>
    <w:rsid w:val="00A629FD"/>
    <w:rsid w:val="00A62A84"/>
    <w:rsid w:val="00A62A94"/>
    <w:rsid w:val="00A62AF8"/>
    <w:rsid w:val="00A62B23"/>
    <w:rsid w:val="00A62B7B"/>
    <w:rsid w:val="00A62BAD"/>
    <w:rsid w:val="00A62D66"/>
    <w:rsid w:val="00A62D9F"/>
    <w:rsid w:val="00A62DE0"/>
    <w:rsid w:val="00A62E9E"/>
    <w:rsid w:val="00A62EAB"/>
    <w:rsid w:val="00A62EBF"/>
    <w:rsid w:val="00A62F04"/>
    <w:rsid w:val="00A62F99"/>
    <w:rsid w:val="00A62FB0"/>
    <w:rsid w:val="00A63026"/>
    <w:rsid w:val="00A6302F"/>
    <w:rsid w:val="00A63057"/>
    <w:rsid w:val="00A63083"/>
    <w:rsid w:val="00A6311B"/>
    <w:rsid w:val="00A6319F"/>
    <w:rsid w:val="00A63214"/>
    <w:rsid w:val="00A6327B"/>
    <w:rsid w:val="00A632B3"/>
    <w:rsid w:val="00A632B6"/>
    <w:rsid w:val="00A632E3"/>
    <w:rsid w:val="00A63336"/>
    <w:rsid w:val="00A6336D"/>
    <w:rsid w:val="00A6338D"/>
    <w:rsid w:val="00A633B0"/>
    <w:rsid w:val="00A6341C"/>
    <w:rsid w:val="00A63422"/>
    <w:rsid w:val="00A63475"/>
    <w:rsid w:val="00A634B0"/>
    <w:rsid w:val="00A634B8"/>
    <w:rsid w:val="00A63629"/>
    <w:rsid w:val="00A636F7"/>
    <w:rsid w:val="00A63712"/>
    <w:rsid w:val="00A6378F"/>
    <w:rsid w:val="00A637AD"/>
    <w:rsid w:val="00A637F5"/>
    <w:rsid w:val="00A637F7"/>
    <w:rsid w:val="00A63811"/>
    <w:rsid w:val="00A63812"/>
    <w:rsid w:val="00A6385D"/>
    <w:rsid w:val="00A6386B"/>
    <w:rsid w:val="00A6386F"/>
    <w:rsid w:val="00A638E9"/>
    <w:rsid w:val="00A639FF"/>
    <w:rsid w:val="00A63B15"/>
    <w:rsid w:val="00A63C1C"/>
    <w:rsid w:val="00A63CC2"/>
    <w:rsid w:val="00A63D0F"/>
    <w:rsid w:val="00A63D7B"/>
    <w:rsid w:val="00A63EEB"/>
    <w:rsid w:val="00A63F3E"/>
    <w:rsid w:val="00A63F45"/>
    <w:rsid w:val="00A63F65"/>
    <w:rsid w:val="00A64011"/>
    <w:rsid w:val="00A6403B"/>
    <w:rsid w:val="00A640AF"/>
    <w:rsid w:val="00A640F1"/>
    <w:rsid w:val="00A64119"/>
    <w:rsid w:val="00A64145"/>
    <w:rsid w:val="00A6418D"/>
    <w:rsid w:val="00A641EB"/>
    <w:rsid w:val="00A641F5"/>
    <w:rsid w:val="00A64293"/>
    <w:rsid w:val="00A642F5"/>
    <w:rsid w:val="00A6433B"/>
    <w:rsid w:val="00A64367"/>
    <w:rsid w:val="00A64382"/>
    <w:rsid w:val="00A643E8"/>
    <w:rsid w:val="00A644C2"/>
    <w:rsid w:val="00A64739"/>
    <w:rsid w:val="00A64840"/>
    <w:rsid w:val="00A64864"/>
    <w:rsid w:val="00A64874"/>
    <w:rsid w:val="00A6488E"/>
    <w:rsid w:val="00A648C5"/>
    <w:rsid w:val="00A6495C"/>
    <w:rsid w:val="00A64979"/>
    <w:rsid w:val="00A649A2"/>
    <w:rsid w:val="00A64AF7"/>
    <w:rsid w:val="00A64B00"/>
    <w:rsid w:val="00A64B27"/>
    <w:rsid w:val="00A64B62"/>
    <w:rsid w:val="00A64B66"/>
    <w:rsid w:val="00A64B79"/>
    <w:rsid w:val="00A64B99"/>
    <w:rsid w:val="00A64BE2"/>
    <w:rsid w:val="00A64C15"/>
    <w:rsid w:val="00A64C66"/>
    <w:rsid w:val="00A64CC6"/>
    <w:rsid w:val="00A64DBA"/>
    <w:rsid w:val="00A64E16"/>
    <w:rsid w:val="00A64E1E"/>
    <w:rsid w:val="00A64E27"/>
    <w:rsid w:val="00A64ECF"/>
    <w:rsid w:val="00A64F83"/>
    <w:rsid w:val="00A64F9B"/>
    <w:rsid w:val="00A64FE5"/>
    <w:rsid w:val="00A64FEE"/>
    <w:rsid w:val="00A6504F"/>
    <w:rsid w:val="00A65086"/>
    <w:rsid w:val="00A65089"/>
    <w:rsid w:val="00A650C1"/>
    <w:rsid w:val="00A65122"/>
    <w:rsid w:val="00A65140"/>
    <w:rsid w:val="00A651C6"/>
    <w:rsid w:val="00A651CB"/>
    <w:rsid w:val="00A652AD"/>
    <w:rsid w:val="00A652B3"/>
    <w:rsid w:val="00A652EF"/>
    <w:rsid w:val="00A65311"/>
    <w:rsid w:val="00A65366"/>
    <w:rsid w:val="00A653A1"/>
    <w:rsid w:val="00A653ED"/>
    <w:rsid w:val="00A654CE"/>
    <w:rsid w:val="00A65551"/>
    <w:rsid w:val="00A6555C"/>
    <w:rsid w:val="00A655EE"/>
    <w:rsid w:val="00A65606"/>
    <w:rsid w:val="00A65676"/>
    <w:rsid w:val="00A65698"/>
    <w:rsid w:val="00A6569B"/>
    <w:rsid w:val="00A656B0"/>
    <w:rsid w:val="00A656CF"/>
    <w:rsid w:val="00A656DB"/>
    <w:rsid w:val="00A656FC"/>
    <w:rsid w:val="00A6576A"/>
    <w:rsid w:val="00A65804"/>
    <w:rsid w:val="00A658AD"/>
    <w:rsid w:val="00A659B7"/>
    <w:rsid w:val="00A659FF"/>
    <w:rsid w:val="00A65A3C"/>
    <w:rsid w:val="00A65AB2"/>
    <w:rsid w:val="00A65B0C"/>
    <w:rsid w:val="00A65BBE"/>
    <w:rsid w:val="00A65BE6"/>
    <w:rsid w:val="00A65BED"/>
    <w:rsid w:val="00A65BEE"/>
    <w:rsid w:val="00A65D46"/>
    <w:rsid w:val="00A65D4C"/>
    <w:rsid w:val="00A65D55"/>
    <w:rsid w:val="00A65D88"/>
    <w:rsid w:val="00A65E11"/>
    <w:rsid w:val="00A65E6F"/>
    <w:rsid w:val="00A65E75"/>
    <w:rsid w:val="00A65EEF"/>
    <w:rsid w:val="00A65F01"/>
    <w:rsid w:val="00A65F09"/>
    <w:rsid w:val="00A65F4C"/>
    <w:rsid w:val="00A65F6A"/>
    <w:rsid w:val="00A6601F"/>
    <w:rsid w:val="00A6612E"/>
    <w:rsid w:val="00A66144"/>
    <w:rsid w:val="00A66171"/>
    <w:rsid w:val="00A6622F"/>
    <w:rsid w:val="00A662B5"/>
    <w:rsid w:val="00A662D5"/>
    <w:rsid w:val="00A662F8"/>
    <w:rsid w:val="00A6630C"/>
    <w:rsid w:val="00A6634D"/>
    <w:rsid w:val="00A663A0"/>
    <w:rsid w:val="00A66412"/>
    <w:rsid w:val="00A6642B"/>
    <w:rsid w:val="00A6646C"/>
    <w:rsid w:val="00A6647B"/>
    <w:rsid w:val="00A66506"/>
    <w:rsid w:val="00A66555"/>
    <w:rsid w:val="00A66597"/>
    <w:rsid w:val="00A66642"/>
    <w:rsid w:val="00A6667D"/>
    <w:rsid w:val="00A667B5"/>
    <w:rsid w:val="00A667FF"/>
    <w:rsid w:val="00A6681A"/>
    <w:rsid w:val="00A66820"/>
    <w:rsid w:val="00A6689E"/>
    <w:rsid w:val="00A668E7"/>
    <w:rsid w:val="00A6692D"/>
    <w:rsid w:val="00A669C3"/>
    <w:rsid w:val="00A669CB"/>
    <w:rsid w:val="00A66A0A"/>
    <w:rsid w:val="00A66AD1"/>
    <w:rsid w:val="00A66AE1"/>
    <w:rsid w:val="00A66AEB"/>
    <w:rsid w:val="00A66B0C"/>
    <w:rsid w:val="00A66B2B"/>
    <w:rsid w:val="00A66BD5"/>
    <w:rsid w:val="00A66C19"/>
    <w:rsid w:val="00A66CF9"/>
    <w:rsid w:val="00A66D66"/>
    <w:rsid w:val="00A66D88"/>
    <w:rsid w:val="00A66DB7"/>
    <w:rsid w:val="00A66DE4"/>
    <w:rsid w:val="00A66E29"/>
    <w:rsid w:val="00A66E64"/>
    <w:rsid w:val="00A66E77"/>
    <w:rsid w:val="00A66E80"/>
    <w:rsid w:val="00A66E8B"/>
    <w:rsid w:val="00A66F80"/>
    <w:rsid w:val="00A67028"/>
    <w:rsid w:val="00A6706C"/>
    <w:rsid w:val="00A671B5"/>
    <w:rsid w:val="00A67230"/>
    <w:rsid w:val="00A67234"/>
    <w:rsid w:val="00A67247"/>
    <w:rsid w:val="00A67293"/>
    <w:rsid w:val="00A672A2"/>
    <w:rsid w:val="00A672AE"/>
    <w:rsid w:val="00A672BD"/>
    <w:rsid w:val="00A6736C"/>
    <w:rsid w:val="00A67395"/>
    <w:rsid w:val="00A673DC"/>
    <w:rsid w:val="00A67498"/>
    <w:rsid w:val="00A67508"/>
    <w:rsid w:val="00A67583"/>
    <w:rsid w:val="00A675C4"/>
    <w:rsid w:val="00A6760F"/>
    <w:rsid w:val="00A67620"/>
    <w:rsid w:val="00A6763B"/>
    <w:rsid w:val="00A67804"/>
    <w:rsid w:val="00A6780F"/>
    <w:rsid w:val="00A679D3"/>
    <w:rsid w:val="00A679EB"/>
    <w:rsid w:val="00A67A03"/>
    <w:rsid w:val="00A67A25"/>
    <w:rsid w:val="00A67A79"/>
    <w:rsid w:val="00A67AFF"/>
    <w:rsid w:val="00A67B64"/>
    <w:rsid w:val="00A67B83"/>
    <w:rsid w:val="00A67BEA"/>
    <w:rsid w:val="00A67CB4"/>
    <w:rsid w:val="00A67D38"/>
    <w:rsid w:val="00A67D58"/>
    <w:rsid w:val="00A67E14"/>
    <w:rsid w:val="00A67E22"/>
    <w:rsid w:val="00A67E34"/>
    <w:rsid w:val="00A67F17"/>
    <w:rsid w:val="00A67F2D"/>
    <w:rsid w:val="00A67F3B"/>
    <w:rsid w:val="00A67F45"/>
    <w:rsid w:val="00A67F6E"/>
    <w:rsid w:val="00A67F73"/>
    <w:rsid w:val="00A67F7D"/>
    <w:rsid w:val="00A67FBA"/>
    <w:rsid w:val="00A70041"/>
    <w:rsid w:val="00A700EE"/>
    <w:rsid w:val="00A70177"/>
    <w:rsid w:val="00A701DB"/>
    <w:rsid w:val="00A701E0"/>
    <w:rsid w:val="00A7028F"/>
    <w:rsid w:val="00A702EC"/>
    <w:rsid w:val="00A7043B"/>
    <w:rsid w:val="00A70465"/>
    <w:rsid w:val="00A705A0"/>
    <w:rsid w:val="00A70608"/>
    <w:rsid w:val="00A706FC"/>
    <w:rsid w:val="00A70773"/>
    <w:rsid w:val="00A7080D"/>
    <w:rsid w:val="00A708DC"/>
    <w:rsid w:val="00A70A03"/>
    <w:rsid w:val="00A70A3B"/>
    <w:rsid w:val="00A70AE9"/>
    <w:rsid w:val="00A70AED"/>
    <w:rsid w:val="00A70B25"/>
    <w:rsid w:val="00A70B54"/>
    <w:rsid w:val="00A70BBE"/>
    <w:rsid w:val="00A70BCE"/>
    <w:rsid w:val="00A70BF8"/>
    <w:rsid w:val="00A70C0A"/>
    <w:rsid w:val="00A70C45"/>
    <w:rsid w:val="00A70C4C"/>
    <w:rsid w:val="00A70C54"/>
    <w:rsid w:val="00A70D49"/>
    <w:rsid w:val="00A70D65"/>
    <w:rsid w:val="00A70DDB"/>
    <w:rsid w:val="00A70DE4"/>
    <w:rsid w:val="00A70E73"/>
    <w:rsid w:val="00A70E8C"/>
    <w:rsid w:val="00A70ED0"/>
    <w:rsid w:val="00A70F5E"/>
    <w:rsid w:val="00A70F6D"/>
    <w:rsid w:val="00A71082"/>
    <w:rsid w:val="00A7109B"/>
    <w:rsid w:val="00A710C7"/>
    <w:rsid w:val="00A711A0"/>
    <w:rsid w:val="00A7122A"/>
    <w:rsid w:val="00A71302"/>
    <w:rsid w:val="00A7137C"/>
    <w:rsid w:val="00A71389"/>
    <w:rsid w:val="00A713BC"/>
    <w:rsid w:val="00A713EC"/>
    <w:rsid w:val="00A716D1"/>
    <w:rsid w:val="00A71700"/>
    <w:rsid w:val="00A71708"/>
    <w:rsid w:val="00A71744"/>
    <w:rsid w:val="00A717D9"/>
    <w:rsid w:val="00A7183D"/>
    <w:rsid w:val="00A718E9"/>
    <w:rsid w:val="00A7190F"/>
    <w:rsid w:val="00A71918"/>
    <w:rsid w:val="00A71956"/>
    <w:rsid w:val="00A71968"/>
    <w:rsid w:val="00A71A58"/>
    <w:rsid w:val="00A71A93"/>
    <w:rsid w:val="00A71A9C"/>
    <w:rsid w:val="00A71A9D"/>
    <w:rsid w:val="00A71AEB"/>
    <w:rsid w:val="00A71AED"/>
    <w:rsid w:val="00A71BE2"/>
    <w:rsid w:val="00A71D68"/>
    <w:rsid w:val="00A71EE6"/>
    <w:rsid w:val="00A71F13"/>
    <w:rsid w:val="00A71F52"/>
    <w:rsid w:val="00A71FC2"/>
    <w:rsid w:val="00A7204C"/>
    <w:rsid w:val="00A72066"/>
    <w:rsid w:val="00A72079"/>
    <w:rsid w:val="00A72091"/>
    <w:rsid w:val="00A72107"/>
    <w:rsid w:val="00A7214E"/>
    <w:rsid w:val="00A7219B"/>
    <w:rsid w:val="00A721D6"/>
    <w:rsid w:val="00A7220E"/>
    <w:rsid w:val="00A72265"/>
    <w:rsid w:val="00A722BA"/>
    <w:rsid w:val="00A72316"/>
    <w:rsid w:val="00A723E5"/>
    <w:rsid w:val="00A7249E"/>
    <w:rsid w:val="00A724E5"/>
    <w:rsid w:val="00A7251D"/>
    <w:rsid w:val="00A72566"/>
    <w:rsid w:val="00A725D5"/>
    <w:rsid w:val="00A726C6"/>
    <w:rsid w:val="00A726DC"/>
    <w:rsid w:val="00A7270A"/>
    <w:rsid w:val="00A72740"/>
    <w:rsid w:val="00A727BC"/>
    <w:rsid w:val="00A727FD"/>
    <w:rsid w:val="00A7281D"/>
    <w:rsid w:val="00A72850"/>
    <w:rsid w:val="00A7286F"/>
    <w:rsid w:val="00A7287D"/>
    <w:rsid w:val="00A72885"/>
    <w:rsid w:val="00A7295D"/>
    <w:rsid w:val="00A729AB"/>
    <w:rsid w:val="00A72A0F"/>
    <w:rsid w:val="00A72A1F"/>
    <w:rsid w:val="00A72AB9"/>
    <w:rsid w:val="00A72B79"/>
    <w:rsid w:val="00A72B8C"/>
    <w:rsid w:val="00A72CA6"/>
    <w:rsid w:val="00A72D03"/>
    <w:rsid w:val="00A72D05"/>
    <w:rsid w:val="00A72D39"/>
    <w:rsid w:val="00A72D64"/>
    <w:rsid w:val="00A72DD2"/>
    <w:rsid w:val="00A72DD7"/>
    <w:rsid w:val="00A72DDB"/>
    <w:rsid w:val="00A72E90"/>
    <w:rsid w:val="00A72EB5"/>
    <w:rsid w:val="00A72EDC"/>
    <w:rsid w:val="00A72EE8"/>
    <w:rsid w:val="00A72F36"/>
    <w:rsid w:val="00A72FBE"/>
    <w:rsid w:val="00A72FC8"/>
    <w:rsid w:val="00A73034"/>
    <w:rsid w:val="00A7303B"/>
    <w:rsid w:val="00A7308F"/>
    <w:rsid w:val="00A730DD"/>
    <w:rsid w:val="00A731D0"/>
    <w:rsid w:val="00A732D5"/>
    <w:rsid w:val="00A732EA"/>
    <w:rsid w:val="00A7336B"/>
    <w:rsid w:val="00A73373"/>
    <w:rsid w:val="00A7338C"/>
    <w:rsid w:val="00A733AE"/>
    <w:rsid w:val="00A733DB"/>
    <w:rsid w:val="00A7341F"/>
    <w:rsid w:val="00A7343E"/>
    <w:rsid w:val="00A73453"/>
    <w:rsid w:val="00A7347E"/>
    <w:rsid w:val="00A73486"/>
    <w:rsid w:val="00A735F8"/>
    <w:rsid w:val="00A73662"/>
    <w:rsid w:val="00A73684"/>
    <w:rsid w:val="00A73716"/>
    <w:rsid w:val="00A73757"/>
    <w:rsid w:val="00A73794"/>
    <w:rsid w:val="00A737B5"/>
    <w:rsid w:val="00A738DB"/>
    <w:rsid w:val="00A73987"/>
    <w:rsid w:val="00A739ED"/>
    <w:rsid w:val="00A73A88"/>
    <w:rsid w:val="00A73AF8"/>
    <w:rsid w:val="00A73B37"/>
    <w:rsid w:val="00A73B86"/>
    <w:rsid w:val="00A73B8A"/>
    <w:rsid w:val="00A73B99"/>
    <w:rsid w:val="00A73BA7"/>
    <w:rsid w:val="00A73BBE"/>
    <w:rsid w:val="00A73CD4"/>
    <w:rsid w:val="00A73E01"/>
    <w:rsid w:val="00A73ED9"/>
    <w:rsid w:val="00A73F1D"/>
    <w:rsid w:val="00A73FB0"/>
    <w:rsid w:val="00A73FC3"/>
    <w:rsid w:val="00A73FDE"/>
    <w:rsid w:val="00A74015"/>
    <w:rsid w:val="00A74019"/>
    <w:rsid w:val="00A742C2"/>
    <w:rsid w:val="00A74358"/>
    <w:rsid w:val="00A74416"/>
    <w:rsid w:val="00A7443C"/>
    <w:rsid w:val="00A74449"/>
    <w:rsid w:val="00A7446C"/>
    <w:rsid w:val="00A744D5"/>
    <w:rsid w:val="00A744E6"/>
    <w:rsid w:val="00A74595"/>
    <w:rsid w:val="00A745AB"/>
    <w:rsid w:val="00A74621"/>
    <w:rsid w:val="00A74758"/>
    <w:rsid w:val="00A748BD"/>
    <w:rsid w:val="00A74908"/>
    <w:rsid w:val="00A74A06"/>
    <w:rsid w:val="00A74A81"/>
    <w:rsid w:val="00A74B89"/>
    <w:rsid w:val="00A74BA9"/>
    <w:rsid w:val="00A74BF0"/>
    <w:rsid w:val="00A74BF8"/>
    <w:rsid w:val="00A74C2F"/>
    <w:rsid w:val="00A74C41"/>
    <w:rsid w:val="00A74CCA"/>
    <w:rsid w:val="00A74D60"/>
    <w:rsid w:val="00A74D88"/>
    <w:rsid w:val="00A74D9E"/>
    <w:rsid w:val="00A74E14"/>
    <w:rsid w:val="00A74E9B"/>
    <w:rsid w:val="00A74EE9"/>
    <w:rsid w:val="00A74F16"/>
    <w:rsid w:val="00A74F18"/>
    <w:rsid w:val="00A74F31"/>
    <w:rsid w:val="00A74F47"/>
    <w:rsid w:val="00A750BA"/>
    <w:rsid w:val="00A750C9"/>
    <w:rsid w:val="00A750E7"/>
    <w:rsid w:val="00A75100"/>
    <w:rsid w:val="00A75122"/>
    <w:rsid w:val="00A75198"/>
    <w:rsid w:val="00A75286"/>
    <w:rsid w:val="00A752BB"/>
    <w:rsid w:val="00A752DB"/>
    <w:rsid w:val="00A753A4"/>
    <w:rsid w:val="00A753BE"/>
    <w:rsid w:val="00A753C0"/>
    <w:rsid w:val="00A753C8"/>
    <w:rsid w:val="00A75516"/>
    <w:rsid w:val="00A75583"/>
    <w:rsid w:val="00A755F6"/>
    <w:rsid w:val="00A756CA"/>
    <w:rsid w:val="00A75746"/>
    <w:rsid w:val="00A75782"/>
    <w:rsid w:val="00A757FC"/>
    <w:rsid w:val="00A75894"/>
    <w:rsid w:val="00A758DC"/>
    <w:rsid w:val="00A759B5"/>
    <w:rsid w:val="00A759F9"/>
    <w:rsid w:val="00A75A28"/>
    <w:rsid w:val="00A75A70"/>
    <w:rsid w:val="00A75A9A"/>
    <w:rsid w:val="00A75A9F"/>
    <w:rsid w:val="00A75AB4"/>
    <w:rsid w:val="00A75ABE"/>
    <w:rsid w:val="00A75BFA"/>
    <w:rsid w:val="00A75C40"/>
    <w:rsid w:val="00A75C8E"/>
    <w:rsid w:val="00A75CFB"/>
    <w:rsid w:val="00A75D25"/>
    <w:rsid w:val="00A75DBF"/>
    <w:rsid w:val="00A75E34"/>
    <w:rsid w:val="00A75E39"/>
    <w:rsid w:val="00A75E60"/>
    <w:rsid w:val="00A75E7D"/>
    <w:rsid w:val="00A75EB8"/>
    <w:rsid w:val="00A75EC8"/>
    <w:rsid w:val="00A76028"/>
    <w:rsid w:val="00A7612B"/>
    <w:rsid w:val="00A76188"/>
    <w:rsid w:val="00A761AE"/>
    <w:rsid w:val="00A761D3"/>
    <w:rsid w:val="00A761E1"/>
    <w:rsid w:val="00A761FE"/>
    <w:rsid w:val="00A762DA"/>
    <w:rsid w:val="00A762F6"/>
    <w:rsid w:val="00A76358"/>
    <w:rsid w:val="00A763BC"/>
    <w:rsid w:val="00A76457"/>
    <w:rsid w:val="00A7647A"/>
    <w:rsid w:val="00A76639"/>
    <w:rsid w:val="00A76655"/>
    <w:rsid w:val="00A76700"/>
    <w:rsid w:val="00A76768"/>
    <w:rsid w:val="00A767BE"/>
    <w:rsid w:val="00A767DC"/>
    <w:rsid w:val="00A767E9"/>
    <w:rsid w:val="00A76845"/>
    <w:rsid w:val="00A76903"/>
    <w:rsid w:val="00A76944"/>
    <w:rsid w:val="00A76A1C"/>
    <w:rsid w:val="00A76B00"/>
    <w:rsid w:val="00A76B5E"/>
    <w:rsid w:val="00A76B62"/>
    <w:rsid w:val="00A76B73"/>
    <w:rsid w:val="00A76BDE"/>
    <w:rsid w:val="00A76BEA"/>
    <w:rsid w:val="00A76C24"/>
    <w:rsid w:val="00A76CCE"/>
    <w:rsid w:val="00A76E19"/>
    <w:rsid w:val="00A76E5D"/>
    <w:rsid w:val="00A76EF7"/>
    <w:rsid w:val="00A76F33"/>
    <w:rsid w:val="00A76F5D"/>
    <w:rsid w:val="00A76FB6"/>
    <w:rsid w:val="00A77004"/>
    <w:rsid w:val="00A77056"/>
    <w:rsid w:val="00A770AA"/>
    <w:rsid w:val="00A7713E"/>
    <w:rsid w:val="00A771A2"/>
    <w:rsid w:val="00A771E0"/>
    <w:rsid w:val="00A772C7"/>
    <w:rsid w:val="00A7733F"/>
    <w:rsid w:val="00A7742A"/>
    <w:rsid w:val="00A77444"/>
    <w:rsid w:val="00A77483"/>
    <w:rsid w:val="00A77489"/>
    <w:rsid w:val="00A77512"/>
    <w:rsid w:val="00A775BE"/>
    <w:rsid w:val="00A775C6"/>
    <w:rsid w:val="00A77611"/>
    <w:rsid w:val="00A77768"/>
    <w:rsid w:val="00A77798"/>
    <w:rsid w:val="00A777CA"/>
    <w:rsid w:val="00A777DB"/>
    <w:rsid w:val="00A77818"/>
    <w:rsid w:val="00A77869"/>
    <w:rsid w:val="00A778E8"/>
    <w:rsid w:val="00A778F2"/>
    <w:rsid w:val="00A77905"/>
    <w:rsid w:val="00A77906"/>
    <w:rsid w:val="00A77913"/>
    <w:rsid w:val="00A779BD"/>
    <w:rsid w:val="00A77A05"/>
    <w:rsid w:val="00A77A41"/>
    <w:rsid w:val="00A77A5B"/>
    <w:rsid w:val="00A77A68"/>
    <w:rsid w:val="00A77AC7"/>
    <w:rsid w:val="00A77B80"/>
    <w:rsid w:val="00A77BD0"/>
    <w:rsid w:val="00A77BE5"/>
    <w:rsid w:val="00A77C85"/>
    <w:rsid w:val="00A77CE9"/>
    <w:rsid w:val="00A77D11"/>
    <w:rsid w:val="00A77D1B"/>
    <w:rsid w:val="00A77D44"/>
    <w:rsid w:val="00A77DAD"/>
    <w:rsid w:val="00A77E61"/>
    <w:rsid w:val="00A77E86"/>
    <w:rsid w:val="00A77ED7"/>
    <w:rsid w:val="00A77F5E"/>
    <w:rsid w:val="00A8006F"/>
    <w:rsid w:val="00A800DA"/>
    <w:rsid w:val="00A80121"/>
    <w:rsid w:val="00A801C7"/>
    <w:rsid w:val="00A80284"/>
    <w:rsid w:val="00A80318"/>
    <w:rsid w:val="00A80340"/>
    <w:rsid w:val="00A803A2"/>
    <w:rsid w:val="00A803AA"/>
    <w:rsid w:val="00A803E3"/>
    <w:rsid w:val="00A80499"/>
    <w:rsid w:val="00A8056D"/>
    <w:rsid w:val="00A805F6"/>
    <w:rsid w:val="00A80608"/>
    <w:rsid w:val="00A80609"/>
    <w:rsid w:val="00A806F3"/>
    <w:rsid w:val="00A80711"/>
    <w:rsid w:val="00A80830"/>
    <w:rsid w:val="00A8084E"/>
    <w:rsid w:val="00A80869"/>
    <w:rsid w:val="00A80896"/>
    <w:rsid w:val="00A8089B"/>
    <w:rsid w:val="00A8098B"/>
    <w:rsid w:val="00A809EA"/>
    <w:rsid w:val="00A809F9"/>
    <w:rsid w:val="00A80A00"/>
    <w:rsid w:val="00A80C95"/>
    <w:rsid w:val="00A80D86"/>
    <w:rsid w:val="00A80DEC"/>
    <w:rsid w:val="00A80E3C"/>
    <w:rsid w:val="00A80EE6"/>
    <w:rsid w:val="00A80F21"/>
    <w:rsid w:val="00A80F3A"/>
    <w:rsid w:val="00A80FB3"/>
    <w:rsid w:val="00A80FCD"/>
    <w:rsid w:val="00A810E7"/>
    <w:rsid w:val="00A8111D"/>
    <w:rsid w:val="00A81157"/>
    <w:rsid w:val="00A81227"/>
    <w:rsid w:val="00A8123B"/>
    <w:rsid w:val="00A81247"/>
    <w:rsid w:val="00A81252"/>
    <w:rsid w:val="00A81270"/>
    <w:rsid w:val="00A812A1"/>
    <w:rsid w:val="00A8130B"/>
    <w:rsid w:val="00A8131D"/>
    <w:rsid w:val="00A81358"/>
    <w:rsid w:val="00A8139C"/>
    <w:rsid w:val="00A813B9"/>
    <w:rsid w:val="00A813C5"/>
    <w:rsid w:val="00A8142A"/>
    <w:rsid w:val="00A815C1"/>
    <w:rsid w:val="00A815FF"/>
    <w:rsid w:val="00A81694"/>
    <w:rsid w:val="00A81698"/>
    <w:rsid w:val="00A81747"/>
    <w:rsid w:val="00A81858"/>
    <w:rsid w:val="00A81893"/>
    <w:rsid w:val="00A818EB"/>
    <w:rsid w:val="00A819C3"/>
    <w:rsid w:val="00A81A1E"/>
    <w:rsid w:val="00A81A63"/>
    <w:rsid w:val="00A81AA3"/>
    <w:rsid w:val="00A81B03"/>
    <w:rsid w:val="00A81B8B"/>
    <w:rsid w:val="00A81C2B"/>
    <w:rsid w:val="00A81C73"/>
    <w:rsid w:val="00A81C8D"/>
    <w:rsid w:val="00A81CB2"/>
    <w:rsid w:val="00A81CB5"/>
    <w:rsid w:val="00A81E32"/>
    <w:rsid w:val="00A81E92"/>
    <w:rsid w:val="00A81E9A"/>
    <w:rsid w:val="00A81EE2"/>
    <w:rsid w:val="00A81F6D"/>
    <w:rsid w:val="00A81F85"/>
    <w:rsid w:val="00A81F9E"/>
    <w:rsid w:val="00A82073"/>
    <w:rsid w:val="00A82127"/>
    <w:rsid w:val="00A8218D"/>
    <w:rsid w:val="00A821A4"/>
    <w:rsid w:val="00A821DE"/>
    <w:rsid w:val="00A821E2"/>
    <w:rsid w:val="00A82230"/>
    <w:rsid w:val="00A82428"/>
    <w:rsid w:val="00A8248B"/>
    <w:rsid w:val="00A8252A"/>
    <w:rsid w:val="00A82589"/>
    <w:rsid w:val="00A825BB"/>
    <w:rsid w:val="00A825CD"/>
    <w:rsid w:val="00A82634"/>
    <w:rsid w:val="00A82642"/>
    <w:rsid w:val="00A8264C"/>
    <w:rsid w:val="00A826E3"/>
    <w:rsid w:val="00A82709"/>
    <w:rsid w:val="00A82730"/>
    <w:rsid w:val="00A82753"/>
    <w:rsid w:val="00A827E9"/>
    <w:rsid w:val="00A82869"/>
    <w:rsid w:val="00A82964"/>
    <w:rsid w:val="00A8298F"/>
    <w:rsid w:val="00A829DA"/>
    <w:rsid w:val="00A82AB4"/>
    <w:rsid w:val="00A82B19"/>
    <w:rsid w:val="00A82B69"/>
    <w:rsid w:val="00A82B8C"/>
    <w:rsid w:val="00A82CB4"/>
    <w:rsid w:val="00A82D11"/>
    <w:rsid w:val="00A82D23"/>
    <w:rsid w:val="00A82D57"/>
    <w:rsid w:val="00A82E27"/>
    <w:rsid w:val="00A82EA0"/>
    <w:rsid w:val="00A82EB8"/>
    <w:rsid w:val="00A82EEB"/>
    <w:rsid w:val="00A82F4C"/>
    <w:rsid w:val="00A82FD9"/>
    <w:rsid w:val="00A82FE2"/>
    <w:rsid w:val="00A82FFE"/>
    <w:rsid w:val="00A83057"/>
    <w:rsid w:val="00A8308B"/>
    <w:rsid w:val="00A830C5"/>
    <w:rsid w:val="00A83160"/>
    <w:rsid w:val="00A831B2"/>
    <w:rsid w:val="00A8321B"/>
    <w:rsid w:val="00A83257"/>
    <w:rsid w:val="00A832D8"/>
    <w:rsid w:val="00A832F7"/>
    <w:rsid w:val="00A83349"/>
    <w:rsid w:val="00A8335D"/>
    <w:rsid w:val="00A833BC"/>
    <w:rsid w:val="00A833BE"/>
    <w:rsid w:val="00A8341A"/>
    <w:rsid w:val="00A83456"/>
    <w:rsid w:val="00A834DD"/>
    <w:rsid w:val="00A834F7"/>
    <w:rsid w:val="00A8358C"/>
    <w:rsid w:val="00A8359D"/>
    <w:rsid w:val="00A836E2"/>
    <w:rsid w:val="00A83727"/>
    <w:rsid w:val="00A83787"/>
    <w:rsid w:val="00A837B6"/>
    <w:rsid w:val="00A83824"/>
    <w:rsid w:val="00A8388F"/>
    <w:rsid w:val="00A838D0"/>
    <w:rsid w:val="00A838ED"/>
    <w:rsid w:val="00A8393E"/>
    <w:rsid w:val="00A83A02"/>
    <w:rsid w:val="00A83A88"/>
    <w:rsid w:val="00A83ACB"/>
    <w:rsid w:val="00A83B2B"/>
    <w:rsid w:val="00A83CAC"/>
    <w:rsid w:val="00A83CEC"/>
    <w:rsid w:val="00A83D91"/>
    <w:rsid w:val="00A83E30"/>
    <w:rsid w:val="00A83E45"/>
    <w:rsid w:val="00A83EEA"/>
    <w:rsid w:val="00A83EFB"/>
    <w:rsid w:val="00A84041"/>
    <w:rsid w:val="00A84066"/>
    <w:rsid w:val="00A84078"/>
    <w:rsid w:val="00A8410F"/>
    <w:rsid w:val="00A84166"/>
    <w:rsid w:val="00A842BF"/>
    <w:rsid w:val="00A84346"/>
    <w:rsid w:val="00A8435A"/>
    <w:rsid w:val="00A8437C"/>
    <w:rsid w:val="00A84454"/>
    <w:rsid w:val="00A84465"/>
    <w:rsid w:val="00A8447D"/>
    <w:rsid w:val="00A844DC"/>
    <w:rsid w:val="00A844F6"/>
    <w:rsid w:val="00A8453A"/>
    <w:rsid w:val="00A84547"/>
    <w:rsid w:val="00A8454C"/>
    <w:rsid w:val="00A845B0"/>
    <w:rsid w:val="00A845BE"/>
    <w:rsid w:val="00A8460B"/>
    <w:rsid w:val="00A84645"/>
    <w:rsid w:val="00A846CE"/>
    <w:rsid w:val="00A846FC"/>
    <w:rsid w:val="00A8470C"/>
    <w:rsid w:val="00A84754"/>
    <w:rsid w:val="00A8477B"/>
    <w:rsid w:val="00A8487D"/>
    <w:rsid w:val="00A84908"/>
    <w:rsid w:val="00A84995"/>
    <w:rsid w:val="00A849F1"/>
    <w:rsid w:val="00A84A09"/>
    <w:rsid w:val="00A84A0B"/>
    <w:rsid w:val="00A84A3D"/>
    <w:rsid w:val="00A84A94"/>
    <w:rsid w:val="00A84B61"/>
    <w:rsid w:val="00A84B79"/>
    <w:rsid w:val="00A84B8B"/>
    <w:rsid w:val="00A84BA8"/>
    <w:rsid w:val="00A84BF2"/>
    <w:rsid w:val="00A84BFB"/>
    <w:rsid w:val="00A84CC6"/>
    <w:rsid w:val="00A84CDD"/>
    <w:rsid w:val="00A84D0E"/>
    <w:rsid w:val="00A84D55"/>
    <w:rsid w:val="00A84EBE"/>
    <w:rsid w:val="00A84ED2"/>
    <w:rsid w:val="00A84EDA"/>
    <w:rsid w:val="00A84EE3"/>
    <w:rsid w:val="00A84EF1"/>
    <w:rsid w:val="00A84F23"/>
    <w:rsid w:val="00A84F4A"/>
    <w:rsid w:val="00A84FBD"/>
    <w:rsid w:val="00A85082"/>
    <w:rsid w:val="00A85087"/>
    <w:rsid w:val="00A85145"/>
    <w:rsid w:val="00A85154"/>
    <w:rsid w:val="00A85166"/>
    <w:rsid w:val="00A85187"/>
    <w:rsid w:val="00A85291"/>
    <w:rsid w:val="00A852B9"/>
    <w:rsid w:val="00A85447"/>
    <w:rsid w:val="00A85473"/>
    <w:rsid w:val="00A85477"/>
    <w:rsid w:val="00A854D3"/>
    <w:rsid w:val="00A854E9"/>
    <w:rsid w:val="00A85584"/>
    <w:rsid w:val="00A855A3"/>
    <w:rsid w:val="00A85612"/>
    <w:rsid w:val="00A856FC"/>
    <w:rsid w:val="00A8570B"/>
    <w:rsid w:val="00A85750"/>
    <w:rsid w:val="00A857B7"/>
    <w:rsid w:val="00A857C7"/>
    <w:rsid w:val="00A857FC"/>
    <w:rsid w:val="00A85808"/>
    <w:rsid w:val="00A85824"/>
    <w:rsid w:val="00A858C9"/>
    <w:rsid w:val="00A858D5"/>
    <w:rsid w:val="00A85949"/>
    <w:rsid w:val="00A85950"/>
    <w:rsid w:val="00A8597F"/>
    <w:rsid w:val="00A85AA8"/>
    <w:rsid w:val="00A85AD2"/>
    <w:rsid w:val="00A85AF3"/>
    <w:rsid w:val="00A85B01"/>
    <w:rsid w:val="00A85B8C"/>
    <w:rsid w:val="00A85B94"/>
    <w:rsid w:val="00A85BF6"/>
    <w:rsid w:val="00A85CF1"/>
    <w:rsid w:val="00A85D1A"/>
    <w:rsid w:val="00A85D83"/>
    <w:rsid w:val="00A85D8F"/>
    <w:rsid w:val="00A85DD9"/>
    <w:rsid w:val="00A85DE0"/>
    <w:rsid w:val="00A85E17"/>
    <w:rsid w:val="00A85E2A"/>
    <w:rsid w:val="00A85E4B"/>
    <w:rsid w:val="00A85E53"/>
    <w:rsid w:val="00A85E77"/>
    <w:rsid w:val="00A85EBB"/>
    <w:rsid w:val="00A85F2E"/>
    <w:rsid w:val="00A85F93"/>
    <w:rsid w:val="00A85FC4"/>
    <w:rsid w:val="00A85FD7"/>
    <w:rsid w:val="00A86130"/>
    <w:rsid w:val="00A86151"/>
    <w:rsid w:val="00A861E6"/>
    <w:rsid w:val="00A861FA"/>
    <w:rsid w:val="00A86225"/>
    <w:rsid w:val="00A86284"/>
    <w:rsid w:val="00A862DE"/>
    <w:rsid w:val="00A86329"/>
    <w:rsid w:val="00A8637F"/>
    <w:rsid w:val="00A863C4"/>
    <w:rsid w:val="00A86405"/>
    <w:rsid w:val="00A86437"/>
    <w:rsid w:val="00A86485"/>
    <w:rsid w:val="00A864C6"/>
    <w:rsid w:val="00A8655D"/>
    <w:rsid w:val="00A86617"/>
    <w:rsid w:val="00A86635"/>
    <w:rsid w:val="00A86664"/>
    <w:rsid w:val="00A866B3"/>
    <w:rsid w:val="00A866B7"/>
    <w:rsid w:val="00A866F1"/>
    <w:rsid w:val="00A866FF"/>
    <w:rsid w:val="00A867F1"/>
    <w:rsid w:val="00A868DE"/>
    <w:rsid w:val="00A86958"/>
    <w:rsid w:val="00A8695A"/>
    <w:rsid w:val="00A86A08"/>
    <w:rsid w:val="00A86A87"/>
    <w:rsid w:val="00A86ABC"/>
    <w:rsid w:val="00A86AE0"/>
    <w:rsid w:val="00A86B03"/>
    <w:rsid w:val="00A86B2A"/>
    <w:rsid w:val="00A86B47"/>
    <w:rsid w:val="00A86BAB"/>
    <w:rsid w:val="00A86BAE"/>
    <w:rsid w:val="00A86DB2"/>
    <w:rsid w:val="00A86E42"/>
    <w:rsid w:val="00A86E6E"/>
    <w:rsid w:val="00A86F94"/>
    <w:rsid w:val="00A87078"/>
    <w:rsid w:val="00A87130"/>
    <w:rsid w:val="00A8713D"/>
    <w:rsid w:val="00A87158"/>
    <w:rsid w:val="00A87223"/>
    <w:rsid w:val="00A8722D"/>
    <w:rsid w:val="00A87271"/>
    <w:rsid w:val="00A8736F"/>
    <w:rsid w:val="00A873EF"/>
    <w:rsid w:val="00A874AD"/>
    <w:rsid w:val="00A874CF"/>
    <w:rsid w:val="00A8759C"/>
    <w:rsid w:val="00A875D4"/>
    <w:rsid w:val="00A875DB"/>
    <w:rsid w:val="00A87667"/>
    <w:rsid w:val="00A876D3"/>
    <w:rsid w:val="00A87725"/>
    <w:rsid w:val="00A87769"/>
    <w:rsid w:val="00A8776D"/>
    <w:rsid w:val="00A877EF"/>
    <w:rsid w:val="00A8786B"/>
    <w:rsid w:val="00A878B5"/>
    <w:rsid w:val="00A879A3"/>
    <w:rsid w:val="00A87AA4"/>
    <w:rsid w:val="00A87B74"/>
    <w:rsid w:val="00A87BED"/>
    <w:rsid w:val="00A87C18"/>
    <w:rsid w:val="00A87C8A"/>
    <w:rsid w:val="00A87CB4"/>
    <w:rsid w:val="00A87CBA"/>
    <w:rsid w:val="00A87CC7"/>
    <w:rsid w:val="00A87CF2"/>
    <w:rsid w:val="00A87CF3"/>
    <w:rsid w:val="00A87E47"/>
    <w:rsid w:val="00A87EF8"/>
    <w:rsid w:val="00A87F46"/>
    <w:rsid w:val="00A87F83"/>
    <w:rsid w:val="00A87FB3"/>
    <w:rsid w:val="00A90054"/>
    <w:rsid w:val="00A90083"/>
    <w:rsid w:val="00A900E1"/>
    <w:rsid w:val="00A90120"/>
    <w:rsid w:val="00A9017F"/>
    <w:rsid w:val="00A90184"/>
    <w:rsid w:val="00A90188"/>
    <w:rsid w:val="00A9019F"/>
    <w:rsid w:val="00A901F2"/>
    <w:rsid w:val="00A90328"/>
    <w:rsid w:val="00A9038A"/>
    <w:rsid w:val="00A904CD"/>
    <w:rsid w:val="00A9053D"/>
    <w:rsid w:val="00A905E3"/>
    <w:rsid w:val="00A905F1"/>
    <w:rsid w:val="00A90613"/>
    <w:rsid w:val="00A90677"/>
    <w:rsid w:val="00A907BD"/>
    <w:rsid w:val="00A9083F"/>
    <w:rsid w:val="00A908F6"/>
    <w:rsid w:val="00A90936"/>
    <w:rsid w:val="00A9094A"/>
    <w:rsid w:val="00A90979"/>
    <w:rsid w:val="00A909B1"/>
    <w:rsid w:val="00A909BA"/>
    <w:rsid w:val="00A909E3"/>
    <w:rsid w:val="00A909F8"/>
    <w:rsid w:val="00A90A1D"/>
    <w:rsid w:val="00A90A6F"/>
    <w:rsid w:val="00A90ADC"/>
    <w:rsid w:val="00A90AEE"/>
    <w:rsid w:val="00A90B05"/>
    <w:rsid w:val="00A90BBC"/>
    <w:rsid w:val="00A90C2A"/>
    <w:rsid w:val="00A90CCF"/>
    <w:rsid w:val="00A90D02"/>
    <w:rsid w:val="00A90D26"/>
    <w:rsid w:val="00A90DFA"/>
    <w:rsid w:val="00A90E5F"/>
    <w:rsid w:val="00A90E7E"/>
    <w:rsid w:val="00A90EE7"/>
    <w:rsid w:val="00A90F09"/>
    <w:rsid w:val="00A90F1A"/>
    <w:rsid w:val="00A90FFF"/>
    <w:rsid w:val="00A91029"/>
    <w:rsid w:val="00A910C6"/>
    <w:rsid w:val="00A9110F"/>
    <w:rsid w:val="00A91235"/>
    <w:rsid w:val="00A9123A"/>
    <w:rsid w:val="00A91276"/>
    <w:rsid w:val="00A912D4"/>
    <w:rsid w:val="00A9139F"/>
    <w:rsid w:val="00A913CF"/>
    <w:rsid w:val="00A913F5"/>
    <w:rsid w:val="00A91418"/>
    <w:rsid w:val="00A914EA"/>
    <w:rsid w:val="00A91520"/>
    <w:rsid w:val="00A9152F"/>
    <w:rsid w:val="00A915AF"/>
    <w:rsid w:val="00A915F0"/>
    <w:rsid w:val="00A91622"/>
    <w:rsid w:val="00A91646"/>
    <w:rsid w:val="00A9164C"/>
    <w:rsid w:val="00A917B0"/>
    <w:rsid w:val="00A91804"/>
    <w:rsid w:val="00A91818"/>
    <w:rsid w:val="00A91849"/>
    <w:rsid w:val="00A9184F"/>
    <w:rsid w:val="00A91866"/>
    <w:rsid w:val="00A918C7"/>
    <w:rsid w:val="00A918CB"/>
    <w:rsid w:val="00A9197B"/>
    <w:rsid w:val="00A91981"/>
    <w:rsid w:val="00A919C0"/>
    <w:rsid w:val="00A919E5"/>
    <w:rsid w:val="00A91B31"/>
    <w:rsid w:val="00A91B37"/>
    <w:rsid w:val="00A91BB6"/>
    <w:rsid w:val="00A91BFF"/>
    <w:rsid w:val="00A91C13"/>
    <w:rsid w:val="00A91C2F"/>
    <w:rsid w:val="00A91CAF"/>
    <w:rsid w:val="00A91CFA"/>
    <w:rsid w:val="00A91E0A"/>
    <w:rsid w:val="00A91E6A"/>
    <w:rsid w:val="00A91EAD"/>
    <w:rsid w:val="00A91FB2"/>
    <w:rsid w:val="00A92014"/>
    <w:rsid w:val="00A9202A"/>
    <w:rsid w:val="00A92042"/>
    <w:rsid w:val="00A92083"/>
    <w:rsid w:val="00A921A3"/>
    <w:rsid w:val="00A9224E"/>
    <w:rsid w:val="00A9226B"/>
    <w:rsid w:val="00A9229D"/>
    <w:rsid w:val="00A92329"/>
    <w:rsid w:val="00A9232B"/>
    <w:rsid w:val="00A92346"/>
    <w:rsid w:val="00A923A9"/>
    <w:rsid w:val="00A923FC"/>
    <w:rsid w:val="00A9240E"/>
    <w:rsid w:val="00A92433"/>
    <w:rsid w:val="00A92587"/>
    <w:rsid w:val="00A92649"/>
    <w:rsid w:val="00A92650"/>
    <w:rsid w:val="00A926C8"/>
    <w:rsid w:val="00A927FA"/>
    <w:rsid w:val="00A92833"/>
    <w:rsid w:val="00A9288F"/>
    <w:rsid w:val="00A92915"/>
    <w:rsid w:val="00A92995"/>
    <w:rsid w:val="00A92A3E"/>
    <w:rsid w:val="00A92A78"/>
    <w:rsid w:val="00A92AFD"/>
    <w:rsid w:val="00A92B7B"/>
    <w:rsid w:val="00A92C2F"/>
    <w:rsid w:val="00A92C72"/>
    <w:rsid w:val="00A92CC7"/>
    <w:rsid w:val="00A92DB3"/>
    <w:rsid w:val="00A92DE8"/>
    <w:rsid w:val="00A92E17"/>
    <w:rsid w:val="00A92E19"/>
    <w:rsid w:val="00A92EE7"/>
    <w:rsid w:val="00A92FBC"/>
    <w:rsid w:val="00A93049"/>
    <w:rsid w:val="00A93128"/>
    <w:rsid w:val="00A93139"/>
    <w:rsid w:val="00A9316B"/>
    <w:rsid w:val="00A9319D"/>
    <w:rsid w:val="00A93209"/>
    <w:rsid w:val="00A9331C"/>
    <w:rsid w:val="00A93327"/>
    <w:rsid w:val="00A93394"/>
    <w:rsid w:val="00A933D3"/>
    <w:rsid w:val="00A9342A"/>
    <w:rsid w:val="00A934D4"/>
    <w:rsid w:val="00A93655"/>
    <w:rsid w:val="00A9365B"/>
    <w:rsid w:val="00A936F5"/>
    <w:rsid w:val="00A9370A"/>
    <w:rsid w:val="00A937B2"/>
    <w:rsid w:val="00A937EF"/>
    <w:rsid w:val="00A9380E"/>
    <w:rsid w:val="00A93821"/>
    <w:rsid w:val="00A9386D"/>
    <w:rsid w:val="00A93899"/>
    <w:rsid w:val="00A938D3"/>
    <w:rsid w:val="00A9396A"/>
    <w:rsid w:val="00A939B3"/>
    <w:rsid w:val="00A93BA9"/>
    <w:rsid w:val="00A93C0F"/>
    <w:rsid w:val="00A93CAF"/>
    <w:rsid w:val="00A93CB1"/>
    <w:rsid w:val="00A93E01"/>
    <w:rsid w:val="00A93E31"/>
    <w:rsid w:val="00A93E95"/>
    <w:rsid w:val="00A93F02"/>
    <w:rsid w:val="00A94120"/>
    <w:rsid w:val="00A9415B"/>
    <w:rsid w:val="00A94166"/>
    <w:rsid w:val="00A94174"/>
    <w:rsid w:val="00A9417E"/>
    <w:rsid w:val="00A941CA"/>
    <w:rsid w:val="00A941F0"/>
    <w:rsid w:val="00A9421E"/>
    <w:rsid w:val="00A9431B"/>
    <w:rsid w:val="00A943FB"/>
    <w:rsid w:val="00A943FC"/>
    <w:rsid w:val="00A944F5"/>
    <w:rsid w:val="00A94715"/>
    <w:rsid w:val="00A9475B"/>
    <w:rsid w:val="00A9477D"/>
    <w:rsid w:val="00A947BF"/>
    <w:rsid w:val="00A947EE"/>
    <w:rsid w:val="00A94803"/>
    <w:rsid w:val="00A94835"/>
    <w:rsid w:val="00A94857"/>
    <w:rsid w:val="00A948E3"/>
    <w:rsid w:val="00A948FD"/>
    <w:rsid w:val="00A94905"/>
    <w:rsid w:val="00A949A2"/>
    <w:rsid w:val="00A949E7"/>
    <w:rsid w:val="00A94A6D"/>
    <w:rsid w:val="00A94A76"/>
    <w:rsid w:val="00A94AF0"/>
    <w:rsid w:val="00A94B01"/>
    <w:rsid w:val="00A94B38"/>
    <w:rsid w:val="00A94BC0"/>
    <w:rsid w:val="00A94C47"/>
    <w:rsid w:val="00A94C8B"/>
    <w:rsid w:val="00A94CCC"/>
    <w:rsid w:val="00A94D2D"/>
    <w:rsid w:val="00A94D2F"/>
    <w:rsid w:val="00A94E42"/>
    <w:rsid w:val="00A94F85"/>
    <w:rsid w:val="00A94FC7"/>
    <w:rsid w:val="00A94FD9"/>
    <w:rsid w:val="00A94FF1"/>
    <w:rsid w:val="00A95011"/>
    <w:rsid w:val="00A9507D"/>
    <w:rsid w:val="00A95096"/>
    <w:rsid w:val="00A950B0"/>
    <w:rsid w:val="00A950B3"/>
    <w:rsid w:val="00A950C4"/>
    <w:rsid w:val="00A950ED"/>
    <w:rsid w:val="00A95214"/>
    <w:rsid w:val="00A95251"/>
    <w:rsid w:val="00A95261"/>
    <w:rsid w:val="00A952F9"/>
    <w:rsid w:val="00A95392"/>
    <w:rsid w:val="00A953DB"/>
    <w:rsid w:val="00A9544D"/>
    <w:rsid w:val="00A9551B"/>
    <w:rsid w:val="00A95532"/>
    <w:rsid w:val="00A955BB"/>
    <w:rsid w:val="00A95614"/>
    <w:rsid w:val="00A95630"/>
    <w:rsid w:val="00A95645"/>
    <w:rsid w:val="00A9565B"/>
    <w:rsid w:val="00A95666"/>
    <w:rsid w:val="00A9569B"/>
    <w:rsid w:val="00A95792"/>
    <w:rsid w:val="00A9585D"/>
    <w:rsid w:val="00A95921"/>
    <w:rsid w:val="00A95963"/>
    <w:rsid w:val="00A95A02"/>
    <w:rsid w:val="00A95A49"/>
    <w:rsid w:val="00A95A69"/>
    <w:rsid w:val="00A95ADC"/>
    <w:rsid w:val="00A95B8C"/>
    <w:rsid w:val="00A95BA5"/>
    <w:rsid w:val="00A95BC2"/>
    <w:rsid w:val="00A95BF0"/>
    <w:rsid w:val="00A95C2B"/>
    <w:rsid w:val="00A95C66"/>
    <w:rsid w:val="00A95C8D"/>
    <w:rsid w:val="00A95DD9"/>
    <w:rsid w:val="00A95DE0"/>
    <w:rsid w:val="00A95E06"/>
    <w:rsid w:val="00A95FAE"/>
    <w:rsid w:val="00A960AB"/>
    <w:rsid w:val="00A96182"/>
    <w:rsid w:val="00A9618A"/>
    <w:rsid w:val="00A961B0"/>
    <w:rsid w:val="00A9626D"/>
    <w:rsid w:val="00A962C6"/>
    <w:rsid w:val="00A96338"/>
    <w:rsid w:val="00A9635C"/>
    <w:rsid w:val="00A96360"/>
    <w:rsid w:val="00A9647E"/>
    <w:rsid w:val="00A9651E"/>
    <w:rsid w:val="00A96575"/>
    <w:rsid w:val="00A965CA"/>
    <w:rsid w:val="00A965E8"/>
    <w:rsid w:val="00A965FF"/>
    <w:rsid w:val="00A96611"/>
    <w:rsid w:val="00A96642"/>
    <w:rsid w:val="00A966A9"/>
    <w:rsid w:val="00A966EA"/>
    <w:rsid w:val="00A96740"/>
    <w:rsid w:val="00A967DC"/>
    <w:rsid w:val="00A96852"/>
    <w:rsid w:val="00A96867"/>
    <w:rsid w:val="00A96A1D"/>
    <w:rsid w:val="00A96A9F"/>
    <w:rsid w:val="00A96AB3"/>
    <w:rsid w:val="00A96AFF"/>
    <w:rsid w:val="00A96B1F"/>
    <w:rsid w:val="00A96B65"/>
    <w:rsid w:val="00A96BBE"/>
    <w:rsid w:val="00A96C33"/>
    <w:rsid w:val="00A96C4B"/>
    <w:rsid w:val="00A96C68"/>
    <w:rsid w:val="00A96C7A"/>
    <w:rsid w:val="00A96D0D"/>
    <w:rsid w:val="00A96D14"/>
    <w:rsid w:val="00A96DFD"/>
    <w:rsid w:val="00A96EC2"/>
    <w:rsid w:val="00A96EC3"/>
    <w:rsid w:val="00A96EEF"/>
    <w:rsid w:val="00A96FB8"/>
    <w:rsid w:val="00A96FC2"/>
    <w:rsid w:val="00A97081"/>
    <w:rsid w:val="00A97185"/>
    <w:rsid w:val="00A97186"/>
    <w:rsid w:val="00A9719A"/>
    <w:rsid w:val="00A971D1"/>
    <w:rsid w:val="00A971E0"/>
    <w:rsid w:val="00A9723F"/>
    <w:rsid w:val="00A972B0"/>
    <w:rsid w:val="00A972BE"/>
    <w:rsid w:val="00A9733E"/>
    <w:rsid w:val="00A9735B"/>
    <w:rsid w:val="00A973B2"/>
    <w:rsid w:val="00A973B6"/>
    <w:rsid w:val="00A973F7"/>
    <w:rsid w:val="00A97422"/>
    <w:rsid w:val="00A97438"/>
    <w:rsid w:val="00A97442"/>
    <w:rsid w:val="00A9748D"/>
    <w:rsid w:val="00A9752B"/>
    <w:rsid w:val="00A97551"/>
    <w:rsid w:val="00A9758E"/>
    <w:rsid w:val="00A975A7"/>
    <w:rsid w:val="00A9761E"/>
    <w:rsid w:val="00A976A5"/>
    <w:rsid w:val="00A97759"/>
    <w:rsid w:val="00A97789"/>
    <w:rsid w:val="00A97797"/>
    <w:rsid w:val="00A977A3"/>
    <w:rsid w:val="00A977D2"/>
    <w:rsid w:val="00A97815"/>
    <w:rsid w:val="00A97840"/>
    <w:rsid w:val="00A978A3"/>
    <w:rsid w:val="00A978E5"/>
    <w:rsid w:val="00A97902"/>
    <w:rsid w:val="00A97941"/>
    <w:rsid w:val="00A979A5"/>
    <w:rsid w:val="00A979A7"/>
    <w:rsid w:val="00A97A28"/>
    <w:rsid w:val="00A97A2E"/>
    <w:rsid w:val="00A97A3C"/>
    <w:rsid w:val="00A97B1A"/>
    <w:rsid w:val="00A97B1D"/>
    <w:rsid w:val="00A97BE3"/>
    <w:rsid w:val="00A97C34"/>
    <w:rsid w:val="00A97CA9"/>
    <w:rsid w:val="00A97D61"/>
    <w:rsid w:val="00A97DCC"/>
    <w:rsid w:val="00A97DF1"/>
    <w:rsid w:val="00A97E51"/>
    <w:rsid w:val="00A97EFD"/>
    <w:rsid w:val="00A97EFE"/>
    <w:rsid w:val="00A97F11"/>
    <w:rsid w:val="00A97F28"/>
    <w:rsid w:val="00A97F5C"/>
    <w:rsid w:val="00AA003C"/>
    <w:rsid w:val="00AA0079"/>
    <w:rsid w:val="00AA00A5"/>
    <w:rsid w:val="00AA0107"/>
    <w:rsid w:val="00AA0143"/>
    <w:rsid w:val="00AA0207"/>
    <w:rsid w:val="00AA027D"/>
    <w:rsid w:val="00AA02B2"/>
    <w:rsid w:val="00AA02BD"/>
    <w:rsid w:val="00AA030C"/>
    <w:rsid w:val="00AA038B"/>
    <w:rsid w:val="00AA03D5"/>
    <w:rsid w:val="00AA0497"/>
    <w:rsid w:val="00AA0526"/>
    <w:rsid w:val="00AA0544"/>
    <w:rsid w:val="00AA05A2"/>
    <w:rsid w:val="00AA05CC"/>
    <w:rsid w:val="00AA0648"/>
    <w:rsid w:val="00AA06B6"/>
    <w:rsid w:val="00AA06CE"/>
    <w:rsid w:val="00AA06D7"/>
    <w:rsid w:val="00AA0732"/>
    <w:rsid w:val="00AA0736"/>
    <w:rsid w:val="00AA0740"/>
    <w:rsid w:val="00AA0830"/>
    <w:rsid w:val="00AA0880"/>
    <w:rsid w:val="00AA0895"/>
    <w:rsid w:val="00AA08B5"/>
    <w:rsid w:val="00AA08EB"/>
    <w:rsid w:val="00AA08F3"/>
    <w:rsid w:val="00AA0923"/>
    <w:rsid w:val="00AA0987"/>
    <w:rsid w:val="00AA0996"/>
    <w:rsid w:val="00AA0A00"/>
    <w:rsid w:val="00AA0A32"/>
    <w:rsid w:val="00AA0A42"/>
    <w:rsid w:val="00AA0AC7"/>
    <w:rsid w:val="00AA0B2C"/>
    <w:rsid w:val="00AA0B7A"/>
    <w:rsid w:val="00AA0B97"/>
    <w:rsid w:val="00AA0BF9"/>
    <w:rsid w:val="00AA0C66"/>
    <w:rsid w:val="00AA0CB7"/>
    <w:rsid w:val="00AA0CF5"/>
    <w:rsid w:val="00AA0D27"/>
    <w:rsid w:val="00AA0D63"/>
    <w:rsid w:val="00AA0E36"/>
    <w:rsid w:val="00AA0E81"/>
    <w:rsid w:val="00AA0F1F"/>
    <w:rsid w:val="00AA1001"/>
    <w:rsid w:val="00AA1065"/>
    <w:rsid w:val="00AA10E7"/>
    <w:rsid w:val="00AA1134"/>
    <w:rsid w:val="00AA117D"/>
    <w:rsid w:val="00AA119F"/>
    <w:rsid w:val="00AA11AC"/>
    <w:rsid w:val="00AA126D"/>
    <w:rsid w:val="00AA12A8"/>
    <w:rsid w:val="00AA1362"/>
    <w:rsid w:val="00AA137E"/>
    <w:rsid w:val="00AA145A"/>
    <w:rsid w:val="00AA1470"/>
    <w:rsid w:val="00AA14EC"/>
    <w:rsid w:val="00AA1544"/>
    <w:rsid w:val="00AA15F8"/>
    <w:rsid w:val="00AA1611"/>
    <w:rsid w:val="00AA1697"/>
    <w:rsid w:val="00AA16D9"/>
    <w:rsid w:val="00AA1738"/>
    <w:rsid w:val="00AA1782"/>
    <w:rsid w:val="00AA1829"/>
    <w:rsid w:val="00AA1850"/>
    <w:rsid w:val="00AA1874"/>
    <w:rsid w:val="00AA18EC"/>
    <w:rsid w:val="00AA1970"/>
    <w:rsid w:val="00AA1A05"/>
    <w:rsid w:val="00AA1A4C"/>
    <w:rsid w:val="00AA1A64"/>
    <w:rsid w:val="00AA1ABC"/>
    <w:rsid w:val="00AA1BCF"/>
    <w:rsid w:val="00AA1C86"/>
    <w:rsid w:val="00AA1CC0"/>
    <w:rsid w:val="00AA1DB5"/>
    <w:rsid w:val="00AA1DC1"/>
    <w:rsid w:val="00AA1DF0"/>
    <w:rsid w:val="00AA1E23"/>
    <w:rsid w:val="00AA1E65"/>
    <w:rsid w:val="00AA1E7E"/>
    <w:rsid w:val="00AA1EB5"/>
    <w:rsid w:val="00AA2009"/>
    <w:rsid w:val="00AA202E"/>
    <w:rsid w:val="00AA214F"/>
    <w:rsid w:val="00AA2189"/>
    <w:rsid w:val="00AA2249"/>
    <w:rsid w:val="00AA2282"/>
    <w:rsid w:val="00AA2386"/>
    <w:rsid w:val="00AA23A7"/>
    <w:rsid w:val="00AA23D7"/>
    <w:rsid w:val="00AA23E1"/>
    <w:rsid w:val="00AA23E6"/>
    <w:rsid w:val="00AA243F"/>
    <w:rsid w:val="00AA2552"/>
    <w:rsid w:val="00AA2567"/>
    <w:rsid w:val="00AA259F"/>
    <w:rsid w:val="00AA25A5"/>
    <w:rsid w:val="00AA2657"/>
    <w:rsid w:val="00AA265F"/>
    <w:rsid w:val="00AA26CD"/>
    <w:rsid w:val="00AA273B"/>
    <w:rsid w:val="00AA2761"/>
    <w:rsid w:val="00AA2774"/>
    <w:rsid w:val="00AA2877"/>
    <w:rsid w:val="00AA28C5"/>
    <w:rsid w:val="00AA28DD"/>
    <w:rsid w:val="00AA28E0"/>
    <w:rsid w:val="00AA2904"/>
    <w:rsid w:val="00AA2971"/>
    <w:rsid w:val="00AA29B8"/>
    <w:rsid w:val="00AA29BB"/>
    <w:rsid w:val="00AA29D7"/>
    <w:rsid w:val="00AA29DA"/>
    <w:rsid w:val="00AA2AF1"/>
    <w:rsid w:val="00AA2B12"/>
    <w:rsid w:val="00AA2B74"/>
    <w:rsid w:val="00AA2BA8"/>
    <w:rsid w:val="00AA2BBF"/>
    <w:rsid w:val="00AA2CB4"/>
    <w:rsid w:val="00AA2E1F"/>
    <w:rsid w:val="00AA2E5A"/>
    <w:rsid w:val="00AA2EDC"/>
    <w:rsid w:val="00AA2FDC"/>
    <w:rsid w:val="00AA3035"/>
    <w:rsid w:val="00AA3099"/>
    <w:rsid w:val="00AA31AA"/>
    <w:rsid w:val="00AA31B7"/>
    <w:rsid w:val="00AA3217"/>
    <w:rsid w:val="00AA322C"/>
    <w:rsid w:val="00AA328F"/>
    <w:rsid w:val="00AA32BC"/>
    <w:rsid w:val="00AA333E"/>
    <w:rsid w:val="00AA33F9"/>
    <w:rsid w:val="00AA3439"/>
    <w:rsid w:val="00AA343C"/>
    <w:rsid w:val="00AA34B8"/>
    <w:rsid w:val="00AA34EB"/>
    <w:rsid w:val="00AA352D"/>
    <w:rsid w:val="00AA3584"/>
    <w:rsid w:val="00AA35AB"/>
    <w:rsid w:val="00AA35AD"/>
    <w:rsid w:val="00AA35B4"/>
    <w:rsid w:val="00AA35F5"/>
    <w:rsid w:val="00AA3683"/>
    <w:rsid w:val="00AA37A2"/>
    <w:rsid w:val="00AA37B5"/>
    <w:rsid w:val="00AA37CD"/>
    <w:rsid w:val="00AA38D3"/>
    <w:rsid w:val="00AA3944"/>
    <w:rsid w:val="00AA3A19"/>
    <w:rsid w:val="00AA3B22"/>
    <w:rsid w:val="00AA3B78"/>
    <w:rsid w:val="00AA3BDF"/>
    <w:rsid w:val="00AA3C62"/>
    <w:rsid w:val="00AA3DA1"/>
    <w:rsid w:val="00AA3DDD"/>
    <w:rsid w:val="00AA3DE3"/>
    <w:rsid w:val="00AA3E49"/>
    <w:rsid w:val="00AA3E86"/>
    <w:rsid w:val="00AA3F09"/>
    <w:rsid w:val="00AA4009"/>
    <w:rsid w:val="00AA40B4"/>
    <w:rsid w:val="00AA40DB"/>
    <w:rsid w:val="00AA40EA"/>
    <w:rsid w:val="00AA4123"/>
    <w:rsid w:val="00AA412C"/>
    <w:rsid w:val="00AA41FC"/>
    <w:rsid w:val="00AA4224"/>
    <w:rsid w:val="00AA426A"/>
    <w:rsid w:val="00AA42FF"/>
    <w:rsid w:val="00AA433B"/>
    <w:rsid w:val="00AA4351"/>
    <w:rsid w:val="00AA439A"/>
    <w:rsid w:val="00AA447C"/>
    <w:rsid w:val="00AA451B"/>
    <w:rsid w:val="00AA45D1"/>
    <w:rsid w:val="00AA464E"/>
    <w:rsid w:val="00AA46B4"/>
    <w:rsid w:val="00AA46F5"/>
    <w:rsid w:val="00AA4739"/>
    <w:rsid w:val="00AA47C2"/>
    <w:rsid w:val="00AA485D"/>
    <w:rsid w:val="00AA4889"/>
    <w:rsid w:val="00AA48A4"/>
    <w:rsid w:val="00AA48DE"/>
    <w:rsid w:val="00AA48EB"/>
    <w:rsid w:val="00AA4929"/>
    <w:rsid w:val="00AA4934"/>
    <w:rsid w:val="00AA4A28"/>
    <w:rsid w:val="00AA4A77"/>
    <w:rsid w:val="00AA4BEB"/>
    <w:rsid w:val="00AA4C2B"/>
    <w:rsid w:val="00AA4C3A"/>
    <w:rsid w:val="00AA4CB5"/>
    <w:rsid w:val="00AA4D35"/>
    <w:rsid w:val="00AA4DAA"/>
    <w:rsid w:val="00AA4DBB"/>
    <w:rsid w:val="00AA4E88"/>
    <w:rsid w:val="00AA4F11"/>
    <w:rsid w:val="00AA4F51"/>
    <w:rsid w:val="00AA4F56"/>
    <w:rsid w:val="00AA4F8F"/>
    <w:rsid w:val="00AA50F6"/>
    <w:rsid w:val="00AA517D"/>
    <w:rsid w:val="00AA51C3"/>
    <w:rsid w:val="00AA52A9"/>
    <w:rsid w:val="00AA53E1"/>
    <w:rsid w:val="00AA53E5"/>
    <w:rsid w:val="00AA5516"/>
    <w:rsid w:val="00AA5609"/>
    <w:rsid w:val="00AA56F8"/>
    <w:rsid w:val="00AA56FF"/>
    <w:rsid w:val="00AA577B"/>
    <w:rsid w:val="00AA5795"/>
    <w:rsid w:val="00AA57E7"/>
    <w:rsid w:val="00AA5812"/>
    <w:rsid w:val="00AA5896"/>
    <w:rsid w:val="00AA58D9"/>
    <w:rsid w:val="00AA595C"/>
    <w:rsid w:val="00AA59C0"/>
    <w:rsid w:val="00AA59C1"/>
    <w:rsid w:val="00AA59E5"/>
    <w:rsid w:val="00AA5A01"/>
    <w:rsid w:val="00AA5A64"/>
    <w:rsid w:val="00AA5A76"/>
    <w:rsid w:val="00AA5A88"/>
    <w:rsid w:val="00AA5ACE"/>
    <w:rsid w:val="00AA5B01"/>
    <w:rsid w:val="00AA5B48"/>
    <w:rsid w:val="00AA5B8C"/>
    <w:rsid w:val="00AA5DE5"/>
    <w:rsid w:val="00AA5DEA"/>
    <w:rsid w:val="00AA5E63"/>
    <w:rsid w:val="00AA5ED4"/>
    <w:rsid w:val="00AA5EFC"/>
    <w:rsid w:val="00AA5F0B"/>
    <w:rsid w:val="00AA5F3B"/>
    <w:rsid w:val="00AA5FB2"/>
    <w:rsid w:val="00AA5FBF"/>
    <w:rsid w:val="00AA602E"/>
    <w:rsid w:val="00AA6131"/>
    <w:rsid w:val="00AA616A"/>
    <w:rsid w:val="00AA61DB"/>
    <w:rsid w:val="00AA6384"/>
    <w:rsid w:val="00AA63B3"/>
    <w:rsid w:val="00AA6508"/>
    <w:rsid w:val="00AA6517"/>
    <w:rsid w:val="00AA664D"/>
    <w:rsid w:val="00AA6671"/>
    <w:rsid w:val="00AA66F1"/>
    <w:rsid w:val="00AA66F8"/>
    <w:rsid w:val="00AA6708"/>
    <w:rsid w:val="00AA6798"/>
    <w:rsid w:val="00AA6804"/>
    <w:rsid w:val="00AA6813"/>
    <w:rsid w:val="00AA681F"/>
    <w:rsid w:val="00AA6875"/>
    <w:rsid w:val="00AA6A70"/>
    <w:rsid w:val="00AA6A8E"/>
    <w:rsid w:val="00AA6AA0"/>
    <w:rsid w:val="00AA6AEA"/>
    <w:rsid w:val="00AA6C0A"/>
    <w:rsid w:val="00AA6CE0"/>
    <w:rsid w:val="00AA6CE5"/>
    <w:rsid w:val="00AA6D65"/>
    <w:rsid w:val="00AA6D68"/>
    <w:rsid w:val="00AA6D8A"/>
    <w:rsid w:val="00AA6D95"/>
    <w:rsid w:val="00AA6DCA"/>
    <w:rsid w:val="00AA6DE1"/>
    <w:rsid w:val="00AA6E03"/>
    <w:rsid w:val="00AA6E82"/>
    <w:rsid w:val="00AA6F0F"/>
    <w:rsid w:val="00AA6F15"/>
    <w:rsid w:val="00AA6F43"/>
    <w:rsid w:val="00AA6F4B"/>
    <w:rsid w:val="00AA6F67"/>
    <w:rsid w:val="00AA7046"/>
    <w:rsid w:val="00AA70C2"/>
    <w:rsid w:val="00AA70D3"/>
    <w:rsid w:val="00AA7106"/>
    <w:rsid w:val="00AA7177"/>
    <w:rsid w:val="00AA7180"/>
    <w:rsid w:val="00AA71C1"/>
    <w:rsid w:val="00AA71EA"/>
    <w:rsid w:val="00AA7205"/>
    <w:rsid w:val="00AA727A"/>
    <w:rsid w:val="00AA7386"/>
    <w:rsid w:val="00AA7395"/>
    <w:rsid w:val="00AA741D"/>
    <w:rsid w:val="00AA7442"/>
    <w:rsid w:val="00AA7445"/>
    <w:rsid w:val="00AA7530"/>
    <w:rsid w:val="00AA756D"/>
    <w:rsid w:val="00AA758B"/>
    <w:rsid w:val="00AA758C"/>
    <w:rsid w:val="00AA75AB"/>
    <w:rsid w:val="00AA75BA"/>
    <w:rsid w:val="00AA76CC"/>
    <w:rsid w:val="00AA774C"/>
    <w:rsid w:val="00AA7756"/>
    <w:rsid w:val="00AA776E"/>
    <w:rsid w:val="00AA77E5"/>
    <w:rsid w:val="00AA7814"/>
    <w:rsid w:val="00AA7817"/>
    <w:rsid w:val="00AA7819"/>
    <w:rsid w:val="00AA7832"/>
    <w:rsid w:val="00AA798D"/>
    <w:rsid w:val="00AA799B"/>
    <w:rsid w:val="00AA79DA"/>
    <w:rsid w:val="00AA7A8E"/>
    <w:rsid w:val="00AA7B56"/>
    <w:rsid w:val="00AA7BC9"/>
    <w:rsid w:val="00AA7CC6"/>
    <w:rsid w:val="00AA7D3F"/>
    <w:rsid w:val="00AA7D7A"/>
    <w:rsid w:val="00AA7D84"/>
    <w:rsid w:val="00AA7DC6"/>
    <w:rsid w:val="00AA7E20"/>
    <w:rsid w:val="00AA7EF1"/>
    <w:rsid w:val="00AA7F20"/>
    <w:rsid w:val="00AA7F28"/>
    <w:rsid w:val="00AA7FE4"/>
    <w:rsid w:val="00AB0118"/>
    <w:rsid w:val="00AB0122"/>
    <w:rsid w:val="00AB0162"/>
    <w:rsid w:val="00AB031C"/>
    <w:rsid w:val="00AB03BC"/>
    <w:rsid w:val="00AB03E7"/>
    <w:rsid w:val="00AB0437"/>
    <w:rsid w:val="00AB0487"/>
    <w:rsid w:val="00AB0582"/>
    <w:rsid w:val="00AB0658"/>
    <w:rsid w:val="00AB065B"/>
    <w:rsid w:val="00AB0679"/>
    <w:rsid w:val="00AB0684"/>
    <w:rsid w:val="00AB06A7"/>
    <w:rsid w:val="00AB07AD"/>
    <w:rsid w:val="00AB085C"/>
    <w:rsid w:val="00AB0867"/>
    <w:rsid w:val="00AB0890"/>
    <w:rsid w:val="00AB08BA"/>
    <w:rsid w:val="00AB0A10"/>
    <w:rsid w:val="00AB0AD3"/>
    <w:rsid w:val="00AB0B4E"/>
    <w:rsid w:val="00AB0B7D"/>
    <w:rsid w:val="00AB0BA9"/>
    <w:rsid w:val="00AB0BFF"/>
    <w:rsid w:val="00AB0C2F"/>
    <w:rsid w:val="00AB0CC4"/>
    <w:rsid w:val="00AB0D1A"/>
    <w:rsid w:val="00AB0D23"/>
    <w:rsid w:val="00AB0DD7"/>
    <w:rsid w:val="00AB0E83"/>
    <w:rsid w:val="00AB0EDA"/>
    <w:rsid w:val="00AB0EDF"/>
    <w:rsid w:val="00AB0EF6"/>
    <w:rsid w:val="00AB0F77"/>
    <w:rsid w:val="00AB0FA0"/>
    <w:rsid w:val="00AB1049"/>
    <w:rsid w:val="00AB104E"/>
    <w:rsid w:val="00AB109E"/>
    <w:rsid w:val="00AB10C1"/>
    <w:rsid w:val="00AB10E2"/>
    <w:rsid w:val="00AB1198"/>
    <w:rsid w:val="00AB1274"/>
    <w:rsid w:val="00AB1284"/>
    <w:rsid w:val="00AB129E"/>
    <w:rsid w:val="00AB13DA"/>
    <w:rsid w:val="00AB13EF"/>
    <w:rsid w:val="00AB146E"/>
    <w:rsid w:val="00AB1542"/>
    <w:rsid w:val="00AB15D7"/>
    <w:rsid w:val="00AB1609"/>
    <w:rsid w:val="00AB1619"/>
    <w:rsid w:val="00AB1624"/>
    <w:rsid w:val="00AB1648"/>
    <w:rsid w:val="00AB168D"/>
    <w:rsid w:val="00AB1772"/>
    <w:rsid w:val="00AB1775"/>
    <w:rsid w:val="00AB17A1"/>
    <w:rsid w:val="00AB17B5"/>
    <w:rsid w:val="00AB1885"/>
    <w:rsid w:val="00AB18A8"/>
    <w:rsid w:val="00AB1986"/>
    <w:rsid w:val="00AB199F"/>
    <w:rsid w:val="00AB1A94"/>
    <w:rsid w:val="00AB1A96"/>
    <w:rsid w:val="00AB1ADE"/>
    <w:rsid w:val="00AB1AEF"/>
    <w:rsid w:val="00AB1B43"/>
    <w:rsid w:val="00AB1B60"/>
    <w:rsid w:val="00AB1B92"/>
    <w:rsid w:val="00AB1C27"/>
    <w:rsid w:val="00AB1C8C"/>
    <w:rsid w:val="00AB1D16"/>
    <w:rsid w:val="00AB1DAE"/>
    <w:rsid w:val="00AB1DE2"/>
    <w:rsid w:val="00AB1E87"/>
    <w:rsid w:val="00AB1EAD"/>
    <w:rsid w:val="00AB1EDC"/>
    <w:rsid w:val="00AB1EF6"/>
    <w:rsid w:val="00AB1F2A"/>
    <w:rsid w:val="00AB1F5C"/>
    <w:rsid w:val="00AB202A"/>
    <w:rsid w:val="00AB202B"/>
    <w:rsid w:val="00AB2074"/>
    <w:rsid w:val="00AB20BE"/>
    <w:rsid w:val="00AB22DD"/>
    <w:rsid w:val="00AB239C"/>
    <w:rsid w:val="00AB2420"/>
    <w:rsid w:val="00AB243A"/>
    <w:rsid w:val="00AB243B"/>
    <w:rsid w:val="00AB24E5"/>
    <w:rsid w:val="00AB2506"/>
    <w:rsid w:val="00AB255F"/>
    <w:rsid w:val="00AB2563"/>
    <w:rsid w:val="00AB2569"/>
    <w:rsid w:val="00AB257F"/>
    <w:rsid w:val="00AB25C1"/>
    <w:rsid w:val="00AB2612"/>
    <w:rsid w:val="00AB262A"/>
    <w:rsid w:val="00AB2675"/>
    <w:rsid w:val="00AB2685"/>
    <w:rsid w:val="00AB26CF"/>
    <w:rsid w:val="00AB2780"/>
    <w:rsid w:val="00AB27D5"/>
    <w:rsid w:val="00AB27D9"/>
    <w:rsid w:val="00AB27DF"/>
    <w:rsid w:val="00AB27EC"/>
    <w:rsid w:val="00AB2831"/>
    <w:rsid w:val="00AB283E"/>
    <w:rsid w:val="00AB284A"/>
    <w:rsid w:val="00AB2851"/>
    <w:rsid w:val="00AB291C"/>
    <w:rsid w:val="00AB2928"/>
    <w:rsid w:val="00AB29DB"/>
    <w:rsid w:val="00AB2A26"/>
    <w:rsid w:val="00AB2A35"/>
    <w:rsid w:val="00AB2A45"/>
    <w:rsid w:val="00AB2A76"/>
    <w:rsid w:val="00AB2B8F"/>
    <w:rsid w:val="00AB2BE8"/>
    <w:rsid w:val="00AB2CC9"/>
    <w:rsid w:val="00AB2CE2"/>
    <w:rsid w:val="00AB2D59"/>
    <w:rsid w:val="00AB2D60"/>
    <w:rsid w:val="00AB2D8B"/>
    <w:rsid w:val="00AB2DDB"/>
    <w:rsid w:val="00AB2E44"/>
    <w:rsid w:val="00AB2E46"/>
    <w:rsid w:val="00AB2E8C"/>
    <w:rsid w:val="00AB2E90"/>
    <w:rsid w:val="00AB2EAA"/>
    <w:rsid w:val="00AB2EF9"/>
    <w:rsid w:val="00AB2F27"/>
    <w:rsid w:val="00AB2F6D"/>
    <w:rsid w:val="00AB2FF5"/>
    <w:rsid w:val="00AB300A"/>
    <w:rsid w:val="00AB3089"/>
    <w:rsid w:val="00AB3225"/>
    <w:rsid w:val="00AB3237"/>
    <w:rsid w:val="00AB3258"/>
    <w:rsid w:val="00AB32B8"/>
    <w:rsid w:val="00AB330B"/>
    <w:rsid w:val="00AB33B5"/>
    <w:rsid w:val="00AB33CA"/>
    <w:rsid w:val="00AB3452"/>
    <w:rsid w:val="00AB3495"/>
    <w:rsid w:val="00AB34CC"/>
    <w:rsid w:val="00AB3503"/>
    <w:rsid w:val="00AB35AB"/>
    <w:rsid w:val="00AB35C2"/>
    <w:rsid w:val="00AB3606"/>
    <w:rsid w:val="00AB367F"/>
    <w:rsid w:val="00AB37A6"/>
    <w:rsid w:val="00AB380D"/>
    <w:rsid w:val="00AB3854"/>
    <w:rsid w:val="00AB3856"/>
    <w:rsid w:val="00AB3890"/>
    <w:rsid w:val="00AB38AE"/>
    <w:rsid w:val="00AB3939"/>
    <w:rsid w:val="00AB39B1"/>
    <w:rsid w:val="00AB39C2"/>
    <w:rsid w:val="00AB3A55"/>
    <w:rsid w:val="00AB3AA0"/>
    <w:rsid w:val="00AB3B3B"/>
    <w:rsid w:val="00AB3B62"/>
    <w:rsid w:val="00AB3B6D"/>
    <w:rsid w:val="00AB3C55"/>
    <w:rsid w:val="00AB3C74"/>
    <w:rsid w:val="00AB3DB7"/>
    <w:rsid w:val="00AB3DB9"/>
    <w:rsid w:val="00AB3DBC"/>
    <w:rsid w:val="00AB3DDB"/>
    <w:rsid w:val="00AB3E7A"/>
    <w:rsid w:val="00AB3E8B"/>
    <w:rsid w:val="00AB3EB3"/>
    <w:rsid w:val="00AB3F87"/>
    <w:rsid w:val="00AB3FD7"/>
    <w:rsid w:val="00AB3FDE"/>
    <w:rsid w:val="00AB4003"/>
    <w:rsid w:val="00AB400C"/>
    <w:rsid w:val="00AB402F"/>
    <w:rsid w:val="00AB4148"/>
    <w:rsid w:val="00AB4186"/>
    <w:rsid w:val="00AB41D9"/>
    <w:rsid w:val="00AB41DE"/>
    <w:rsid w:val="00AB4206"/>
    <w:rsid w:val="00AB4242"/>
    <w:rsid w:val="00AB4332"/>
    <w:rsid w:val="00AB4360"/>
    <w:rsid w:val="00AB43DD"/>
    <w:rsid w:val="00AB443F"/>
    <w:rsid w:val="00AB4465"/>
    <w:rsid w:val="00AB4497"/>
    <w:rsid w:val="00AB44C8"/>
    <w:rsid w:val="00AB4519"/>
    <w:rsid w:val="00AB4544"/>
    <w:rsid w:val="00AB45AE"/>
    <w:rsid w:val="00AB45E3"/>
    <w:rsid w:val="00AB462C"/>
    <w:rsid w:val="00AB4685"/>
    <w:rsid w:val="00AB4694"/>
    <w:rsid w:val="00AB46F9"/>
    <w:rsid w:val="00AB4785"/>
    <w:rsid w:val="00AB47CA"/>
    <w:rsid w:val="00AB4823"/>
    <w:rsid w:val="00AB4843"/>
    <w:rsid w:val="00AB488E"/>
    <w:rsid w:val="00AB4923"/>
    <w:rsid w:val="00AB49D7"/>
    <w:rsid w:val="00AB4A14"/>
    <w:rsid w:val="00AB4A1B"/>
    <w:rsid w:val="00AB4A60"/>
    <w:rsid w:val="00AB4AD8"/>
    <w:rsid w:val="00AB4B39"/>
    <w:rsid w:val="00AB4B4C"/>
    <w:rsid w:val="00AB4BD9"/>
    <w:rsid w:val="00AB4CB2"/>
    <w:rsid w:val="00AB4CF4"/>
    <w:rsid w:val="00AB4D10"/>
    <w:rsid w:val="00AB4D37"/>
    <w:rsid w:val="00AB4D6A"/>
    <w:rsid w:val="00AB4D93"/>
    <w:rsid w:val="00AB4E0E"/>
    <w:rsid w:val="00AB4EB2"/>
    <w:rsid w:val="00AB4ED2"/>
    <w:rsid w:val="00AB4F09"/>
    <w:rsid w:val="00AB4FF0"/>
    <w:rsid w:val="00AB502B"/>
    <w:rsid w:val="00AB5064"/>
    <w:rsid w:val="00AB510D"/>
    <w:rsid w:val="00AB51A7"/>
    <w:rsid w:val="00AB520A"/>
    <w:rsid w:val="00AB5241"/>
    <w:rsid w:val="00AB524B"/>
    <w:rsid w:val="00AB530E"/>
    <w:rsid w:val="00AB539E"/>
    <w:rsid w:val="00AB53BB"/>
    <w:rsid w:val="00AB53C0"/>
    <w:rsid w:val="00AB5408"/>
    <w:rsid w:val="00AB540E"/>
    <w:rsid w:val="00AB5428"/>
    <w:rsid w:val="00AB5437"/>
    <w:rsid w:val="00AB5489"/>
    <w:rsid w:val="00AB54C5"/>
    <w:rsid w:val="00AB54DA"/>
    <w:rsid w:val="00AB54E6"/>
    <w:rsid w:val="00AB5585"/>
    <w:rsid w:val="00AB55C7"/>
    <w:rsid w:val="00AB55EE"/>
    <w:rsid w:val="00AB55F6"/>
    <w:rsid w:val="00AB5697"/>
    <w:rsid w:val="00AB5720"/>
    <w:rsid w:val="00AB572E"/>
    <w:rsid w:val="00AB573D"/>
    <w:rsid w:val="00AB576B"/>
    <w:rsid w:val="00AB57E1"/>
    <w:rsid w:val="00AB5818"/>
    <w:rsid w:val="00AB585B"/>
    <w:rsid w:val="00AB5860"/>
    <w:rsid w:val="00AB58A4"/>
    <w:rsid w:val="00AB599D"/>
    <w:rsid w:val="00AB59AC"/>
    <w:rsid w:val="00AB5B14"/>
    <w:rsid w:val="00AB5B6B"/>
    <w:rsid w:val="00AB5C18"/>
    <w:rsid w:val="00AB5DB5"/>
    <w:rsid w:val="00AB5DD9"/>
    <w:rsid w:val="00AB5DE2"/>
    <w:rsid w:val="00AB5E6E"/>
    <w:rsid w:val="00AB5EA8"/>
    <w:rsid w:val="00AB5EB1"/>
    <w:rsid w:val="00AB5F63"/>
    <w:rsid w:val="00AB5F87"/>
    <w:rsid w:val="00AB5FB7"/>
    <w:rsid w:val="00AB600E"/>
    <w:rsid w:val="00AB6010"/>
    <w:rsid w:val="00AB6031"/>
    <w:rsid w:val="00AB604C"/>
    <w:rsid w:val="00AB6168"/>
    <w:rsid w:val="00AB61B0"/>
    <w:rsid w:val="00AB61B3"/>
    <w:rsid w:val="00AB61CD"/>
    <w:rsid w:val="00AB61EE"/>
    <w:rsid w:val="00AB6256"/>
    <w:rsid w:val="00AB627C"/>
    <w:rsid w:val="00AB6299"/>
    <w:rsid w:val="00AB62C7"/>
    <w:rsid w:val="00AB62FA"/>
    <w:rsid w:val="00AB6301"/>
    <w:rsid w:val="00AB636D"/>
    <w:rsid w:val="00AB63EF"/>
    <w:rsid w:val="00AB65EE"/>
    <w:rsid w:val="00AB6634"/>
    <w:rsid w:val="00AB666C"/>
    <w:rsid w:val="00AB66A9"/>
    <w:rsid w:val="00AB67A0"/>
    <w:rsid w:val="00AB67D8"/>
    <w:rsid w:val="00AB680E"/>
    <w:rsid w:val="00AB68E4"/>
    <w:rsid w:val="00AB690D"/>
    <w:rsid w:val="00AB6A86"/>
    <w:rsid w:val="00AB6AB1"/>
    <w:rsid w:val="00AB6AC1"/>
    <w:rsid w:val="00AB6B2B"/>
    <w:rsid w:val="00AB6B83"/>
    <w:rsid w:val="00AB6C5E"/>
    <w:rsid w:val="00AB6CDD"/>
    <w:rsid w:val="00AB6D64"/>
    <w:rsid w:val="00AB6D84"/>
    <w:rsid w:val="00AB6D97"/>
    <w:rsid w:val="00AB6DB6"/>
    <w:rsid w:val="00AB6DC0"/>
    <w:rsid w:val="00AB6EA1"/>
    <w:rsid w:val="00AB6EEF"/>
    <w:rsid w:val="00AB6F31"/>
    <w:rsid w:val="00AB7045"/>
    <w:rsid w:val="00AB70AB"/>
    <w:rsid w:val="00AB70E7"/>
    <w:rsid w:val="00AB7210"/>
    <w:rsid w:val="00AB7224"/>
    <w:rsid w:val="00AB7240"/>
    <w:rsid w:val="00AB724C"/>
    <w:rsid w:val="00AB730B"/>
    <w:rsid w:val="00AB7365"/>
    <w:rsid w:val="00AB7395"/>
    <w:rsid w:val="00AB741D"/>
    <w:rsid w:val="00AB7426"/>
    <w:rsid w:val="00AB7461"/>
    <w:rsid w:val="00AB7480"/>
    <w:rsid w:val="00AB74E0"/>
    <w:rsid w:val="00AB7523"/>
    <w:rsid w:val="00AB75F1"/>
    <w:rsid w:val="00AB76C4"/>
    <w:rsid w:val="00AB76CD"/>
    <w:rsid w:val="00AB76DE"/>
    <w:rsid w:val="00AB7716"/>
    <w:rsid w:val="00AB7744"/>
    <w:rsid w:val="00AB7849"/>
    <w:rsid w:val="00AB7892"/>
    <w:rsid w:val="00AB78CF"/>
    <w:rsid w:val="00AB7963"/>
    <w:rsid w:val="00AB7994"/>
    <w:rsid w:val="00AB79A9"/>
    <w:rsid w:val="00AB79D5"/>
    <w:rsid w:val="00AB7A1B"/>
    <w:rsid w:val="00AB7A3B"/>
    <w:rsid w:val="00AB7ACF"/>
    <w:rsid w:val="00AB7B4C"/>
    <w:rsid w:val="00AB7BBF"/>
    <w:rsid w:val="00AB7BE2"/>
    <w:rsid w:val="00AB7CC4"/>
    <w:rsid w:val="00AB7D16"/>
    <w:rsid w:val="00AB7D80"/>
    <w:rsid w:val="00AB7D9C"/>
    <w:rsid w:val="00AB7E5A"/>
    <w:rsid w:val="00AB7E8B"/>
    <w:rsid w:val="00AB7EBB"/>
    <w:rsid w:val="00AB7FD8"/>
    <w:rsid w:val="00AC008E"/>
    <w:rsid w:val="00AC00DE"/>
    <w:rsid w:val="00AC00E0"/>
    <w:rsid w:val="00AC01FB"/>
    <w:rsid w:val="00AC0271"/>
    <w:rsid w:val="00AC02A3"/>
    <w:rsid w:val="00AC02D7"/>
    <w:rsid w:val="00AC0340"/>
    <w:rsid w:val="00AC03B4"/>
    <w:rsid w:val="00AC03D2"/>
    <w:rsid w:val="00AC0407"/>
    <w:rsid w:val="00AC0486"/>
    <w:rsid w:val="00AC04DC"/>
    <w:rsid w:val="00AC0530"/>
    <w:rsid w:val="00AC0548"/>
    <w:rsid w:val="00AC058C"/>
    <w:rsid w:val="00AC05FC"/>
    <w:rsid w:val="00AC0625"/>
    <w:rsid w:val="00AC0638"/>
    <w:rsid w:val="00AC065E"/>
    <w:rsid w:val="00AC068F"/>
    <w:rsid w:val="00AC06B6"/>
    <w:rsid w:val="00AC06C3"/>
    <w:rsid w:val="00AC078A"/>
    <w:rsid w:val="00AC07F5"/>
    <w:rsid w:val="00AC0A00"/>
    <w:rsid w:val="00AC0A57"/>
    <w:rsid w:val="00AC0A73"/>
    <w:rsid w:val="00AC0A8B"/>
    <w:rsid w:val="00AC0C21"/>
    <w:rsid w:val="00AC0CBF"/>
    <w:rsid w:val="00AC0D76"/>
    <w:rsid w:val="00AC0E1F"/>
    <w:rsid w:val="00AC0EF0"/>
    <w:rsid w:val="00AC1042"/>
    <w:rsid w:val="00AC1055"/>
    <w:rsid w:val="00AC10A5"/>
    <w:rsid w:val="00AC10B4"/>
    <w:rsid w:val="00AC111A"/>
    <w:rsid w:val="00AC1155"/>
    <w:rsid w:val="00AC1182"/>
    <w:rsid w:val="00AC1183"/>
    <w:rsid w:val="00AC118F"/>
    <w:rsid w:val="00AC11FA"/>
    <w:rsid w:val="00AC11FB"/>
    <w:rsid w:val="00AC1290"/>
    <w:rsid w:val="00AC12D1"/>
    <w:rsid w:val="00AC12FB"/>
    <w:rsid w:val="00AC13ED"/>
    <w:rsid w:val="00AC1507"/>
    <w:rsid w:val="00AC15D2"/>
    <w:rsid w:val="00AC15FC"/>
    <w:rsid w:val="00AC1606"/>
    <w:rsid w:val="00AC1652"/>
    <w:rsid w:val="00AC16D8"/>
    <w:rsid w:val="00AC1785"/>
    <w:rsid w:val="00AC1965"/>
    <w:rsid w:val="00AC1975"/>
    <w:rsid w:val="00AC19D6"/>
    <w:rsid w:val="00AC1A46"/>
    <w:rsid w:val="00AC1B66"/>
    <w:rsid w:val="00AC1B8B"/>
    <w:rsid w:val="00AC1BAE"/>
    <w:rsid w:val="00AC1C84"/>
    <w:rsid w:val="00AC1CCF"/>
    <w:rsid w:val="00AC1CFF"/>
    <w:rsid w:val="00AC1D18"/>
    <w:rsid w:val="00AC1D2E"/>
    <w:rsid w:val="00AC1DB8"/>
    <w:rsid w:val="00AC1E45"/>
    <w:rsid w:val="00AC1E52"/>
    <w:rsid w:val="00AC1E5F"/>
    <w:rsid w:val="00AC1E7C"/>
    <w:rsid w:val="00AC1E89"/>
    <w:rsid w:val="00AC1E9C"/>
    <w:rsid w:val="00AC1EB6"/>
    <w:rsid w:val="00AC1ED0"/>
    <w:rsid w:val="00AC2097"/>
    <w:rsid w:val="00AC20EC"/>
    <w:rsid w:val="00AC217C"/>
    <w:rsid w:val="00AC219E"/>
    <w:rsid w:val="00AC2205"/>
    <w:rsid w:val="00AC22A3"/>
    <w:rsid w:val="00AC2309"/>
    <w:rsid w:val="00AC230F"/>
    <w:rsid w:val="00AC2401"/>
    <w:rsid w:val="00AC2409"/>
    <w:rsid w:val="00AC2420"/>
    <w:rsid w:val="00AC2470"/>
    <w:rsid w:val="00AC24DD"/>
    <w:rsid w:val="00AC2582"/>
    <w:rsid w:val="00AC263B"/>
    <w:rsid w:val="00AC266A"/>
    <w:rsid w:val="00AC266E"/>
    <w:rsid w:val="00AC267C"/>
    <w:rsid w:val="00AC2703"/>
    <w:rsid w:val="00AC2782"/>
    <w:rsid w:val="00AC27D6"/>
    <w:rsid w:val="00AC2885"/>
    <w:rsid w:val="00AC2948"/>
    <w:rsid w:val="00AC2966"/>
    <w:rsid w:val="00AC2983"/>
    <w:rsid w:val="00AC2990"/>
    <w:rsid w:val="00AC299E"/>
    <w:rsid w:val="00AC2B49"/>
    <w:rsid w:val="00AC2B4B"/>
    <w:rsid w:val="00AC2B6A"/>
    <w:rsid w:val="00AC2BA4"/>
    <w:rsid w:val="00AC2BCD"/>
    <w:rsid w:val="00AC2BDD"/>
    <w:rsid w:val="00AC2C0A"/>
    <w:rsid w:val="00AC2C6C"/>
    <w:rsid w:val="00AC2D24"/>
    <w:rsid w:val="00AC2D56"/>
    <w:rsid w:val="00AC2D85"/>
    <w:rsid w:val="00AC2D89"/>
    <w:rsid w:val="00AC2E1A"/>
    <w:rsid w:val="00AC2E1E"/>
    <w:rsid w:val="00AC2EBC"/>
    <w:rsid w:val="00AC2F35"/>
    <w:rsid w:val="00AC2F57"/>
    <w:rsid w:val="00AC2FFF"/>
    <w:rsid w:val="00AC3008"/>
    <w:rsid w:val="00AC3024"/>
    <w:rsid w:val="00AC3050"/>
    <w:rsid w:val="00AC308E"/>
    <w:rsid w:val="00AC30BD"/>
    <w:rsid w:val="00AC3198"/>
    <w:rsid w:val="00AC3329"/>
    <w:rsid w:val="00AC3339"/>
    <w:rsid w:val="00AC338F"/>
    <w:rsid w:val="00AC34C1"/>
    <w:rsid w:val="00AC34E4"/>
    <w:rsid w:val="00AC350F"/>
    <w:rsid w:val="00AC3576"/>
    <w:rsid w:val="00AC35FE"/>
    <w:rsid w:val="00AC35FF"/>
    <w:rsid w:val="00AC365D"/>
    <w:rsid w:val="00AC36B6"/>
    <w:rsid w:val="00AC36DC"/>
    <w:rsid w:val="00AC3746"/>
    <w:rsid w:val="00AC37F5"/>
    <w:rsid w:val="00AC3830"/>
    <w:rsid w:val="00AC3856"/>
    <w:rsid w:val="00AC38CB"/>
    <w:rsid w:val="00AC38D8"/>
    <w:rsid w:val="00AC3907"/>
    <w:rsid w:val="00AC3937"/>
    <w:rsid w:val="00AC393B"/>
    <w:rsid w:val="00AC3943"/>
    <w:rsid w:val="00AC3A3A"/>
    <w:rsid w:val="00AC3AE2"/>
    <w:rsid w:val="00AC3B47"/>
    <w:rsid w:val="00AC3B5E"/>
    <w:rsid w:val="00AC3B91"/>
    <w:rsid w:val="00AC3BC3"/>
    <w:rsid w:val="00AC3BE7"/>
    <w:rsid w:val="00AC3C58"/>
    <w:rsid w:val="00AC3C5E"/>
    <w:rsid w:val="00AC3C6F"/>
    <w:rsid w:val="00AC3CEA"/>
    <w:rsid w:val="00AC3D97"/>
    <w:rsid w:val="00AC3E0C"/>
    <w:rsid w:val="00AC3E39"/>
    <w:rsid w:val="00AC3E75"/>
    <w:rsid w:val="00AC3EA6"/>
    <w:rsid w:val="00AC3EDA"/>
    <w:rsid w:val="00AC3F6A"/>
    <w:rsid w:val="00AC3F9A"/>
    <w:rsid w:val="00AC401D"/>
    <w:rsid w:val="00AC4046"/>
    <w:rsid w:val="00AC4048"/>
    <w:rsid w:val="00AC4175"/>
    <w:rsid w:val="00AC41FA"/>
    <w:rsid w:val="00AC4244"/>
    <w:rsid w:val="00AC426A"/>
    <w:rsid w:val="00AC4303"/>
    <w:rsid w:val="00AC433E"/>
    <w:rsid w:val="00AC43AC"/>
    <w:rsid w:val="00AC4452"/>
    <w:rsid w:val="00AC4463"/>
    <w:rsid w:val="00AC449A"/>
    <w:rsid w:val="00AC44BE"/>
    <w:rsid w:val="00AC44EE"/>
    <w:rsid w:val="00AC4624"/>
    <w:rsid w:val="00AC4633"/>
    <w:rsid w:val="00AC4640"/>
    <w:rsid w:val="00AC46B2"/>
    <w:rsid w:val="00AC46C6"/>
    <w:rsid w:val="00AC473E"/>
    <w:rsid w:val="00AC479C"/>
    <w:rsid w:val="00AC47AA"/>
    <w:rsid w:val="00AC485D"/>
    <w:rsid w:val="00AC48BC"/>
    <w:rsid w:val="00AC4937"/>
    <w:rsid w:val="00AC49F1"/>
    <w:rsid w:val="00AC4AE2"/>
    <w:rsid w:val="00AC4AF3"/>
    <w:rsid w:val="00AC4B14"/>
    <w:rsid w:val="00AC4B16"/>
    <w:rsid w:val="00AC4B7C"/>
    <w:rsid w:val="00AC4C2F"/>
    <w:rsid w:val="00AC4C55"/>
    <w:rsid w:val="00AC4C64"/>
    <w:rsid w:val="00AC4C97"/>
    <w:rsid w:val="00AC4CBF"/>
    <w:rsid w:val="00AC4CC2"/>
    <w:rsid w:val="00AC4D04"/>
    <w:rsid w:val="00AC4D79"/>
    <w:rsid w:val="00AC4D7D"/>
    <w:rsid w:val="00AC4DD0"/>
    <w:rsid w:val="00AC4E05"/>
    <w:rsid w:val="00AC4EF2"/>
    <w:rsid w:val="00AC4F26"/>
    <w:rsid w:val="00AC4F89"/>
    <w:rsid w:val="00AC5012"/>
    <w:rsid w:val="00AC5056"/>
    <w:rsid w:val="00AC50B4"/>
    <w:rsid w:val="00AC5124"/>
    <w:rsid w:val="00AC51AD"/>
    <w:rsid w:val="00AC51EA"/>
    <w:rsid w:val="00AC5247"/>
    <w:rsid w:val="00AC525B"/>
    <w:rsid w:val="00AC525C"/>
    <w:rsid w:val="00AC545E"/>
    <w:rsid w:val="00AC54BD"/>
    <w:rsid w:val="00AC5618"/>
    <w:rsid w:val="00AC563C"/>
    <w:rsid w:val="00AC5654"/>
    <w:rsid w:val="00AC565F"/>
    <w:rsid w:val="00AC5756"/>
    <w:rsid w:val="00AC5789"/>
    <w:rsid w:val="00AC578A"/>
    <w:rsid w:val="00AC579F"/>
    <w:rsid w:val="00AC59C1"/>
    <w:rsid w:val="00AC5A41"/>
    <w:rsid w:val="00AC5B4D"/>
    <w:rsid w:val="00AC5B69"/>
    <w:rsid w:val="00AC5B93"/>
    <w:rsid w:val="00AC5BBC"/>
    <w:rsid w:val="00AC5BDE"/>
    <w:rsid w:val="00AC5D66"/>
    <w:rsid w:val="00AC5E50"/>
    <w:rsid w:val="00AC5E6A"/>
    <w:rsid w:val="00AC5EDF"/>
    <w:rsid w:val="00AC5FE4"/>
    <w:rsid w:val="00AC603A"/>
    <w:rsid w:val="00AC603F"/>
    <w:rsid w:val="00AC60A3"/>
    <w:rsid w:val="00AC60B1"/>
    <w:rsid w:val="00AC60C3"/>
    <w:rsid w:val="00AC6170"/>
    <w:rsid w:val="00AC617D"/>
    <w:rsid w:val="00AC61DB"/>
    <w:rsid w:val="00AC61EB"/>
    <w:rsid w:val="00AC6230"/>
    <w:rsid w:val="00AC631A"/>
    <w:rsid w:val="00AC6387"/>
    <w:rsid w:val="00AC63A9"/>
    <w:rsid w:val="00AC6452"/>
    <w:rsid w:val="00AC6453"/>
    <w:rsid w:val="00AC647E"/>
    <w:rsid w:val="00AC6613"/>
    <w:rsid w:val="00AC6679"/>
    <w:rsid w:val="00AC668B"/>
    <w:rsid w:val="00AC6696"/>
    <w:rsid w:val="00AC66FA"/>
    <w:rsid w:val="00AC677E"/>
    <w:rsid w:val="00AC67B8"/>
    <w:rsid w:val="00AC680D"/>
    <w:rsid w:val="00AC6838"/>
    <w:rsid w:val="00AC68BB"/>
    <w:rsid w:val="00AC68BE"/>
    <w:rsid w:val="00AC695C"/>
    <w:rsid w:val="00AC6AB4"/>
    <w:rsid w:val="00AC6AC5"/>
    <w:rsid w:val="00AC6AC7"/>
    <w:rsid w:val="00AC6B7A"/>
    <w:rsid w:val="00AC6BD7"/>
    <w:rsid w:val="00AC6CA9"/>
    <w:rsid w:val="00AC6CE8"/>
    <w:rsid w:val="00AC6E22"/>
    <w:rsid w:val="00AC6E63"/>
    <w:rsid w:val="00AC6EF3"/>
    <w:rsid w:val="00AC6EFD"/>
    <w:rsid w:val="00AC70CA"/>
    <w:rsid w:val="00AC7111"/>
    <w:rsid w:val="00AC7133"/>
    <w:rsid w:val="00AC7172"/>
    <w:rsid w:val="00AC71F4"/>
    <w:rsid w:val="00AC7224"/>
    <w:rsid w:val="00AC731E"/>
    <w:rsid w:val="00AC73C9"/>
    <w:rsid w:val="00AC7428"/>
    <w:rsid w:val="00AC74B0"/>
    <w:rsid w:val="00AC74C2"/>
    <w:rsid w:val="00AC74FC"/>
    <w:rsid w:val="00AC751A"/>
    <w:rsid w:val="00AC754E"/>
    <w:rsid w:val="00AC7558"/>
    <w:rsid w:val="00AC7562"/>
    <w:rsid w:val="00AC75AD"/>
    <w:rsid w:val="00AC7619"/>
    <w:rsid w:val="00AC766F"/>
    <w:rsid w:val="00AC7676"/>
    <w:rsid w:val="00AC7749"/>
    <w:rsid w:val="00AC77A8"/>
    <w:rsid w:val="00AC77E3"/>
    <w:rsid w:val="00AC78C8"/>
    <w:rsid w:val="00AC78D0"/>
    <w:rsid w:val="00AC797F"/>
    <w:rsid w:val="00AC7A78"/>
    <w:rsid w:val="00AC7B7F"/>
    <w:rsid w:val="00AC7C1D"/>
    <w:rsid w:val="00AC7C43"/>
    <w:rsid w:val="00AC7D0B"/>
    <w:rsid w:val="00AC7DA9"/>
    <w:rsid w:val="00AC7DFA"/>
    <w:rsid w:val="00AC7E4B"/>
    <w:rsid w:val="00AC7F27"/>
    <w:rsid w:val="00AC7FE0"/>
    <w:rsid w:val="00AD0068"/>
    <w:rsid w:val="00AD01C7"/>
    <w:rsid w:val="00AD01F7"/>
    <w:rsid w:val="00AD0207"/>
    <w:rsid w:val="00AD0261"/>
    <w:rsid w:val="00AD0336"/>
    <w:rsid w:val="00AD03A2"/>
    <w:rsid w:val="00AD03CB"/>
    <w:rsid w:val="00AD044C"/>
    <w:rsid w:val="00AD04E1"/>
    <w:rsid w:val="00AD058F"/>
    <w:rsid w:val="00AD05AB"/>
    <w:rsid w:val="00AD065F"/>
    <w:rsid w:val="00AD06A6"/>
    <w:rsid w:val="00AD071A"/>
    <w:rsid w:val="00AD0737"/>
    <w:rsid w:val="00AD076B"/>
    <w:rsid w:val="00AD07D0"/>
    <w:rsid w:val="00AD0851"/>
    <w:rsid w:val="00AD08D2"/>
    <w:rsid w:val="00AD08F0"/>
    <w:rsid w:val="00AD0917"/>
    <w:rsid w:val="00AD093B"/>
    <w:rsid w:val="00AD0A8B"/>
    <w:rsid w:val="00AD0ADE"/>
    <w:rsid w:val="00AD0C4D"/>
    <w:rsid w:val="00AD0C4E"/>
    <w:rsid w:val="00AD0CA6"/>
    <w:rsid w:val="00AD0CD0"/>
    <w:rsid w:val="00AD0D02"/>
    <w:rsid w:val="00AD0D1F"/>
    <w:rsid w:val="00AD0D3F"/>
    <w:rsid w:val="00AD0D9C"/>
    <w:rsid w:val="00AD0DC9"/>
    <w:rsid w:val="00AD0DF7"/>
    <w:rsid w:val="00AD0E46"/>
    <w:rsid w:val="00AD0E56"/>
    <w:rsid w:val="00AD0E5B"/>
    <w:rsid w:val="00AD0E74"/>
    <w:rsid w:val="00AD0F15"/>
    <w:rsid w:val="00AD0F19"/>
    <w:rsid w:val="00AD0F51"/>
    <w:rsid w:val="00AD0F69"/>
    <w:rsid w:val="00AD0FB2"/>
    <w:rsid w:val="00AD0FB8"/>
    <w:rsid w:val="00AD1030"/>
    <w:rsid w:val="00AD104B"/>
    <w:rsid w:val="00AD10B8"/>
    <w:rsid w:val="00AD10D3"/>
    <w:rsid w:val="00AD10D7"/>
    <w:rsid w:val="00AD1157"/>
    <w:rsid w:val="00AD11FE"/>
    <w:rsid w:val="00AD1214"/>
    <w:rsid w:val="00AD121B"/>
    <w:rsid w:val="00AD1244"/>
    <w:rsid w:val="00AD127D"/>
    <w:rsid w:val="00AD12AF"/>
    <w:rsid w:val="00AD12FB"/>
    <w:rsid w:val="00AD1360"/>
    <w:rsid w:val="00AD1369"/>
    <w:rsid w:val="00AD13AA"/>
    <w:rsid w:val="00AD13F4"/>
    <w:rsid w:val="00AD1481"/>
    <w:rsid w:val="00AD14B1"/>
    <w:rsid w:val="00AD166D"/>
    <w:rsid w:val="00AD16B7"/>
    <w:rsid w:val="00AD1755"/>
    <w:rsid w:val="00AD17DE"/>
    <w:rsid w:val="00AD1823"/>
    <w:rsid w:val="00AD18AD"/>
    <w:rsid w:val="00AD1901"/>
    <w:rsid w:val="00AD1935"/>
    <w:rsid w:val="00AD195F"/>
    <w:rsid w:val="00AD1A85"/>
    <w:rsid w:val="00AD1AE0"/>
    <w:rsid w:val="00AD1B7A"/>
    <w:rsid w:val="00AD1B8E"/>
    <w:rsid w:val="00AD1BCB"/>
    <w:rsid w:val="00AD1C2A"/>
    <w:rsid w:val="00AD1C52"/>
    <w:rsid w:val="00AD1C98"/>
    <w:rsid w:val="00AD1CA5"/>
    <w:rsid w:val="00AD1CE8"/>
    <w:rsid w:val="00AD1D2C"/>
    <w:rsid w:val="00AD1D74"/>
    <w:rsid w:val="00AD1D80"/>
    <w:rsid w:val="00AD1D88"/>
    <w:rsid w:val="00AD1D8F"/>
    <w:rsid w:val="00AD1D9E"/>
    <w:rsid w:val="00AD1E06"/>
    <w:rsid w:val="00AD1E32"/>
    <w:rsid w:val="00AD1F7C"/>
    <w:rsid w:val="00AD1F9E"/>
    <w:rsid w:val="00AD1FB2"/>
    <w:rsid w:val="00AD1FE0"/>
    <w:rsid w:val="00AD20C2"/>
    <w:rsid w:val="00AD20EC"/>
    <w:rsid w:val="00AD2120"/>
    <w:rsid w:val="00AD216A"/>
    <w:rsid w:val="00AD2181"/>
    <w:rsid w:val="00AD21E8"/>
    <w:rsid w:val="00AD21FA"/>
    <w:rsid w:val="00AD22E4"/>
    <w:rsid w:val="00AD22F0"/>
    <w:rsid w:val="00AD232E"/>
    <w:rsid w:val="00AD2445"/>
    <w:rsid w:val="00AD2446"/>
    <w:rsid w:val="00AD2647"/>
    <w:rsid w:val="00AD26D3"/>
    <w:rsid w:val="00AD2751"/>
    <w:rsid w:val="00AD275A"/>
    <w:rsid w:val="00AD2761"/>
    <w:rsid w:val="00AD2778"/>
    <w:rsid w:val="00AD277D"/>
    <w:rsid w:val="00AD2789"/>
    <w:rsid w:val="00AD278E"/>
    <w:rsid w:val="00AD27C7"/>
    <w:rsid w:val="00AD27CC"/>
    <w:rsid w:val="00AD27D2"/>
    <w:rsid w:val="00AD2822"/>
    <w:rsid w:val="00AD283F"/>
    <w:rsid w:val="00AD2857"/>
    <w:rsid w:val="00AD28BE"/>
    <w:rsid w:val="00AD2968"/>
    <w:rsid w:val="00AD2986"/>
    <w:rsid w:val="00AD29C1"/>
    <w:rsid w:val="00AD29CB"/>
    <w:rsid w:val="00AD29EB"/>
    <w:rsid w:val="00AD29EE"/>
    <w:rsid w:val="00AD29FE"/>
    <w:rsid w:val="00AD2A36"/>
    <w:rsid w:val="00AD2A44"/>
    <w:rsid w:val="00AD2AA9"/>
    <w:rsid w:val="00AD2B2E"/>
    <w:rsid w:val="00AD2B63"/>
    <w:rsid w:val="00AD2B88"/>
    <w:rsid w:val="00AD2D06"/>
    <w:rsid w:val="00AD2D0B"/>
    <w:rsid w:val="00AD2DE2"/>
    <w:rsid w:val="00AD2E10"/>
    <w:rsid w:val="00AD2E14"/>
    <w:rsid w:val="00AD2E81"/>
    <w:rsid w:val="00AD2ED6"/>
    <w:rsid w:val="00AD2EE5"/>
    <w:rsid w:val="00AD2F08"/>
    <w:rsid w:val="00AD2F86"/>
    <w:rsid w:val="00AD2FB4"/>
    <w:rsid w:val="00AD2FF0"/>
    <w:rsid w:val="00AD30EC"/>
    <w:rsid w:val="00AD3146"/>
    <w:rsid w:val="00AD31C2"/>
    <w:rsid w:val="00AD31D4"/>
    <w:rsid w:val="00AD3506"/>
    <w:rsid w:val="00AD350D"/>
    <w:rsid w:val="00AD3515"/>
    <w:rsid w:val="00AD3567"/>
    <w:rsid w:val="00AD3581"/>
    <w:rsid w:val="00AD35EA"/>
    <w:rsid w:val="00AD360E"/>
    <w:rsid w:val="00AD3658"/>
    <w:rsid w:val="00AD3665"/>
    <w:rsid w:val="00AD368C"/>
    <w:rsid w:val="00AD368E"/>
    <w:rsid w:val="00AD36AB"/>
    <w:rsid w:val="00AD36AC"/>
    <w:rsid w:val="00AD3779"/>
    <w:rsid w:val="00AD3792"/>
    <w:rsid w:val="00AD3809"/>
    <w:rsid w:val="00AD385B"/>
    <w:rsid w:val="00AD387D"/>
    <w:rsid w:val="00AD3953"/>
    <w:rsid w:val="00AD39D0"/>
    <w:rsid w:val="00AD3A5A"/>
    <w:rsid w:val="00AD3A77"/>
    <w:rsid w:val="00AD3C40"/>
    <w:rsid w:val="00AD3C51"/>
    <w:rsid w:val="00AD3C8C"/>
    <w:rsid w:val="00AD3CA3"/>
    <w:rsid w:val="00AD3CEF"/>
    <w:rsid w:val="00AD3D32"/>
    <w:rsid w:val="00AD3D87"/>
    <w:rsid w:val="00AD3DD7"/>
    <w:rsid w:val="00AD3DF4"/>
    <w:rsid w:val="00AD3E33"/>
    <w:rsid w:val="00AD3E73"/>
    <w:rsid w:val="00AD3E8F"/>
    <w:rsid w:val="00AD4102"/>
    <w:rsid w:val="00AD415A"/>
    <w:rsid w:val="00AD4194"/>
    <w:rsid w:val="00AD41B9"/>
    <w:rsid w:val="00AD41CC"/>
    <w:rsid w:val="00AD421C"/>
    <w:rsid w:val="00AD42EB"/>
    <w:rsid w:val="00AD4341"/>
    <w:rsid w:val="00AD436E"/>
    <w:rsid w:val="00AD4385"/>
    <w:rsid w:val="00AD439D"/>
    <w:rsid w:val="00AD4432"/>
    <w:rsid w:val="00AD44B2"/>
    <w:rsid w:val="00AD4558"/>
    <w:rsid w:val="00AD457B"/>
    <w:rsid w:val="00AD45F7"/>
    <w:rsid w:val="00AD460A"/>
    <w:rsid w:val="00AD46AB"/>
    <w:rsid w:val="00AD46ED"/>
    <w:rsid w:val="00AD46F1"/>
    <w:rsid w:val="00AD470A"/>
    <w:rsid w:val="00AD472E"/>
    <w:rsid w:val="00AD478C"/>
    <w:rsid w:val="00AD479B"/>
    <w:rsid w:val="00AD485A"/>
    <w:rsid w:val="00AD48AC"/>
    <w:rsid w:val="00AD4971"/>
    <w:rsid w:val="00AD49D9"/>
    <w:rsid w:val="00AD4A17"/>
    <w:rsid w:val="00AD4A39"/>
    <w:rsid w:val="00AD4A5A"/>
    <w:rsid w:val="00AD4A76"/>
    <w:rsid w:val="00AD4AB0"/>
    <w:rsid w:val="00AD4AFE"/>
    <w:rsid w:val="00AD4B9D"/>
    <w:rsid w:val="00AD4BF6"/>
    <w:rsid w:val="00AD4C52"/>
    <w:rsid w:val="00AD4C6A"/>
    <w:rsid w:val="00AD4C74"/>
    <w:rsid w:val="00AD4CB3"/>
    <w:rsid w:val="00AD4CE9"/>
    <w:rsid w:val="00AD4CF5"/>
    <w:rsid w:val="00AD4D57"/>
    <w:rsid w:val="00AD4E3B"/>
    <w:rsid w:val="00AD4E6A"/>
    <w:rsid w:val="00AD4F0C"/>
    <w:rsid w:val="00AD4FCB"/>
    <w:rsid w:val="00AD4FE8"/>
    <w:rsid w:val="00AD5038"/>
    <w:rsid w:val="00AD507F"/>
    <w:rsid w:val="00AD513D"/>
    <w:rsid w:val="00AD5199"/>
    <w:rsid w:val="00AD51BD"/>
    <w:rsid w:val="00AD51E2"/>
    <w:rsid w:val="00AD51E9"/>
    <w:rsid w:val="00AD51FF"/>
    <w:rsid w:val="00AD52FD"/>
    <w:rsid w:val="00AD535A"/>
    <w:rsid w:val="00AD53D1"/>
    <w:rsid w:val="00AD5491"/>
    <w:rsid w:val="00AD54F1"/>
    <w:rsid w:val="00AD5519"/>
    <w:rsid w:val="00AD5609"/>
    <w:rsid w:val="00AD568A"/>
    <w:rsid w:val="00AD5726"/>
    <w:rsid w:val="00AD5785"/>
    <w:rsid w:val="00AD57C3"/>
    <w:rsid w:val="00AD57D2"/>
    <w:rsid w:val="00AD58E3"/>
    <w:rsid w:val="00AD594C"/>
    <w:rsid w:val="00AD5960"/>
    <w:rsid w:val="00AD5A11"/>
    <w:rsid w:val="00AD5A9F"/>
    <w:rsid w:val="00AD5ABF"/>
    <w:rsid w:val="00AD5B1E"/>
    <w:rsid w:val="00AD5B66"/>
    <w:rsid w:val="00AD5BD3"/>
    <w:rsid w:val="00AD5BDD"/>
    <w:rsid w:val="00AD5C07"/>
    <w:rsid w:val="00AD5C3A"/>
    <w:rsid w:val="00AD5C50"/>
    <w:rsid w:val="00AD5C79"/>
    <w:rsid w:val="00AD5C85"/>
    <w:rsid w:val="00AD5D15"/>
    <w:rsid w:val="00AD5DFF"/>
    <w:rsid w:val="00AD5E14"/>
    <w:rsid w:val="00AD5E9A"/>
    <w:rsid w:val="00AD5F63"/>
    <w:rsid w:val="00AD5FC1"/>
    <w:rsid w:val="00AD5FDD"/>
    <w:rsid w:val="00AD6056"/>
    <w:rsid w:val="00AD6078"/>
    <w:rsid w:val="00AD611C"/>
    <w:rsid w:val="00AD612A"/>
    <w:rsid w:val="00AD6133"/>
    <w:rsid w:val="00AD6218"/>
    <w:rsid w:val="00AD6316"/>
    <w:rsid w:val="00AD633C"/>
    <w:rsid w:val="00AD6343"/>
    <w:rsid w:val="00AD63B0"/>
    <w:rsid w:val="00AD63B5"/>
    <w:rsid w:val="00AD6432"/>
    <w:rsid w:val="00AD64D8"/>
    <w:rsid w:val="00AD6525"/>
    <w:rsid w:val="00AD6568"/>
    <w:rsid w:val="00AD659E"/>
    <w:rsid w:val="00AD664E"/>
    <w:rsid w:val="00AD669D"/>
    <w:rsid w:val="00AD66E7"/>
    <w:rsid w:val="00AD673A"/>
    <w:rsid w:val="00AD6741"/>
    <w:rsid w:val="00AD6751"/>
    <w:rsid w:val="00AD6868"/>
    <w:rsid w:val="00AD6981"/>
    <w:rsid w:val="00AD69BD"/>
    <w:rsid w:val="00AD6A05"/>
    <w:rsid w:val="00AD6A19"/>
    <w:rsid w:val="00AD6B08"/>
    <w:rsid w:val="00AD6B35"/>
    <w:rsid w:val="00AD6BB3"/>
    <w:rsid w:val="00AD6C95"/>
    <w:rsid w:val="00AD6CAA"/>
    <w:rsid w:val="00AD6CAB"/>
    <w:rsid w:val="00AD6D53"/>
    <w:rsid w:val="00AD6D7D"/>
    <w:rsid w:val="00AD6DE0"/>
    <w:rsid w:val="00AD6E5B"/>
    <w:rsid w:val="00AD6E7D"/>
    <w:rsid w:val="00AD6ECE"/>
    <w:rsid w:val="00AD6EDB"/>
    <w:rsid w:val="00AD6F1C"/>
    <w:rsid w:val="00AD6F4C"/>
    <w:rsid w:val="00AD6FC8"/>
    <w:rsid w:val="00AD711A"/>
    <w:rsid w:val="00AD718E"/>
    <w:rsid w:val="00AD72CC"/>
    <w:rsid w:val="00AD72CF"/>
    <w:rsid w:val="00AD738C"/>
    <w:rsid w:val="00AD73C5"/>
    <w:rsid w:val="00AD73FA"/>
    <w:rsid w:val="00AD7410"/>
    <w:rsid w:val="00AD7465"/>
    <w:rsid w:val="00AD7574"/>
    <w:rsid w:val="00AD75A8"/>
    <w:rsid w:val="00AD7664"/>
    <w:rsid w:val="00AD76A0"/>
    <w:rsid w:val="00AD76E7"/>
    <w:rsid w:val="00AD7720"/>
    <w:rsid w:val="00AD7757"/>
    <w:rsid w:val="00AD7793"/>
    <w:rsid w:val="00AD77BC"/>
    <w:rsid w:val="00AD7805"/>
    <w:rsid w:val="00AD790E"/>
    <w:rsid w:val="00AD7A4E"/>
    <w:rsid w:val="00AD7A53"/>
    <w:rsid w:val="00AD7A58"/>
    <w:rsid w:val="00AD7AA3"/>
    <w:rsid w:val="00AD7B19"/>
    <w:rsid w:val="00AD7BA4"/>
    <w:rsid w:val="00AD7CA7"/>
    <w:rsid w:val="00AD7D4F"/>
    <w:rsid w:val="00AD7D8F"/>
    <w:rsid w:val="00AD7DED"/>
    <w:rsid w:val="00AD7DF1"/>
    <w:rsid w:val="00AD7E4F"/>
    <w:rsid w:val="00AD7EE8"/>
    <w:rsid w:val="00AD7F2B"/>
    <w:rsid w:val="00AD7F42"/>
    <w:rsid w:val="00AD7FC2"/>
    <w:rsid w:val="00AD7FD3"/>
    <w:rsid w:val="00AE0050"/>
    <w:rsid w:val="00AE00B7"/>
    <w:rsid w:val="00AE00C7"/>
    <w:rsid w:val="00AE01D0"/>
    <w:rsid w:val="00AE0246"/>
    <w:rsid w:val="00AE0268"/>
    <w:rsid w:val="00AE0277"/>
    <w:rsid w:val="00AE02C2"/>
    <w:rsid w:val="00AE0315"/>
    <w:rsid w:val="00AE034C"/>
    <w:rsid w:val="00AE03FA"/>
    <w:rsid w:val="00AE03FD"/>
    <w:rsid w:val="00AE062D"/>
    <w:rsid w:val="00AE074C"/>
    <w:rsid w:val="00AE083A"/>
    <w:rsid w:val="00AE093D"/>
    <w:rsid w:val="00AE0960"/>
    <w:rsid w:val="00AE0990"/>
    <w:rsid w:val="00AE09D2"/>
    <w:rsid w:val="00AE0A46"/>
    <w:rsid w:val="00AE0ADB"/>
    <w:rsid w:val="00AE0B20"/>
    <w:rsid w:val="00AE0BEA"/>
    <w:rsid w:val="00AE0C8F"/>
    <w:rsid w:val="00AE0D02"/>
    <w:rsid w:val="00AE0D8E"/>
    <w:rsid w:val="00AE0DA4"/>
    <w:rsid w:val="00AE0DAD"/>
    <w:rsid w:val="00AE0EA2"/>
    <w:rsid w:val="00AE0F12"/>
    <w:rsid w:val="00AE0F73"/>
    <w:rsid w:val="00AE0F78"/>
    <w:rsid w:val="00AE0F97"/>
    <w:rsid w:val="00AE0FD3"/>
    <w:rsid w:val="00AE102F"/>
    <w:rsid w:val="00AE103E"/>
    <w:rsid w:val="00AE110C"/>
    <w:rsid w:val="00AE1245"/>
    <w:rsid w:val="00AE1367"/>
    <w:rsid w:val="00AE137B"/>
    <w:rsid w:val="00AE1391"/>
    <w:rsid w:val="00AE143A"/>
    <w:rsid w:val="00AE15CD"/>
    <w:rsid w:val="00AE15E9"/>
    <w:rsid w:val="00AE164F"/>
    <w:rsid w:val="00AE1660"/>
    <w:rsid w:val="00AE168B"/>
    <w:rsid w:val="00AE16FE"/>
    <w:rsid w:val="00AE1712"/>
    <w:rsid w:val="00AE172E"/>
    <w:rsid w:val="00AE1763"/>
    <w:rsid w:val="00AE181E"/>
    <w:rsid w:val="00AE1848"/>
    <w:rsid w:val="00AE189F"/>
    <w:rsid w:val="00AE18BA"/>
    <w:rsid w:val="00AE190A"/>
    <w:rsid w:val="00AE197C"/>
    <w:rsid w:val="00AE1A39"/>
    <w:rsid w:val="00AE1AE6"/>
    <w:rsid w:val="00AE1B55"/>
    <w:rsid w:val="00AE1B60"/>
    <w:rsid w:val="00AE1BDE"/>
    <w:rsid w:val="00AE1C52"/>
    <w:rsid w:val="00AE1C7C"/>
    <w:rsid w:val="00AE1C99"/>
    <w:rsid w:val="00AE1CFA"/>
    <w:rsid w:val="00AE1E44"/>
    <w:rsid w:val="00AE1EEA"/>
    <w:rsid w:val="00AE1F21"/>
    <w:rsid w:val="00AE1FDD"/>
    <w:rsid w:val="00AE1FF8"/>
    <w:rsid w:val="00AE203F"/>
    <w:rsid w:val="00AE20DB"/>
    <w:rsid w:val="00AE2174"/>
    <w:rsid w:val="00AE219F"/>
    <w:rsid w:val="00AE21ED"/>
    <w:rsid w:val="00AE21F3"/>
    <w:rsid w:val="00AE21FC"/>
    <w:rsid w:val="00AE2344"/>
    <w:rsid w:val="00AE23D1"/>
    <w:rsid w:val="00AE24EB"/>
    <w:rsid w:val="00AE2654"/>
    <w:rsid w:val="00AE26DA"/>
    <w:rsid w:val="00AE2729"/>
    <w:rsid w:val="00AE2790"/>
    <w:rsid w:val="00AE27C4"/>
    <w:rsid w:val="00AE290E"/>
    <w:rsid w:val="00AE2939"/>
    <w:rsid w:val="00AE29E7"/>
    <w:rsid w:val="00AE29F9"/>
    <w:rsid w:val="00AE2AED"/>
    <w:rsid w:val="00AE2B31"/>
    <w:rsid w:val="00AE2B57"/>
    <w:rsid w:val="00AE2B7F"/>
    <w:rsid w:val="00AE2B98"/>
    <w:rsid w:val="00AE2BDC"/>
    <w:rsid w:val="00AE2C2E"/>
    <w:rsid w:val="00AE2C4D"/>
    <w:rsid w:val="00AE2C55"/>
    <w:rsid w:val="00AE2C59"/>
    <w:rsid w:val="00AE2CB4"/>
    <w:rsid w:val="00AE2CBD"/>
    <w:rsid w:val="00AE2D70"/>
    <w:rsid w:val="00AE2DD1"/>
    <w:rsid w:val="00AE2F4B"/>
    <w:rsid w:val="00AE2F66"/>
    <w:rsid w:val="00AE2F89"/>
    <w:rsid w:val="00AE319A"/>
    <w:rsid w:val="00AE31A7"/>
    <w:rsid w:val="00AE31DD"/>
    <w:rsid w:val="00AE31F7"/>
    <w:rsid w:val="00AE3252"/>
    <w:rsid w:val="00AE3309"/>
    <w:rsid w:val="00AE3366"/>
    <w:rsid w:val="00AE33B6"/>
    <w:rsid w:val="00AE342D"/>
    <w:rsid w:val="00AE3562"/>
    <w:rsid w:val="00AE3648"/>
    <w:rsid w:val="00AE36C5"/>
    <w:rsid w:val="00AE3709"/>
    <w:rsid w:val="00AE3739"/>
    <w:rsid w:val="00AE375A"/>
    <w:rsid w:val="00AE3864"/>
    <w:rsid w:val="00AE3879"/>
    <w:rsid w:val="00AE3887"/>
    <w:rsid w:val="00AE3892"/>
    <w:rsid w:val="00AE38E9"/>
    <w:rsid w:val="00AE39D1"/>
    <w:rsid w:val="00AE3A37"/>
    <w:rsid w:val="00AE3AF0"/>
    <w:rsid w:val="00AE3B5B"/>
    <w:rsid w:val="00AE3BED"/>
    <w:rsid w:val="00AE3C0E"/>
    <w:rsid w:val="00AE3C22"/>
    <w:rsid w:val="00AE3C2A"/>
    <w:rsid w:val="00AE3CC5"/>
    <w:rsid w:val="00AE3CC9"/>
    <w:rsid w:val="00AE3CE0"/>
    <w:rsid w:val="00AE3D2A"/>
    <w:rsid w:val="00AE3D43"/>
    <w:rsid w:val="00AE3D92"/>
    <w:rsid w:val="00AE3DC9"/>
    <w:rsid w:val="00AE3E03"/>
    <w:rsid w:val="00AE3E3D"/>
    <w:rsid w:val="00AE3ED0"/>
    <w:rsid w:val="00AE3ED2"/>
    <w:rsid w:val="00AE3EF0"/>
    <w:rsid w:val="00AE3EFB"/>
    <w:rsid w:val="00AE3F13"/>
    <w:rsid w:val="00AE3F66"/>
    <w:rsid w:val="00AE3FC6"/>
    <w:rsid w:val="00AE404F"/>
    <w:rsid w:val="00AE407C"/>
    <w:rsid w:val="00AE408E"/>
    <w:rsid w:val="00AE40A9"/>
    <w:rsid w:val="00AE40FD"/>
    <w:rsid w:val="00AE41B1"/>
    <w:rsid w:val="00AE41B6"/>
    <w:rsid w:val="00AE41CB"/>
    <w:rsid w:val="00AE420A"/>
    <w:rsid w:val="00AE429E"/>
    <w:rsid w:val="00AE42A3"/>
    <w:rsid w:val="00AE4431"/>
    <w:rsid w:val="00AE445A"/>
    <w:rsid w:val="00AE4466"/>
    <w:rsid w:val="00AE44AE"/>
    <w:rsid w:val="00AE4554"/>
    <w:rsid w:val="00AE45BE"/>
    <w:rsid w:val="00AE4620"/>
    <w:rsid w:val="00AE4669"/>
    <w:rsid w:val="00AE4691"/>
    <w:rsid w:val="00AE46FC"/>
    <w:rsid w:val="00AE47B0"/>
    <w:rsid w:val="00AE47BB"/>
    <w:rsid w:val="00AE48EF"/>
    <w:rsid w:val="00AE4907"/>
    <w:rsid w:val="00AE496F"/>
    <w:rsid w:val="00AE4A07"/>
    <w:rsid w:val="00AE4A5F"/>
    <w:rsid w:val="00AE4AFB"/>
    <w:rsid w:val="00AE4B11"/>
    <w:rsid w:val="00AE4B2B"/>
    <w:rsid w:val="00AE4B4A"/>
    <w:rsid w:val="00AE4BB8"/>
    <w:rsid w:val="00AE4BC3"/>
    <w:rsid w:val="00AE4BF4"/>
    <w:rsid w:val="00AE4D04"/>
    <w:rsid w:val="00AE4D70"/>
    <w:rsid w:val="00AE4EF3"/>
    <w:rsid w:val="00AE4F1F"/>
    <w:rsid w:val="00AE4F8C"/>
    <w:rsid w:val="00AE4FB3"/>
    <w:rsid w:val="00AE5040"/>
    <w:rsid w:val="00AE5065"/>
    <w:rsid w:val="00AE50C0"/>
    <w:rsid w:val="00AE5107"/>
    <w:rsid w:val="00AE51E2"/>
    <w:rsid w:val="00AE5261"/>
    <w:rsid w:val="00AE5262"/>
    <w:rsid w:val="00AE5299"/>
    <w:rsid w:val="00AE52A2"/>
    <w:rsid w:val="00AE52FE"/>
    <w:rsid w:val="00AE5313"/>
    <w:rsid w:val="00AE53CA"/>
    <w:rsid w:val="00AE53E7"/>
    <w:rsid w:val="00AE5441"/>
    <w:rsid w:val="00AE548D"/>
    <w:rsid w:val="00AE5534"/>
    <w:rsid w:val="00AE55AC"/>
    <w:rsid w:val="00AE55F2"/>
    <w:rsid w:val="00AE560E"/>
    <w:rsid w:val="00AE565D"/>
    <w:rsid w:val="00AE56E0"/>
    <w:rsid w:val="00AE575B"/>
    <w:rsid w:val="00AE589E"/>
    <w:rsid w:val="00AE58B0"/>
    <w:rsid w:val="00AE58C4"/>
    <w:rsid w:val="00AE5996"/>
    <w:rsid w:val="00AE59AA"/>
    <w:rsid w:val="00AE5B20"/>
    <w:rsid w:val="00AE5B22"/>
    <w:rsid w:val="00AE5B8C"/>
    <w:rsid w:val="00AE5B95"/>
    <w:rsid w:val="00AE5C0E"/>
    <w:rsid w:val="00AE5CDB"/>
    <w:rsid w:val="00AE5D56"/>
    <w:rsid w:val="00AE5DB9"/>
    <w:rsid w:val="00AE5DDC"/>
    <w:rsid w:val="00AE5EDA"/>
    <w:rsid w:val="00AE5F7D"/>
    <w:rsid w:val="00AE6026"/>
    <w:rsid w:val="00AE6095"/>
    <w:rsid w:val="00AE6191"/>
    <w:rsid w:val="00AE6225"/>
    <w:rsid w:val="00AE623E"/>
    <w:rsid w:val="00AE6294"/>
    <w:rsid w:val="00AE629A"/>
    <w:rsid w:val="00AE640F"/>
    <w:rsid w:val="00AE6420"/>
    <w:rsid w:val="00AE6427"/>
    <w:rsid w:val="00AE6447"/>
    <w:rsid w:val="00AE64C8"/>
    <w:rsid w:val="00AE64EE"/>
    <w:rsid w:val="00AE6581"/>
    <w:rsid w:val="00AE65D2"/>
    <w:rsid w:val="00AE67CB"/>
    <w:rsid w:val="00AE689A"/>
    <w:rsid w:val="00AE68DD"/>
    <w:rsid w:val="00AE6936"/>
    <w:rsid w:val="00AE6979"/>
    <w:rsid w:val="00AE6A89"/>
    <w:rsid w:val="00AE6B6A"/>
    <w:rsid w:val="00AE6BC4"/>
    <w:rsid w:val="00AE6BEB"/>
    <w:rsid w:val="00AE6CD8"/>
    <w:rsid w:val="00AE6DD2"/>
    <w:rsid w:val="00AE6E32"/>
    <w:rsid w:val="00AE6E33"/>
    <w:rsid w:val="00AE6E45"/>
    <w:rsid w:val="00AE6E4D"/>
    <w:rsid w:val="00AE6E82"/>
    <w:rsid w:val="00AE6EBE"/>
    <w:rsid w:val="00AE6EC0"/>
    <w:rsid w:val="00AE6EDA"/>
    <w:rsid w:val="00AE6EE5"/>
    <w:rsid w:val="00AE6FC4"/>
    <w:rsid w:val="00AE70B3"/>
    <w:rsid w:val="00AE70E7"/>
    <w:rsid w:val="00AE7108"/>
    <w:rsid w:val="00AE7164"/>
    <w:rsid w:val="00AE7223"/>
    <w:rsid w:val="00AE72B7"/>
    <w:rsid w:val="00AE7305"/>
    <w:rsid w:val="00AE7348"/>
    <w:rsid w:val="00AE73A6"/>
    <w:rsid w:val="00AE745D"/>
    <w:rsid w:val="00AE74FC"/>
    <w:rsid w:val="00AE7509"/>
    <w:rsid w:val="00AE7515"/>
    <w:rsid w:val="00AE7542"/>
    <w:rsid w:val="00AE75BD"/>
    <w:rsid w:val="00AE75C7"/>
    <w:rsid w:val="00AE76E4"/>
    <w:rsid w:val="00AE7768"/>
    <w:rsid w:val="00AE7802"/>
    <w:rsid w:val="00AE7919"/>
    <w:rsid w:val="00AE7A28"/>
    <w:rsid w:val="00AE7A8F"/>
    <w:rsid w:val="00AE7AFE"/>
    <w:rsid w:val="00AE7B0B"/>
    <w:rsid w:val="00AE7B0D"/>
    <w:rsid w:val="00AE7B85"/>
    <w:rsid w:val="00AE7D2E"/>
    <w:rsid w:val="00AE7D7A"/>
    <w:rsid w:val="00AE7E25"/>
    <w:rsid w:val="00AE7E60"/>
    <w:rsid w:val="00AF0083"/>
    <w:rsid w:val="00AF00A7"/>
    <w:rsid w:val="00AF0107"/>
    <w:rsid w:val="00AF014A"/>
    <w:rsid w:val="00AF018F"/>
    <w:rsid w:val="00AF01B6"/>
    <w:rsid w:val="00AF0217"/>
    <w:rsid w:val="00AF0243"/>
    <w:rsid w:val="00AF0360"/>
    <w:rsid w:val="00AF036C"/>
    <w:rsid w:val="00AF03E0"/>
    <w:rsid w:val="00AF0412"/>
    <w:rsid w:val="00AF066D"/>
    <w:rsid w:val="00AF0692"/>
    <w:rsid w:val="00AF0709"/>
    <w:rsid w:val="00AF07B4"/>
    <w:rsid w:val="00AF07CA"/>
    <w:rsid w:val="00AF0800"/>
    <w:rsid w:val="00AF087A"/>
    <w:rsid w:val="00AF09E3"/>
    <w:rsid w:val="00AF0A71"/>
    <w:rsid w:val="00AF0A76"/>
    <w:rsid w:val="00AF0A7B"/>
    <w:rsid w:val="00AF0B18"/>
    <w:rsid w:val="00AF0B77"/>
    <w:rsid w:val="00AF0BB9"/>
    <w:rsid w:val="00AF0BE4"/>
    <w:rsid w:val="00AF0C1A"/>
    <w:rsid w:val="00AF0D0D"/>
    <w:rsid w:val="00AF1032"/>
    <w:rsid w:val="00AF105F"/>
    <w:rsid w:val="00AF1075"/>
    <w:rsid w:val="00AF108D"/>
    <w:rsid w:val="00AF10B4"/>
    <w:rsid w:val="00AF1119"/>
    <w:rsid w:val="00AF1132"/>
    <w:rsid w:val="00AF1149"/>
    <w:rsid w:val="00AF11B2"/>
    <w:rsid w:val="00AF11E3"/>
    <w:rsid w:val="00AF12C4"/>
    <w:rsid w:val="00AF1353"/>
    <w:rsid w:val="00AF1396"/>
    <w:rsid w:val="00AF13AB"/>
    <w:rsid w:val="00AF1411"/>
    <w:rsid w:val="00AF1420"/>
    <w:rsid w:val="00AF148A"/>
    <w:rsid w:val="00AF148D"/>
    <w:rsid w:val="00AF14DF"/>
    <w:rsid w:val="00AF150B"/>
    <w:rsid w:val="00AF1515"/>
    <w:rsid w:val="00AF153B"/>
    <w:rsid w:val="00AF1542"/>
    <w:rsid w:val="00AF1555"/>
    <w:rsid w:val="00AF166C"/>
    <w:rsid w:val="00AF16D9"/>
    <w:rsid w:val="00AF175C"/>
    <w:rsid w:val="00AF17EF"/>
    <w:rsid w:val="00AF1812"/>
    <w:rsid w:val="00AF1818"/>
    <w:rsid w:val="00AF182E"/>
    <w:rsid w:val="00AF1850"/>
    <w:rsid w:val="00AF186D"/>
    <w:rsid w:val="00AF188C"/>
    <w:rsid w:val="00AF18F4"/>
    <w:rsid w:val="00AF18F5"/>
    <w:rsid w:val="00AF1B47"/>
    <w:rsid w:val="00AF1C18"/>
    <w:rsid w:val="00AF1C19"/>
    <w:rsid w:val="00AF1D2F"/>
    <w:rsid w:val="00AF1D96"/>
    <w:rsid w:val="00AF1D9E"/>
    <w:rsid w:val="00AF1DA8"/>
    <w:rsid w:val="00AF1E08"/>
    <w:rsid w:val="00AF1E5F"/>
    <w:rsid w:val="00AF1E78"/>
    <w:rsid w:val="00AF1EB8"/>
    <w:rsid w:val="00AF2031"/>
    <w:rsid w:val="00AF2154"/>
    <w:rsid w:val="00AF220C"/>
    <w:rsid w:val="00AF221D"/>
    <w:rsid w:val="00AF227B"/>
    <w:rsid w:val="00AF2298"/>
    <w:rsid w:val="00AF2315"/>
    <w:rsid w:val="00AF2342"/>
    <w:rsid w:val="00AF23CC"/>
    <w:rsid w:val="00AF241A"/>
    <w:rsid w:val="00AF2470"/>
    <w:rsid w:val="00AF2499"/>
    <w:rsid w:val="00AF24B6"/>
    <w:rsid w:val="00AF2555"/>
    <w:rsid w:val="00AF256C"/>
    <w:rsid w:val="00AF256D"/>
    <w:rsid w:val="00AF261F"/>
    <w:rsid w:val="00AF2675"/>
    <w:rsid w:val="00AF2681"/>
    <w:rsid w:val="00AF27AA"/>
    <w:rsid w:val="00AF2805"/>
    <w:rsid w:val="00AF28E9"/>
    <w:rsid w:val="00AF2917"/>
    <w:rsid w:val="00AF294C"/>
    <w:rsid w:val="00AF2968"/>
    <w:rsid w:val="00AF2A34"/>
    <w:rsid w:val="00AF2A3B"/>
    <w:rsid w:val="00AF2AE6"/>
    <w:rsid w:val="00AF2C43"/>
    <w:rsid w:val="00AF2C64"/>
    <w:rsid w:val="00AF2D75"/>
    <w:rsid w:val="00AF2E8C"/>
    <w:rsid w:val="00AF2E8D"/>
    <w:rsid w:val="00AF2EF2"/>
    <w:rsid w:val="00AF2F96"/>
    <w:rsid w:val="00AF3002"/>
    <w:rsid w:val="00AF3061"/>
    <w:rsid w:val="00AF3126"/>
    <w:rsid w:val="00AF314D"/>
    <w:rsid w:val="00AF31AC"/>
    <w:rsid w:val="00AF3204"/>
    <w:rsid w:val="00AF3207"/>
    <w:rsid w:val="00AF3220"/>
    <w:rsid w:val="00AF3269"/>
    <w:rsid w:val="00AF32BD"/>
    <w:rsid w:val="00AF32FA"/>
    <w:rsid w:val="00AF3318"/>
    <w:rsid w:val="00AF346D"/>
    <w:rsid w:val="00AF34B3"/>
    <w:rsid w:val="00AF34D3"/>
    <w:rsid w:val="00AF35B0"/>
    <w:rsid w:val="00AF35E1"/>
    <w:rsid w:val="00AF3635"/>
    <w:rsid w:val="00AF36D1"/>
    <w:rsid w:val="00AF36ED"/>
    <w:rsid w:val="00AF36EE"/>
    <w:rsid w:val="00AF3737"/>
    <w:rsid w:val="00AF37B9"/>
    <w:rsid w:val="00AF3804"/>
    <w:rsid w:val="00AF3809"/>
    <w:rsid w:val="00AF381E"/>
    <w:rsid w:val="00AF385C"/>
    <w:rsid w:val="00AF385E"/>
    <w:rsid w:val="00AF3868"/>
    <w:rsid w:val="00AF389D"/>
    <w:rsid w:val="00AF38B8"/>
    <w:rsid w:val="00AF3908"/>
    <w:rsid w:val="00AF393D"/>
    <w:rsid w:val="00AF39BD"/>
    <w:rsid w:val="00AF3A12"/>
    <w:rsid w:val="00AF3A14"/>
    <w:rsid w:val="00AF3AEC"/>
    <w:rsid w:val="00AF3B8A"/>
    <w:rsid w:val="00AF3BA2"/>
    <w:rsid w:val="00AF3C2E"/>
    <w:rsid w:val="00AF3C90"/>
    <w:rsid w:val="00AF3CD8"/>
    <w:rsid w:val="00AF3CED"/>
    <w:rsid w:val="00AF3D2A"/>
    <w:rsid w:val="00AF3D93"/>
    <w:rsid w:val="00AF3D99"/>
    <w:rsid w:val="00AF3EA0"/>
    <w:rsid w:val="00AF3EC8"/>
    <w:rsid w:val="00AF3ED3"/>
    <w:rsid w:val="00AF3F45"/>
    <w:rsid w:val="00AF3FB8"/>
    <w:rsid w:val="00AF408E"/>
    <w:rsid w:val="00AF41A5"/>
    <w:rsid w:val="00AF41CC"/>
    <w:rsid w:val="00AF4223"/>
    <w:rsid w:val="00AF4268"/>
    <w:rsid w:val="00AF427C"/>
    <w:rsid w:val="00AF4363"/>
    <w:rsid w:val="00AF43E0"/>
    <w:rsid w:val="00AF448D"/>
    <w:rsid w:val="00AF4499"/>
    <w:rsid w:val="00AF45E1"/>
    <w:rsid w:val="00AF45F1"/>
    <w:rsid w:val="00AF461B"/>
    <w:rsid w:val="00AF4679"/>
    <w:rsid w:val="00AF4689"/>
    <w:rsid w:val="00AF46C0"/>
    <w:rsid w:val="00AF46D1"/>
    <w:rsid w:val="00AF4713"/>
    <w:rsid w:val="00AF475D"/>
    <w:rsid w:val="00AF479B"/>
    <w:rsid w:val="00AF47DB"/>
    <w:rsid w:val="00AF4814"/>
    <w:rsid w:val="00AF4852"/>
    <w:rsid w:val="00AF48AA"/>
    <w:rsid w:val="00AF48C6"/>
    <w:rsid w:val="00AF49B2"/>
    <w:rsid w:val="00AF4A2A"/>
    <w:rsid w:val="00AF4A35"/>
    <w:rsid w:val="00AF4AC7"/>
    <w:rsid w:val="00AF4AD7"/>
    <w:rsid w:val="00AF4B2E"/>
    <w:rsid w:val="00AF4BB5"/>
    <w:rsid w:val="00AF4CE2"/>
    <w:rsid w:val="00AF4CF5"/>
    <w:rsid w:val="00AF4D71"/>
    <w:rsid w:val="00AF4E38"/>
    <w:rsid w:val="00AF4EFE"/>
    <w:rsid w:val="00AF4F12"/>
    <w:rsid w:val="00AF4FDA"/>
    <w:rsid w:val="00AF500A"/>
    <w:rsid w:val="00AF5089"/>
    <w:rsid w:val="00AF51B2"/>
    <w:rsid w:val="00AF5211"/>
    <w:rsid w:val="00AF5258"/>
    <w:rsid w:val="00AF528F"/>
    <w:rsid w:val="00AF539C"/>
    <w:rsid w:val="00AF53CC"/>
    <w:rsid w:val="00AF5483"/>
    <w:rsid w:val="00AF54B9"/>
    <w:rsid w:val="00AF5517"/>
    <w:rsid w:val="00AF55B3"/>
    <w:rsid w:val="00AF55B6"/>
    <w:rsid w:val="00AF55DC"/>
    <w:rsid w:val="00AF5601"/>
    <w:rsid w:val="00AF566B"/>
    <w:rsid w:val="00AF56A6"/>
    <w:rsid w:val="00AF56AC"/>
    <w:rsid w:val="00AF56EB"/>
    <w:rsid w:val="00AF57B3"/>
    <w:rsid w:val="00AF57E7"/>
    <w:rsid w:val="00AF586A"/>
    <w:rsid w:val="00AF587B"/>
    <w:rsid w:val="00AF5882"/>
    <w:rsid w:val="00AF589C"/>
    <w:rsid w:val="00AF58C2"/>
    <w:rsid w:val="00AF5949"/>
    <w:rsid w:val="00AF5975"/>
    <w:rsid w:val="00AF59E9"/>
    <w:rsid w:val="00AF5A7D"/>
    <w:rsid w:val="00AF5B34"/>
    <w:rsid w:val="00AF5B51"/>
    <w:rsid w:val="00AF5C36"/>
    <w:rsid w:val="00AF5C76"/>
    <w:rsid w:val="00AF5C99"/>
    <w:rsid w:val="00AF5D39"/>
    <w:rsid w:val="00AF5D64"/>
    <w:rsid w:val="00AF5DCD"/>
    <w:rsid w:val="00AF5DEC"/>
    <w:rsid w:val="00AF5E19"/>
    <w:rsid w:val="00AF5E3D"/>
    <w:rsid w:val="00AF5ECB"/>
    <w:rsid w:val="00AF5EDF"/>
    <w:rsid w:val="00AF5F4B"/>
    <w:rsid w:val="00AF5FA5"/>
    <w:rsid w:val="00AF604C"/>
    <w:rsid w:val="00AF60C4"/>
    <w:rsid w:val="00AF60D6"/>
    <w:rsid w:val="00AF610C"/>
    <w:rsid w:val="00AF613E"/>
    <w:rsid w:val="00AF6190"/>
    <w:rsid w:val="00AF61BD"/>
    <w:rsid w:val="00AF6281"/>
    <w:rsid w:val="00AF62A4"/>
    <w:rsid w:val="00AF62EA"/>
    <w:rsid w:val="00AF6381"/>
    <w:rsid w:val="00AF63AC"/>
    <w:rsid w:val="00AF63C7"/>
    <w:rsid w:val="00AF63FA"/>
    <w:rsid w:val="00AF646B"/>
    <w:rsid w:val="00AF64B4"/>
    <w:rsid w:val="00AF64B6"/>
    <w:rsid w:val="00AF64D4"/>
    <w:rsid w:val="00AF64F4"/>
    <w:rsid w:val="00AF658A"/>
    <w:rsid w:val="00AF65AD"/>
    <w:rsid w:val="00AF65B6"/>
    <w:rsid w:val="00AF65F6"/>
    <w:rsid w:val="00AF660A"/>
    <w:rsid w:val="00AF668A"/>
    <w:rsid w:val="00AF66C7"/>
    <w:rsid w:val="00AF672E"/>
    <w:rsid w:val="00AF6810"/>
    <w:rsid w:val="00AF687E"/>
    <w:rsid w:val="00AF6917"/>
    <w:rsid w:val="00AF693D"/>
    <w:rsid w:val="00AF69CE"/>
    <w:rsid w:val="00AF6A82"/>
    <w:rsid w:val="00AF6B6F"/>
    <w:rsid w:val="00AF6B78"/>
    <w:rsid w:val="00AF6B9A"/>
    <w:rsid w:val="00AF6BD0"/>
    <w:rsid w:val="00AF6BE5"/>
    <w:rsid w:val="00AF6C09"/>
    <w:rsid w:val="00AF6CAB"/>
    <w:rsid w:val="00AF6D07"/>
    <w:rsid w:val="00AF6DB2"/>
    <w:rsid w:val="00AF6E5C"/>
    <w:rsid w:val="00AF7140"/>
    <w:rsid w:val="00AF7186"/>
    <w:rsid w:val="00AF71A6"/>
    <w:rsid w:val="00AF741C"/>
    <w:rsid w:val="00AF7423"/>
    <w:rsid w:val="00AF7452"/>
    <w:rsid w:val="00AF7454"/>
    <w:rsid w:val="00AF7457"/>
    <w:rsid w:val="00AF7490"/>
    <w:rsid w:val="00AF749C"/>
    <w:rsid w:val="00AF74EB"/>
    <w:rsid w:val="00AF75F4"/>
    <w:rsid w:val="00AF762D"/>
    <w:rsid w:val="00AF7675"/>
    <w:rsid w:val="00AF7676"/>
    <w:rsid w:val="00AF76F2"/>
    <w:rsid w:val="00AF7719"/>
    <w:rsid w:val="00AF774E"/>
    <w:rsid w:val="00AF7752"/>
    <w:rsid w:val="00AF779A"/>
    <w:rsid w:val="00AF77D4"/>
    <w:rsid w:val="00AF77E1"/>
    <w:rsid w:val="00AF7866"/>
    <w:rsid w:val="00AF78D3"/>
    <w:rsid w:val="00AF78E9"/>
    <w:rsid w:val="00AF792C"/>
    <w:rsid w:val="00AF796A"/>
    <w:rsid w:val="00AF79B8"/>
    <w:rsid w:val="00AF79CF"/>
    <w:rsid w:val="00AF7A03"/>
    <w:rsid w:val="00AF7AE0"/>
    <w:rsid w:val="00AF7AFA"/>
    <w:rsid w:val="00AF7B88"/>
    <w:rsid w:val="00AF7BAD"/>
    <w:rsid w:val="00AF7CE3"/>
    <w:rsid w:val="00AF7CF3"/>
    <w:rsid w:val="00AF7CF9"/>
    <w:rsid w:val="00AF7D52"/>
    <w:rsid w:val="00AF7D71"/>
    <w:rsid w:val="00AF7E32"/>
    <w:rsid w:val="00AF7E56"/>
    <w:rsid w:val="00AF7EAE"/>
    <w:rsid w:val="00AF7EEA"/>
    <w:rsid w:val="00AF7F9E"/>
    <w:rsid w:val="00AF7FE0"/>
    <w:rsid w:val="00B00041"/>
    <w:rsid w:val="00B000BF"/>
    <w:rsid w:val="00B0011A"/>
    <w:rsid w:val="00B00162"/>
    <w:rsid w:val="00B002C6"/>
    <w:rsid w:val="00B002E4"/>
    <w:rsid w:val="00B00316"/>
    <w:rsid w:val="00B0032D"/>
    <w:rsid w:val="00B00377"/>
    <w:rsid w:val="00B00387"/>
    <w:rsid w:val="00B00433"/>
    <w:rsid w:val="00B0049B"/>
    <w:rsid w:val="00B00529"/>
    <w:rsid w:val="00B0057B"/>
    <w:rsid w:val="00B006E2"/>
    <w:rsid w:val="00B006ED"/>
    <w:rsid w:val="00B0089C"/>
    <w:rsid w:val="00B008A7"/>
    <w:rsid w:val="00B009BC"/>
    <w:rsid w:val="00B009FA"/>
    <w:rsid w:val="00B00A29"/>
    <w:rsid w:val="00B00A5C"/>
    <w:rsid w:val="00B00B28"/>
    <w:rsid w:val="00B00BAD"/>
    <w:rsid w:val="00B00BC2"/>
    <w:rsid w:val="00B00BD4"/>
    <w:rsid w:val="00B00BE0"/>
    <w:rsid w:val="00B00BE5"/>
    <w:rsid w:val="00B00BFA"/>
    <w:rsid w:val="00B00CEC"/>
    <w:rsid w:val="00B00D09"/>
    <w:rsid w:val="00B00D0E"/>
    <w:rsid w:val="00B00DE2"/>
    <w:rsid w:val="00B00E0A"/>
    <w:rsid w:val="00B00E6F"/>
    <w:rsid w:val="00B00ECD"/>
    <w:rsid w:val="00B00F7F"/>
    <w:rsid w:val="00B01037"/>
    <w:rsid w:val="00B01094"/>
    <w:rsid w:val="00B0113D"/>
    <w:rsid w:val="00B0115B"/>
    <w:rsid w:val="00B011EF"/>
    <w:rsid w:val="00B01213"/>
    <w:rsid w:val="00B01214"/>
    <w:rsid w:val="00B012B4"/>
    <w:rsid w:val="00B01324"/>
    <w:rsid w:val="00B01349"/>
    <w:rsid w:val="00B0136B"/>
    <w:rsid w:val="00B01386"/>
    <w:rsid w:val="00B0139F"/>
    <w:rsid w:val="00B013B5"/>
    <w:rsid w:val="00B01617"/>
    <w:rsid w:val="00B01652"/>
    <w:rsid w:val="00B01747"/>
    <w:rsid w:val="00B01797"/>
    <w:rsid w:val="00B017F1"/>
    <w:rsid w:val="00B01802"/>
    <w:rsid w:val="00B0187D"/>
    <w:rsid w:val="00B01893"/>
    <w:rsid w:val="00B01894"/>
    <w:rsid w:val="00B0189C"/>
    <w:rsid w:val="00B01916"/>
    <w:rsid w:val="00B01955"/>
    <w:rsid w:val="00B01989"/>
    <w:rsid w:val="00B01A6E"/>
    <w:rsid w:val="00B01AB2"/>
    <w:rsid w:val="00B01ACA"/>
    <w:rsid w:val="00B01B1B"/>
    <w:rsid w:val="00B01BAC"/>
    <w:rsid w:val="00B01CB3"/>
    <w:rsid w:val="00B01CBD"/>
    <w:rsid w:val="00B01CF2"/>
    <w:rsid w:val="00B01D2B"/>
    <w:rsid w:val="00B01D34"/>
    <w:rsid w:val="00B01D5C"/>
    <w:rsid w:val="00B01E4F"/>
    <w:rsid w:val="00B01EC4"/>
    <w:rsid w:val="00B01F19"/>
    <w:rsid w:val="00B01F52"/>
    <w:rsid w:val="00B01FCB"/>
    <w:rsid w:val="00B02010"/>
    <w:rsid w:val="00B02017"/>
    <w:rsid w:val="00B02077"/>
    <w:rsid w:val="00B020BC"/>
    <w:rsid w:val="00B020D8"/>
    <w:rsid w:val="00B02138"/>
    <w:rsid w:val="00B0218B"/>
    <w:rsid w:val="00B0218F"/>
    <w:rsid w:val="00B021B0"/>
    <w:rsid w:val="00B021DF"/>
    <w:rsid w:val="00B0222E"/>
    <w:rsid w:val="00B02265"/>
    <w:rsid w:val="00B0232C"/>
    <w:rsid w:val="00B0232D"/>
    <w:rsid w:val="00B0242B"/>
    <w:rsid w:val="00B02502"/>
    <w:rsid w:val="00B0268C"/>
    <w:rsid w:val="00B02785"/>
    <w:rsid w:val="00B02792"/>
    <w:rsid w:val="00B0279F"/>
    <w:rsid w:val="00B027ED"/>
    <w:rsid w:val="00B02815"/>
    <w:rsid w:val="00B02943"/>
    <w:rsid w:val="00B02A00"/>
    <w:rsid w:val="00B02A6A"/>
    <w:rsid w:val="00B02B4D"/>
    <w:rsid w:val="00B02C41"/>
    <w:rsid w:val="00B02C5A"/>
    <w:rsid w:val="00B02CB7"/>
    <w:rsid w:val="00B02CFC"/>
    <w:rsid w:val="00B02D51"/>
    <w:rsid w:val="00B02D5A"/>
    <w:rsid w:val="00B02E5F"/>
    <w:rsid w:val="00B02F02"/>
    <w:rsid w:val="00B02F12"/>
    <w:rsid w:val="00B02F26"/>
    <w:rsid w:val="00B02F64"/>
    <w:rsid w:val="00B02F8C"/>
    <w:rsid w:val="00B02FE2"/>
    <w:rsid w:val="00B03008"/>
    <w:rsid w:val="00B0301C"/>
    <w:rsid w:val="00B03047"/>
    <w:rsid w:val="00B030CC"/>
    <w:rsid w:val="00B03117"/>
    <w:rsid w:val="00B03178"/>
    <w:rsid w:val="00B03391"/>
    <w:rsid w:val="00B033BA"/>
    <w:rsid w:val="00B033C3"/>
    <w:rsid w:val="00B0345D"/>
    <w:rsid w:val="00B035A4"/>
    <w:rsid w:val="00B035C3"/>
    <w:rsid w:val="00B035F2"/>
    <w:rsid w:val="00B036CD"/>
    <w:rsid w:val="00B038E5"/>
    <w:rsid w:val="00B0391D"/>
    <w:rsid w:val="00B03921"/>
    <w:rsid w:val="00B03965"/>
    <w:rsid w:val="00B0396D"/>
    <w:rsid w:val="00B039B2"/>
    <w:rsid w:val="00B03A12"/>
    <w:rsid w:val="00B03A3B"/>
    <w:rsid w:val="00B03A6B"/>
    <w:rsid w:val="00B03A7A"/>
    <w:rsid w:val="00B03B23"/>
    <w:rsid w:val="00B03B9C"/>
    <w:rsid w:val="00B03D89"/>
    <w:rsid w:val="00B03D8F"/>
    <w:rsid w:val="00B03E27"/>
    <w:rsid w:val="00B03E8A"/>
    <w:rsid w:val="00B03EA2"/>
    <w:rsid w:val="00B03EB8"/>
    <w:rsid w:val="00B03EBA"/>
    <w:rsid w:val="00B03EC0"/>
    <w:rsid w:val="00B03F24"/>
    <w:rsid w:val="00B03F5B"/>
    <w:rsid w:val="00B03F81"/>
    <w:rsid w:val="00B03FB6"/>
    <w:rsid w:val="00B04025"/>
    <w:rsid w:val="00B04069"/>
    <w:rsid w:val="00B040C0"/>
    <w:rsid w:val="00B0410E"/>
    <w:rsid w:val="00B04164"/>
    <w:rsid w:val="00B041AC"/>
    <w:rsid w:val="00B042C2"/>
    <w:rsid w:val="00B042E0"/>
    <w:rsid w:val="00B042E6"/>
    <w:rsid w:val="00B042FC"/>
    <w:rsid w:val="00B04303"/>
    <w:rsid w:val="00B0430A"/>
    <w:rsid w:val="00B04322"/>
    <w:rsid w:val="00B04368"/>
    <w:rsid w:val="00B043D5"/>
    <w:rsid w:val="00B04409"/>
    <w:rsid w:val="00B04457"/>
    <w:rsid w:val="00B044C7"/>
    <w:rsid w:val="00B04514"/>
    <w:rsid w:val="00B04548"/>
    <w:rsid w:val="00B0457C"/>
    <w:rsid w:val="00B04647"/>
    <w:rsid w:val="00B0469B"/>
    <w:rsid w:val="00B046A7"/>
    <w:rsid w:val="00B046EC"/>
    <w:rsid w:val="00B0471E"/>
    <w:rsid w:val="00B04722"/>
    <w:rsid w:val="00B04855"/>
    <w:rsid w:val="00B04857"/>
    <w:rsid w:val="00B04871"/>
    <w:rsid w:val="00B0488A"/>
    <w:rsid w:val="00B048C9"/>
    <w:rsid w:val="00B04902"/>
    <w:rsid w:val="00B04918"/>
    <w:rsid w:val="00B04976"/>
    <w:rsid w:val="00B04A16"/>
    <w:rsid w:val="00B04A44"/>
    <w:rsid w:val="00B04AD0"/>
    <w:rsid w:val="00B04AF8"/>
    <w:rsid w:val="00B04B2A"/>
    <w:rsid w:val="00B04B4C"/>
    <w:rsid w:val="00B04B63"/>
    <w:rsid w:val="00B04C37"/>
    <w:rsid w:val="00B04C3F"/>
    <w:rsid w:val="00B04CF6"/>
    <w:rsid w:val="00B04CFD"/>
    <w:rsid w:val="00B04D0C"/>
    <w:rsid w:val="00B04DCD"/>
    <w:rsid w:val="00B04DD2"/>
    <w:rsid w:val="00B04DDC"/>
    <w:rsid w:val="00B04E0D"/>
    <w:rsid w:val="00B04ED4"/>
    <w:rsid w:val="00B04F0A"/>
    <w:rsid w:val="00B04F6F"/>
    <w:rsid w:val="00B04F9C"/>
    <w:rsid w:val="00B04FB9"/>
    <w:rsid w:val="00B04FFE"/>
    <w:rsid w:val="00B05005"/>
    <w:rsid w:val="00B0504E"/>
    <w:rsid w:val="00B05061"/>
    <w:rsid w:val="00B050C0"/>
    <w:rsid w:val="00B050DD"/>
    <w:rsid w:val="00B05123"/>
    <w:rsid w:val="00B05188"/>
    <w:rsid w:val="00B0521C"/>
    <w:rsid w:val="00B05234"/>
    <w:rsid w:val="00B0523D"/>
    <w:rsid w:val="00B0524B"/>
    <w:rsid w:val="00B05260"/>
    <w:rsid w:val="00B052EA"/>
    <w:rsid w:val="00B052F3"/>
    <w:rsid w:val="00B05308"/>
    <w:rsid w:val="00B0537A"/>
    <w:rsid w:val="00B053CE"/>
    <w:rsid w:val="00B053D2"/>
    <w:rsid w:val="00B053E2"/>
    <w:rsid w:val="00B0546E"/>
    <w:rsid w:val="00B054AF"/>
    <w:rsid w:val="00B055FB"/>
    <w:rsid w:val="00B055FE"/>
    <w:rsid w:val="00B0564A"/>
    <w:rsid w:val="00B05773"/>
    <w:rsid w:val="00B057BD"/>
    <w:rsid w:val="00B057CE"/>
    <w:rsid w:val="00B0581F"/>
    <w:rsid w:val="00B0587B"/>
    <w:rsid w:val="00B058B7"/>
    <w:rsid w:val="00B058C2"/>
    <w:rsid w:val="00B058E2"/>
    <w:rsid w:val="00B058F9"/>
    <w:rsid w:val="00B05918"/>
    <w:rsid w:val="00B05A94"/>
    <w:rsid w:val="00B05B25"/>
    <w:rsid w:val="00B05BC2"/>
    <w:rsid w:val="00B05BC9"/>
    <w:rsid w:val="00B05C09"/>
    <w:rsid w:val="00B05C24"/>
    <w:rsid w:val="00B05C61"/>
    <w:rsid w:val="00B05C76"/>
    <w:rsid w:val="00B05CFA"/>
    <w:rsid w:val="00B05D4E"/>
    <w:rsid w:val="00B05D86"/>
    <w:rsid w:val="00B05DA9"/>
    <w:rsid w:val="00B05E2B"/>
    <w:rsid w:val="00B05E47"/>
    <w:rsid w:val="00B05F1C"/>
    <w:rsid w:val="00B05F8F"/>
    <w:rsid w:val="00B05FA4"/>
    <w:rsid w:val="00B05FD6"/>
    <w:rsid w:val="00B0606A"/>
    <w:rsid w:val="00B06128"/>
    <w:rsid w:val="00B061E6"/>
    <w:rsid w:val="00B06269"/>
    <w:rsid w:val="00B06345"/>
    <w:rsid w:val="00B0638D"/>
    <w:rsid w:val="00B0642D"/>
    <w:rsid w:val="00B06487"/>
    <w:rsid w:val="00B064FF"/>
    <w:rsid w:val="00B06539"/>
    <w:rsid w:val="00B06547"/>
    <w:rsid w:val="00B06593"/>
    <w:rsid w:val="00B066D0"/>
    <w:rsid w:val="00B066DB"/>
    <w:rsid w:val="00B066E8"/>
    <w:rsid w:val="00B06747"/>
    <w:rsid w:val="00B0674B"/>
    <w:rsid w:val="00B0674F"/>
    <w:rsid w:val="00B067AF"/>
    <w:rsid w:val="00B0688F"/>
    <w:rsid w:val="00B068F7"/>
    <w:rsid w:val="00B06949"/>
    <w:rsid w:val="00B06B0E"/>
    <w:rsid w:val="00B06B8A"/>
    <w:rsid w:val="00B06B9A"/>
    <w:rsid w:val="00B06C18"/>
    <w:rsid w:val="00B06CA7"/>
    <w:rsid w:val="00B06CC2"/>
    <w:rsid w:val="00B06CF3"/>
    <w:rsid w:val="00B06D0A"/>
    <w:rsid w:val="00B06D19"/>
    <w:rsid w:val="00B06D25"/>
    <w:rsid w:val="00B06E81"/>
    <w:rsid w:val="00B06E8F"/>
    <w:rsid w:val="00B06F57"/>
    <w:rsid w:val="00B06F66"/>
    <w:rsid w:val="00B06FB7"/>
    <w:rsid w:val="00B06FDB"/>
    <w:rsid w:val="00B07059"/>
    <w:rsid w:val="00B0707E"/>
    <w:rsid w:val="00B07274"/>
    <w:rsid w:val="00B0735D"/>
    <w:rsid w:val="00B073CC"/>
    <w:rsid w:val="00B0746A"/>
    <w:rsid w:val="00B0751B"/>
    <w:rsid w:val="00B0756E"/>
    <w:rsid w:val="00B075A9"/>
    <w:rsid w:val="00B075C0"/>
    <w:rsid w:val="00B075E9"/>
    <w:rsid w:val="00B07614"/>
    <w:rsid w:val="00B076B2"/>
    <w:rsid w:val="00B0773A"/>
    <w:rsid w:val="00B0776B"/>
    <w:rsid w:val="00B07849"/>
    <w:rsid w:val="00B07861"/>
    <w:rsid w:val="00B07940"/>
    <w:rsid w:val="00B07987"/>
    <w:rsid w:val="00B079DD"/>
    <w:rsid w:val="00B07A64"/>
    <w:rsid w:val="00B07B88"/>
    <w:rsid w:val="00B07C85"/>
    <w:rsid w:val="00B07CB5"/>
    <w:rsid w:val="00B07D37"/>
    <w:rsid w:val="00B07E28"/>
    <w:rsid w:val="00B07EC4"/>
    <w:rsid w:val="00B07EE1"/>
    <w:rsid w:val="00B07EEA"/>
    <w:rsid w:val="00B07EF3"/>
    <w:rsid w:val="00B07EFD"/>
    <w:rsid w:val="00B07F05"/>
    <w:rsid w:val="00B07F22"/>
    <w:rsid w:val="00B07F7C"/>
    <w:rsid w:val="00B07F83"/>
    <w:rsid w:val="00B07FC5"/>
    <w:rsid w:val="00B10011"/>
    <w:rsid w:val="00B100D9"/>
    <w:rsid w:val="00B10103"/>
    <w:rsid w:val="00B10138"/>
    <w:rsid w:val="00B10186"/>
    <w:rsid w:val="00B10243"/>
    <w:rsid w:val="00B10287"/>
    <w:rsid w:val="00B102CA"/>
    <w:rsid w:val="00B10352"/>
    <w:rsid w:val="00B1040D"/>
    <w:rsid w:val="00B1043A"/>
    <w:rsid w:val="00B10479"/>
    <w:rsid w:val="00B10523"/>
    <w:rsid w:val="00B10570"/>
    <w:rsid w:val="00B107E4"/>
    <w:rsid w:val="00B1081C"/>
    <w:rsid w:val="00B1081E"/>
    <w:rsid w:val="00B1083E"/>
    <w:rsid w:val="00B1085E"/>
    <w:rsid w:val="00B108C6"/>
    <w:rsid w:val="00B10989"/>
    <w:rsid w:val="00B109E4"/>
    <w:rsid w:val="00B10AD2"/>
    <w:rsid w:val="00B10B19"/>
    <w:rsid w:val="00B10B22"/>
    <w:rsid w:val="00B10B5F"/>
    <w:rsid w:val="00B10B60"/>
    <w:rsid w:val="00B10B82"/>
    <w:rsid w:val="00B10BF8"/>
    <w:rsid w:val="00B10BFA"/>
    <w:rsid w:val="00B10C26"/>
    <w:rsid w:val="00B10C7E"/>
    <w:rsid w:val="00B10D7F"/>
    <w:rsid w:val="00B10DFF"/>
    <w:rsid w:val="00B10E31"/>
    <w:rsid w:val="00B10E6A"/>
    <w:rsid w:val="00B10EB5"/>
    <w:rsid w:val="00B10EC2"/>
    <w:rsid w:val="00B10F50"/>
    <w:rsid w:val="00B110BA"/>
    <w:rsid w:val="00B111C8"/>
    <w:rsid w:val="00B11324"/>
    <w:rsid w:val="00B113AD"/>
    <w:rsid w:val="00B1140B"/>
    <w:rsid w:val="00B11422"/>
    <w:rsid w:val="00B11483"/>
    <w:rsid w:val="00B115C0"/>
    <w:rsid w:val="00B11644"/>
    <w:rsid w:val="00B117A1"/>
    <w:rsid w:val="00B117EC"/>
    <w:rsid w:val="00B11849"/>
    <w:rsid w:val="00B118D2"/>
    <w:rsid w:val="00B11938"/>
    <w:rsid w:val="00B11941"/>
    <w:rsid w:val="00B119C2"/>
    <w:rsid w:val="00B119ED"/>
    <w:rsid w:val="00B11A96"/>
    <w:rsid w:val="00B11B06"/>
    <w:rsid w:val="00B11BC1"/>
    <w:rsid w:val="00B11BD9"/>
    <w:rsid w:val="00B11BFA"/>
    <w:rsid w:val="00B11C5B"/>
    <w:rsid w:val="00B11C65"/>
    <w:rsid w:val="00B11C7A"/>
    <w:rsid w:val="00B11CA3"/>
    <w:rsid w:val="00B11CBE"/>
    <w:rsid w:val="00B11CE4"/>
    <w:rsid w:val="00B11D1D"/>
    <w:rsid w:val="00B11D30"/>
    <w:rsid w:val="00B11D35"/>
    <w:rsid w:val="00B11DFB"/>
    <w:rsid w:val="00B11FD4"/>
    <w:rsid w:val="00B12078"/>
    <w:rsid w:val="00B120E4"/>
    <w:rsid w:val="00B1216A"/>
    <w:rsid w:val="00B12182"/>
    <w:rsid w:val="00B12194"/>
    <w:rsid w:val="00B121FF"/>
    <w:rsid w:val="00B1226F"/>
    <w:rsid w:val="00B122EF"/>
    <w:rsid w:val="00B1235B"/>
    <w:rsid w:val="00B1238E"/>
    <w:rsid w:val="00B123F4"/>
    <w:rsid w:val="00B12415"/>
    <w:rsid w:val="00B12465"/>
    <w:rsid w:val="00B12474"/>
    <w:rsid w:val="00B124CB"/>
    <w:rsid w:val="00B12503"/>
    <w:rsid w:val="00B12539"/>
    <w:rsid w:val="00B12544"/>
    <w:rsid w:val="00B12559"/>
    <w:rsid w:val="00B12573"/>
    <w:rsid w:val="00B1259E"/>
    <w:rsid w:val="00B125BF"/>
    <w:rsid w:val="00B12665"/>
    <w:rsid w:val="00B127AB"/>
    <w:rsid w:val="00B128B2"/>
    <w:rsid w:val="00B129BA"/>
    <w:rsid w:val="00B129CF"/>
    <w:rsid w:val="00B12A58"/>
    <w:rsid w:val="00B12A66"/>
    <w:rsid w:val="00B12AA9"/>
    <w:rsid w:val="00B12AC5"/>
    <w:rsid w:val="00B12B1D"/>
    <w:rsid w:val="00B12B98"/>
    <w:rsid w:val="00B12BE8"/>
    <w:rsid w:val="00B12C15"/>
    <w:rsid w:val="00B12C24"/>
    <w:rsid w:val="00B12C30"/>
    <w:rsid w:val="00B12C9D"/>
    <w:rsid w:val="00B12CC4"/>
    <w:rsid w:val="00B12CC7"/>
    <w:rsid w:val="00B12CFD"/>
    <w:rsid w:val="00B12D47"/>
    <w:rsid w:val="00B12D53"/>
    <w:rsid w:val="00B12D8F"/>
    <w:rsid w:val="00B12DE5"/>
    <w:rsid w:val="00B12DF6"/>
    <w:rsid w:val="00B12E9A"/>
    <w:rsid w:val="00B12EBD"/>
    <w:rsid w:val="00B12EE3"/>
    <w:rsid w:val="00B12EFF"/>
    <w:rsid w:val="00B12F53"/>
    <w:rsid w:val="00B13061"/>
    <w:rsid w:val="00B13108"/>
    <w:rsid w:val="00B13132"/>
    <w:rsid w:val="00B1313A"/>
    <w:rsid w:val="00B1316F"/>
    <w:rsid w:val="00B132DA"/>
    <w:rsid w:val="00B1336B"/>
    <w:rsid w:val="00B133A6"/>
    <w:rsid w:val="00B13429"/>
    <w:rsid w:val="00B1342C"/>
    <w:rsid w:val="00B134B1"/>
    <w:rsid w:val="00B134B3"/>
    <w:rsid w:val="00B134CE"/>
    <w:rsid w:val="00B13514"/>
    <w:rsid w:val="00B13543"/>
    <w:rsid w:val="00B135DE"/>
    <w:rsid w:val="00B136B7"/>
    <w:rsid w:val="00B13977"/>
    <w:rsid w:val="00B1397B"/>
    <w:rsid w:val="00B1397F"/>
    <w:rsid w:val="00B1398A"/>
    <w:rsid w:val="00B1399F"/>
    <w:rsid w:val="00B139B5"/>
    <w:rsid w:val="00B139B9"/>
    <w:rsid w:val="00B139D7"/>
    <w:rsid w:val="00B139F9"/>
    <w:rsid w:val="00B13A3C"/>
    <w:rsid w:val="00B13A44"/>
    <w:rsid w:val="00B13A4E"/>
    <w:rsid w:val="00B13A80"/>
    <w:rsid w:val="00B13B5E"/>
    <w:rsid w:val="00B13B90"/>
    <w:rsid w:val="00B13BC4"/>
    <w:rsid w:val="00B13BE5"/>
    <w:rsid w:val="00B13C35"/>
    <w:rsid w:val="00B13C43"/>
    <w:rsid w:val="00B13C79"/>
    <w:rsid w:val="00B13C9F"/>
    <w:rsid w:val="00B13CD2"/>
    <w:rsid w:val="00B13CE6"/>
    <w:rsid w:val="00B13CF5"/>
    <w:rsid w:val="00B13CF7"/>
    <w:rsid w:val="00B13D2E"/>
    <w:rsid w:val="00B13DA8"/>
    <w:rsid w:val="00B13DBB"/>
    <w:rsid w:val="00B13DBF"/>
    <w:rsid w:val="00B13E34"/>
    <w:rsid w:val="00B13E63"/>
    <w:rsid w:val="00B13EA7"/>
    <w:rsid w:val="00B13ECE"/>
    <w:rsid w:val="00B13EF8"/>
    <w:rsid w:val="00B13EFC"/>
    <w:rsid w:val="00B13F39"/>
    <w:rsid w:val="00B13F52"/>
    <w:rsid w:val="00B140A2"/>
    <w:rsid w:val="00B140D8"/>
    <w:rsid w:val="00B140DA"/>
    <w:rsid w:val="00B14116"/>
    <w:rsid w:val="00B1414F"/>
    <w:rsid w:val="00B14152"/>
    <w:rsid w:val="00B1417E"/>
    <w:rsid w:val="00B141AE"/>
    <w:rsid w:val="00B141D2"/>
    <w:rsid w:val="00B1420C"/>
    <w:rsid w:val="00B14285"/>
    <w:rsid w:val="00B14297"/>
    <w:rsid w:val="00B142DA"/>
    <w:rsid w:val="00B142E8"/>
    <w:rsid w:val="00B1436F"/>
    <w:rsid w:val="00B14397"/>
    <w:rsid w:val="00B143D5"/>
    <w:rsid w:val="00B143EC"/>
    <w:rsid w:val="00B1445E"/>
    <w:rsid w:val="00B144AB"/>
    <w:rsid w:val="00B14543"/>
    <w:rsid w:val="00B145F7"/>
    <w:rsid w:val="00B146C1"/>
    <w:rsid w:val="00B1470D"/>
    <w:rsid w:val="00B1474A"/>
    <w:rsid w:val="00B147BA"/>
    <w:rsid w:val="00B147F9"/>
    <w:rsid w:val="00B14808"/>
    <w:rsid w:val="00B1491B"/>
    <w:rsid w:val="00B14971"/>
    <w:rsid w:val="00B1497B"/>
    <w:rsid w:val="00B1498A"/>
    <w:rsid w:val="00B149A3"/>
    <w:rsid w:val="00B149D0"/>
    <w:rsid w:val="00B14A1A"/>
    <w:rsid w:val="00B14ACF"/>
    <w:rsid w:val="00B14B27"/>
    <w:rsid w:val="00B14B55"/>
    <w:rsid w:val="00B14BBD"/>
    <w:rsid w:val="00B14BCE"/>
    <w:rsid w:val="00B14C85"/>
    <w:rsid w:val="00B14C8C"/>
    <w:rsid w:val="00B14CF5"/>
    <w:rsid w:val="00B14D2F"/>
    <w:rsid w:val="00B14DFD"/>
    <w:rsid w:val="00B14E0E"/>
    <w:rsid w:val="00B14F00"/>
    <w:rsid w:val="00B14F67"/>
    <w:rsid w:val="00B14FF2"/>
    <w:rsid w:val="00B14FF6"/>
    <w:rsid w:val="00B15020"/>
    <w:rsid w:val="00B15085"/>
    <w:rsid w:val="00B150FC"/>
    <w:rsid w:val="00B15144"/>
    <w:rsid w:val="00B15179"/>
    <w:rsid w:val="00B1517C"/>
    <w:rsid w:val="00B151BD"/>
    <w:rsid w:val="00B151D2"/>
    <w:rsid w:val="00B15224"/>
    <w:rsid w:val="00B152DA"/>
    <w:rsid w:val="00B1535C"/>
    <w:rsid w:val="00B15367"/>
    <w:rsid w:val="00B153F3"/>
    <w:rsid w:val="00B15464"/>
    <w:rsid w:val="00B154A4"/>
    <w:rsid w:val="00B15547"/>
    <w:rsid w:val="00B155A1"/>
    <w:rsid w:val="00B155DC"/>
    <w:rsid w:val="00B15651"/>
    <w:rsid w:val="00B1574F"/>
    <w:rsid w:val="00B15776"/>
    <w:rsid w:val="00B157D0"/>
    <w:rsid w:val="00B157F8"/>
    <w:rsid w:val="00B15862"/>
    <w:rsid w:val="00B158F6"/>
    <w:rsid w:val="00B15A04"/>
    <w:rsid w:val="00B15AB9"/>
    <w:rsid w:val="00B15B3E"/>
    <w:rsid w:val="00B15CAD"/>
    <w:rsid w:val="00B15CEA"/>
    <w:rsid w:val="00B15CFA"/>
    <w:rsid w:val="00B15DE6"/>
    <w:rsid w:val="00B15E05"/>
    <w:rsid w:val="00B15E22"/>
    <w:rsid w:val="00B15E5A"/>
    <w:rsid w:val="00B15EB9"/>
    <w:rsid w:val="00B15F8A"/>
    <w:rsid w:val="00B15FA3"/>
    <w:rsid w:val="00B16000"/>
    <w:rsid w:val="00B16072"/>
    <w:rsid w:val="00B16127"/>
    <w:rsid w:val="00B16144"/>
    <w:rsid w:val="00B1617F"/>
    <w:rsid w:val="00B16199"/>
    <w:rsid w:val="00B1620B"/>
    <w:rsid w:val="00B163DC"/>
    <w:rsid w:val="00B16493"/>
    <w:rsid w:val="00B16536"/>
    <w:rsid w:val="00B16545"/>
    <w:rsid w:val="00B1654A"/>
    <w:rsid w:val="00B16704"/>
    <w:rsid w:val="00B16790"/>
    <w:rsid w:val="00B1682C"/>
    <w:rsid w:val="00B16885"/>
    <w:rsid w:val="00B168DE"/>
    <w:rsid w:val="00B16A54"/>
    <w:rsid w:val="00B16AB3"/>
    <w:rsid w:val="00B16BED"/>
    <w:rsid w:val="00B16D07"/>
    <w:rsid w:val="00B16D42"/>
    <w:rsid w:val="00B16D45"/>
    <w:rsid w:val="00B16D65"/>
    <w:rsid w:val="00B16D85"/>
    <w:rsid w:val="00B16D89"/>
    <w:rsid w:val="00B16DE7"/>
    <w:rsid w:val="00B16E40"/>
    <w:rsid w:val="00B16F07"/>
    <w:rsid w:val="00B16F32"/>
    <w:rsid w:val="00B16F63"/>
    <w:rsid w:val="00B16F74"/>
    <w:rsid w:val="00B16FDF"/>
    <w:rsid w:val="00B1703E"/>
    <w:rsid w:val="00B17135"/>
    <w:rsid w:val="00B17192"/>
    <w:rsid w:val="00B17233"/>
    <w:rsid w:val="00B1723D"/>
    <w:rsid w:val="00B1723F"/>
    <w:rsid w:val="00B17251"/>
    <w:rsid w:val="00B17281"/>
    <w:rsid w:val="00B17285"/>
    <w:rsid w:val="00B172A1"/>
    <w:rsid w:val="00B173C4"/>
    <w:rsid w:val="00B173CC"/>
    <w:rsid w:val="00B17417"/>
    <w:rsid w:val="00B17438"/>
    <w:rsid w:val="00B17452"/>
    <w:rsid w:val="00B17459"/>
    <w:rsid w:val="00B174C8"/>
    <w:rsid w:val="00B174F1"/>
    <w:rsid w:val="00B174FC"/>
    <w:rsid w:val="00B17502"/>
    <w:rsid w:val="00B1750A"/>
    <w:rsid w:val="00B17516"/>
    <w:rsid w:val="00B17529"/>
    <w:rsid w:val="00B17555"/>
    <w:rsid w:val="00B175BA"/>
    <w:rsid w:val="00B175D8"/>
    <w:rsid w:val="00B17610"/>
    <w:rsid w:val="00B1761F"/>
    <w:rsid w:val="00B17638"/>
    <w:rsid w:val="00B17656"/>
    <w:rsid w:val="00B17664"/>
    <w:rsid w:val="00B17756"/>
    <w:rsid w:val="00B17767"/>
    <w:rsid w:val="00B17855"/>
    <w:rsid w:val="00B179AD"/>
    <w:rsid w:val="00B17A21"/>
    <w:rsid w:val="00B17A35"/>
    <w:rsid w:val="00B17A5C"/>
    <w:rsid w:val="00B17A7D"/>
    <w:rsid w:val="00B17A81"/>
    <w:rsid w:val="00B17B2A"/>
    <w:rsid w:val="00B17B45"/>
    <w:rsid w:val="00B17B6A"/>
    <w:rsid w:val="00B17C53"/>
    <w:rsid w:val="00B17D1F"/>
    <w:rsid w:val="00B17D8D"/>
    <w:rsid w:val="00B17DB6"/>
    <w:rsid w:val="00B17DC4"/>
    <w:rsid w:val="00B17E28"/>
    <w:rsid w:val="00B17EB0"/>
    <w:rsid w:val="00B17EB4"/>
    <w:rsid w:val="00B17EF5"/>
    <w:rsid w:val="00B17F4B"/>
    <w:rsid w:val="00B17FBD"/>
    <w:rsid w:val="00B20053"/>
    <w:rsid w:val="00B200D0"/>
    <w:rsid w:val="00B20177"/>
    <w:rsid w:val="00B20243"/>
    <w:rsid w:val="00B2045C"/>
    <w:rsid w:val="00B2052D"/>
    <w:rsid w:val="00B20570"/>
    <w:rsid w:val="00B205BE"/>
    <w:rsid w:val="00B205C1"/>
    <w:rsid w:val="00B205DE"/>
    <w:rsid w:val="00B20615"/>
    <w:rsid w:val="00B20686"/>
    <w:rsid w:val="00B206B7"/>
    <w:rsid w:val="00B20711"/>
    <w:rsid w:val="00B2073C"/>
    <w:rsid w:val="00B20815"/>
    <w:rsid w:val="00B20841"/>
    <w:rsid w:val="00B208E9"/>
    <w:rsid w:val="00B209C0"/>
    <w:rsid w:val="00B209E8"/>
    <w:rsid w:val="00B209FF"/>
    <w:rsid w:val="00B20AB8"/>
    <w:rsid w:val="00B20B95"/>
    <w:rsid w:val="00B20C5C"/>
    <w:rsid w:val="00B20C86"/>
    <w:rsid w:val="00B20D47"/>
    <w:rsid w:val="00B20D7E"/>
    <w:rsid w:val="00B20D92"/>
    <w:rsid w:val="00B20DF8"/>
    <w:rsid w:val="00B20EC1"/>
    <w:rsid w:val="00B20F5A"/>
    <w:rsid w:val="00B20FB2"/>
    <w:rsid w:val="00B21010"/>
    <w:rsid w:val="00B2104F"/>
    <w:rsid w:val="00B2113C"/>
    <w:rsid w:val="00B2117A"/>
    <w:rsid w:val="00B2117B"/>
    <w:rsid w:val="00B211BB"/>
    <w:rsid w:val="00B211C4"/>
    <w:rsid w:val="00B21201"/>
    <w:rsid w:val="00B2126C"/>
    <w:rsid w:val="00B212D6"/>
    <w:rsid w:val="00B21337"/>
    <w:rsid w:val="00B2135D"/>
    <w:rsid w:val="00B2149C"/>
    <w:rsid w:val="00B214AD"/>
    <w:rsid w:val="00B21529"/>
    <w:rsid w:val="00B21536"/>
    <w:rsid w:val="00B215A1"/>
    <w:rsid w:val="00B215BC"/>
    <w:rsid w:val="00B2162C"/>
    <w:rsid w:val="00B2164A"/>
    <w:rsid w:val="00B2175A"/>
    <w:rsid w:val="00B21780"/>
    <w:rsid w:val="00B217C1"/>
    <w:rsid w:val="00B217C3"/>
    <w:rsid w:val="00B217E8"/>
    <w:rsid w:val="00B2180C"/>
    <w:rsid w:val="00B2187A"/>
    <w:rsid w:val="00B21884"/>
    <w:rsid w:val="00B21974"/>
    <w:rsid w:val="00B21994"/>
    <w:rsid w:val="00B219AA"/>
    <w:rsid w:val="00B21A1A"/>
    <w:rsid w:val="00B21AC8"/>
    <w:rsid w:val="00B21AFC"/>
    <w:rsid w:val="00B21BEF"/>
    <w:rsid w:val="00B21C28"/>
    <w:rsid w:val="00B21C6C"/>
    <w:rsid w:val="00B21C80"/>
    <w:rsid w:val="00B21CB3"/>
    <w:rsid w:val="00B21DE5"/>
    <w:rsid w:val="00B21E00"/>
    <w:rsid w:val="00B21E9F"/>
    <w:rsid w:val="00B21EAA"/>
    <w:rsid w:val="00B21EE5"/>
    <w:rsid w:val="00B21F22"/>
    <w:rsid w:val="00B21F68"/>
    <w:rsid w:val="00B21FE4"/>
    <w:rsid w:val="00B22026"/>
    <w:rsid w:val="00B2209D"/>
    <w:rsid w:val="00B220CB"/>
    <w:rsid w:val="00B2210A"/>
    <w:rsid w:val="00B22174"/>
    <w:rsid w:val="00B22175"/>
    <w:rsid w:val="00B221D0"/>
    <w:rsid w:val="00B22205"/>
    <w:rsid w:val="00B2228B"/>
    <w:rsid w:val="00B22329"/>
    <w:rsid w:val="00B223AA"/>
    <w:rsid w:val="00B22428"/>
    <w:rsid w:val="00B22461"/>
    <w:rsid w:val="00B22471"/>
    <w:rsid w:val="00B22512"/>
    <w:rsid w:val="00B22549"/>
    <w:rsid w:val="00B2262F"/>
    <w:rsid w:val="00B226BE"/>
    <w:rsid w:val="00B226FE"/>
    <w:rsid w:val="00B2275E"/>
    <w:rsid w:val="00B2285E"/>
    <w:rsid w:val="00B22994"/>
    <w:rsid w:val="00B229D0"/>
    <w:rsid w:val="00B229EE"/>
    <w:rsid w:val="00B229F8"/>
    <w:rsid w:val="00B22A2C"/>
    <w:rsid w:val="00B22A77"/>
    <w:rsid w:val="00B22A79"/>
    <w:rsid w:val="00B22B0A"/>
    <w:rsid w:val="00B22B28"/>
    <w:rsid w:val="00B22B5E"/>
    <w:rsid w:val="00B22B7F"/>
    <w:rsid w:val="00B22D27"/>
    <w:rsid w:val="00B22D2B"/>
    <w:rsid w:val="00B22D80"/>
    <w:rsid w:val="00B22E09"/>
    <w:rsid w:val="00B22E70"/>
    <w:rsid w:val="00B22E8F"/>
    <w:rsid w:val="00B22F5D"/>
    <w:rsid w:val="00B22F8F"/>
    <w:rsid w:val="00B22FF7"/>
    <w:rsid w:val="00B23014"/>
    <w:rsid w:val="00B23062"/>
    <w:rsid w:val="00B23115"/>
    <w:rsid w:val="00B23147"/>
    <w:rsid w:val="00B2314E"/>
    <w:rsid w:val="00B2316E"/>
    <w:rsid w:val="00B23172"/>
    <w:rsid w:val="00B231DE"/>
    <w:rsid w:val="00B23292"/>
    <w:rsid w:val="00B232A3"/>
    <w:rsid w:val="00B232EA"/>
    <w:rsid w:val="00B2337E"/>
    <w:rsid w:val="00B23396"/>
    <w:rsid w:val="00B233A8"/>
    <w:rsid w:val="00B233AD"/>
    <w:rsid w:val="00B233EA"/>
    <w:rsid w:val="00B2345F"/>
    <w:rsid w:val="00B234CE"/>
    <w:rsid w:val="00B234F1"/>
    <w:rsid w:val="00B234F2"/>
    <w:rsid w:val="00B23694"/>
    <w:rsid w:val="00B23696"/>
    <w:rsid w:val="00B236BC"/>
    <w:rsid w:val="00B23863"/>
    <w:rsid w:val="00B23876"/>
    <w:rsid w:val="00B23994"/>
    <w:rsid w:val="00B239BF"/>
    <w:rsid w:val="00B239FA"/>
    <w:rsid w:val="00B23C65"/>
    <w:rsid w:val="00B23D45"/>
    <w:rsid w:val="00B23DAB"/>
    <w:rsid w:val="00B23DB0"/>
    <w:rsid w:val="00B23DDC"/>
    <w:rsid w:val="00B23DF5"/>
    <w:rsid w:val="00B23E2A"/>
    <w:rsid w:val="00B23E37"/>
    <w:rsid w:val="00B23E51"/>
    <w:rsid w:val="00B23E93"/>
    <w:rsid w:val="00B23EAA"/>
    <w:rsid w:val="00B23F67"/>
    <w:rsid w:val="00B24028"/>
    <w:rsid w:val="00B240C8"/>
    <w:rsid w:val="00B24179"/>
    <w:rsid w:val="00B24284"/>
    <w:rsid w:val="00B242C0"/>
    <w:rsid w:val="00B243BE"/>
    <w:rsid w:val="00B243C1"/>
    <w:rsid w:val="00B244B1"/>
    <w:rsid w:val="00B244FA"/>
    <w:rsid w:val="00B24503"/>
    <w:rsid w:val="00B24533"/>
    <w:rsid w:val="00B245B0"/>
    <w:rsid w:val="00B24608"/>
    <w:rsid w:val="00B2460A"/>
    <w:rsid w:val="00B2460F"/>
    <w:rsid w:val="00B24725"/>
    <w:rsid w:val="00B24785"/>
    <w:rsid w:val="00B247F1"/>
    <w:rsid w:val="00B24803"/>
    <w:rsid w:val="00B24849"/>
    <w:rsid w:val="00B24857"/>
    <w:rsid w:val="00B2494A"/>
    <w:rsid w:val="00B24979"/>
    <w:rsid w:val="00B24A53"/>
    <w:rsid w:val="00B24AC0"/>
    <w:rsid w:val="00B24B30"/>
    <w:rsid w:val="00B24B6D"/>
    <w:rsid w:val="00B24B8C"/>
    <w:rsid w:val="00B24BB2"/>
    <w:rsid w:val="00B24C58"/>
    <w:rsid w:val="00B24CF5"/>
    <w:rsid w:val="00B24DB0"/>
    <w:rsid w:val="00B24DCF"/>
    <w:rsid w:val="00B24E70"/>
    <w:rsid w:val="00B24EFC"/>
    <w:rsid w:val="00B24F4E"/>
    <w:rsid w:val="00B24F6F"/>
    <w:rsid w:val="00B24F75"/>
    <w:rsid w:val="00B24FB0"/>
    <w:rsid w:val="00B24FBC"/>
    <w:rsid w:val="00B24FF7"/>
    <w:rsid w:val="00B25021"/>
    <w:rsid w:val="00B25060"/>
    <w:rsid w:val="00B2506C"/>
    <w:rsid w:val="00B250A0"/>
    <w:rsid w:val="00B250BF"/>
    <w:rsid w:val="00B2511B"/>
    <w:rsid w:val="00B25155"/>
    <w:rsid w:val="00B252E8"/>
    <w:rsid w:val="00B2535B"/>
    <w:rsid w:val="00B25374"/>
    <w:rsid w:val="00B25397"/>
    <w:rsid w:val="00B253FD"/>
    <w:rsid w:val="00B25434"/>
    <w:rsid w:val="00B2549B"/>
    <w:rsid w:val="00B25586"/>
    <w:rsid w:val="00B25663"/>
    <w:rsid w:val="00B256F0"/>
    <w:rsid w:val="00B2572F"/>
    <w:rsid w:val="00B257B6"/>
    <w:rsid w:val="00B25813"/>
    <w:rsid w:val="00B258AA"/>
    <w:rsid w:val="00B25952"/>
    <w:rsid w:val="00B259E2"/>
    <w:rsid w:val="00B25A24"/>
    <w:rsid w:val="00B25C39"/>
    <w:rsid w:val="00B25C60"/>
    <w:rsid w:val="00B25D1A"/>
    <w:rsid w:val="00B25D97"/>
    <w:rsid w:val="00B25E20"/>
    <w:rsid w:val="00B25E31"/>
    <w:rsid w:val="00B25E4A"/>
    <w:rsid w:val="00B25EB9"/>
    <w:rsid w:val="00B25F2A"/>
    <w:rsid w:val="00B25FA6"/>
    <w:rsid w:val="00B25FD2"/>
    <w:rsid w:val="00B26031"/>
    <w:rsid w:val="00B26041"/>
    <w:rsid w:val="00B2604E"/>
    <w:rsid w:val="00B26063"/>
    <w:rsid w:val="00B26090"/>
    <w:rsid w:val="00B260B9"/>
    <w:rsid w:val="00B260CF"/>
    <w:rsid w:val="00B260EE"/>
    <w:rsid w:val="00B2612C"/>
    <w:rsid w:val="00B2619B"/>
    <w:rsid w:val="00B2619C"/>
    <w:rsid w:val="00B2625F"/>
    <w:rsid w:val="00B26278"/>
    <w:rsid w:val="00B2640D"/>
    <w:rsid w:val="00B26458"/>
    <w:rsid w:val="00B264DA"/>
    <w:rsid w:val="00B264F0"/>
    <w:rsid w:val="00B26500"/>
    <w:rsid w:val="00B2652A"/>
    <w:rsid w:val="00B265C1"/>
    <w:rsid w:val="00B265C7"/>
    <w:rsid w:val="00B265D8"/>
    <w:rsid w:val="00B26614"/>
    <w:rsid w:val="00B2669F"/>
    <w:rsid w:val="00B266F9"/>
    <w:rsid w:val="00B267A5"/>
    <w:rsid w:val="00B26897"/>
    <w:rsid w:val="00B2691F"/>
    <w:rsid w:val="00B26945"/>
    <w:rsid w:val="00B26A39"/>
    <w:rsid w:val="00B26A87"/>
    <w:rsid w:val="00B26BE9"/>
    <w:rsid w:val="00B26BF6"/>
    <w:rsid w:val="00B26C2C"/>
    <w:rsid w:val="00B26CA3"/>
    <w:rsid w:val="00B26CF0"/>
    <w:rsid w:val="00B26D11"/>
    <w:rsid w:val="00B26D2D"/>
    <w:rsid w:val="00B26DA8"/>
    <w:rsid w:val="00B26E58"/>
    <w:rsid w:val="00B26E8A"/>
    <w:rsid w:val="00B26F2B"/>
    <w:rsid w:val="00B26FB6"/>
    <w:rsid w:val="00B26FE8"/>
    <w:rsid w:val="00B27001"/>
    <w:rsid w:val="00B27006"/>
    <w:rsid w:val="00B270C7"/>
    <w:rsid w:val="00B27168"/>
    <w:rsid w:val="00B271C1"/>
    <w:rsid w:val="00B27277"/>
    <w:rsid w:val="00B27283"/>
    <w:rsid w:val="00B272A7"/>
    <w:rsid w:val="00B27305"/>
    <w:rsid w:val="00B2737E"/>
    <w:rsid w:val="00B27459"/>
    <w:rsid w:val="00B27480"/>
    <w:rsid w:val="00B275B8"/>
    <w:rsid w:val="00B275CB"/>
    <w:rsid w:val="00B27664"/>
    <w:rsid w:val="00B2766F"/>
    <w:rsid w:val="00B2767A"/>
    <w:rsid w:val="00B276B0"/>
    <w:rsid w:val="00B276BC"/>
    <w:rsid w:val="00B27829"/>
    <w:rsid w:val="00B278BA"/>
    <w:rsid w:val="00B278E2"/>
    <w:rsid w:val="00B278F8"/>
    <w:rsid w:val="00B27A01"/>
    <w:rsid w:val="00B27A24"/>
    <w:rsid w:val="00B27A34"/>
    <w:rsid w:val="00B27A57"/>
    <w:rsid w:val="00B27AF4"/>
    <w:rsid w:val="00B27B78"/>
    <w:rsid w:val="00B27C4F"/>
    <w:rsid w:val="00B27C51"/>
    <w:rsid w:val="00B27C93"/>
    <w:rsid w:val="00B27D16"/>
    <w:rsid w:val="00B27D65"/>
    <w:rsid w:val="00B27D6D"/>
    <w:rsid w:val="00B27E03"/>
    <w:rsid w:val="00B27E11"/>
    <w:rsid w:val="00B27E40"/>
    <w:rsid w:val="00B27FBF"/>
    <w:rsid w:val="00B30035"/>
    <w:rsid w:val="00B30060"/>
    <w:rsid w:val="00B300F0"/>
    <w:rsid w:val="00B300F4"/>
    <w:rsid w:val="00B30122"/>
    <w:rsid w:val="00B3012F"/>
    <w:rsid w:val="00B30178"/>
    <w:rsid w:val="00B301F6"/>
    <w:rsid w:val="00B302A8"/>
    <w:rsid w:val="00B302C7"/>
    <w:rsid w:val="00B302D5"/>
    <w:rsid w:val="00B302FA"/>
    <w:rsid w:val="00B3031F"/>
    <w:rsid w:val="00B30351"/>
    <w:rsid w:val="00B303B2"/>
    <w:rsid w:val="00B30455"/>
    <w:rsid w:val="00B30457"/>
    <w:rsid w:val="00B3045F"/>
    <w:rsid w:val="00B30464"/>
    <w:rsid w:val="00B3046D"/>
    <w:rsid w:val="00B30511"/>
    <w:rsid w:val="00B3056E"/>
    <w:rsid w:val="00B30571"/>
    <w:rsid w:val="00B30598"/>
    <w:rsid w:val="00B30622"/>
    <w:rsid w:val="00B3067F"/>
    <w:rsid w:val="00B306A0"/>
    <w:rsid w:val="00B306C2"/>
    <w:rsid w:val="00B30709"/>
    <w:rsid w:val="00B30710"/>
    <w:rsid w:val="00B30755"/>
    <w:rsid w:val="00B307E2"/>
    <w:rsid w:val="00B3082E"/>
    <w:rsid w:val="00B308A0"/>
    <w:rsid w:val="00B30936"/>
    <w:rsid w:val="00B30A57"/>
    <w:rsid w:val="00B30A94"/>
    <w:rsid w:val="00B30AAF"/>
    <w:rsid w:val="00B30B00"/>
    <w:rsid w:val="00B30BE6"/>
    <w:rsid w:val="00B30C00"/>
    <w:rsid w:val="00B30CCC"/>
    <w:rsid w:val="00B30CEB"/>
    <w:rsid w:val="00B30D0E"/>
    <w:rsid w:val="00B30D3A"/>
    <w:rsid w:val="00B30DD0"/>
    <w:rsid w:val="00B30DF2"/>
    <w:rsid w:val="00B30E35"/>
    <w:rsid w:val="00B30E5F"/>
    <w:rsid w:val="00B30E81"/>
    <w:rsid w:val="00B30F2C"/>
    <w:rsid w:val="00B30F31"/>
    <w:rsid w:val="00B30F99"/>
    <w:rsid w:val="00B31012"/>
    <w:rsid w:val="00B3101E"/>
    <w:rsid w:val="00B31072"/>
    <w:rsid w:val="00B3107E"/>
    <w:rsid w:val="00B31101"/>
    <w:rsid w:val="00B311BD"/>
    <w:rsid w:val="00B31205"/>
    <w:rsid w:val="00B31226"/>
    <w:rsid w:val="00B3122D"/>
    <w:rsid w:val="00B31367"/>
    <w:rsid w:val="00B31382"/>
    <w:rsid w:val="00B313C6"/>
    <w:rsid w:val="00B313DD"/>
    <w:rsid w:val="00B314A7"/>
    <w:rsid w:val="00B31538"/>
    <w:rsid w:val="00B31575"/>
    <w:rsid w:val="00B31693"/>
    <w:rsid w:val="00B3169C"/>
    <w:rsid w:val="00B316E2"/>
    <w:rsid w:val="00B31703"/>
    <w:rsid w:val="00B3183E"/>
    <w:rsid w:val="00B3189E"/>
    <w:rsid w:val="00B318B5"/>
    <w:rsid w:val="00B318B6"/>
    <w:rsid w:val="00B31916"/>
    <w:rsid w:val="00B319EA"/>
    <w:rsid w:val="00B31A40"/>
    <w:rsid w:val="00B31ADF"/>
    <w:rsid w:val="00B31B03"/>
    <w:rsid w:val="00B31B49"/>
    <w:rsid w:val="00B31BA2"/>
    <w:rsid w:val="00B31BF0"/>
    <w:rsid w:val="00B31BFE"/>
    <w:rsid w:val="00B31C21"/>
    <w:rsid w:val="00B31D58"/>
    <w:rsid w:val="00B31D9A"/>
    <w:rsid w:val="00B31DEA"/>
    <w:rsid w:val="00B31E90"/>
    <w:rsid w:val="00B31F08"/>
    <w:rsid w:val="00B31FCC"/>
    <w:rsid w:val="00B31FD1"/>
    <w:rsid w:val="00B32026"/>
    <w:rsid w:val="00B320CA"/>
    <w:rsid w:val="00B32108"/>
    <w:rsid w:val="00B3219F"/>
    <w:rsid w:val="00B321DE"/>
    <w:rsid w:val="00B32205"/>
    <w:rsid w:val="00B32257"/>
    <w:rsid w:val="00B32283"/>
    <w:rsid w:val="00B322A4"/>
    <w:rsid w:val="00B32305"/>
    <w:rsid w:val="00B32330"/>
    <w:rsid w:val="00B32349"/>
    <w:rsid w:val="00B32353"/>
    <w:rsid w:val="00B323D4"/>
    <w:rsid w:val="00B323D7"/>
    <w:rsid w:val="00B32537"/>
    <w:rsid w:val="00B3256E"/>
    <w:rsid w:val="00B3259C"/>
    <w:rsid w:val="00B3259E"/>
    <w:rsid w:val="00B325B3"/>
    <w:rsid w:val="00B325E9"/>
    <w:rsid w:val="00B3262E"/>
    <w:rsid w:val="00B32681"/>
    <w:rsid w:val="00B32688"/>
    <w:rsid w:val="00B326B3"/>
    <w:rsid w:val="00B326B6"/>
    <w:rsid w:val="00B327BB"/>
    <w:rsid w:val="00B32916"/>
    <w:rsid w:val="00B329A4"/>
    <w:rsid w:val="00B32A0C"/>
    <w:rsid w:val="00B32A1C"/>
    <w:rsid w:val="00B32A76"/>
    <w:rsid w:val="00B32A81"/>
    <w:rsid w:val="00B32A88"/>
    <w:rsid w:val="00B32AD6"/>
    <w:rsid w:val="00B32B1B"/>
    <w:rsid w:val="00B32B85"/>
    <w:rsid w:val="00B32BA7"/>
    <w:rsid w:val="00B32C60"/>
    <w:rsid w:val="00B32C8F"/>
    <w:rsid w:val="00B32CCB"/>
    <w:rsid w:val="00B32CFD"/>
    <w:rsid w:val="00B32D04"/>
    <w:rsid w:val="00B32D4E"/>
    <w:rsid w:val="00B32DB4"/>
    <w:rsid w:val="00B32DBC"/>
    <w:rsid w:val="00B32E48"/>
    <w:rsid w:val="00B32E57"/>
    <w:rsid w:val="00B32EE1"/>
    <w:rsid w:val="00B33041"/>
    <w:rsid w:val="00B3309A"/>
    <w:rsid w:val="00B330D7"/>
    <w:rsid w:val="00B3317D"/>
    <w:rsid w:val="00B331DA"/>
    <w:rsid w:val="00B33203"/>
    <w:rsid w:val="00B33293"/>
    <w:rsid w:val="00B33366"/>
    <w:rsid w:val="00B33429"/>
    <w:rsid w:val="00B33535"/>
    <w:rsid w:val="00B335AD"/>
    <w:rsid w:val="00B335FD"/>
    <w:rsid w:val="00B33632"/>
    <w:rsid w:val="00B336C7"/>
    <w:rsid w:val="00B33775"/>
    <w:rsid w:val="00B3378E"/>
    <w:rsid w:val="00B33840"/>
    <w:rsid w:val="00B33868"/>
    <w:rsid w:val="00B33883"/>
    <w:rsid w:val="00B338C9"/>
    <w:rsid w:val="00B33967"/>
    <w:rsid w:val="00B3396C"/>
    <w:rsid w:val="00B33974"/>
    <w:rsid w:val="00B33986"/>
    <w:rsid w:val="00B339FB"/>
    <w:rsid w:val="00B33A14"/>
    <w:rsid w:val="00B33A7B"/>
    <w:rsid w:val="00B33AD3"/>
    <w:rsid w:val="00B33AF8"/>
    <w:rsid w:val="00B33B1E"/>
    <w:rsid w:val="00B33B23"/>
    <w:rsid w:val="00B33B72"/>
    <w:rsid w:val="00B33B85"/>
    <w:rsid w:val="00B33BA5"/>
    <w:rsid w:val="00B33C8D"/>
    <w:rsid w:val="00B33CAA"/>
    <w:rsid w:val="00B33CC8"/>
    <w:rsid w:val="00B33CF0"/>
    <w:rsid w:val="00B33D85"/>
    <w:rsid w:val="00B33D98"/>
    <w:rsid w:val="00B33E18"/>
    <w:rsid w:val="00B33E5F"/>
    <w:rsid w:val="00B33EF3"/>
    <w:rsid w:val="00B33F13"/>
    <w:rsid w:val="00B33F1F"/>
    <w:rsid w:val="00B3406B"/>
    <w:rsid w:val="00B341D2"/>
    <w:rsid w:val="00B341DA"/>
    <w:rsid w:val="00B3420E"/>
    <w:rsid w:val="00B342A6"/>
    <w:rsid w:val="00B3431A"/>
    <w:rsid w:val="00B3433D"/>
    <w:rsid w:val="00B34442"/>
    <w:rsid w:val="00B344AB"/>
    <w:rsid w:val="00B344C8"/>
    <w:rsid w:val="00B34513"/>
    <w:rsid w:val="00B3459B"/>
    <w:rsid w:val="00B34657"/>
    <w:rsid w:val="00B3465C"/>
    <w:rsid w:val="00B346D7"/>
    <w:rsid w:val="00B34865"/>
    <w:rsid w:val="00B34892"/>
    <w:rsid w:val="00B34931"/>
    <w:rsid w:val="00B3499E"/>
    <w:rsid w:val="00B34B62"/>
    <w:rsid w:val="00B34B73"/>
    <w:rsid w:val="00B34B89"/>
    <w:rsid w:val="00B34BA8"/>
    <w:rsid w:val="00B34BC6"/>
    <w:rsid w:val="00B34C2E"/>
    <w:rsid w:val="00B34CF5"/>
    <w:rsid w:val="00B34D7A"/>
    <w:rsid w:val="00B34D95"/>
    <w:rsid w:val="00B34EB4"/>
    <w:rsid w:val="00B34F4A"/>
    <w:rsid w:val="00B34FE4"/>
    <w:rsid w:val="00B35033"/>
    <w:rsid w:val="00B35128"/>
    <w:rsid w:val="00B35168"/>
    <w:rsid w:val="00B351B0"/>
    <w:rsid w:val="00B351B2"/>
    <w:rsid w:val="00B351D4"/>
    <w:rsid w:val="00B351DE"/>
    <w:rsid w:val="00B3521C"/>
    <w:rsid w:val="00B35289"/>
    <w:rsid w:val="00B352D8"/>
    <w:rsid w:val="00B35364"/>
    <w:rsid w:val="00B35387"/>
    <w:rsid w:val="00B3538F"/>
    <w:rsid w:val="00B353AC"/>
    <w:rsid w:val="00B35459"/>
    <w:rsid w:val="00B35481"/>
    <w:rsid w:val="00B354E7"/>
    <w:rsid w:val="00B354F5"/>
    <w:rsid w:val="00B355B6"/>
    <w:rsid w:val="00B355FD"/>
    <w:rsid w:val="00B35644"/>
    <w:rsid w:val="00B35654"/>
    <w:rsid w:val="00B3565A"/>
    <w:rsid w:val="00B3567E"/>
    <w:rsid w:val="00B356FC"/>
    <w:rsid w:val="00B356FD"/>
    <w:rsid w:val="00B35713"/>
    <w:rsid w:val="00B3579F"/>
    <w:rsid w:val="00B357A5"/>
    <w:rsid w:val="00B357C2"/>
    <w:rsid w:val="00B35861"/>
    <w:rsid w:val="00B358E6"/>
    <w:rsid w:val="00B35907"/>
    <w:rsid w:val="00B359F2"/>
    <w:rsid w:val="00B35A17"/>
    <w:rsid w:val="00B35A61"/>
    <w:rsid w:val="00B35A7D"/>
    <w:rsid w:val="00B35ACF"/>
    <w:rsid w:val="00B35AE1"/>
    <w:rsid w:val="00B35BD9"/>
    <w:rsid w:val="00B35BDD"/>
    <w:rsid w:val="00B35BED"/>
    <w:rsid w:val="00B35C3C"/>
    <w:rsid w:val="00B35C92"/>
    <w:rsid w:val="00B35D33"/>
    <w:rsid w:val="00B35D6A"/>
    <w:rsid w:val="00B35E0B"/>
    <w:rsid w:val="00B35E38"/>
    <w:rsid w:val="00B35E69"/>
    <w:rsid w:val="00B35F75"/>
    <w:rsid w:val="00B35FD4"/>
    <w:rsid w:val="00B35FDC"/>
    <w:rsid w:val="00B3602E"/>
    <w:rsid w:val="00B36036"/>
    <w:rsid w:val="00B36042"/>
    <w:rsid w:val="00B36046"/>
    <w:rsid w:val="00B3619C"/>
    <w:rsid w:val="00B362B9"/>
    <w:rsid w:val="00B362E4"/>
    <w:rsid w:val="00B36362"/>
    <w:rsid w:val="00B363BE"/>
    <w:rsid w:val="00B36473"/>
    <w:rsid w:val="00B3647D"/>
    <w:rsid w:val="00B3647F"/>
    <w:rsid w:val="00B36485"/>
    <w:rsid w:val="00B3649F"/>
    <w:rsid w:val="00B364C3"/>
    <w:rsid w:val="00B364D9"/>
    <w:rsid w:val="00B36586"/>
    <w:rsid w:val="00B367B4"/>
    <w:rsid w:val="00B367B7"/>
    <w:rsid w:val="00B36812"/>
    <w:rsid w:val="00B368DA"/>
    <w:rsid w:val="00B36907"/>
    <w:rsid w:val="00B36A61"/>
    <w:rsid w:val="00B36AD5"/>
    <w:rsid w:val="00B36ADE"/>
    <w:rsid w:val="00B36B37"/>
    <w:rsid w:val="00B36C29"/>
    <w:rsid w:val="00B36C80"/>
    <w:rsid w:val="00B36CA5"/>
    <w:rsid w:val="00B36CCA"/>
    <w:rsid w:val="00B36D11"/>
    <w:rsid w:val="00B36D2A"/>
    <w:rsid w:val="00B36DBF"/>
    <w:rsid w:val="00B36DF8"/>
    <w:rsid w:val="00B36E2E"/>
    <w:rsid w:val="00B36F5E"/>
    <w:rsid w:val="00B36FB9"/>
    <w:rsid w:val="00B36FDF"/>
    <w:rsid w:val="00B370B6"/>
    <w:rsid w:val="00B3715D"/>
    <w:rsid w:val="00B3716F"/>
    <w:rsid w:val="00B37187"/>
    <w:rsid w:val="00B3718D"/>
    <w:rsid w:val="00B37261"/>
    <w:rsid w:val="00B372D4"/>
    <w:rsid w:val="00B372EA"/>
    <w:rsid w:val="00B374AE"/>
    <w:rsid w:val="00B37524"/>
    <w:rsid w:val="00B37543"/>
    <w:rsid w:val="00B37563"/>
    <w:rsid w:val="00B37585"/>
    <w:rsid w:val="00B37740"/>
    <w:rsid w:val="00B37765"/>
    <w:rsid w:val="00B37870"/>
    <w:rsid w:val="00B37A15"/>
    <w:rsid w:val="00B37A2B"/>
    <w:rsid w:val="00B37A59"/>
    <w:rsid w:val="00B37A7F"/>
    <w:rsid w:val="00B37AB6"/>
    <w:rsid w:val="00B37B3B"/>
    <w:rsid w:val="00B37BA0"/>
    <w:rsid w:val="00B37C46"/>
    <w:rsid w:val="00B37C99"/>
    <w:rsid w:val="00B37CA1"/>
    <w:rsid w:val="00B37CAB"/>
    <w:rsid w:val="00B37D03"/>
    <w:rsid w:val="00B37D84"/>
    <w:rsid w:val="00B37DA6"/>
    <w:rsid w:val="00B37DDD"/>
    <w:rsid w:val="00B37E0D"/>
    <w:rsid w:val="00B37EAA"/>
    <w:rsid w:val="00B37F32"/>
    <w:rsid w:val="00B37F43"/>
    <w:rsid w:val="00B37F5B"/>
    <w:rsid w:val="00B37F83"/>
    <w:rsid w:val="00B37FAB"/>
    <w:rsid w:val="00B37FD7"/>
    <w:rsid w:val="00B40012"/>
    <w:rsid w:val="00B4006B"/>
    <w:rsid w:val="00B4008A"/>
    <w:rsid w:val="00B40091"/>
    <w:rsid w:val="00B40139"/>
    <w:rsid w:val="00B401E0"/>
    <w:rsid w:val="00B4021B"/>
    <w:rsid w:val="00B40239"/>
    <w:rsid w:val="00B40350"/>
    <w:rsid w:val="00B4036B"/>
    <w:rsid w:val="00B403D0"/>
    <w:rsid w:val="00B40421"/>
    <w:rsid w:val="00B4042C"/>
    <w:rsid w:val="00B4042D"/>
    <w:rsid w:val="00B40432"/>
    <w:rsid w:val="00B4047A"/>
    <w:rsid w:val="00B4048C"/>
    <w:rsid w:val="00B404E1"/>
    <w:rsid w:val="00B404E2"/>
    <w:rsid w:val="00B405AB"/>
    <w:rsid w:val="00B40671"/>
    <w:rsid w:val="00B406F7"/>
    <w:rsid w:val="00B4080E"/>
    <w:rsid w:val="00B40815"/>
    <w:rsid w:val="00B4082A"/>
    <w:rsid w:val="00B408C9"/>
    <w:rsid w:val="00B408FB"/>
    <w:rsid w:val="00B40902"/>
    <w:rsid w:val="00B40917"/>
    <w:rsid w:val="00B4094B"/>
    <w:rsid w:val="00B4095F"/>
    <w:rsid w:val="00B40991"/>
    <w:rsid w:val="00B40A67"/>
    <w:rsid w:val="00B40AC0"/>
    <w:rsid w:val="00B40AD3"/>
    <w:rsid w:val="00B40B32"/>
    <w:rsid w:val="00B40B3C"/>
    <w:rsid w:val="00B40BAB"/>
    <w:rsid w:val="00B40BDE"/>
    <w:rsid w:val="00B40C97"/>
    <w:rsid w:val="00B40D1D"/>
    <w:rsid w:val="00B40E0B"/>
    <w:rsid w:val="00B40F26"/>
    <w:rsid w:val="00B40F2E"/>
    <w:rsid w:val="00B411A1"/>
    <w:rsid w:val="00B411F4"/>
    <w:rsid w:val="00B4121E"/>
    <w:rsid w:val="00B4126F"/>
    <w:rsid w:val="00B4129C"/>
    <w:rsid w:val="00B4130F"/>
    <w:rsid w:val="00B41322"/>
    <w:rsid w:val="00B413A3"/>
    <w:rsid w:val="00B413E3"/>
    <w:rsid w:val="00B41439"/>
    <w:rsid w:val="00B414FB"/>
    <w:rsid w:val="00B41582"/>
    <w:rsid w:val="00B415A7"/>
    <w:rsid w:val="00B4161B"/>
    <w:rsid w:val="00B4169D"/>
    <w:rsid w:val="00B416EF"/>
    <w:rsid w:val="00B416FF"/>
    <w:rsid w:val="00B417B7"/>
    <w:rsid w:val="00B4184F"/>
    <w:rsid w:val="00B4185C"/>
    <w:rsid w:val="00B41888"/>
    <w:rsid w:val="00B4194B"/>
    <w:rsid w:val="00B41962"/>
    <w:rsid w:val="00B41A58"/>
    <w:rsid w:val="00B41A86"/>
    <w:rsid w:val="00B41AD4"/>
    <w:rsid w:val="00B41AF4"/>
    <w:rsid w:val="00B41BF4"/>
    <w:rsid w:val="00B41CBF"/>
    <w:rsid w:val="00B41CD1"/>
    <w:rsid w:val="00B41CE0"/>
    <w:rsid w:val="00B41CE9"/>
    <w:rsid w:val="00B41DC3"/>
    <w:rsid w:val="00B41E9C"/>
    <w:rsid w:val="00B41EED"/>
    <w:rsid w:val="00B41F32"/>
    <w:rsid w:val="00B41FA9"/>
    <w:rsid w:val="00B42082"/>
    <w:rsid w:val="00B42150"/>
    <w:rsid w:val="00B421D5"/>
    <w:rsid w:val="00B4227A"/>
    <w:rsid w:val="00B42290"/>
    <w:rsid w:val="00B42361"/>
    <w:rsid w:val="00B423A1"/>
    <w:rsid w:val="00B423BD"/>
    <w:rsid w:val="00B423CE"/>
    <w:rsid w:val="00B4242E"/>
    <w:rsid w:val="00B424D8"/>
    <w:rsid w:val="00B424DD"/>
    <w:rsid w:val="00B4253D"/>
    <w:rsid w:val="00B425AC"/>
    <w:rsid w:val="00B425AD"/>
    <w:rsid w:val="00B425F5"/>
    <w:rsid w:val="00B42636"/>
    <w:rsid w:val="00B4263A"/>
    <w:rsid w:val="00B4263F"/>
    <w:rsid w:val="00B426F4"/>
    <w:rsid w:val="00B426FC"/>
    <w:rsid w:val="00B42772"/>
    <w:rsid w:val="00B427F9"/>
    <w:rsid w:val="00B42802"/>
    <w:rsid w:val="00B42830"/>
    <w:rsid w:val="00B4293F"/>
    <w:rsid w:val="00B4298C"/>
    <w:rsid w:val="00B429CA"/>
    <w:rsid w:val="00B429EC"/>
    <w:rsid w:val="00B42A2B"/>
    <w:rsid w:val="00B42AD4"/>
    <w:rsid w:val="00B42AF8"/>
    <w:rsid w:val="00B42B21"/>
    <w:rsid w:val="00B42B4A"/>
    <w:rsid w:val="00B42C91"/>
    <w:rsid w:val="00B42CB7"/>
    <w:rsid w:val="00B42D12"/>
    <w:rsid w:val="00B42DA4"/>
    <w:rsid w:val="00B42E60"/>
    <w:rsid w:val="00B42EB6"/>
    <w:rsid w:val="00B42F58"/>
    <w:rsid w:val="00B42FA4"/>
    <w:rsid w:val="00B42FD9"/>
    <w:rsid w:val="00B4301A"/>
    <w:rsid w:val="00B43054"/>
    <w:rsid w:val="00B43099"/>
    <w:rsid w:val="00B430B1"/>
    <w:rsid w:val="00B430C4"/>
    <w:rsid w:val="00B4314E"/>
    <w:rsid w:val="00B43168"/>
    <w:rsid w:val="00B43183"/>
    <w:rsid w:val="00B43189"/>
    <w:rsid w:val="00B431F3"/>
    <w:rsid w:val="00B43283"/>
    <w:rsid w:val="00B4332C"/>
    <w:rsid w:val="00B4337E"/>
    <w:rsid w:val="00B43518"/>
    <w:rsid w:val="00B4355F"/>
    <w:rsid w:val="00B43604"/>
    <w:rsid w:val="00B436C1"/>
    <w:rsid w:val="00B4370B"/>
    <w:rsid w:val="00B43725"/>
    <w:rsid w:val="00B437C7"/>
    <w:rsid w:val="00B437CE"/>
    <w:rsid w:val="00B43826"/>
    <w:rsid w:val="00B43863"/>
    <w:rsid w:val="00B438F0"/>
    <w:rsid w:val="00B439D2"/>
    <w:rsid w:val="00B439D5"/>
    <w:rsid w:val="00B43A03"/>
    <w:rsid w:val="00B43A2B"/>
    <w:rsid w:val="00B43A2E"/>
    <w:rsid w:val="00B43A4E"/>
    <w:rsid w:val="00B43A8A"/>
    <w:rsid w:val="00B43AD9"/>
    <w:rsid w:val="00B43ADD"/>
    <w:rsid w:val="00B43AF3"/>
    <w:rsid w:val="00B43B93"/>
    <w:rsid w:val="00B43BE5"/>
    <w:rsid w:val="00B43C21"/>
    <w:rsid w:val="00B43C6B"/>
    <w:rsid w:val="00B43C6D"/>
    <w:rsid w:val="00B43C84"/>
    <w:rsid w:val="00B43C8B"/>
    <w:rsid w:val="00B43CBA"/>
    <w:rsid w:val="00B43D03"/>
    <w:rsid w:val="00B43D72"/>
    <w:rsid w:val="00B43E25"/>
    <w:rsid w:val="00B43E65"/>
    <w:rsid w:val="00B43E95"/>
    <w:rsid w:val="00B43EAE"/>
    <w:rsid w:val="00B43ED5"/>
    <w:rsid w:val="00B43EFD"/>
    <w:rsid w:val="00B43F11"/>
    <w:rsid w:val="00B43F3C"/>
    <w:rsid w:val="00B43F42"/>
    <w:rsid w:val="00B43F56"/>
    <w:rsid w:val="00B43F66"/>
    <w:rsid w:val="00B43FBD"/>
    <w:rsid w:val="00B43FC6"/>
    <w:rsid w:val="00B43FDC"/>
    <w:rsid w:val="00B43FDD"/>
    <w:rsid w:val="00B44005"/>
    <w:rsid w:val="00B440E2"/>
    <w:rsid w:val="00B44180"/>
    <w:rsid w:val="00B441FF"/>
    <w:rsid w:val="00B44294"/>
    <w:rsid w:val="00B442D1"/>
    <w:rsid w:val="00B44360"/>
    <w:rsid w:val="00B44418"/>
    <w:rsid w:val="00B4445A"/>
    <w:rsid w:val="00B444D9"/>
    <w:rsid w:val="00B444E9"/>
    <w:rsid w:val="00B444F5"/>
    <w:rsid w:val="00B44521"/>
    <w:rsid w:val="00B44566"/>
    <w:rsid w:val="00B4459E"/>
    <w:rsid w:val="00B445A0"/>
    <w:rsid w:val="00B445DF"/>
    <w:rsid w:val="00B4465A"/>
    <w:rsid w:val="00B44695"/>
    <w:rsid w:val="00B44720"/>
    <w:rsid w:val="00B44733"/>
    <w:rsid w:val="00B44749"/>
    <w:rsid w:val="00B4476F"/>
    <w:rsid w:val="00B4478D"/>
    <w:rsid w:val="00B447E8"/>
    <w:rsid w:val="00B447EE"/>
    <w:rsid w:val="00B44807"/>
    <w:rsid w:val="00B44876"/>
    <w:rsid w:val="00B448B7"/>
    <w:rsid w:val="00B44908"/>
    <w:rsid w:val="00B449A9"/>
    <w:rsid w:val="00B44A01"/>
    <w:rsid w:val="00B44A67"/>
    <w:rsid w:val="00B44B41"/>
    <w:rsid w:val="00B44CD8"/>
    <w:rsid w:val="00B44CFA"/>
    <w:rsid w:val="00B44DFA"/>
    <w:rsid w:val="00B44E2D"/>
    <w:rsid w:val="00B44EFF"/>
    <w:rsid w:val="00B44F66"/>
    <w:rsid w:val="00B44FDF"/>
    <w:rsid w:val="00B44FFA"/>
    <w:rsid w:val="00B45054"/>
    <w:rsid w:val="00B450E5"/>
    <w:rsid w:val="00B451C9"/>
    <w:rsid w:val="00B451E3"/>
    <w:rsid w:val="00B4524D"/>
    <w:rsid w:val="00B45268"/>
    <w:rsid w:val="00B4527C"/>
    <w:rsid w:val="00B4529C"/>
    <w:rsid w:val="00B452A4"/>
    <w:rsid w:val="00B45325"/>
    <w:rsid w:val="00B45370"/>
    <w:rsid w:val="00B45381"/>
    <w:rsid w:val="00B453BC"/>
    <w:rsid w:val="00B453FE"/>
    <w:rsid w:val="00B45403"/>
    <w:rsid w:val="00B4545F"/>
    <w:rsid w:val="00B45476"/>
    <w:rsid w:val="00B45563"/>
    <w:rsid w:val="00B4563E"/>
    <w:rsid w:val="00B45642"/>
    <w:rsid w:val="00B4570C"/>
    <w:rsid w:val="00B45764"/>
    <w:rsid w:val="00B457CC"/>
    <w:rsid w:val="00B45834"/>
    <w:rsid w:val="00B458D0"/>
    <w:rsid w:val="00B458E8"/>
    <w:rsid w:val="00B458FB"/>
    <w:rsid w:val="00B459BE"/>
    <w:rsid w:val="00B45AD2"/>
    <w:rsid w:val="00B45AD9"/>
    <w:rsid w:val="00B45C4C"/>
    <w:rsid w:val="00B45CE1"/>
    <w:rsid w:val="00B45D96"/>
    <w:rsid w:val="00B45DCA"/>
    <w:rsid w:val="00B45DF5"/>
    <w:rsid w:val="00B45E0E"/>
    <w:rsid w:val="00B45F14"/>
    <w:rsid w:val="00B45F19"/>
    <w:rsid w:val="00B45F72"/>
    <w:rsid w:val="00B45FE7"/>
    <w:rsid w:val="00B46011"/>
    <w:rsid w:val="00B46041"/>
    <w:rsid w:val="00B460DD"/>
    <w:rsid w:val="00B46190"/>
    <w:rsid w:val="00B4619E"/>
    <w:rsid w:val="00B461C8"/>
    <w:rsid w:val="00B461EB"/>
    <w:rsid w:val="00B46265"/>
    <w:rsid w:val="00B4628E"/>
    <w:rsid w:val="00B46337"/>
    <w:rsid w:val="00B463EC"/>
    <w:rsid w:val="00B4643D"/>
    <w:rsid w:val="00B46444"/>
    <w:rsid w:val="00B464B3"/>
    <w:rsid w:val="00B464CE"/>
    <w:rsid w:val="00B465CD"/>
    <w:rsid w:val="00B4660F"/>
    <w:rsid w:val="00B46622"/>
    <w:rsid w:val="00B4665C"/>
    <w:rsid w:val="00B4666A"/>
    <w:rsid w:val="00B466E6"/>
    <w:rsid w:val="00B466E7"/>
    <w:rsid w:val="00B46752"/>
    <w:rsid w:val="00B46787"/>
    <w:rsid w:val="00B467D5"/>
    <w:rsid w:val="00B468B7"/>
    <w:rsid w:val="00B46998"/>
    <w:rsid w:val="00B46A60"/>
    <w:rsid w:val="00B46AEE"/>
    <w:rsid w:val="00B46AFE"/>
    <w:rsid w:val="00B46B02"/>
    <w:rsid w:val="00B46B3F"/>
    <w:rsid w:val="00B46B5A"/>
    <w:rsid w:val="00B46B81"/>
    <w:rsid w:val="00B46C0A"/>
    <w:rsid w:val="00B46CA9"/>
    <w:rsid w:val="00B46CBE"/>
    <w:rsid w:val="00B46CC4"/>
    <w:rsid w:val="00B46D24"/>
    <w:rsid w:val="00B46DE4"/>
    <w:rsid w:val="00B46ED3"/>
    <w:rsid w:val="00B46FED"/>
    <w:rsid w:val="00B46FF4"/>
    <w:rsid w:val="00B47003"/>
    <w:rsid w:val="00B47006"/>
    <w:rsid w:val="00B4702D"/>
    <w:rsid w:val="00B470F4"/>
    <w:rsid w:val="00B47119"/>
    <w:rsid w:val="00B47127"/>
    <w:rsid w:val="00B47149"/>
    <w:rsid w:val="00B4716E"/>
    <w:rsid w:val="00B471A5"/>
    <w:rsid w:val="00B471BD"/>
    <w:rsid w:val="00B4720C"/>
    <w:rsid w:val="00B47312"/>
    <w:rsid w:val="00B47374"/>
    <w:rsid w:val="00B473C8"/>
    <w:rsid w:val="00B47417"/>
    <w:rsid w:val="00B47458"/>
    <w:rsid w:val="00B4749E"/>
    <w:rsid w:val="00B474C5"/>
    <w:rsid w:val="00B47527"/>
    <w:rsid w:val="00B47586"/>
    <w:rsid w:val="00B475B1"/>
    <w:rsid w:val="00B475F4"/>
    <w:rsid w:val="00B47606"/>
    <w:rsid w:val="00B47628"/>
    <w:rsid w:val="00B4780C"/>
    <w:rsid w:val="00B47832"/>
    <w:rsid w:val="00B478DE"/>
    <w:rsid w:val="00B478F5"/>
    <w:rsid w:val="00B47976"/>
    <w:rsid w:val="00B4797A"/>
    <w:rsid w:val="00B479C5"/>
    <w:rsid w:val="00B479E9"/>
    <w:rsid w:val="00B47A3D"/>
    <w:rsid w:val="00B47A5E"/>
    <w:rsid w:val="00B47A92"/>
    <w:rsid w:val="00B47AB4"/>
    <w:rsid w:val="00B47B29"/>
    <w:rsid w:val="00B47B4A"/>
    <w:rsid w:val="00B47B51"/>
    <w:rsid w:val="00B47C28"/>
    <w:rsid w:val="00B47CAA"/>
    <w:rsid w:val="00B47D18"/>
    <w:rsid w:val="00B47D20"/>
    <w:rsid w:val="00B47D21"/>
    <w:rsid w:val="00B47D66"/>
    <w:rsid w:val="00B47D8C"/>
    <w:rsid w:val="00B47D8D"/>
    <w:rsid w:val="00B47E71"/>
    <w:rsid w:val="00B47E80"/>
    <w:rsid w:val="00B47EF0"/>
    <w:rsid w:val="00B47F00"/>
    <w:rsid w:val="00B47F08"/>
    <w:rsid w:val="00B47F38"/>
    <w:rsid w:val="00B47F49"/>
    <w:rsid w:val="00B50067"/>
    <w:rsid w:val="00B500B0"/>
    <w:rsid w:val="00B50165"/>
    <w:rsid w:val="00B501F9"/>
    <w:rsid w:val="00B50262"/>
    <w:rsid w:val="00B502BB"/>
    <w:rsid w:val="00B5033F"/>
    <w:rsid w:val="00B5035C"/>
    <w:rsid w:val="00B503C2"/>
    <w:rsid w:val="00B50452"/>
    <w:rsid w:val="00B5046E"/>
    <w:rsid w:val="00B5055A"/>
    <w:rsid w:val="00B50586"/>
    <w:rsid w:val="00B505D9"/>
    <w:rsid w:val="00B5060F"/>
    <w:rsid w:val="00B50659"/>
    <w:rsid w:val="00B50678"/>
    <w:rsid w:val="00B506A7"/>
    <w:rsid w:val="00B506F8"/>
    <w:rsid w:val="00B50719"/>
    <w:rsid w:val="00B50730"/>
    <w:rsid w:val="00B5075A"/>
    <w:rsid w:val="00B507B4"/>
    <w:rsid w:val="00B507E7"/>
    <w:rsid w:val="00B50823"/>
    <w:rsid w:val="00B5083B"/>
    <w:rsid w:val="00B5086E"/>
    <w:rsid w:val="00B50927"/>
    <w:rsid w:val="00B5092C"/>
    <w:rsid w:val="00B5094D"/>
    <w:rsid w:val="00B5095C"/>
    <w:rsid w:val="00B50960"/>
    <w:rsid w:val="00B5099C"/>
    <w:rsid w:val="00B509B9"/>
    <w:rsid w:val="00B509C9"/>
    <w:rsid w:val="00B50A08"/>
    <w:rsid w:val="00B50AEA"/>
    <w:rsid w:val="00B50AFB"/>
    <w:rsid w:val="00B50B6D"/>
    <w:rsid w:val="00B50B7F"/>
    <w:rsid w:val="00B50C19"/>
    <w:rsid w:val="00B50C4C"/>
    <w:rsid w:val="00B50CA8"/>
    <w:rsid w:val="00B50CD6"/>
    <w:rsid w:val="00B50D73"/>
    <w:rsid w:val="00B50E46"/>
    <w:rsid w:val="00B50EE9"/>
    <w:rsid w:val="00B50F04"/>
    <w:rsid w:val="00B5103F"/>
    <w:rsid w:val="00B51068"/>
    <w:rsid w:val="00B510AE"/>
    <w:rsid w:val="00B510FA"/>
    <w:rsid w:val="00B51102"/>
    <w:rsid w:val="00B51176"/>
    <w:rsid w:val="00B5118C"/>
    <w:rsid w:val="00B5124D"/>
    <w:rsid w:val="00B51277"/>
    <w:rsid w:val="00B512EF"/>
    <w:rsid w:val="00B51306"/>
    <w:rsid w:val="00B513E3"/>
    <w:rsid w:val="00B513EC"/>
    <w:rsid w:val="00B514DA"/>
    <w:rsid w:val="00B5156D"/>
    <w:rsid w:val="00B51619"/>
    <w:rsid w:val="00B51639"/>
    <w:rsid w:val="00B51732"/>
    <w:rsid w:val="00B517D4"/>
    <w:rsid w:val="00B517D7"/>
    <w:rsid w:val="00B517DB"/>
    <w:rsid w:val="00B517E6"/>
    <w:rsid w:val="00B51826"/>
    <w:rsid w:val="00B5185F"/>
    <w:rsid w:val="00B51882"/>
    <w:rsid w:val="00B51917"/>
    <w:rsid w:val="00B5196E"/>
    <w:rsid w:val="00B51A27"/>
    <w:rsid w:val="00B51AC3"/>
    <w:rsid w:val="00B51B32"/>
    <w:rsid w:val="00B51B87"/>
    <w:rsid w:val="00B51B8B"/>
    <w:rsid w:val="00B51B94"/>
    <w:rsid w:val="00B51BA6"/>
    <w:rsid w:val="00B51C3A"/>
    <w:rsid w:val="00B51CFF"/>
    <w:rsid w:val="00B51D30"/>
    <w:rsid w:val="00B51DA1"/>
    <w:rsid w:val="00B51DE1"/>
    <w:rsid w:val="00B51DF2"/>
    <w:rsid w:val="00B51E17"/>
    <w:rsid w:val="00B51E1F"/>
    <w:rsid w:val="00B51E62"/>
    <w:rsid w:val="00B51FD4"/>
    <w:rsid w:val="00B52060"/>
    <w:rsid w:val="00B5209F"/>
    <w:rsid w:val="00B52118"/>
    <w:rsid w:val="00B521B8"/>
    <w:rsid w:val="00B52329"/>
    <w:rsid w:val="00B52368"/>
    <w:rsid w:val="00B52378"/>
    <w:rsid w:val="00B52429"/>
    <w:rsid w:val="00B5243D"/>
    <w:rsid w:val="00B524EC"/>
    <w:rsid w:val="00B524FA"/>
    <w:rsid w:val="00B52540"/>
    <w:rsid w:val="00B52552"/>
    <w:rsid w:val="00B52563"/>
    <w:rsid w:val="00B525AD"/>
    <w:rsid w:val="00B52670"/>
    <w:rsid w:val="00B52695"/>
    <w:rsid w:val="00B5272C"/>
    <w:rsid w:val="00B52759"/>
    <w:rsid w:val="00B527B9"/>
    <w:rsid w:val="00B528DE"/>
    <w:rsid w:val="00B528E9"/>
    <w:rsid w:val="00B529AA"/>
    <w:rsid w:val="00B52A78"/>
    <w:rsid w:val="00B52ACB"/>
    <w:rsid w:val="00B52B5A"/>
    <w:rsid w:val="00B52B5B"/>
    <w:rsid w:val="00B52B70"/>
    <w:rsid w:val="00B52B71"/>
    <w:rsid w:val="00B52BA3"/>
    <w:rsid w:val="00B52C42"/>
    <w:rsid w:val="00B52C9E"/>
    <w:rsid w:val="00B52CDE"/>
    <w:rsid w:val="00B52D30"/>
    <w:rsid w:val="00B52DAD"/>
    <w:rsid w:val="00B52DE0"/>
    <w:rsid w:val="00B52DF8"/>
    <w:rsid w:val="00B52E53"/>
    <w:rsid w:val="00B52E6C"/>
    <w:rsid w:val="00B52E8A"/>
    <w:rsid w:val="00B52E8B"/>
    <w:rsid w:val="00B52EA3"/>
    <w:rsid w:val="00B52EB8"/>
    <w:rsid w:val="00B52EF0"/>
    <w:rsid w:val="00B52F3F"/>
    <w:rsid w:val="00B52F48"/>
    <w:rsid w:val="00B52F51"/>
    <w:rsid w:val="00B52F56"/>
    <w:rsid w:val="00B52FBA"/>
    <w:rsid w:val="00B5310D"/>
    <w:rsid w:val="00B53125"/>
    <w:rsid w:val="00B53201"/>
    <w:rsid w:val="00B5327E"/>
    <w:rsid w:val="00B532D6"/>
    <w:rsid w:val="00B5333C"/>
    <w:rsid w:val="00B53409"/>
    <w:rsid w:val="00B53419"/>
    <w:rsid w:val="00B53465"/>
    <w:rsid w:val="00B535BD"/>
    <w:rsid w:val="00B5364D"/>
    <w:rsid w:val="00B53663"/>
    <w:rsid w:val="00B53778"/>
    <w:rsid w:val="00B5379B"/>
    <w:rsid w:val="00B53838"/>
    <w:rsid w:val="00B5383E"/>
    <w:rsid w:val="00B53857"/>
    <w:rsid w:val="00B538BB"/>
    <w:rsid w:val="00B53A2E"/>
    <w:rsid w:val="00B53A7E"/>
    <w:rsid w:val="00B53A8E"/>
    <w:rsid w:val="00B53AA9"/>
    <w:rsid w:val="00B53AAC"/>
    <w:rsid w:val="00B53AC3"/>
    <w:rsid w:val="00B53B30"/>
    <w:rsid w:val="00B53B6F"/>
    <w:rsid w:val="00B53B8C"/>
    <w:rsid w:val="00B53C71"/>
    <w:rsid w:val="00B53CCC"/>
    <w:rsid w:val="00B53CEE"/>
    <w:rsid w:val="00B53D56"/>
    <w:rsid w:val="00B53E16"/>
    <w:rsid w:val="00B53E92"/>
    <w:rsid w:val="00B53EAB"/>
    <w:rsid w:val="00B53F15"/>
    <w:rsid w:val="00B53FC0"/>
    <w:rsid w:val="00B53FC1"/>
    <w:rsid w:val="00B54018"/>
    <w:rsid w:val="00B54030"/>
    <w:rsid w:val="00B54044"/>
    <w:rsid w:val="00B540B2"/>
    <w:rsid w:val="00B54103"/>
    <w:rsid w:val="00B54219"/>
    <w:rsid w:val="00B54260"/>
    <w:rsid w:val="00B542CE"/>
    <w:rsid w:val="00B542D5"/>
    <w:rsid w:val="00B542EB"/>
    <w:rsid w:val="00B54379"/>
    <w:rsid w:val="00B543BC"/>
    <w:rsid w:val="00B543E3"/>
    <w:rsid w:val="00B543ED"/>
    <w:rsid w:val="00B54439"/>
    <w:rsid w:val="00B54469"/>
    <w:rsid w:val="00B544C6"/>
    <w:rsid w:val="00B544DB"/>
    <w:rsid w:val="00B5451F"/>
    <w:rsid w:val="00B54521"/>
    <w:rsid w:val="00B54570"/>
    <w:rsid w:val="00B5458B"/>
    <w:rsid w:val="00B545CD"/>
    <w:rsid w:val="00B5462E"/>
    <w:rsid w:val="00B54682"/>
    <w:rsid w:val="00B546C6"/>
    <w:rsid w:val="00B546F7"/>
    <w:rsid w:val="00B54719"/>
    <w:rsid w:val="00B547FA"/>
    <w:rsid w:val="00B54812"/>
    <w:rsid w:val="00B54853"/>
    <w:rsid w:val="00B54858"/>
    <w:rsid w:val="00B548D1"/>
    <w:rsid w:val="00B548D4"/>
    <w:rsid w:val="00B548E5"/>
    <w:rsid w:val="00B54925"/>
    <w:rsid w:val="00B5492E"/>
    <w:rsid w:val="00B54946"/>
    <w:rsid w:val="00B549FA"/>
    <w:rsid w:val="00B54A34"/>
    <w:rsid w:val="00B54B9D"/>
    <w:rsid w:val="00B54BE9"/>
    <w:rsid w:val="00B54BF8"/>
    <w:rsid w:val="00B54C22"/>
    <w:rsid w:val="00B54CA6"/>
    <w:rsid w:val="00B54CB3"/>
    <w:rsid w:val="00B54CB8"/>
    <w:rsid w:val="00B54D0D"/>
    <w:rsid w:val="00B54D21"/>
    <w:rsid w:val="00B54E36"/>
    <w:rsid w:val="00B54E84"/>
    <w:rsid w:val="00B54F32"/>
    <w:rsid w:val="00B54F5A"/>
    <w:rsid w:val="00B54FB7"/>
    <w:rsid w:val="00B5505B"/>
    <w:rsid w:val="00B55068"/>
    <w:rsid w:val="00B55119"/>
    <w:rsid w:val="00B551F8"/>
    <w:rsid w:val="00B551FB"/>
    <w:rsid w:val="00B55252"/>
    <w:rsid w:val="00B5526D"/>
    <w:rsid w:val="00B5527B"/>
    <w:rsid w:val="00B55333"/>
    <w:rsid w:val="00B55470"/>
    <w:rsid w:val="00B55575"/>
    <w:rsid w:val="00B5557A"/>
    <w:rsid w:val="00B555B0"/>
    <w:rsid w:val="00B555ED"/>
    <w:rsid w:val="00B55691"/>
    <w:rsid w:val="00B55738"/>
    <w:rsid w:val="00B5578D"/>
    <w:rsid w:val="00B5587F"/>
    <w:rsid w:val="00B558E8"/>
    <w:rsid w:val="00B55933"/>
    <w:rsid w:val="00B55A96"/>
    <w:rsid w:val="00B55AE0"/>
    <w:rsid w:val="00B55AFF"/>
    <w:rsid w:val="00B55B9B"/>
    <w:rsid w:val="00B55BBF"/>
    <w:rsid w:val="00B55CB0"/>
    <w:rsid w:val="00B55CB2"/>
    <w:rsid w:val="00B55CB5"/>
    <w:rsid w:val="00B55E44"/>
    <w:rsid w:val="00B55E75"/>
    <w:rsid w:val="00B55E80"/>
    <w:rsid w:val="00B55E93"/>
    <w:rsid w:val="00B55F9A"/>
    <w:rsid w:val="00B55FB6"/>
    <w:rsid w:val="00B560A7"/>
    <w:rsid w:val="00B560DF"/>
    <w:rsid w:val="00B561B5"/>
    <w:rsid w:val="00B56276"/>
    <w:rsid w:val="00B5628F"/>
    <w:rsid w:val="00B562AD"/>
    <w:rsid w:val="00B563FC"/>
    <w:rsid w:val="00B564E6"/>
    <w:rsid w:val="00B56512"/>
    <w:rsid w:val="00B56523"/>
    <w:rsid w:val="00B5667E"/>
    <w:rsid w:val="00B5670B"/>
    <w:rsid w:val="00B56750"/>
    <w:rsid w:val="00B56768"/>
    <w:rsid w:val="00B567C0"/>
    <w:rsid w:val="00B567CF"/>
    <w:rsid w:val="00B567E0"/>
    <w:rsid w:val="00B5682D"/>
    <w:rsid w:val="00B568DC"/>
    <w:rsid w:val="00B56A5F"/>
    <w:rsid w:val="00B56B0A"/>
    <w:rsid w:val="00B56B35"/>
    <w:rsid w:val="00B56B5B"/>
    <w:rsid w:val="00B56B62"/>
    <w:rsid w:val="00B56B66"/>
    <w:rsid w:val="00B56C23"/>
    <w:rsid w:val="00B56CB3"/>
    <w:rsid w:val="00B56CDD"/>
    <w:rsid w:val="00B56CE7"/>
    <w:rsid w:val="00B56D9D"/>
    <w:rsid w:val="00B56DCF"/>
    <w:rsid w:val="00B56E83"/>
    <w:rsid w:val="00B56EC7"/>
    <w:rsid w:val="00B56F24"/>
    <w:rsid w:val="00B56F39"/>
    <w:rsid w:val="00B56F6B"/>
    <w:rsid w:val="00B56FEB"/>
    <w:rsid w:val="00B57025"/>
    <w:rsid w:val="00B570CD"/>
    <w:rsid w:val="00B572E2"/>
    <w:rsid w:val="00B573FA"/>
    <w:rsid w:val="00B57455"/>
    <w:rsid w:val="00B57482"/>
    <w:rsid w:val="00B574A6"/>
    <w:rsid w:val="00B575EB"/>
    <w:rsid w:val="00B576CF"/>
    <w:rsid w:val="00B5773D"/>
    <w:rsid w:val="00B57770"/>
    <w:rsid w:val="00B5778D"/>
    <w:rsid w:val="00B577BD"/>
    <w:rsid w:val="00B577C6"/>
    <w:rsid w:val="00B577E1"/>
    <w:rsid w:val="00B57995"/>
    <w:rsid w:val="00B579C3"/>
    <w:rsid w:val="00B579CF"/>
    <w:rsid w:val="00B57A25"/>
    <w:rsid w:val="00B57A78"/>
    <w:rsid w:val="00B57AB7"/>
    <w:rsid w:val="00B57AC2"/>
    <w:rsid w:val="00B57B05"/>
    <w:rsid w:val="00B57B37"/>
    <w:rsid w:val="00B57BF3"/>
    <w:rsid w:val="00B57C16"/>
    <w:rsid w:val="00B57C58"/>
    <w:rsid w:val="00B57C62"/>
    <w:rsid w:val="00B57C94"/>
    <w:rsid w:val="00B57E1D"/>
    <w:rsid w:val="00B57E40"/>
    <w:rsid w:val="00B57F19"/>
    <w:rsid w:val="00B57F6A"/>
    <w:rsid w:val="00B57FD4"/>
    <w:rsid w:val="00B60031"/>
    <w:rsid w:val="00B60042"/>
    <w:rsid w:val="00B60060"/>
    <w:rsid w:val="00B6008B"/>
    <w:rsid w:val="00B6010A"/>
    <w:rsid w:val="00B6014C"/>
    <w:rsid w:val="00B601C8"/>
    <w:rsid w:val="00B602A6"/>
    <w:rsid w:val="00B602CC"/>
    <w:rsid w:val="00B602E2"/>
    <w:rsid w:val="00B60361"/>
    <w:rsid w:val="00B60380"/>
    <w:rsid w:val="00B603D8"/>
    <w:rsid w:val="00B6049C"/>
    <w:rsid w:val="00B604ED"/>
    <w:rsid w:val="00B60586"/>
    <w:rsid w:val="00B60636"/>
    <w:rsid w:val="00B60676"/>
    <w:rsid w:val="00B6072C"/>
    <w:rsid w:val="00B60742"/>
    <w:rsid w:val="00B607E7"/>
    <w:rsid w:val="00B6081B"/>
    <w:rsid w:val="00B60848"/>
    <w:rsid w:val="00B608D4"/>
    <w:rsid w:val="00B60946"/>
    <w:rsid w:val="00B60982"/>
    <w:rsid w:val="00B609AE"/>
    <w:rsid w:val="00B609C2"/>
    <w:rsid w:val="00B60A71"/>
    <w:rsid w:val="00B60A7C"/>
    <w:rsid w:val="00B60A87"/>
    <w:rsid w:val="00B60AD7"/>
    <w:rsid w:val="00B60B0F"/>
    <w:rsid w:val="00B60B57"/>
    <w:rsid w:val="00B60B60"/>
    <w:rsid w:val="00B60B62"/>
    <w:rsid w:val="00B60BA4"/>
    <w:rsid w:val="00B60BE3"/>
    <w:rsid w:val="00B60C23"/>
    <w:rsid w:val="00B60C59"/>
    <w:rsid w:val="00B60CAB"/>
    <w:rsid w:val="00B60D5C"/>
    <w:rsid w:val="00B60DD7"/>
    <w:rsid w:val="00B60E41"/>
    <w:rsid w:val="00B60ECB"/>
    <w:rsid w:val="00B60F62"/>
    <w:rsid w:val="00B6100C"/>
    <w:rsid w:val="00B6103A"/>
    <w:rsid w:val="00B6106D"/>
    <w:rsid w:val="00B61082"/>
    <w:rsid w:val="00B610B1"/>
    <w:rsid w:val="00B61173"/>
    <w:rsid w:val="00B61183"/>
    <w:rsid w:val="00B6119B"/>
    <w:rsid w:val="00B61255"/>
    <w:rsid w:val="00B612A7"/>
    <w:rsid w:val="00B612C1"/>
    <w:rsid w:val="00B61383"/>
    <w:rsid w:val="00B61387"/>
    <w:rsid w:val="00B613BB"/>
    <w:rsid w:val="00B613C3"/>
    <w:rsid w:val="00B61409"/>
    <w:rsid w:val="00B61499"/>
    <w:rsid w:val="00B61570"/>
    <w:rsid w:val="00B615A3"/>
    <w:rsid w:val="00B615C9"/>
    <w:rsid w:val="00B61660"/>
    <w:rsid w:val="00B61693"/>
    <w:rsid w:val="00B616CB"/>
    <w:rsid w:val="00B61724"/>
    <w:rsid w:val="00B6173A"/>
    <w:rsid w:val="00B61763"/>
    <w:rsid w:val="00B61787"/>
    <w:rsid w:val="00B617C3"/>
    <w:rsid w:val="00B6190C"/>
    <w:rsid w:val="00B61914"/>
    <w:rsid w:val="00B61955"/>
    <w:rsid w:val="00B61972"/>
    <w:rsid w:val="00B61977"/>
    <w:rsid w:val="00B619C2"/>
    <w:rsid w:val="00B619D1"/>
    <w:rsid w:val="00B61B69"/>
    <w:rsid w:val="00B61CCA"/>
    <w:rsid w:val="00B61CD6"/>
    <w:rsid w:val="00B61CEE"/>
    <w:rsid w:val="00B61D1E"/>
    <w:rsid w:val="00B61DF7"/>
    <w:rsid w:val="00B61E19"/>
    <w:rsid w:val="00B61E1B"/>
    <w:rsid w:val="00B61F29"/>
    <w:rsid w:val="00B61FB3"/>
    <w:rsid w:val="00B61FC2"/>
    <w:rsid w:val="00B62012"/>
    <w:rsid w:val="00B62014"/>
    <w:rsid w:val="00B6202A"/>
    <w:rsid w:val="00B62030"/>
    <w:rsid w:val="00B62041"/>
    <w:rsid w:val="00B6204B"/>
    <w:rsid w:val="00B62089"/>
    <w:rsid w:val="00B62095"/>
    <w:rsid w:val="00B620FA"/>
    <w:rsid w:val="00B6218B"/>
    <w:rsid w:val="00B62193"/>
    <w:rsid w:val="00B622CC"/>
    <w:rsid w:val="00B62396"/>
    <w:rsid w:val="00B623DA"/>
    <w:rsid w:val="00B623EA"/>
    <w:rsid w:val="00B6243C"/>
    <w:rsid w:val="00B624D5"/>
    <w:rsid w:val="00B62525"/>
    <w:rsid w:val="00B6261A"/>
    <w:rsid w:val="00B6263C"/>
    <w:rsid w:val="00B62680"/>
    <w:rsid w:val="00B626DF"/>
    <w:rsid w:val="00B6272D"/>
    <w:rsid w:val="00B6275A"/>
    <w:rsid w:val="00B62780"/>
    <w:rsid w:val="00B6279D"/>
    <w:rsid w:val="00B62831"/>
    <w:rsid w:val="00B6284B"/>
    <w:rsid w:val="00B62886"/>
    <w:rsid w:val="00B628A6"/>
    <w:rsid w:val="00B628C1"/>
    <w:rsid w:val="00B62906"/>
    <w:rsid w:val="00B62960"/>
    <w:rsid w:val="00B62970"/>
    <w:rsid w:val="00B629B1"/>
    <w:rsid w:val="00B629D7"/>
    <w:rsid w:val="00B629E6"/>
    <w:rsid w:val="00B62A07"/>
    <w:rsid w:val="00B62A2F"/>
    <w:rsid w:val="00B62A3B"/>
    <w:rsid w:val="00B62B6A"/>
    <w:rsid w:val="00B62BC0"/>
    <w:rsid w:val="00B62C12"/>
    <w:rsid w:val="00B62C27"/>
    <w:rsid w:val="00B62C5D"/>
    <w:rsid w:val="00B62C6F"/>
    <w:rsid w:val="00B62C74"/>
    <w:rsid w:val="00B62CC0"/>
    <w:rsid w:val="00B62E0D"/>
    <w:rsid w:val="00B62E1A"/>
    <w:rsid w:val="00B62E20"/>
    <w:rsid w:val="00B62E2A"/>
    <w:rsid w:val="00B62E64"/>
    <w:rsid w:val="00B62FC7"/>
    <w:rsid w:val="00B62FDA"/>
    <w:rsid w:val="00B63024"/>
    <w:rsid w:val="00B63054"/>
    <w:rsid w:val="00B63077"/>
    <w:rsid w:val="00B6308F"/>
    <w:rsid w:val="00B6309B"/>
    <w:rsid w:val="00B63136"/>
    <w:rsid w:val="00B63141"/>
    <w:rsid w:val="00B63145"/>
    <w:rsid w:val="00B6317B"/>
    <w:rsid w:val="00B63201"/>
    <w:rsid w:val="00B63206"/>
    <w:rsid w:val="00B632B6"/>
    <w:rsid w:val="00B632BF"/>
    <w:rsid w:val="00B632D1"/>
    <w:rsid w:val="00B632D8"/>
    <w:rsid w:val="00B63301"/>
    <w:rsid w:val="00B63320"/>
    <w:rsid w:val="00B63334"/>
    <w:rsid w:val="00B63392"/>
    <w:rsid w:val="00B633A9"/>
    <w:rsid w:val="00B63452"/>
    <w:rsid w:val="00B634CA"/>
    <w:rsid w:val="00B6351B"/>
    <w:rsid w:val="00B6359B"/>
    <w:rsid w:val="00B635AB"/>
    <w:rsid w:val="00B63635"/>
    <w:rsid w:val="00B636F7"/>
    <w:rsid w:val="00B637D1"/>
    <w:rsid w:val="00B637E7"/>
    <w:rsid w:val="00B637E9"/>
    <w:rsid w:val="00B637F2"/>
    <w:rsid w:val="00B63834"/>
    <w:rsid w:val="00B63849"/>
    <w:rsid w:val="00B6387A"/>
    <w:rsid w:val="00B63909"/>
    <w:rsid w:val="00B63971"/>
    <w:rsid w:val="00B63AE1"/>
    <w:rsid w:val="00B63B01"/>
    <w:rsid w:val="00B63B4B"/>
    <w:rsid w:val="00B63B8C"/>
    <w:rsid w:val="00B63BD5"/>
    <w:rsid w:val="00B63C17"/>
    <w:rsid w:val="00B63C1C"/>
    <w:rsid w:val="00B63C20"/>
    <w:rsid w:val="00B63CBA"/>
    <w:rsid w:val="00B63D4E"/>
    <w:rsid w:val="00B63D5E"/>
    <w:rsid w:val="00B63D77"/>
    <w:rsid w:val="00B63E2F"/>
    <w:rsid w:val="00B63E6F"/>
    <w:rsid w:val="00B63EA8"/>
    <w:rsid w:val="00B63F14"/>
    <w:rsid w:val="00B63FC5"/>
    <w:rsid w:val="00B63FFD"/>
    <w:rsid w:val="00B63FFF"/>
    <w:rsid w:val="00B6400E"/>
    <w:rsid w:val="00B6401F"/>
    <w:rsid w:val="00B64034"/>
    <w:rsid w:val="00B6404F"/>
    <w:rsid w:val="00B64051"/>
    <w:rsid w:val="00B6407B"/>
    <w:rsid w:val="00B64095"/>
    <w:rsid w:val="00B6414E"/>
    <w:rsid w:val="00B64151"/>
    <w:rsid w:val="00B64179"/>
    <w:rsid w:val="00B641B7"/>
    <w:rsid w:val="00B64219"/>
    <w:rsid w:val="00B64257"/>
    <w:rsid w:val="00B64263"/>
    <w:rsid w:val="00B64322"/>
    <w:rsid w:val="00B64430"/>
    <w:rsid w:val="00B64431"/>
    <w:rsid w:val="00B644B0"/>
    <w:rsid w:val="00B64532"/>
    <w:rsid w:val="00B64557"/>
    <w:rsid w:val="00B64581"/>
    <w:rsid w:val="00B64589"/>
    <w:rsid w:val="00B64675"/>
    <w:rsid w:val="00B646FD"/>
    <w:rsid w:val="00B64705"/>
    <w:rsid w:val="00B64725"/>
    <w:rsid w:val="00B64768"/>
    <w:rsid w:val="00B647A6"/>
    <w:rsid w:val="00B647B1"/>
    <w:rsid w:val="00B648C2"/>
    <w:rsid w:val="00B648E0"/>
    <w:rsid w:val="00B648FD"/>
    <w:rsid w:val="00B6494B"/>
    <w:rsid w:val="00B6497C"/>
    <w:rsid w:val="00B64987"/>
    <w:rsid w:val="00B64A08"/>
    <w:rsid w:val="00B64A14"/>
    <w:rsid w:val="00B64A4E"/>
    <w:rsid w:val="00B64A94"/>
    <w:rsid w:val="00B64AA3"/>
    <w:rsid w:val="00B64B50"/>
    <w:rsid w:val="00B64BF1"/>
    <w:rsid w:val="00B64C22"/>
    <w:rsid w:val="00B64C4B"/>
    <w:rsid w:val="00B64C60"/>
    <w:rsid w:val="00B64C8C"/>
    <w:rsid w:val="00B64CD4"/>
    <w:rsid w:val="00B64D2C"/>
    <w:rsid w:val="00B64D52"/>
    <w:rsid w:val="00B64DFF"/>
    <w:rsid w:val="00B64E46"/>
    <w:rsid w:val="00B64E54"/>
    <w:rsid w:val="00B64E6C"/>
    <w:rsid w:val="00B64F11"/>
    <w:rsid w:val="00B64FAD"/>
    <w:rsid w:val="00B65070"/>
    <w:rsid w:val="00B65075"/>
    <w:rsid w:val="00B6507D"/>
    <w:rsid w:val="00B651CD"/>
    <w:rsid w:val="00B65277"/>
    <w:rsid w:val="00B652A4"/>
    <w:rsid w:val="00B65306"/>
    <w:rsid w:val="00B6531A"/>
    <w:rsid w:val="00B653BE"/>
    <w:rsid w:val="00B653C3"/>
    <w:rsid w:val="00B653EF"/>
    <w:rsid w:val="00B6540D"/>
    <w:rsid w:val="00B65475"/>
    <w:rsid w:val="00B6548D"/>
    <w:rsid w:val="00B654AD"/>
    <w:rsid w:val="00B654E6"/>
    <w:rsid w:val="00B6550C"/>
    <w:rsid w:val="00B6556F"/>
    <w:rsid w:val="00B655D9"/>
    <w:rsid w:val="00B6569D"/>
    <w:rsid w:val="00B6572F"/>
    <w:rsid w:val="00B65893"/>
    <w:rsid w:val="00B65922"/>
    <w:rsid w:val="00B6592E"/>
    <w:rsid w:val="00B6595B"/>
    <w:rsid w:val="00B65961"/>
    <w:rsid w:val="00B6599C"/>
    <w:rsid w:val="00B659FF"/>
    <w:rsid w:val="00B65A3F"/>
    <w:rsid w:val="00B65A63"/>
    <w:rsid w:val="00B65A6E"/>
    <w:rsid w:val="00B65A84"/>
    <w:rsid w:val="00B65A8C"/>
    <w:rsid w:val="00B65ACB"/>
    <w:rsid w:val="00B65AE8"/>
    <w:rsid w:val="00B65B15"/>
    <w:rsid w:val="00B65C40"/>
    <w:rsid w:val="00B65D19"/>
    <w:rsid w:val="00B65D54"/>
    <w:rsid w:val="00B65E22"/>
    <w:rsid w:val="00B65E59"/>
    <w:rsid w:val="00B65E84"/>
    <w:rsid w:val="00B65EBC"/>
    <w:rsid w:val="00B65FDB"/>
    <w:rsid w:val="00B66062"/>
    <w:rsid w:val="00B660F0"/>
    <w:rsid w:val="00B6624F"/>
    <w:rsid w:val="00B66268"/>
    <w:rsid w:val="00B662CD"/>
    <w:rsid w:val="00B662D7"/>
    <w:rsid w:val="00B662F2"/>
    <w:rsid w:val="00B6633F"/>
    <w:rsid w:val="00B66348"/>
    <w:rsid w:val="00B6636C"/>
    <w:rsid w:val="00B663B2"/>
    <w:rsid w:val="00B663F5"/>
    <w:rsid w:val="00B66469"/>
    <w:rsid w:val="00B66487"/>
    <w:rsid w:val="00B6649B"/>
    <w:rsid w:val="00B664AC"/>
    <w:rsid w:val="00B66545"/>
    <w:rsid w:val="00B66558"/>
    <w:rsid w:val="00B66562"/>
    <w:rsid w:val="00B6656A"/>
    <w:rsid w:val="00B66648"/>
    <w:rsid w:val="00B66685"/>
    <w:rsid w:val="00B666B3"/>
    <w:rsid w:val="00B666BF"/>
    <w:rsid w:val="00B666CE"/>
    <w:rsid w:val="00B6675B"/>
    <w:rsid w:val="00B66763"/>
    <w:rsid w:val="00B6681D"/>
    <w:rsid w:val="00B66845"/>
    <w:rsid w:val="00B66863"/>
    <w:rsid w:val="00B6689A"/>
    <w:rsid w:val="00B668F7"/>
    <w:rsid w:val="00B6692B"/>
    <w:rsid w:val="00B66969"/>
    <w:rsid w:val="00B66AE9"/>
    <w:rsid w:val="00B66B80"/>
    <w:rsid w:val="00B66C76"/>
    <w:rsid w:val="00B66C7D"/>
    <w:rsid w:val="00B66CC0"/>
    <w:rsid w:val="00B66CDF"/>
    <w:rsid w:val="00B66D09"/>
    <w:rsid w:val="00B66D1C"/>
    <w:rsid w:val="00B66D41"/>
    <w:rsid w:val="00B66D68"/>
    <w:rsid w:val="00B66E73"/>
    <w:rsid w:val="00B66EA6"/>
    <w:rsid w:val="00B66F62"/>
    <w:rsid w:val="00B66FD4"/>
    <w:rsid w:val="00B66FE2"/>
    <w:rsid w:val="00B6705A"/>
    <w:rsid w:val="00B670AC"/>
    <w:rsid w:val="00B670BC"/>
    <w:rsid w:val="00B670D0"/>
    <w:rsid w:val="00B670D2"/>
    <w:rsid w:val="00B670E5"/>
    <w:rsid w:val="00B6712B"/>
    <w:rsid w:val="00B67210"/>
    <w:rsid w:val="00B67235"/>
    <w:rsid w:val="00B672B0"/>
    <w:rsid w:val="00B67321"/>
    <w:rsid w:val="00B6737E"/>
    <w:rsid w:val="00B67382"/>
    <w:rsid w:val="00B674BC"/>
    <w:rsid w:val="00B674EE"/>
    <w:rsid w:val="00B67534"/>
    <w:rsid w:val="00B675D9"/>
    <w:rsid w:val="00B6761D"/>
    <w:rsid w:val="00B6768D"/>
    <w:rsid w:val="00B676F4"/>
    <w:rsid w:val="00B67724"/>
    <w:rsid w:val="00B67767"/>
    <w:rsid w:val="00B6776B"/>
    <w:rsid w:val="00B677A7"/>
    <w:rsid w:val="00B677DB"/>
    <w:rsid w:val="00B677F0"/>
    <w:rsid w:val="00B6787C"/>
    <w:rsid w:val="00B6788B"/>
    <w:rsid w:val="00B67895"/>
    <w:rsid w:val="00B67928"/>
    <w:rsid w:val="00B67945"/>
    <w:rsid w:val="00B679C8"/>
    <w:rsid w:val="00B67A06"/>
    <w:rsid w:val="00B67A5F"/>
    <w:rsid w:val="00B67AE6"/>
    <w:rsid w:val="00B67AF7"/>
    <w:rsid w:val="00B67BAD"/>
    <w:rsid w:val="00B67BBA"/>
    <w:rsid w:val="00B67BE5"/>
    <w:rsid w:val="00B67C02"/>
    <w:rsid w:val="00B67C69"/>
    <w:rsid w:val="00B67C73"/>
    <w:rsid w:val="00B67CA6"/>
    <w:rsid w:val="00B67CB1"/>
    <w:rsid w:val="00B67CB3"/>
    <w:rsid w:val="00B67D28"/>
    <w:rsid w:val="00B67D5F"/>
    <w:rsid w:val="00B67E1B"/>
    <w:rsid w:val="00B67E31"/>
    <w:rsid w:val="00B67E88"/>
    <w:rsid w:val="00B67E8E"/>
    <w:rsid w:val="00B67EF7"/>
    <w:rsid w:val="00B67F3D"/>
    <w:rsid w:val="00B67F77"/>
    <w:rsid w:val="00B67FA1"/>
    <w:rsid w:val="00B67FD8"/>
    <w:rsid w:val="00B70069"/>
    <w:rsid w:val="00B700A7"/>
    <w:rsid w:val="00B70190"/>
    <w:rsid w:val="00B7020C"/>
    <w:rsid w:val="00B70220"/>
    <w:rsid w:val="00B70226"/>
    <w:rsid w:val="00B703C1"/>
    <w:rsid w:val="00B7040B"/>
    <w:rsid w:val="00B704A4"/>
    <w:rsid w:val="00B7050D"/>
    <w:rsid w:val="00B70552"/>
    <w:rsid w:val="00B70561"/>
    <w:rsid w:val="00B705A4"/>
    <w:rsid w:val="00B705D5"/>
    <w:rsid w:val="00B705E6"/>
    <w:rsid w:val="00B7066B"/>
    <w:rsid w:val="00B70683"/>
    <w:rsid w:val="00B706C1"/>
    <w:rsid w:val="00B706D0"/>
    <w:rsid w:val="00B706F0"/>
    <w:rsid w:val="00B70728"/>
    <w:rsid w:val="00B7074B"/>
    <w:rsid w:val="00B7080A"/>
    <w:rsid w:val="00B7087B"/>
    <w:rsid w:val="00B708A7"/>
    <w:rsid w:val="00B708DB"/>
    <w:rsid w:val="00B708F2"/>
    <w:rsid w:val="00B70942"/>
    <w:rsid w:val="00B70948"/>
    <w:rsid w:val="00B70977"/>
    <w:rsid w:val="00B709EF"/>
    <w:rsid w:val="00B70A1C"/>
    <w:rsid w:val="00B70A7A"/>
    <w:rsid w:val="00B70B34"/>
    <w:rsid w:val="00B70B70"/>
    <w:rsid w:val="00B70C4C"/>
    <w:rsid w:val="00B70C72"/>
    <w:rsid w:val="00B70D58"/>
    <w:rsid w:val="00B70D78"/>
    <w:rsid w:val="00B70DDF"/>
    <w:rsid w:val="00B70E2A"/>
    <w:rsid w:val="00B70E39"/>
    <w:rsid w:val="00B70E99"/>
    <w:rsid w:val="00B70F2C"/>
    <w:rsid w:val="00B70F3A"/>
    <w:rsid w:val="00B70F44"/>
    <w:rsid w:val="00B70FD6"/>
    <w:rsid w:val="00B70FDB"/>
    <w:rsid w:val="00B710CF"/>
    <w:rsid w:val="00B711C9"/>
    <w:rsid w:val="00B7120C"/>
    <w:rsid w:val="00B71293"/>
    <w:rsid w:val="00B712C7"/>
    <w:rsid w:val="00B712D6"/>
    <w:rsid w:val="00B71366"/>
    <w:rsid w:val="00B713B3"/>
    <w:rsid w:val="00B7146A"/>
    <w:rsid w:val="00B7148F"/>
    <w:rsid w:val="00B71547"/>
    <w:rsid w:val="00B7156E"/>
    <w:rsid w:val="00B715AA"/>
    <w:rsid w:val="00B715B6"/>
    <w:rsid w:val="00B7162B"/>
    <w:rsid w:val="00B716FA"/>
    <w:rsid w:val="00B71707"/>
    <w:rsid w:val="00B71728"/>
    <w:rsid w:val="00B71775"/>
    <w:rsid w:val="00B717E3"/>
    <w:rsid w:val="00B718D0"/>
    <w:rsid w:val="00B718EF"/>
    <w:rsid w:val="00B71938"/>
    <w:rsid w:val="00B7193F"/>
    <w:rsid w:val="00B719BE"/>
    <w:rsid w:val="00B71A00"/>
    <w:rsid w:val="00B71A03"/>
    <w:rsid w:val="00B71A64"/>
    <w:rsid w:val="00B71AF6"/>
    <w:rsid w:val="00B71B29"/>
    <w:rsid w:val="00B71B7C"/>
    <w:rsid w:val="00B71C16"/>
    <w:rsid w:val="00B71C47"/>
    <w:rsid w:val="00B71CBE"/>
    <w:rsid w:val="00B71CDF"/>
    <w:rsid w:val="00B71D5F"/>
    <w:rsid w:val="00B71DB6"/>
    <w:rsid w:val="00B71DC8"/>
    <w:rsid w:val="00B71E14"/>
    <w:rsid w:val="00B71EC4"/>
    <w:rsid w:val="00B71F39"/>
    <w:rsid w:val="00B72074"/>
    <w:rsid w:val="00B720C4"/>
    <w:rsid w:val="00B720EA"/>
    <w:rsid w:val="00B72147"/>
    <w:rsid w:val="00B7219F"/>
    <w:rsid w:val="00B7228E"/>
    <w:rsid w:val="00B72298"/>
    <w:rsid w:val="00B7241D"/>
    <w:rsid w:val="00B724F0"/>
    <w:rsid w:val="00B7251E"/>
    <w:rsid w:val="00B72527"/>
    <w:rsid w:val="00B7254F"/>
    <w:rsid w:val="00B725D4"/>
    <w:rsid w:val="00B7262C"/>
    <w:rsid w:val="00B7274A"/>
    <w:rsid w:val="00B728BB"/>
    <w:rsid w:val="00B7290B"/>
    <w:rsid w:val="00B72930"/>
    <w:rsid w:val="00B729A5"/>
    <w:rsid w:val="00B72AB0"/>
    <w:rsid w:val="00B72B0F"/>
    <w:rsid w:val="00B72BBE"/>
    <w:rsid w:val="00B72BDB"/>
    <w:rsid w:val="00B72C17"/>
    <w:rsid w:val="00B72C3C"/>
    <w:rsid w:val="00B72C57"/>
    <w:rsid w:val="00B72C73"/>
    <w:rsid w:val="00B72D15"/>
    <w:rsid w:val="00B72D88"/>
    <w:rsid w:val="00B72EB9"/>
    <w:rsid w:val="00B72EEC"/>
    <w:rsid w:val="00B72FC1"/>
    <w:rsid w:val="00B73001"/>
    <w:rsid w:val="00B73015"/>
    <w:rsid w:val="00B73065"/>
    <w:rsid w:val="00B730CF"/>
    <w:rsid w:val="00B7318A"/>
    <w:rsid w:val="00B731C0"/>
    <w:rsid w:val="00B731D5"/>
    <w:rsid w:val="00B7326D"/>
    <w:rsid w:val="00B7330C"/>
    <w:rsid w:val="00B7332D"/>
    <w:rsid w:val="00B733C4"/>
    <w:rsid w:val="00B733F5"/>
    <w:rsid w:val="00B73483"/>
    <w:rsid w:val="00B7350C"/>
    <w:rsid w:val="00B73536"/>
    <w:rsid w:val="00B736B2"/>
    <w:rsid w:val="00B736D0"/>
    <w:rsid w:val="00B736D6"/>
    <w:rsid w:val="00B73732"/>
    <w:rsid w:val="00B73737"/>
    <w:rsid w:val="00B73785"/>
    <w:rsid w:val="00B73905"/>
    <w:rsid w:val="00B73933"/>
    <w:rsid w:val="00B73951"/>
    <w:rsid w:val="00B73988"/>
    <w:rsid w:val="00B73B0F"/>
    <w:rsid w:val="00B73B9C"/>
    <w:rsid w:val="00B73C5F"/>
    <w:rsid w:val="00B73C75"/>
    <w:rsid w:val="00B73C84"/>
    <w:rsid w:val="00B73C9B"/>
    <w:rsid w:val="00B73D3B"/>
    <w:rsid w:val="00B73D3E"/>
    <w:rsid w:val="00B73D63"/>
    <w:rsid w:val="00B73E54"/>
    <w:rsid w:val="00B73EA3"/>
    <w:rsid w:val="00B74003"/>
    <w:rsid w:val="00B7411E"/>
    <w:rsid w:val="00B74178"/>
    <w:rsid w:val="00B741BF"/>
    <w:rsid w:val="00B74219"/>
    <w:rsid w:val="00B74255"/>
    <w:rsid w:val="00B744E7"/>
    <w:rsid w:val="00B74502"/>
    <w:rsid w:val="00B7452B"/>
    <w:rsid w:val="00B745C6"/>
    <w:rsid w:val="00B74616"/>
    <w:rsid w:val="00B74620"/>
    <w:rsid w:val="00B74679"/>
    <w:rsid w:val="00B746E2"/>
    <w:rsid w:val="00B74702"/>
    <w:rsid w:val="00B74707"/>
    <w:rsid w:val="00B7471A"/>
    <w:rsid w:val="00B74733"/>
    <w:rsid w:val="00B7473A"/>
    <w:rsid w:val="00B747DD"/>
    <w:rsid w:val="00B74849"/>
    <w:rsid w:val="00B74857"/>
    <w:rsid w:val="00B74892"/>
    <w:rsid w:val="00B74896"/>
    <w:rsid w:val="00B748BF"/>
    <w:rsid w:val="00B74907"/>
    <w:rsid w:val="00B7497B"/>
    <w:rsid w:val="00B74A04"/>
    <w:rsid w:val="00B74A19"/>
    <w:rsid w:val="00B74A1A"/>
    <w:rsid w:val="00B74A37"/>
    <w:rsid w:val="00B74AC4"/>
    <w:rsid w:val="00B74B01"/>
    <w:rsid w:val="00B74B68"/>
    <w:rsid w:val="00B74BE4"/>
    <w:rsid w:val="00B74C47"/>
    <w:rsid w:val="00B74CA1"/>
    <w:rsid w:val="00B74D11"/>
    <w:rsid w:val="00B74D9D"/>
    <w:rsid w:val="00B74E43"/>
    <w:rsid w:val="00B74F4A"/>
    <w:rsid w:val="00B75014"/>
    <w:rsid w:val="00B7502D"/>
    <w:rsid w:val="00B75057"/>
    <w:rsid w:val="00B75098"/>
    <w:rsid w:val="00B750B3"/>
    <w:rsid w:val="00B7513F"/>
    <w:rsid w:val="00B7514F"/>
    <w:rsid w:val="00B75202"/>
    <w:rsid w:val="00B75232"/>
    <w:rsid w:val="00B75325"/>
    <w:rsid w:val="00B7538E"/>
    <w:rsid w:val="00B753BC"/>
    <w:rsid w:val="00B753C6"/>
    <w:rsid w:val="00B753F7"/>
    <w:rsid w:val="00B7542E"/>
    <w:rsid w:val="00B7547E"/>
    <w:rsid w:val="00B7549E"/>
    <w:rsid w:val="00B754CA"/>
    <w:rsid w:val="00B754CC"/>
    <w:rsid w:val="00B754FE"/>
    <w:rsid w:val="00B75551"/>
    <w:rsid w:val="00B75561"/>
    <w:rsid w:val="00B7556A"/>
    <w:rsid w:val="00B7562A"/>
    <w:rsid w:val="00B7562E"/>
    <w:rsid w:val="00B75671"/>
    <w:rsid w:val="00B75699"/>
    <w:rsid w:val="00B756A4"/>
    <w:rsid w:val="00B756D3"/>
    <w:rsid w:val="00B757AA"/>
    <w:rsid w:val="00B757AE"/>
    <w:rsid w:val="00B75823"/>
    <w:rsid w:val="00B75859"/>
    <w:rsid w:val="00B758AD"/>
    <w:rsid w:val="00B75944"/>
    <w:rsid w:val="00B759EA"/>
    <w:rsid w:val="00B75A65"/>
    <w:rsid w:val="00B75AB7"/>
    <w:rsid w:val="00B75B95"/>
    <w:rsid w:val="00B75BFA"/>
    <w:rsid w:val="00B75C6C"/>
    <w:rsid w:val="00B75CC5"/>
    <w:rsid w:val="00B75CD1"/>
    <w:rsid w:val="00B75DAE"/>
    <w:rsid w:val="00B75DE2"/>
    <w:rsid w:val="00B75DE5"/>
    <w:rsid w:val="00B75DFB"/>
    <w:rsid w:val="00B75E34"/>
    <w:rsid w:val="00B75E98"/>
    <w:rsid w:val="00B75E9F"/>
    <w:rsid w:val="00B75F20"/>
    <w:rsid w:val="00B75F78"/>
    <w:rsid w:val="00B75F8B"/>
    <w:rsid w:val="00B76121"/>
    <w:rsid w:val="00B7619F"/>
    <w:rsid w:val="00B761EE"/>
    <w:rsid w:val="00B76258"/>
    <w:rsid w:val="00B762FE"/>
    <w:rsid w:val="00B76402"/>
    <w:rsid w:val="00B764B1"/>
    <w:rsid w:val="00B764D7"/>
    <w:rsid w:val="00B7652C"/>
    <w:rsid w:val="00B76586"/>
    <w:rsid w:val="00B7663F"/>
    <w:rsid w:val="00B766BF"/>
    <w:rsid w:val="00B76831"/>
    <w:rsid w:val="00B76845"/>
    <w:rsid w:val="00B768AC"/>
    <w:rsid w:val="00B76943"/>
    <w:rsid w:val="00B769AA"/>
    <w:rsid w:val="00B769AF"/>
    <w:rsid w:val="00B769B6"/>
    <w:rsid w:val="00B769E5"/>
    <w:rsid w:val="00B76A04"/>
    <w:rsid w:val="00B76A24"/>
    <w:rsid w:val="00B76A25"/>
    <w:rsid w:val="00B76BCB"/>
    <w:rsid w:val="00B76C38"/>
    <w:rsid w:val="00B76C5B"/>
    <w:rsid w:val="00B76C6F"/>
    <w:rsid w:val="00B76C90"/>
    <w:rsid w:val="00B76CEB"/>
    <w:rsid w:val="00B76DF9"/>
    <w:rsid w:val="00B76E26"/>
    <w:rsid w:val="00B76FBA"/>
    <w:rsid w:val="00B76FD9"/>
    <w:rsid w:val="00B77042"/>
    <w:rsid w:val="00B770DC"/>
    <w:rsid w:val="00B770EC"/>
    <w:rsid w:val="00B770F2"/>
    <w:rsid w:val="00B77100"/>
    <w:rsid w:val="00B7713C"/>
    <w:rsid w:val="00B77158"/>
    <w:rsid w:val="00B771A6"/>
    <w:rsid w:val="00B771C2"/>
    <w:rsid w:val="00B77226"/>
    <w:rsid w:val="00B7728D"/>
    <w:rsid w:val="00B77315"/>
    <w:rsid w:val="00B7739F"/>
    <w:rsid w:val="00B7741D"/>
    <w:rsid w:val="00B77454"/>
    <w:rsid w:val="00B77496"/>
    <w:rsid w:val="00B7752F"/>
    <w:rsid w:val="00B77574"/>
    <w:rsid w:val="00B77594"/>
    <w:rsid w:val="00B775A6"/>
    <w:rsid w:val="00B77674"/>
    <w:rsid w:val="00B776AB"/>
    <w:rsid w:val="00B7772F"/>
    <w:rsid w:val="00B77795"/>
    <w:rsid w:val="00B777A3"/>
    <w:rsid w:val="00B7786C"/>
    <w:rsid w:val="00B77889"/>
    <w:rsid w:val="00B7790A"/>
    <w:rsid w:val="00B779C6"/>
    <w:rsid w:val="00B77A2D"/>
    <w:rsid w:val="00B77AF6"/>
    <w:rsid w:val="00B77B18"/>
    <w:rsid w:val="00B77C59"/>
    <w:rsid w:val="00B77D2F"/>
    <w:rsid w:val="00B77D3A"/>
    <w:rsid w:val="00B77D8D"/>
    <w:rsid w:val="00B77EAD"/>
    <w:rsid w:val="00B77F34"/>
    <w:rsid w:val="00B77F4D"/>
    <w:rsid w:val="00B77F70"/>
    <w:rsid w:val="00B77FE1"/>
    <w:rsid w:val="00B80074"/>
    <w:rsid w:val="00B8008A"/>
    <w:rsid w:val="00B800CB"/>
    <w:rsid w:val="00B801E4"/>
    <w:rsid w:val="00B80237"/>
    <w:rsid w:val="00B80288"/>
    <w:rsid w:val="00B80299"/>
    <w:rsid w:val="00B802CF"/>
    <w:rsid w:val="00B802DD"/>
    <w:rsid w:val="00B8038F"/>
    <w:rsid w:val="00B80399"/>
    <w:rsid w:val="00B803A8"/>
    <w:rsid w:val="00B8045E"/>
    <w:rsid w:val="00B80482"/>
    <w:rsid w:val="00B8048B"/>
    <w:rsid w:val="00B80494"/>
    <w:rsid w:val="00B804F4"/>
    <w:rsid w:val="00B8059F"/>
    <w:rsid w:val="00B80629"/>
    <w:rsid w:val="00B8069D"/>
    <w:rsid w:val="00B806D0"/>
    <w:rsid w:val="00B8074D"/>
    <w:rsid w:val="00B8076D"/>
    <w:rsid w:val="00B807A5"/>
    <w:rsid w:val="00B8085D"/>
    <w:rsid w:val="00B8088E"/>
    <w:rsid w:val="00B808D2"/>
    <w:rsid w:val="00B8097B"/>
    <w:rsid w:val="00B80A36"/>
    <w:rsid w:val="00B80A87"/>
    <w:rsid w:val="00B80AEB"/>
    <w:rsid w:val="00B80B2C"/>
    <w:rsid w:val="00B80B75"/>
    <w:rsid w:val="00B80B91"/>
    <w:rsid w:val="00B80BB2"/>
    <w:rsid w:val="00B80CFE"/>
    <w:rsid w:val="00B80D32"/>
    <w:rsid w:val="00B80D84"/>
    <w:rsid w:val="00B80D90"/>
    <w:rsid w:val="00B80DDC"/>
    <w:rsid w:val="00B80E0A"/>
    <w:rsid w:val="00B80E36"/>
    <w:rsid w:val="00B80E82"/>
    <w:rsid w:val="00B80EC2"/>
    <w:rsid w:val="00B80F11"/>
    <w:rsid w:val="00B80F3A"/>
    <w:rsid w:val="00B80F6E"/>
    <w:rsid w:val="00B80F8E"/>
    <w:rsid w:val="00B8103C"/>
    <w:rsid w:val="00B8106A"/>
    <w:rsid w:val="00B8108A"/>
    <w:rsid w:val="00B8109C"/>
    <w:rsid w:val="00B81156"/>
    <w:rsid w:val="00B81196"/>
    <w:rsid w:val="00B811EE"/>
    <w:rsid w:val="00B81280"/>
    <w:rsid w:val="00B812B1"/>
    <w:rsid w:val="00B812C0"/>
    <w:rsid w:val="00B812FD"/>
    <w:rsid w:val="00B813F8"/>
    <w:rsid w:val="00B81409"/>
    <w:rsid w:val="00B8144E"/>
    <w:rsid w:val="00B8155D"/>
    <w:rsid w:val="00B81593"/>
    <w:rsid w:val="00B815F6"/>
    <w:rsid w:val="00B8160E"/>
    <w:rsid w:val="00B8161E"/>
    <w:rsid w:val="00B81638"/>
    <w:rsid w:val="00B81729"/>
    <w:rsid w:val="00B81733"/>
    <w:rsid w:val="00B81766"/>
    <w:rsid w:val="00B81785"/>
    <w:rsid w:val="00B817CA"/>
    <w:rsid w:val="00B817DA"/>
    <w:rsid w:val="00B81829"/>
    <w:rsid w:val="00B81842"/>
    <w:rsid w:val="00B8184A"/>
    <w:rsid w:val="00B81857"/>
    <w:rsid w:val="00B818E3"/>
    <w:rsid w:val="00B81A57"/>
    <w:rsid w:val="00B81A77"/>
    <w:rsid w:val="00B81B41"/>
    <w:rsid w:val="00B81B63"/>
    <w:rsid w:val="00B81B8E"/>
    <w:rsid w:val="00B81B8F"/>
    <w:rsid w:val="00B81BA3"/>
    <w:rsid w:val="00B81BAE"/>
    <w:rsid w:val="00B81C20"/>
    <w:rsid w:val="00B81C31"/>
    <w:rsid w:val="00B81CA8"/>
    <w:rsid w:val="00B81CB0"/>
    <w:rsid w:val="00B81CCF"/>
    <w:rsid w:val="00B81D01"/>
    <w:rsid w:val="00B81D80"/>
    <w:rsid w:val="00B81DB8"/>
    <w:rsid w:val="00B81E73"/>
    <w:rsid w:val="00B81E9E"/>
    <w:rsid w:val="00B82011"/>
    <w:rsid w:val="00B8207E"/>
    <w:rsid w:val="00B820FC"/>
    <w:rsid w:val="00B82159"/>
    <w:rsid w:val="00B821B5"/>
    <w:rsid w:val="00B821C8"/>
    <w:rsid w:val="00B821DC"/>
    <w:rsid w:val="00B82350"/>
    <w:rsid w:val="00B823BB"/>
    <w:rsid w:val="00B824B5"/>
    <w:rsid w:val="00B824BC"/>
    <w:rsid w:val="00B824EE"/>
    <w:rsid w:val="00B8252A"/>
    <w:rsid w:val="00B8256F"/>
    <w:rsid w:val="00B82585"/>
    <w:rsid w:val="00B8264B"/>
    <w:rsid w:val="00B826AC"/>
    <w:rsid w:val="00B826B3"/>
    <w:rsid w:val="00B82711"/>
    <w:rsid w:val="00B82773"/>
    <w:rsid w:val="00B827BC"/>
    <w:rsid w:val="00B8286D"/>
    <w:rsid w:val="00B82873"/>
    <w:rsid w:val="00B8289F"/>
    <w:rsid w:val="00B828F1"/>
    <w:rsid w:val="00B82904"/>
    <w:rsid w:val="00B82908"/>
    <w:rsid w:val="00B82916"/>
    <w:rsid w:val="00B82925"/>
    <w:rsid w:val="00B8294C"/>
    <w:rsid w:val="00B82996"/>
    <w:rsid w:val="00B82999"/>
    <w:rsid w:val="00B82A07"/>
    <w:rsid w:val="00B82A71"/>
    <w:rsid w:val="00B82A75"/>
    <w:rsid w:val="00B82ABC"/>
    <w:rsid w:val="00B82B0F"/>
    <w:rsid w:val="00B82B49"/>
    <w:rsid w:val="00B82BB3"/>
    <w:rsid w:val="00B82BE6"/>
    <w:rsid w:val="00B82BFC"/>
    <w:rsid w:val="00B82CD5"/>
    <w:rsid w:val="00B82CFB"/>
    <w:rsid w:val="00B82D75"/>
    <w:rsid w:val="00B82DB6"/>
    <w:rsid w:val="00B82DCD"/>
    <w:rsid w:val="00B82DD8"/>
    <w:rsid w:val="00B82E28"/>
    <w:rsid w:val="00B82E96"/>
    <w:rsid w:val="00B82F16"/>
    <w:rsid w:val="00B82F27"/>
    <w:rsid w:val="00B82F32"/>
    <w:rsid w:val="00B82F33"/>
    <w:rsid w:val="00B82F86"/>
    <w:rsid w:val="00B83040"/>
    <w:rsid w:val="00B8305A"/>
    <w:rsid w:val="00B830BB"/>
    <w:rsid w:val="00B83119"/>
    <w:rsid w:val="00B83124"/>
    <w:rsid w:val="00B8316B"/>
    <w:rsid w:val="00B83180"/>
    <w:rsid w:val="00B83191"/>
    <w:rsid w:val="00B831CC"/>
    <w:rsid w:val="00B8320A"/>
    <w:rsid w:val="00B833D0"/>
    <w:rsid w:val="00B8340F"/>
    <w:rsid w:val="00B83449"/>
    <w:rsid w:val="00B834C9"/>
    <w:rsid w:val="00B8358E"/>
    <w:rsid w:val="00B835C4"/>
    <w:rsid w:val="00B83689"/>
    <w:rsid w:val="00B838B7"/>
    <w:rsid w:val="00B839DB"/>
    <w:rsid w:val="00B83A83"/>
    <w:rsid w:val="00B83AB6"/>
    <w:rsid w:val="00B83B91"/>
    <w:rsid w:val="00B83BCB"/>
    <w:rsid w:val="00B83C54"/>
    <w:rsid w:val="00B83CFF"/>
    <w:rsid w:val="00B83D19"/>
    <w:rsid w:val="00B83D5A"/>
    <w:rsid w:val="00B83DAC"/>
    <w:rsid w:val="00B83E5D"/>
    <w:rsid w:val="00B83E7E"/>
    <w:rsid w:val="00B83EC4"/>
    <w:rsid w:val="00B83EF2"/>
    <w:rsid w:val="00B84059"/>
    <w:rsid w:val="00B840E6"/>
    <w:rsid w:val="00B84176"/>
    <w:rsid w:val="00B8419E"/>
    <w:rsid w:val="00B84306"/>
    <w:rsid w:val="00B843CF"/>
    <w:rsid w:val="00B8444E"/>
    <w:rsid w:val="00B84466"/>
    <w:rsid w:val="00B84523"/>
    <w:rsid w:val="00B84675"/>
    <w:rsid w:val="00B84678"/>
    <w:rsid w:val="00B8468B"/>
    <w:rsid w:val="00B846D6"/>
    <w:rsid w:val="00B84783"/>
    <w:rsid w:val="00B84912"/>
    <w:rsid w:val="00B8491D"/>
    <w:rsid w:val="00B84A25"/>
    <w:rsid w:val="00B84B76"/>
    <w:rsid w:val="00B84BAD"/>
    <w:rsid w:val="00B84C0E"/>
    <w:rsid w:val="00B84CEB"/>
    <w:rsid w:val="00B84D32"/>
    <w:rsid w:val="00B84D63"/>
    <w:rsid w:val="00B84DAC"/>
    <w:rsid w:val="00B84DF4"/>
    <w:rsid w:val="00B84E5A"/>
    <w:rsid w:val="00B84EB7"/>
    <w:rsid w:val="00B84F5F"/>
    <w:rsid w:val="00B84F67"/>
    <w:rsid w:val="00B84FB1"/>
    <w:rsid w:val="00B85075"/>
    <w:rsid w:val="00B850CB"/>
    <w:rsid w:val="00B850E4"/>
    <w:rsid w:val="00B851C6"/>
    <w:rsid w:val="00B851DD"/>
    <w:rsid w:val="00B851FB"/>
    <w:rsid w:val="00B85239"/>
    <w:rsid w:val="00B8523B"/>
    <w:rsid w:val="00B852AB"/>
    <w:rsid w:val="00B852AD"/>
    <w:rsid w:val="00B852EA"/>
    <w:rsid w:val="00B852F8"/>
    <w:rsid w:val="00B85313"/>
    <w:rsid w:val="00B853A8"/>
    <w:rsid w:val="00B85550"/>
    <w:rsid w:val="00B8558C"/>
    <w:rsid w:val="00B85616"/>
    <w:rsid w:val="00B8562F"/>
    <w:rsid w:val="00B85647"/>
    <w:rsid w:val="00B8567C"/>
    <w:rsid w:val="00B85693"/>
    <w:rsid w:val="00B856E2"/>
    <w:rsid w:val="00B85766"/>
    <w:rsid w:val="00B857C8"/>
    <w:rsid w:val="00B857D8"/>
    <w:rsid w:val="00B857F8"/>
    <w:rsid w:val="00B85801"/>
    <w:rsid w:val="00B8588B"/>
    <w:rsid w:val="00B858B0"/>
    <w:rsid w:val="00B8593A"/>
    <w:rsid w:val="00B8598D"/>
    <w:rsid w:val="00B85A4A"/>
    <w:rsid w:val="00B85A89"/>
    <w:rsid w:val="00B85C66"/>
    <w:rsid w:val="00B85CBB"/>
    <w:rsid w:val="00B85CC6"/>
    <w:rsid w:val="00B85CFB"/>
    <w:rsid w:val="00B85D3B"/>
    <w:rsid w:val="00B85D43"/>
    <w:rsid w:val="00B85D8C"/>
    <w:rsid w:val="00B85E28"/>
    <w:rsid w:val="00B85F48"/>
    <w:rsid w:val="00B85FD6"/>
    <w:rsid w:val="00B85FFC"/>
    <w:rsid w:val="00B86045"/>
    <w:rsid w:val="00B86061"/>
    <w:rsid w:val="00B860E0"/>
    <w:rsid w:val="00B86161"/>
    <w:rsid w:val="00B8616F"/>
    <w:rsid w:val="00B8617A"/>
    <w:rsid w:val="00B8619B"/>
    <w:rsid w:val="00B8635B"/>
    <w:rsid w:val="00B86381"/>
    <w:rsid w:val="00B863BF"/>
    <w:rsid w:val="00B86495"/>
    <w:rsid w:val="00B864D9"/>
    <w:rsid w:val="00B86533"/>
    <w:rsid w:val="00B86578"/>
    <w:rsid w:val="00B865EC"/>
    <w:rsid w:val="00B86616"/>
    <w:rsid w:val="00B8661C"/>
    <w:rsid w:val="00B86647"/>
    <w:rsid w:val="00B86684"/>
    <w:rsid w:val="00B8671D"/>
    <w:rsid w:val="00B8672B"/>
    <w:rsid w:val="00B86776"/>
    <w:rsid w:val="00B867F0"/>
    <w:rsid w:val="00B8684B"/>
    <w:rsid w:val="00B86876"/>
    <w:rsid w:val="00B8693F"/>
    <w:rsid w:val="00B86976"/>
    <w:rsid w:val="00B869AE"/>
    <w:rsid w:val="00B869E2"/>
    <w:rsid w:val="00B869E6"/>
    <w:rsid w:val="00B86AE8"/>
    <w:rsid w:val="00B86B14"/>
    <w:rsid w:val="00B86CAB"/>
    <w:rsid w:val="00B86D1E"/>
    <w:rsid w:val="00B86DAD"/>
    <w:rsid w:val="00B86DF6"/>
    <w:rsid w:val="00B86EB0"/>
    <w:rsid w:val="00B86FB7"/>
    <w:rsid w:val="00B86FFD"/>
    <w:rsid w:val="00B87094"/>
    <w:rsid w:val="00B87192"/>
    <w:rsid w:val="00B871F0"/>
    <w:rsid w:val="00B8725D"/>
    <w:rsid w:val="00B87287"/>
    <w:rsid w:val="00B87317"/>
    <w:rsid w:val="00B873CB"/>
    <w:rsid w:val="00B87441"/>
    <w:rsid w:val="00B874D9"/>
    <w:rsid w:val="00B8750F"/>
    <w:rsid w:val="00B875D4"/>
    <w:rsid w:val="00B8762D"/>
    <w:rsid w:val="00B87679"/>
    <w:rsid w:val="00B8785C"/>
    <w:rsid w:val="00B87863"/>
    <w:rsid w:val="00B8788C"/>
    <w:rsid w:val="00B87940"/>
    <w:rsid w:val="00B87972"/>
    <w:rsid w:val="00B879DD"/>
    <w:rsid w:val="00B87A16"/>
    <w:rsid w:val="00B87AC1"/>
    <w:rsid w:val="00B87AE7"/>
    <w:rsid w:val="00B87AEE"/>
    <w:rsid w:val="00B87B01"/>
    <w:rsid w:val="00B87B39"/>
    <w:rsid w:val="00B87CAA"/>
    <w:rsid w:val="00B87D2A"/>
    <w:rsid w:val="00B87D2E"/>
    <w:rsid w:val="00B87D33"/>
    <w:rsid w:val="00B87D42"/>
    <w:rsid w:val="00B87E90"/>
    <w:rsid w:val="00B87EC3"/>
    <w:rsid w:val="00B87F5F"/>
    <w:rsid w:val="00B87F6E"/>
    <w:rsid w:val="00B87F8C"/>
    <w:rsid w:val="00B87FBB"/>
    <w:rsid w:val="00B87FD1"/>
    <w:rsid w:val="00B87FF2"/>
    <w:rsid w:val="00B90082"/>
    <w:rsid w:val="00B90195"/>
    <w:rsid w:val="00B901ED"/>
    <w:rsid w:val="00B901FE"/>
    <w:rsid w:val="00B90239"/>
    <w:rsid w:val="00B90266"/>
    <w:rsid w:val="00B902CF"/>
    <w:rsid w:val="00B902E2"/>
    <w:rsid w:val="00B9038B"/>
    <w:rsid w:val="00B903F5"/>
    <w:rsid w:val="00B903FD"/>
    <w:rsid w:val="00B9042F"/>
    <w:rsid w:val="00B90463"/>
    <w:rsid w:val="00B9049B"/>
    <w:rsid w:val="00B904C3"/>
    <w:rsid w:val="00B904CC"/>
    <w:rsid w:val="00B90545"/>
    <w:rsid w:val="00B90562"/>
    <w:rsid w:val="00B9056C"/>
    <w:rsid w:val="00B90658"/>
    <w:rsid w:val="00B906EA"/>
    <w:rsid w:val="00B90765"/>
    <w:rsid w:val="00B907AC"/>
    <w:rsid w:val="00B907D5"/>
    <w:rsid w:val="00B908A7"/>
    <w:rsid w:val="00B908AA"/>
    <w:rsid w:val="00B908D4"/>
    <w:rsid w:val="00B90901"/>
    <w:rsid w:val="00B909FD"/>
    <w:rsid w:val="00B90A38"/>
    <w:rsid w:val="00B90AFB"/>
    <w:rsid w:val="00B90B0A"/>
    <w:rsid w:val="00B90CA9"/>
    <w:rsid w:val="00B90D81"/>
    <w:rsid w:val="00B90D9D"/>
    <w:rsid w:val="00B90DE9"/>
    <w:rsid w:val="00B90EAC"/>
    <w:rsid w:val="00B90F2B"/>
    <w:rsid w:val="00B90F38"/>
    <w:rsid w:val="00B90F3F"/>
    <w:rsid w:val="00B90F56"/>
    <w:rsid w:val="00B90F63"/>
    <w:rsid w:val="00B9112F"/>
    <w:rsid w:val="00B91169"/>
    <w:rsid w:val="00B911B9"/>
    <w:rsid w:val="00B911D5"/>
    <w:rsid w:val="00B91256"/>
    <w:rsid w:val="00B9129E"/>
    <w:rsid w:val="00B91429"/>
    <w:rsid w:val="00B9143B"/>
    <w:rsid w:val="00B9143C"/>
    <w:rsid w:val="00B9143D"/>
    <w:rsid w:val="00B91450"/>
    <w:rsid w:val="00B91469"/>
    <w:rsid w:val="00B915B8"/>
    <w:rsid w:val="00B915C7"/>
    <w:rsid w:val="00B915E5"/>
    <w:rsid w:val="00B9165C"/>
    <w:rsid w:val="00B91660"/>
    <w:rsid w:val="00B91671"/>
    <w:rsid w:val="00B9167F"/>
    <w:rsid w:val="00B916DD"/>
    <w:rsid w:val="00B916E4"/>
    <w:rsid w:val="00B917F2"/>
    <w:rsid w:val="00B9186B"/>
    <w:rsid w:val="00B9197F"/>
    <w:rsid w:val="00B9199F"/>
    <w:rsid w:val="00B919A4"/>
    <w:rsid w:val="00B91A2F"/>
    <w:rsid w:val="00B91A47"/>
    <w:rsid w:val="00B91A7E"/>
    <w:rsid w:val="00B91AA6"/>
    <w:rsid w:val="00B91ACC"/>
    <w:rsid w:val="00B91C12"/>
    <w:rsid w:val="00B91C13"/>
    <w:rsid w:val="00B91C5A"/>
    <w:rsid w:val="00B91CF5"/>
    <w:rsid w:val="00B91D28"/>
    <w:rsid w:val="00B91D7A"/>
    <w:rsid w:val="00B91E3D"/>
    <w:rsid w:val="00B920EC"/>
    <w:rsid w:val="00B9219C"/>
    <w:rsid w:val="00B921C7"/>
    <w:rsid w:val="00B921DE"/>
    <w:rsid w:val="00B92226"/>
    <w:rsid w:val="00B92247"/>
    <w:rsid w:val="00B92296"/>
    <w:rsid w:val="00B92328"/>
    <w:rsid w:val="00B92344"/>
    <w:rsid w:val="00B92364"/>
    <w:rsid w:val="00B924F5"/>
    <w:rsid w:val="00B925A1"/>
    <w:rsid w:val="00B925CC"/>
    <w:rsid w:val="00B925DD"/>
    <w:rsid w:val="00B9260D"/>
    <w:rsid w:val="00B92647"/>
    <w:rsid w:val="00B9264E"/>
    <w:rsid w:val="00B9266A"/>
    <w:rsid w:val="00B927EC"/>
    <w:rsid w:val="00B92809"/>
    <w:rsid w:val="00B9283A"/>
    <w:rsid w:val="00B928CE"/>
    <w:rsid w:val="00B928E6"/>
    <w:rsid w:val="00B928FA"/>
    <w:rsid w:val="00B9295D"/>
    <w:rsid w:val="00B929D8"/>
    <w:rsid w:val="00B92A19"/>
    <w:rsid w:val="00B92ABA"/>
    <w:rsid w:val="00B92ABE"/>
    <w:rsid w:val="00B92AC3"/>
    <w:rsid w:val="00B92B51"/>
    <w:rsid w:val="00B92BD7"/>
    <w:rsid w:val="00B92DB9"/>
    <w:rsid w:val="00B92EC7"/>
    <w:rsid w:val="00B92F41"/>
    <w:rsid w:val="00B92F49"/>
    <w:rsid w:val="00B92FAB"/>
    <w:rsid w:val="00B92FEB"/>
    <w:rsid w:val="00B930F2"/>
    <w:rsid w:val="00B93103"/>
    <w:rsid w:val="00B93122"/>
    <w:rsid w:val="00B93234"/>
    <w:rsid w:val="00B9324E"/>
    <w:rsid w:val="00B932E9"/>
    <w:rsid w:val="00B93327"/>
    <w:rsid w:val="00B933C9"/>
    <w:rsid w:val="00B933FE"/>
    <w:rsid w:val="00B93430"/>
    <w:rsid w:val="00B93441"/>
    <w:rsid w:val="00B93469"/>
    <w:rsid w:val="00B9346C"/>
    <w:rsid w:val="00B934FB"/>
    <w:rsid w:val="00B93542"/>
    <w:rsid w:val="00B9354E"/>
    <w:rsid w:val="00B93587"/>
    <w:rsid w:val="00B936CE"/>
    <w:rsid w:val="00B9370C"/>
    <w:rsid w:val="00B93724"/>
    <w:rsid w:val="00B93746"/>
    <w:rsid w:val="00B9375B"/>
    <w:rsid w:val="00B937A5"/>
    <w:rsid w:val="00B937E2"/>
    <w:rsid w:val="00B93888"/>
    <w:rsid w:val="00B93945"/>
    <w:rsid w:val="00B9396F"/>
    <w:rsid w:val="00B93A4C"/>
    <w:rsid w:val="00B93A66"/>
    <w:rsid w:val="00B93A84"/>
    <w:rsid w:val="00B93ACC"/>
    <w:rsid w:val="00B93AFA"/>
    <w:rsid w:val="00B93C68"/>
    <w:rsid w:val="00B93D18"/>
    <w:rsid w:val="00B93D2C"/>
    <w:rsid w:val="00B93D90"/>
    <w:rsid w:val="00B93EC8"/>
    <w:rsid w:val="00B93F2F"/>
    <w:rsid w:val="00B93F40"/>
    <w:rsid w:val="00B94054"/>
    <w:rsid w:val="00B940D5"/>
    <w:rsid w:val="00B94145"/>
    <w:rsid w:val="00B94165"/>
    <w:rsid w:val="00B94179"/>
    <w:rsid w:val="00B94189"/>
    <w:rsid w:val="00B941C1"/>
    <w:rsid w:val="00B941C5"/>
    <w:rsid w:val="00B941E7"/>
    <w:rsid w:val="00B94218"/>
    <w:rsid w:val="00B94258"/>
    <w:rsid w:val="00B94292"/>
    <w:rsid w:val="00B942A5"/>
    <w:rsid w:val="00B942DB"/>
    <w:rsid w:val="00B942DF"/>
    <w:rsid w:val="00B94340"/>
    <w:rsid w:val="00B94352"/>
    <w:rsid w:val="00B943E5"/>
    <w:rsid w:val="00B943FA"/>
    <w:rsid w:val="00B945CC"/>
    <w:rsid w:val="00B94714"/>
    <w:rsid w:val="00B947A8"/>
    <w:rsid w:val="00B947C4"/>
    <w:rsid w:val="00B94825"/>
    <w:rsid w:val="00B94827"/>
    <w:rsid w:val="00B9489E"/>
    <w:rsid w:val="00B948E0"/>
    <w:rsid w:val="00B9497F"/>
    <w:rsid w:val="00B94986"/>
    <w:rsid w:val="00B94A52"/>
    <w:rsid w:val="00B94B3E"/>
    <w:rsid w:val="00B94B8E"/>
    <w:rsid w:val="00B94C04"/>
    <w:rsid w:val="00B94CD0"/>
    <w:rsid w:val="00B94CE5"/>
    <w:rsid w:val="00B94D55"/>
    <w:rsid w:val="00B94F39"/>
    <w:rsid w:val="00B94FBC"/>
    <w:rsid w:val="00B95078"/>
    <w:rsid w:val="00B950B6"/>
    <w:rsid w:val="00B950CE"/>
    <w:rsid w:val="00B95101"/>
    <w:rsid w:val="00B9516E"/>
    <w:rsid w:val="00B95234"/>
    <w:rsid w:val="00B95290"/>
    <w:rsid w:val="00B9529C"/>
    <w:rsid w:val="00B952C5"/>
    <w:rsid w:val="00B952F3"/>
    <w:rsid w:val="00B95308"/>
    <w:rsid w:val="00B95393"/>
    <w:rsid w:val="00B95422"/>
    <w:rsid w:val="00B955A0"/>
    <w:rsid w:val="00B9567C"/>
    <w:rsid w:val="00B9570A"/>
    <w:rsid w:val="00B9579F"/>
    <w:rsid w:val="00B95866"/>
    <w:rsid w:val="00B95884"/>
    <w:rsid w:val="00B95894"/>
    <w:rsid w:val="00B958A3"/>
    <w:rsid w:val="00B9598E"/>
    <w:rsid w:val="00B9599F"/>
    <w:rsid w:val="00B959FF"/>
    <w:rsid w:val="00B95A26"/>
    <w:rsid w:val="00B95B43"/>
    <w:rsid w:val="00B95B9A"/>
    <w:rsid w:val="00B95C55"/>
    <w:rsid w:val="00B95E90"/>
    <w:rsid w:val="00B95ECC"/>
    <w:rsid w:val="00B95FCE"/>
    <w:rsid w:val="00B9602A"/>
    <w:rsid w:val="00B96047"/>
    <w:rsid w:val="00B961B1"/>
    <w:rsid w:val="00B9621D"/>
    <w:rsid w:val="00B96298"/>
    <w:rsid w:val="00B962CD"/>
    <w:rsid w:val="00B962ED"/>
    <w:rsid w:val="00B9632F"/>
    <w:rsid w:val="00B963F1"/>
    <w:rsid w:val="00B9644E"/>
    <w:rsid w:val="00B96491"/>
    <w:rsid w:val="00B965B0"/>
    <w:rsid w:val="00B965BF"/>
    <w:rsid w:val="00B9663F"/>
    <w:rsid w:val="00B96691"/>
    <w:rsid w:val="00B96728"/>
    <w:rsid w:val="00B96756"/>
    <w:rsid w:val="00B9677C"/>
    <w:rsid w:val="00B96797"/>
    <w:rsid w:val="00B967A8"/>
    <w:rsid w:val="00B967F5"/>
    <w:rsid w:val="00B96863"/>
    <w:rsid w:val="00B9692E"/>
    <w:rsid w:val="00B96952"/>
    <w:rsid w:val="00B969BB"/>
    <w:rsid w:val="00B969E3"/>
    <w:rsid w:val="00B96A18"/>
    <w:rsid w:val="00B96A71"/>
    <w:rsid w:val="00B96A94"/>
    <w:rsid w:val="00B96AE9"/>
    <w:rsid w:val="00B96B1B"/>
    <w:rsid w:val="00B96B57"/>
    <w:rsid w:val="00B96B5C"/>
    <w:rsid w:val="00B96B74"/>
    <w:rsid w:val="00B96B84"/>
    <w:rsid w:val="00B96BA3"/>
    <w:rsid w:val="00B96BB4"/>
    <w:rsid w:val="00B96BC0"/>
    <w:rsid w:val="00B96BCD"/>
    <w:rsid w:val="00B96C66"/>
    <w:rsid w:val="00B96C77"/>
    <w:rsid w:val="00B96CBD"/>
    <w:rsid w:val="00B96CE4"/>
    <w:rsid w:val="00B96D30"/>
    <w:rsid w:val="00B96D42"/>
    <w:rsid w:val="00B96D44"/>
    <w:rsid w:val="00B96DB4"/>
    <w:rsid w:val="00B96DF6"/>
    <w:rsid w:val="00B96E11"/>
    <w:rsid w:val="00B96E1F"/>
    <w:rsid w:val="00B96E5E"/>
    <w:rsid w:val="00B96E9F"/>
    <w:rsid w:val="00B96F52"/>
    <w:rsid w:val="00B96F7B"/>
    <w:rsid w:val="00B96FA7"/>
    <w:rsid w:val="00B97102"/>
    <w:rsid w:val="00B97124"/>
    <w:rsid w:val="00B97125"/>
    <w:rsid w:val="00B971E4"/>
    <w:rsid w:val="00B97218"/>
    <w:rsid w:val="00B9725C"/>
    <w:rsid w:val="00B972DE"/>
    <w:rsid w:val="00B97458"/>
    <w:rsid w:val="00B974BB"/>
    <w:rsid w:val="00B97531"/>
    <w:rsid w:val="00B975A7"/>
    <w:rsid w:val="00B975BF"/>
    <w:rsid w:val="00B97615"/>
    <w:rsid w:val="00B97654"/>
    <w:rsid w:val="00B97667"/>
    <w:rsid w:val="00B9766E"/>
    <w:rsid w:val="00B97682"/>
    <w:rsid w:val="00B9768E"/>
    <w:rsid w:val="00B976AF"/>
    <w:rsid w:val="00B976D6"/>
    <w:rsid w:val="00B97777"/>
    <w:rsid w:val="00B977F2"/>
    <w:rsid w:val="00B97877"/>
    <w:rsid w:val="00B97890"/>
    <w:rsid w:val="00B978B9"/>
    <w:rsid w:val="00B978CD"/>
    <w:rsid w:val="00B97942"/>
    <w:rsid w:val="00B979B9"/>
    <w:rsid w:val="00B979DD"/>
    <w:rsid w:val="00B97A48"/>
    <w:rsid w:val="00B97AD1"/>
    <w:rsid w:val="00B97B0C"/>
    <w:rsid w:val="00B97B1F"/>
    <w:rsid w:val="00B97B22"/>
    <w:rsid w:val="00B97BDF"/>
    <w:rsid w:val="00B97BEA"/>
    <w:rsid w:val="00B97C83"/>
    <w:rsid w:val="00B97CDD"/>
    <w:rsid w:val="00B97CE0"/>
    <w:rsid w:val="00B97CE4"/>
    <w:rsid w:val="00B97D49"/>
    <w:rsid w:val="00B97D5A"/>
    <w:rsid w:val="00B97D5C"/>
    <w:rsid w:val="00B97E0E"/>
    <w:rsid w:val="00B97E16"/>
    <w:rsid w:val="00B97E1A"/>
    <w:rsid w:val="00B97E80"/>
    <w:rsid w:val="00B97EC3"/>
    <w:rsid w:val="00B97F67"/>
    <w:rsid w:val="00B97FB6"/>
    <w:rsid w:val="00BA00A9"/>
    <w:rsid w:val="00BA00D3"/>
    <w:rsid w:val="00BA01A5"/>
    <w:rsid w:val="00BA01CD"/>
    <w:rsid w:val="00BA01E3"/>
    <w:rsid w:val="00BA0202"/>
    <w:rsid w:val="00BA021D"/>
    <w:rsid w:val="00BA0271"/>
    <w:rsid w:val="00BA02A5"/>
    <w:rsid w:val="00BA02AD"/>
    <w:rsid w:val="00BA02CB"/>
    <w:rsid w:val="00BA0313"/>
    <w:rsid w:val="00BA0323"/>
    <w:rsid w:val="00BA0399"/>
    <w:rsid w:val="00BA03F1"/>
    <w:rsid w:val="00BA0448"/>
    <w:rsid w:val="00BA053C"/>
    <w:rsid w:val="00BA0575"/>
    <w:rsid w:val="00BA057F"/>
    <w:rsid w:val="00BA069C"/>
    <w:rsid w:val="00BA06E2"/>
    <w:rsid w:val="00BA06F0"/>
    <w:rsid w:val="00BA08F3"/>
    <w:rsid w:val="00BA0A12"/>
    <w:rsid w:val="00BA0B6B"/>
    <w:rsid w:val="00BA0B86"/>
    <w:rsid w:val="00BA0C3E"/>
    <w:rsid w:val="00BA0CE4"/>
    <w:rsid w:val="00BA0DB8"/>
    <w:rsid w:val="00BA0DC9"/>
    <w:rsid w:val="00BA0E12"/>
    <w:rsid w:val="00BA0EA2"/>
    <w:rsid w:val="00BA0F84"/>
    <w:rsid w:val="00BA0F92"/>
    <w:rsid w:val="00BA0FB8"/>
    <w:rsid w:val="00BA107C"/>
    <w:rsid w:val="00BA10BA"/>
    <w:rsid w:val="00BA115C"/>
    <w:rsid w:val="00BA11EE"/>
    <w:rsid w:val="00BA127B"/>
    <w:rsid w:val="00BA12C0"/>
    <w:rsid w:val="00BA12DC"/>
    <w:rsid w:val="00BA143A"/>
    <w:rsid w:val="00BA1443"/>
    <w:rsid w:val="00BA144B"/>
    <w:rsid w:val="00BA1484"/>
    <w:rsid w:val="00BA1488"/>
    <w:rsid w:val="00BA1497"/>
    <w:rsid w:val="00BA14DA"/>
    <w:rsid w:val="00BA14E1"/>
    <w:rsid w:val="00BA153D"/>
    <w:rsid w:val="00BA154F"/>
    <w:rsid w:val="00BA1575"/>
    <w:rsid w:val="00BA1583"/>
    <w:rsid w:val="00BA1666"/>
    <w:rsid w:val="00BA1673"/>
    <w:rsid w:val="00BA167D"/>
    <w:rsid w:val="00BA1695"/>
    <w:rsid w:val="00BA16BC"/>
    <w:rsid w:val="00BA1775"/>
    <w:rsid w:val="00BA1812"/>
    <w:rsid w:val="00BA1855"/>
    <w:rsid w:val="00BA19FC"/>
    <w:rsid w:val="00BA1A57"/>
    <w:rsid w:val="00BA1ADA"/>
    <w:rsid w:val="00BA1B42"/>
    <w:rsid w:val="00BA1B4E"/>
    <w:rsid w:val="00BA1BCE"/>
    <w:rsid w:val="00BA1C65"/>
    <w:rsid w:val="00BA1CB5"/>
    <w:rsid w:val="00BA1D2D"/>
    <w:rsid w:val="00BA1DD7"/>
    <w:rsid w:val="00BA1DFB"/>
    <w:rsid w:val="00BA1EB8"/>
    <w:rsid w:val="00BA1F78"/>
    <w:rsid w:val="00BA1FDE"/>
    <w:rsid w:val="00BA202B"/>
    <w:rsid w:val="00BA2040"/>
    <w:rsid w:val="00BA208B"/>
    <w:rsid w:val="00BA2124"/>
    <w:rsid w:val="00BA2139"/>
    <w:rsid w:val="00BA2155"/>
    <w:rsid w:val="00BA2161"/>
    <w:rsid w:val="00BA2192"/>
    <w:rsid w:val="00BA21B1"/>
    <w:rsid w:val="00BA21D3"/>
    <w:rsid w:val="00BA21F8"/>
    <w:rsid w:val="00BA220E"/>
    <w:rsid w:val="00BA226A"/>
    <w:rsid w:val="00BA22BF"/>
    <w:rsid w:val="00BA23C3"/>
    <w:rsid w:val="00BA2456"/>
    <w:rsid w:val="00BA2486"/>
    <w:rsid w:val="00BA2517"/>
    <w:rsid w:val="00BA2529"/>
    <w:rsid w:val="00BA254A"/>
    <w:rsid w:val="00BA25D0"/>
    <w:rsid w:val="00BA262A"/>
    <w:rsid w:val="00BA2640"/>
    <w:rsid w:val="00BA2652"/>
    <w:rsid w:val="00BA265B"/>
    <w:rsid w:val="00BA266B"/>
    <w:rsid w:val="00BA26D0"/>
    <w:rsid w:val="00BA26D6"/>
    <w:rsid w:val="00BA2723"/>
    <w:rsid w:val="00BA2730"/>
    <w:rsid w:val="00BA274E"/>
    <w:rsid w:val="00BA2A35"/>
    <w:rsid w:val="00BA2A6C"/>
    <w:rsid w:val="00BA2AAC"/>
    <w:rsid w:val="00BA2AD8"/>
    <w:rsid w:val="00BA2AF2"/>
    <w:rsid w:val="00BA2B2C"/>
    <w:rsid w:val="00BA2B7E"/>
    <w:rsid w:val="00BA2B96"/>
    <w:rsid w:val="00BA2CDA"/>
    <w:rsid w:val="00BA2CF1"/>
    <w:rsid w:val="00BA2D73"/>
    <w:rsid w:val="00BA2DC8"/>
    <w:rsid w:val="00BA2DD4"/>
    <w:rsid w:val="00BA2E43"/>
    <w:rsid w:val="00BA2EC0"/>
    <w:rsid w:val="00BA2F0F"/>
    <w:rsid w:val="00BA2F5F"/>
    <w:rsid w:val="00BA3069"/>
    <w:rsid w:val="00BA306F"/>
    <w:rsid w:val="00BA308A"/>
    <w:rsid w:val="00BA30EA"/>
    <w:rsid w:val="00BA3188"/>
    <w:rsid w:val="00BA31B7"/>
    <w:rsid w:val="00BA322B"/>
    <w:rsid w:val="00BA3238"/>
    <w:rsid w:val="00BA3286"/>
    <w:rsid w:val="00BA32C9"/>
    <w:rsid w:val="00BA32D6"/>
    <w:rsid w:val="00BA32F1"/>
    <w:rsid w:val="00BA3300"/>
    <w:rsid w:val="00BA334F"/>
    <w:rsid w:val="00BA33B5"/>
    <w:rsid w:val="00BA3452"/>
    <w:rsid w:val="00BA34A9"/>
    <w:rsid w:val="00BA3572"/>
    <w:rsid w:val="00BA360D"/>
    <w:rsid w:val="00BA367E"/>
    <w:rsid w:val="00BA36DC"/>
    <w:rsid w:val="00BA3780"/>
    <w:rsid w:val="00BA37C6"/>
    <w:rsid w:val="00BA381F"/>
    <w:rsid w:val="00BA3884"/>
    <w:rsid w:val="00BA3941"/>
    <w:rsid w:val="00BA3948"/>
    <w:rsid w:val="00BA395A"/>
    <w:rsid w:val="00BA396C"/>
    <w:rsid w:val="00BA3976"/>
    <w:rsid w:val="00BA39CC"/>
    <w:rsid w:val="00BA39D3"/>
    <w:rsid w:val="00BA39E2"/>
    <w:rsid w:val="00BA3AAE"/>
    <w:rsid w:val="00BA3AC1"/>
    <w:rsid w:val="00BA3AD4"/>
    <w:rsid w:val="00BA3B47"/>
    <w:rsid w:val="00BA3C90"/>
    <w:rsid w:val="00BA3CA2"/>
    <w:rsid w:val="00BA3CF7"/>
    <w:rsid w:val="00BA3CFC"/>
    <w:rsid w:val="00BA3D19"/>
    <w:rsid w:val="00BA3D1E"/>
    <w:rsid w:val="00BA3DA5"/>
    <w:rsid w:val="00BA3E34"/>
    <w:rsid w:val="00BA3E9E"/>
    <w:rsid w:val="00BA3EE2"/>
    <w:rsid w:val="00BA3F20"/>
    <w:rsid w:val="00BA3F55"/>
    <w:rsid w:val="00BA3FFE"/>
    <w:rsid w:val="00BA403A"/>
    <w:rsid w:val="00BA40AA"/>
    <w:rsid w:val="00BA40F2"/>
    <w:rsid w:val="00BA4103"/>
    <w:rsid w:val="00BA415C"/>
    <w:rsid w:val="00BA4167"/>
    <w:rsid w:val="00BA416D"/>
    <w:rsid w:val="00BA41DF"/>
    <w:rsid w:val="00BA4225"/>
    <w:rsid w:val="00BA4262"/>
    <w:rsid w:val="00BA428E"/>
    <w:rsid w:val="00BA42E9"/>
    <w:rsid w:val="00BA42F5"/>
    <w:rsid w:val="00BA4339"/>
    <w:rsid w:val="00BA43C4"/>
    <w:rsid w:val="00BA4433"/>
    <w:rsid w:val="00BA4466"/>
    <w:rsid w:val="00BA447E"/>
    <w:rsid w:val="00BA4489"/>
    <w:rsid w:val="00BA44CE"/>
    <w:rsid w:val="00BA4564"/>
    <w:rsid w:val="00BA459F"/>
    <w:rsid w:val="00BA46B2"/>
    <w:rsid w:val="00BA46C8"/>
    <w:rsid w:val="00BA46DB"/>
    <w:rsid w:val="00BA4748"/>
    <w:rsid w:val="00BA4770"/>
    <w:rsid w:val="00BA47D2"/>
    <w:rsid w:val="00BA47D8"/>
    <w:rsid w:val="00BA4877"/>
    <w:rsid w:val="00BA48BD"/>
    <w:rsid w:val="00BA48E4"/>
    <w:rsid w:val="00BA493C"/>
    <w:rsid w:val="00BA4993"/>
    <w:rsid w:val="00BA49C4"/>
    <w:rsid w:val="00BA49ED"/>
    <w:rsid w:val="00BA4A10"/>
    <w:rsid w:val="00BA4A12"/>
    <w:rsid w:val="00BA4A17"/>
    <w:rsid w:val="00BA4A74"/>
    <w:rsid w:val="00BA4A8C"/>
    <w:rsid w:val="00BA4BD6"/>
    <w:rsid w:val="00BA4BDD"/>
    <w:rsid w:val="00BA4BF8"/>
    <w:rsid w:val="00BA4C18"/>
    <w:rsid w:val="00BA4CAA"/>
    <w:rsid w:val="00BA4CC1"/>
    <w:rsid w:val="00BA4D59"/>
    <w:rsid w:val="00BA4D9C"/>
    <w:rsid w:val="00BA4E1E"/>
    <w:rsid w:val="00BA4E45"/>
    <w:rsid w:val="00BA4E8C"/>
    <w:rsid w:val="00BA4EB7"/>
    <w:rsid w:val="00BA4EBA"/>
    <w:rsid w:val="00BA4EEB"/>
    <w:rsid w:val="00BA4F44"/>
    <w:rsid w:val="00BA5002"/>
    <w:rsid w:val="00BA503B"/>
    <w:rsid w:val="00BA507A"/>
    <w:rsid w:val="00BA50B1"/>
    <w:rsid w:val="00BA50D0"/>
    <w:rsid w:val="00BA50F0"/>
    <w:rsid w:val="00BA5108"/>
    <w:rsid w:val="00BA51DC"/>
    <w:rsid w:val="00BA51FC"/>
    <w:rsid w:val="00BA5201"/>
    <w:rsid w:val="00BA5258"/>
    <w:rsid w:val="00BA528C"/>
    <w:rsid w:val="00BA52CA"/>
    <w:rsid w:val="00BA52EC"/>
    <w:rsid w:val="00BA5314"/>
    <w:rsid w:val="00BA53E0"/>
    <w:rsid w:val="00BA541F"/>
    <w:rsid w:val="00BA54A0"/>
    <w:rsid w:val="00BA54ED"/>
    <w:rsid w:val="00BA54FE"/>
    <w:rsid w:val="00BA5519"/>
    <w:rsid w:val="00BA5534"/>
    <w:rsid w:val="00BA5580"/>
    <w:rsid w:val="00BA55C7"/>
    <w:rsid w:val="00BA561B"/>
    <w:rsid w:val="00BA567E"/>
    <w:rsid w:val="00BA567F"/>
    <w:rsid w:val="00BA579B"/>
    <w:rsid w:val="00BA57CE"/>
    <w:rsid w:val="00BA5870"/>
    <w:rsid w:val="00BA5965"/>
    <w:rsid w:val="00BA59B0"/>
    <w:rsid w:val="00BA59D4"/>
    <w:rsid w:val="00BA5A95"/>
    <w:rsid w:val="00BA5A9A"/>
    <w:rsid w:val="00BA5BFF"/>
    <w:rsid w:val="00BA5C02"/>
    <w:rsid w:val="00BA5C18"/>
    <w:rsid w:val="00BA5C1A"/>
    <w:rsid w:val="00BA5C56"/>
    <w:rsid w:val="00BA5C78"/>
    <w:rsid w:val="00BA5CC0"/>
    <w:rsid w:val="00BA5D25"/>
    <w:rsid w:val="00BA5D40"/>
    <w:rsid w:val="00BA5D42"/>
    <w:rsid w:val="00BA5F35"/>
    <w:rsid w:val="00BA5F3F"/>
    <w:rsid w:val="00BA6093"/>
    <w:rsid w:val="00BA6252"/>
    <w:rsid w:val="00BA62A7"/>
    <w:rsid w:val="00BA62BF"/>
    <w:rsid w:val="00BA62C3"/>
    <w:rsid w:val="00BA63B7"/>
    <w:rsid w:val="00BA63C2"/>
    <w:rsid w:val="00BA649E"/>
    <w:rsid w:val="00BA6523"/>
    <w:rsid w:val="00BA6602"/>
    <w:rsid w:val="00BA6614"/>
    <w:rsid w:val="00BA666D"/>
    <w:rsid w:val="00BA671B"/>
    <w:rsid w:val="00BA6723"/>
    <w:rsid w:val="00BA672A"/>
    <w:rsid w:val="00BA677F"/>
    <w:rsid w:val="00BA6797"/>
    <w:rsid w:val="00BA67D3"/>
    <w:rsid w:val="00BA682D"/>
    <w:rsid w:val="00BA687A"/>
    <w:rsid w:val="00BA689B"/>
    <w:rsid w:val="00BA68DB"/>
    <w:rsid w:val="00BA6956"/>
    <w:rsid w:val="00BA696D"/>
    <w:rsid w:val="00BA69B6"/>
    <w:rsid w:val="00BA69C6"/>
    <w:rsid w:val="00BA69FB"/>
    <w:rsid w:val="00BA69FF"/>
    <w:rsid w:val="00BA6A45"/>
    <w:rsid w:val="00BA6AA1"/>
    <w:rsid w:val="00BA6ADC"/>
    <w:rsid w:val="00BA6B4E"/>
    <w:rsid w:val="00BA6B59"/>
    <w:rsid w:val="00BA6B9D"/>
    <w:rsid w:val="00BA6BDF"/>
    <w:rsid w:val="00BA6DB1"/>
    <w:rsid w:val="00BA6DDC"/>
    <w:rsid w:val="00BA6F1B"/>
    <w:rsid w:val="00BA6F4B"/>
    <w:rsid w:val="00BA6FB1"/>
    <w:rsid w:val="00BA6FB9"/>
    <w:rsid w:val="00BA705D"/>
    <w:rsid w:val="00BA7066"/>
    <w:rsid w:val="00BA7069"/>
    <w:rsid w:val="00BA7188"/>
    <w:rsid w:val="00BA7218"/>
    <w:rsid w:val="00BA724F"/>
    <w:rsid w:val="00BA725D"/>
    <w:rsid w:val="00BA7270"/>
    <w:rsid w:val="00BA72B0"/>
    <w:rsid w:val="00BA731A"/>
    <w:rsid w:val="00BA73DB"/>
    <w:rsid w:val="00BA73EE"/>
    <w:rsid w:val="00BA7412"/>
    <w:rsid w:val="00BA7431"/>
    <w:rsid w:val="00BA7445"/>
    <w:rsid w:val="00BA746D"/>
    <w:rsid w:val="00BA74A0"/>
    <w:rsid w:val="00BA752B"/>
    <w:rsid w:val="00BA7536"/>
    <w:rsid w:val="00BA757D"/>
    <w:rsid w:val="00BA75A6"/>
    <w:rsid w:val="00BA75B5"/>
    <w:rsid w:val="00BA7626"/>
    <w:rsid w:val="00BA7662"/>
    <w:rsid w:val="00BA767F"/>
    <w:rsid w:val="00BA7706"/>
    <w:rsid w:val="00BA7711"/>
    <w:rsid w:val="00BA7719"/>
    <w:rsid w:val="00BA7720"/>
    <w:rsid w:val="00BA7890"/>
    <w:rsid w:val="00BA79EA"/>
    <w:rsid w:val="00BA7A22"/>
    <w:rsid w:val="00BA7A32"/>
    <w:rsid w:val="00BA7A7D"/>
    <w:rsid w:val="00BA7BE2"/>
    <w:rsid w:val="00BA7BFB"/>
    <w:rsid w:val="00BA7C19"/>
    <w:rsid w:val="00BA7C74"/>
    <w:rsid w:val="00BA7C8E"/>
    <w:rsid w:val="00BA7CF0"/>
    <w:rsid w:val="00BA7D08"/>
    <w:rsid w:val="00BA7D75"/>
    <w:rsid w:val="00BA7DC1"/>
    <w:rsid w:val="00BA7DCC"/>
    <w:rsid w:val="00BA7E78"/>
    <w:rsid w:val="00BA7E89"/>
    <w:rsid w:val="00BA7F3D"/>
    <w:rsid w:val="00BA7F5C"/>
    <w:rsid w:val="00BA7F96"/>
    <w:rsid w:val="00BB003E"/>
    <w:rsid w:val="00BB00B3"/>
    <w:rsid w:val="00BB013D"/>
    <w:rsid w:val="00BB013E"/>
    <w:rsid w:val="00BB016F"/>
    <w:rsid w:val="00BB01FF"/>
    <w:rsid w:val="00BB02AE"/>
    <w:rsid w:val="00BB0313"/>
    <w:rsid w:val="00BB0371"/>
    <w:rsid w:val="00BB03C4"/>
    <w:rsid w:val="00BB03F1"/>
    <w:rsid w:val="00BB040E"/>
    <w:rsid w:val="00BB0437"/>
    <w:rsid w:val="00BB0489"/>
    <w:rsid w:val="00BB04AE"/>
    <w:rsid w:val="00BB0622"/>
    <w:rsid w:val="00BB063C"/>
    <w:rsid w:val="00BB065D"/>
    <w:rsid w:val="00BB0662"/>
    <w:rsid w:val="00BB06A5"/>
    <w:rsid w:val="00BB06D0"/>
    <w:rsid w:val="00BB073F"/>
    <w:rsid w:val="00BB0819"/>
    <w:rsid w:val="00BB0841"/>
    <w:rsid w:val="00BB08B4"/>
    <w:rsid w:val="00BB08CD"/>
    <w:rsid w:val="00BB08EA"/>
    <w:rsid w:val="00BB0940"/>
    <w:rsid w:val="00BB0AEB"/>
    <w:rsid w:val="00BB0B01"/>
    <w:rsid w:val="00BB0BCD"/>
    <w:rsid w:val="00BB0D11"/>
    <w:rsid w:val="00BB0D1E"/>
    <w:rsid w:val="00BB0DD3"/>
    <w:rsid w:val="00BB0E0C"/>
    <w:rsid w:val="00BB0E25"/>
    <w:rsid w:val="00BB0EF8"/>
    <w:rsid w:val="00BB0F1B"/>
    <w:rsid w:val="00BB0FDA"/>
    <w:rsid w:val="00BB0FF7"/>
    <w:rsid w:val="00BB1018"/>
    <w:rsid w:val="00BB1125"/>
    <w:rsid w:val="00BB1173"/>
    <w:rsid w:val="00BB1180"/>
    <w:rsid w:val="00BB118C"/>
    <w:rsid w:val="00BB11BB"/>
    <w:rsid w:val="00BB11F8"/>
    <w:rsid w:val="00BB11FB"/>
    <w:rsid w:val="00BB127B"/>
    <w:rsid w:val="00BB1284"/>
    <w:rsid w:val="00BB12AB"/>
    <w:rsid w:val="00BB12DA"/>
    <w:rsid w:val="00BB12FE"/>
    <w:rsid w:val="00BB1354"/>
    <w:rsid w:val="00BB13EA"/>
    <w:rsid w:val="00BB13F1"/>
    <w:rsid w:val="00BB140E"/>
    <w:rsid w:val="00BB1492"/>
    <w:rsid w:val="00BB14C5"/>
    <w:rsid w:val="00BB14C9"/>
    <w:rsid w:val="00BB1579"/>
    <w:rsid w:val="00BB1615"/>
    <w:rsid w:val="00BB16C9"/>
    <w:rsid w:val="00BB1770"/>
    <w:rsid w:val="00BB17BD"/>
    <w:rsid w:val="00BB180A"/>
    <w:rsid w:val="00BB180D"/>
    <w:rsid w:val="00BB1820"/>
    <w:rsid w:val="00BB1880"/>
    <w:rsid w:val="00BB18B6"/>
    <w:rsid w:val="00BB18C4"/>
    <w:rsid w:val="00BB1952"/>
    <w:rsid w:val="00BB1954"/>
    <w:rsid w:val="00BB1A5A"/>
    <w:rsid w:val="00BB1A5F"/>
    <w:rsid w:val="00BB1A75"/>
    <w:rsid w:val="00BB1A78"/>
    <w:rsid w:val="00BB1B2E"/>
    <w:rsid w:val="00BB1B6D"/>
    <w:rsid w:val="00BB1BAD"/>
    <w:rsid w:val="00BB1C48"/>
    <w:rsid w:val="00BB1C4C"/>
    <w:rsid w:val="00BB1C94"/>
    <w:rsid w:val="00BB1CD7"/>
    <w:rsid w:val="00BB1D8B"/>
    <w:rsid w:val="00BB1D9A"/>
    <w:rsid w:val="00BB1DFC"/>
    <w:rsid w:val="00BB1E51"/>
    <w:rsid w:val="00BB1E58"/>
    <w:rsid w:val="00BB1EE4"/>
    <w:rsid w:val="00BB1F3B"/>
    <w:rsid w:val="00BB1FD2"/>
    <w:rsid w:val="00BB207B"/>
    <w:rsid w:val="00BB208E"/>
    <w:rsid w:val="00BB2095"/>
    <w:rsid w:val="00BB2169"/>
    <w:rsid w:val="00BB21A4"/>
    <w:rsid w:val="00BB21BB"/>
    <w:rsid w:val="00BB2310"/>
    <w:rsid w:val="00BB2317"/>
    <w:rsid w:val="00BB2382"/>
    <w:rsid w:val="00BB23DB"/>
    <w:rsid w:val="00BB23E2"/>
    <w:rsid w:val="00BB23FD"/>
    <w:rsid w:val="00BB242B"/>
    <w:rsid w:val="00BB24DF"/>
    <w:rsid w:val="00BB2507"/>
    <w:rsid w:val="00BB25A6"/>
    <w:rsid w:val="00BB25F4"/>
    <w:rsid w:val="00BB2626"/>
    <w:rsid w:val="00BB2683"/>
    <w:rsid w:val="00BB27F5"/>
    <w:rsid w:val="00BB2808"/>
    <w:rsid w:val="00BB280B"/>
    <w:rsid w:val="00BB280D"/>
    <w:rsid w:val="00BB28DC"/>
    <w:rsid w:val="00BB2960"/>
    <w:rsid w:val="00BB2972"/>
    <w:rsid w:val="00BB29EC"/>
    <w:rsid w:val="00BB2A22"/>
    <w:rsid w:val="00BB2A7B"/>
    <w:rsid w:val="00BB2BAA"/>
    <w:rsid w:val="00BB2BC2"/>
    <w:rsid w:val="00BB2CC0"/>
    <w:rsid w:val="00BB2E0C"/>
    <w:rsid w:val="00BB2E18"/>
    <w:rsid w:val="00BB2E19"/>
    <w:rsid w:val="00BB2EB0"/>
    <w:rsid w:val="00BB2ED6"/>
    <w:rsid w:val="00BB2F66"/>
    <w:rsid w:val="00BB2F82"/>
    <w:rsid w:val="00BB2FBB"/>
    <w:rsid w:val="00BB30C4"/>
    <w:rsid w:val="00BB31A5"/>
    <w:rsid w:val="00BB325A"/>
    <w:rsid w:val="00BB363E"/>
    <w:rsid w:val="00BB366D"/>
    <w:rsid w:val="00BB368F"/>
    <w:rsid w:val="00BB36DB"/>
    <w:rsid w:val="00BB373D"/>
    <w:rsid w:val="00BB379C"/>
    <w:rsid w:val="00BB37C3"/>
    <w:rsid w:val="00BB37F8"/>
    <w:rsid w:val="00BB3838"/>
    <w:rsid w:val="00BB398D"/>
    <w:rsid w:val="00BB3A58"/>
    <w:rsid w:val="00BB3A70"/>
    <w:rsid w:val="00BB3B3C"/>
    <w:rsid w:val="00BB3B69"/>
    <w:rsid w:val="00BB3BA5"/>
    <w:rsid w:val="00BB3C2C"/>
    <w:rsid w:val="00BB3CA3"/>
    <w:rsid w:val="00BB3E08"/>
    <w:rsid w:val="00BB3E1A"/>
    <w:rsid w:val="00BB3E32"/>
    <w:rsid w:val="00BB3E4E"/>
    <w:rsid w:val="00BB3E9F"/>
    <w:rsid w:val="00BB3EA2"/>
    <w:rsid w:val="00BB3EBE"/>
    <w:rsid w:val="00BB3F19"/>
    <w:rsid w:val="00BB3F30"/>
    <w:rsid w:val="00BB3F89"/>
    <w:rsid w:val="00BB3FA8"/>
    <w:rsid w:val="00BB403A"/>
    <w:rsid w:val="00BB4067"/>
    <w:rsid w:val="00BB40F8"/>
    <w:rsid w:val="00BB4121"/>
    <w:rsid w:val="00BB413B"/>
    <w:rsid w:val="00BB41B3"/>
    <w:rsid w:val="00BB41D6"/>
    <w:rsid w:val="00BB420E"/>
    <w:rsid w:val="00BB4266"/>
    <w:rsid w:val="00BB42D3"/>
    <w:rsid w:val="00BB4347"/>
    <w:rsid w:val="00BB43C0"/>
    <w:rsid w:val="00BB4502"/>
    <w:rsid w:val="00BB457B"/>
    <w:rsid w:val="00BB457F"/>
    <w:rsid w:val="00BB45D0"/>
    <w:rsid w:val="00BB46CE"/>
    <w:rsid w:val="00BB481C"/>
    <w:rsid w:val="00BB48F8"/>
    <w:rsid w:val="00BB4942"/>
    <w:rsid w:val="00BB49DE"/>
    <w:rsid w:val="00BB4A01"/>
    <w:rsid w:val="00BB4A43"/>
    <w:rsid w:val="00BB4A54"/>
    <w:rsid w:val="00BB4ABD"/>
    <w:rsid w:val="00BB4AE1"/>
    <w:rsid w:val="00BB4B03"/>
    <w:rsid w:val="00BB4B1E"/>
    <w:rsid w:val="00BB4B6A"/>
    <w:rsid w:val="00BB4C23"/>
    <w:rsid w:val="00BB4C4F"/>
    <w:rsid w:val="00BB4CA7"/>
    <w:rsid w:val="00BB4D84"/>
    <w:rsid w:val="00BB4D97"/>
    <w:rsid w:val="00BB4DEF"/>
    <w:rsid w:val="00BB4E2A"/>
    <w:rsid w:val="00BB4E71"/>
    <w:rsid w:val="00BB4E76"/>
    <w:rsid w:val="00BB4E7E"/>
    <w:rsid w:val="00BB4EA8"/>
    <w:rsid w:val="00BB4F3A"/>
    <w:rsid w:val="00BB4F4C"/>
    <w:rsid w:val="00BB4F53"/>
    <w:rsid w:val="00BB4FF5"/>
    <w:rsid w:val="00BB4FF8"/>
    <w:rsid w:val="00BB508A"/>
    <w:rsid w:val="00BB50A0"/>
    <w:rsid w:val="00BB515C"/>
    <w:rsid w:val="00BB52DF"/>
    <w:rsid w:val="00BB53B8"/>
    <w:rsid w:val="00BB545F"/>
    <w:rsid w:val="00BB54FD"/>
    <w:rsid w:val="00BB550E"/>
    <w:rsid w:val="00BB551E"/>
    <w:rsid w:val="00BB55CF"/>
    <w:rsid w:val="00BB560F"/>
    <w:rsid w:val="00BB5646"/>
    <w:rsid w:val="00BB576E"/>
    <w:rsid w:val="00BB57E9"/>
    <w:rsid w:val="00BB58B8"/>
    <w:rsid w:val="00BB58C1"/>
    <w:rsid w:val="00BB5920"/>
    <w:rsid w:val="00BB5936"/>
    <w:rsid w:val="00BB5987"/>
    <w:rsid w:val="00BB59C8"/>
    <w:rsid w:val="00BB59DB"/>
    <w:rsid w:val="00BB5A13"/>
    <w:rsid w:val="00BB5A9D"/>
    <w:rsid w:val="00BB5B1E"/>
    <w:rsid w:val="00BB5B28"/>
    <w:rsid w:val="00BB5B29"/>
    <w:rsid w:val="00BB5B7C"/>
    <w:rsid w:val="00BB5C15"/>
    <w:rsid w:val="00BB5D05"/>
    <w:rsid w:val="00BB5D30"/>
    <w:rsid w:val="00BB5D9B"/>
    <w:rsid w:val="00BB5DC1"/>
    <w:rsid w:val="00BB5DD6"/>
    <w:rsid w:val="00BB5E22"/>
    <w:rsid w:val="00BB5E2D"/>
    <w:rsid w:val="00BB5E76"/>
    <w:rsid w:val="00BB5E87"/>
    <w:rsid w:val="00BB5E96"/>
    <w:rsid w:val="00BB5EA8"/>
    <w:rsid w:val="00BB5EBC"/>
    <w:rsid w:val="00BB5F2E"/>
    <w:rsid w:val="00BB5F3C"/>
    <w:rsid w:val="00BB5F5C"/>
    <w:rsid w:val="00BB5F86"/>
    <w:rsid w:val="00BB5F97"/>
    <w:rsid w:val="00BB6023"/>
    <w:rsid w:val="00BB6109"/>
    <w:rsid w:val="00BB611C"/>
    <w:rsid w:val="00BB6138"/>
    <w:rsid w:val="00BB6142"/>
    <w:rsid w:val="00BB618A"/>
    <w:rsid w:val="00BB61A6"/>
    <w:rsid w:val="00BB61E4"/>
    <w:rsid w:val="00BB61FE"/>
    <w:rsid w:val="00BB62D9"/>
    <w:rsid w:val="00BB6353"/>
    <w:rsid w:val="00BB64E3"/>
    <w:rsid w:val="00BB659D"/>
    <w:rsid w:val="00BB65B8"/>
    <w:rsid w:val="00BB6635"/>
    <w:rsid w:val="00BB66DF"/>
    <w:rsid w:val="00BB66E6"/>
    <w:rsid w:val="00BB6775"/>
    <w:rsid w:val="00BB6797"/>
    <w:rsid w:val="00BB67FC"/>
    <w:rsid w:val="00BB688B"/>
    <w:rsid w:val="00BB68D9"/>
    <w:rsid w:val="00BB6900"/>
    <w:rsid w:val="00BB6999"/>
    <w:rsid w:val="00BB69E1"/>
    <w:rsid w:val="00BB69E8"/>
    <w:rsid w:val="00BB69EC"/>
    <w:rsid w:val="00BB6B04"/>
    <w:rsid w:val="00BB6B2D"/>
    <w:rsid w:val="00BB6B53"/>
    <w:rsid w:val="00BB6BDA"/>
    <w:rsid w:val="00BB6C10"/>
    <w:rsid w:val="00BB6C49"/>
    <w:rsid w:val="00BB6C4E"/>
    <w:rsid w:val="00BB6CA4"/>
    <w:rsid w:val="00BB6E22"/>
    <w:rsid w:val="00BB6E23"/>
    <w:rsid w:val="00BB6E32"/>
    <w:rsid w:val="00BB6E5F"/>
    <w:rsid w:val="00BB6EB9"/>
    <w:rsid w:val="00BB6F3C"/>
    <w:rsid w:val="00BB70C6"/>
    <w:rsid w:val="00BB7107"/>
    <w:rsid w:val="00BB710C"/>
    <w:rsid w:val="00BB7148"/>
    <w:rsid w:val="00BB716C"/>
    <w:rsid w:val="00BB71B9"/>
    <w:rsid w:val="00BB7231"/>
    <w:rsid w:val="00BB7240"/>
    <w:rsid w:val="00BB724F"/>
    <w:rsid w:val="00BB72D4"/>
    <w:rsid w:val="00BB72D5"/>
    <w:rsid w:val="00BB7392"/>
    <w:rsid w:val="00BB74A1"/>
    <w:rsid w:val="00BB7547"/>
    <w:rsid w:val="00BB7582"/>
    <w:rsid w:val="00BB75EC"/>
    <w:rsid w:val="00BB75F1"/>
    <w:rsid w:val="00BB763C"/>
    <w:rsid w:val="00BB7647"/>
    <w:rsid w:val="00BB764E"/>
    <w:rsid w:val="00BB766A"/>
    <w:rsid w:val="00BB76DF"/>
    <w:rsid w:val="00BB7718"/>
    <w:rsid w:val="00BB77BB"/>
    <w:rsid w:val="00BB77FB"/>
    <w:rsid w:val="00BB780D"/>
    <w:rsid w:val="00BB7896"/>
    <w:rsid w:val="00BB78B3"/>
    <w:rsid w:val="00BB78EA"/>
    <w:rsid w:val="00BB7917"/>
    <w:rsid w:val="00BB7961"/>
    <w:rsid w:val="00BB79B9"/>
    <w:rsid w:val="00BB79E9"/>
    <w:rsid w:val="00BB7A1A"/>
    <w:rsid w:val="00BB7A85"/>
    <w:rsid w:val="00BB7A99"/>
    <w:rsid w:val="00BB7B0B"/>
    <w:rsid w:val="00BB7B48"/>
    <w:rsid w:val="00BB7BB6"/>
    <w:rsid w:val="00BB7BF1"/>
    <w:rsid w:val="00BB7C00"/>
    <w:rsid w:val="00BB7C5C"/>
    <w:rsid w:val="00BB7C7C"/>
    <w:rsid w:val="00BB7E01"/>
    <w:rsid w:val="00BB7E5B"/>
    <w:rsid w:val="00BB7EE3"/>
    <w:rsid w:val="00BB7FC7"/>
    <w:rsid w:val="00BC0014"/>
    <w:rsid w:val="00BC0066"/>
    <w:rsid w:val="00BC01AC"/>
    <w:rsid w:val="00BC01FD"/>
    <w:rsid w:val="00BC0217"/>
    <w:rsid w:val="00BC026E"/>
    <w:rsid w:val="00BC026F"/>
    <w:rsid w:val="00BC027E"/>
    <w:rsid w:val="00BC02C3"/>
    <w:rsid w:val="00BC02EA"/>
    <w:rsid w:val="00BC0307"/>
    <w:rsid w:val="00BC032C"/>
    <w:rsid w:val="00BC040E"/>
    <w:rsid w:val="00BC0415"/>
    <w:rsid w:val="00BC04A2"/>
    <w:rsid w:val="00BC0574"/>
    <w:rsid w:val="00BC05F6"/>
    <w:rsid w:val="00BC062F"/>
    <w:rsid w:val="00BC0636"/>
    <w:rsid w:val="00BC065E"/>
    <w:rsid w:val="00BC066D"/>
    <w:rsid w:val="00BC06B4"/>
    <w:rsid w:val="00BC06D9"/>
    <w:rsid w:val="00BC071F"/>
    <w:rsid w:val="00BC072A"/>
    <w:rsid w:val="00BC072B"/>
    <w:rsid w:val="00BC074E"/>
    <w:rsid w:val="00BC079B"/>
    <w:rsid w:val="00BC0830"/>
    <w:rsid w:val="00BC0878"/>
    <w:rsid w:val="00BC0911"/>
    <w:rsid w:val="00BC0918"/>
    <w:rsid w:val="00BC094C"/>
    <w:rsid w:val="00BC0B13"/>
    <w:rsid w:val="00BC0B1F"/>
    <w:rsid w:val="00BC0BD3"/>
    <w:rsid w:val="00BC0C22"/>
    <w:rsid w:val="00BC0C27"/>
    <w:rsid w:val="00BC0C78"/>
    <w:rsid w:val="00BC0C91"/>
    <w:rsid w:val="00BC0CC2"/>
    <w:rsid w:val="00BC0CFD"/>
    <w:rsid w:val="00BC0D04"/>
    <w:rsid w:val="00BC0E1F"/>
    <w:rsid w:val="00BC0E39"/>
    <w:rsid w:val="00BC0E5F"/>
    <w:rsid w:val="00BC0E95"/>
    <w:rsid w:val="00BC0E9B"/>
    <w:rsid w:val="00BC0EB9"/>
    <w:rsid w:val="00BC0F49"/>
    <w:rsid w:val="00BC0F89"/>
    <w:rsid w:val="00BC1068"/>
    <w:rsid w:val="00BC1092"/>
    <w:rsid w:val="00BC118B"/>
    <w:rsid w:val="00BC11B8"/>
    <w:rsid w:val="00BC1214"/>
    <w:rsid w:val="00BC126C"/>
    <w:rsid w:val="00BC12D4"/>
    <w:rsid w:val="00BC130E"/>
    <w:rsid w:val="00BC1327"/>
    <w:rsid w:val="00BC132A"/>
    <w:rsid w:val="00BC1393"/>
    <w:rsid w:val="00BC13EB"/>
    <w:rsid w:val="00BC141C"/>
    <w:rsid w:val="00BC1460"/>
    <w:rsid w:val="00BC1513"/>
    <w:rsid w:val="00BC1557"/>
    <w:rsid w:val="00BC15CE"/>
    <w:rsid w:val="00BC1693"/>
    <w:rsid w:val="00BC169F"/>
    <w:rsid w:val="00BC173C"/>
    <w:rsid w:val="00BC1770"/>
    <w:rsid w:val="00BC182C"/>
    <w:rsid w:val="00BC1936"/>
    <w:rsid w:val="00BC19B5"/>
    <w:rsid w:val="00BC19BE"/>
    <w:rsid w:val="00BC19EA"/>
    <w:rsid w:val="00BC1A1E"/>
    <w:rsid w:val="00BC1A55"/>
    <w:rsid w:val="00BC1AE3"/>
    <w:rsid w:val="00BC1C8A"/>
    <w:rsid w:val="00BC1CAA"/>
    <w:rsid w:val="00BC1CC1"/>
    <w:rsid w:val="00BC1D76"/>
    <w:rsid w:val="00BC1DDC"/>
    <w:rsid w:val="00BC1E3D"/>
    <w:rsid w:val="00BC1E86"/>
    <w:rsid w:val="00BC1EF6"/>
    <w:rsid w:val="00BC1F0D"/>
    <w:rsid w:val="00BC2009"/>
    <w:rsid w:val="00BC2063"/>
    <w:rsid w:val="00BC20BE"/>
    <w:rsid w:val="00BC2162"/>
    <w:rsid w:val="00BC219E"/>
    <w:rsid w:val="00BC2228"/>
    <w:rsid w:val="00BC222F"/>
    <w:rsid w:val="00BC2239"/>
    <w:rsid w:val="00BC22AB"/>
    <w:rsid w:val="00BC2310"/>
    <w:rsid w:val="00BC2311"/>
    <w:rsid w:val="00BC2347"/>
    <w:rsid w:val="00BC2368"/>
    <w:rsid w:val="00BC237F"/>
    <w:rsid w:val="00BC23B3"/>
    <w:rsid w:val="00BC2449"/>
    <w:rsid w:val="00BC24CF"/>
    <w:rsid w:val="00BC2590"/>
    <w:rsid w:val="00BC25BE"/>
    <w:rsid w:val="00BC25CE"/>
    <w:rsid w:val="00BC2632"/>
    <w:rsid w:val="00BC263C"/>
    <w:rsid w:val="00BC265F"/>
    <w:rsid w:val="00BC26EF"/>
    <w:rsid w:val="00BC2735"/>
    <w:rsid w:val="00BC274A"/>
    <w:rsid w:val="00BC2799"/>
    <w:rsid w:val="00BC279F"/>
    <w:rsid w:val="00BC27B6"/>
    <w:rsid w:val="00BC2867"/>
    <w:rsid w:val="00BC286D"/>
    <w:rsid w:val="00BC29EC"/>
    <w:rsid w:val="00BC2A42"/>
    <w:rsid w:val="00BC2A45"/>
    <w:rsid w:val="00BC2A76"/>
    <w:rsid w:val="00BC2A9C"/>
    <w:rsid w:val="00BC2B05"/>
    <w:rsid w:val="00BC2B06"/>
    <w:rsid w:val="00BC2B0A"/>
    <w:rsid w:val="00BC2C01"/>
    <w:rsid w:val="00BC2E94"/>
    <w:rsid w:val="00BC2F0E"/>
    <w:rsid w:val="00BC2F29"/>
    <w:rsid w:val="00BC2F51"/>
    <w:rsid w:val="00BC2FC0"/>
    <w:rsid w:val="00BC3088"/>
    <w:rsid w:val="00BC3091"/>
    <w:rsid w:val="00BC30A4"/>
    <w:rsid w:val="00BC319C"/>
    <w:rsid w:val="00BC328E"/>
    <w:rsid w:val="00BC32B6"/>
    <w:rsid w:val="00BC33EB"/>
    <w:rsid w:val="00BC342F"/>
    <w:rsid w:val="00BC3480"/>
    <w:rsid w:val="00BC3518"/>
    <w:rsid w:val="00BC354A"/>
    <w:rsid w:val="00BC3551"/>
    <w:rsid w:val="00BC3554"/>
    <w:rsid w:val="00BC3585"/>
    <w:rsid w:val="00BC35E2"/>
    <w:rsid w:val="00BC3607"/>
    <w:rsid w:val="00BC3646"/>
    <w:rsid w:val="00BC3713"/>
    <w:rsid w:val="00BC387D"/>
    <w:rsid w:val="00BC389D"/>
    <w:rsid w:val="00BC38DB"/>
    <w:rsid w:val="00BC39C5"/>
    <w:rsid w:val="00BC39CB"/>
    <w:rsid w:val="00BC39F2"/>
    <w:rsid w:val="00BC3A10"/>
    <w:rsid w:val="00BC3A4E"/>
    <w:rsid w:val="00BC3A62"/>
    <w:rsid w:val="00BC3A65"/>
    <w:rsid w:val="00BC3ABA"/>
    <w:rsid w:val="00BC3AD9"/>
    <w:rsid w:val="00BC3AF5"/>
    <w:rsid w:val="00BC3AF8"/>
    <w:rsid w:val="00BC3B17"/>
    <w:rsid w:val="00BC3BC1"/>
    <w:rsid w:val="00BC3CD8"/>
    <w:rsid w:val="00BC3CE9"/>
    <w:rsid w:val="00BC3D06"/>
    <w:rsid w:val="00BC3D23"/>
    <w:rsid w:val="00BC3D50"/>
    <w:rsid w:val="00BC3D7D"/>
    <w:rsid w:val="00BC3DDA"/>
    <w:rsid w:val="00BC3E02"/>
    <w:rsid w:val="00BC3E86"/>
    <w:rsid w:val="00BC3ED3"/>
    <w:rsid w:val="00BC3F9C"/>
    <w:rsid w:val="00BC3F9F"/>
    <w:rsid w:val="00BC3FA3"/>
    <w:rsid w:val="00BC3FCD"/>
    <w:rsid w:val="00BC3FE2"/>
    <w:rsid w:val="00BC4038"/>
    <w:rsid w:val="00BC4052"/>
    <w:rsid w:val="00BC4159"/>
    <w:rsid w:val="00BC41CA"/>
    <w:rsid w:val="00BC4205"/>
    <w:rsid w:val="00BC428C"/>
    <w:rsid w:val="00BC43A8"/>
    <w:rsid w:val="00BC43F2"/>
    <w:rsid w:val="00BC442E"/>
    <w:rsid w:val="00BC4450"/>
    <w:rsid w:val="00BC445C"/>
    <w:rsid w:val="00BC449A"/>
    <w:rsid w:val="00BC44CD"/>
    <w:rsid w:val="00BC4729"/>
    <w:rsid w:val="00BC4769"/>
    <w:rsid w:val="00BC48A2"/>
    <w:rsid w:val="00BC490B"/>
    <w:rsid w:val="00BC4914"/>
    <w:rsid w:val="00BC497D"/>
    <w:rsid w:val="00BC49B8"/>
    <w:rsid w:val="00BC4A22"/>
    <w:rsid w:val="00BC4A38"/>
    <w:rsid w:val="00BC4AB5"/>
    <w:rsid w:val="00BC4AF4"/>
    <w:rsid w:val="00BC4B30"/>
    <w:rsid w:val="00BC4B61"/>
    <w:rsid w:val="00BC4B78"/>
    <w:rsid w:val="00BC4BDF"/>
    <w:rsid w:val="00BC4C22"/>
    <w:rsid w:val="00BC4CFA"/>
    <w:rsid w:val="00BC4D98"/>
    <w:rsid w:val="00BC4DF8"/>
    <w:rsid w:val="00BC4DFF"/>
    <w:rsid w:val="00BC4E8E"/>
    <w:rsid w:val="00BC4EFB"/>
    <w:rsid w:val="00BC4FB9"/>
    <w:rsid w:val="00BC4FC4"/>
    <w:rsid w:val="00BC5079"/>
    <w:rsid w:val="00BC50C9"/>
    <w:rsid w:val="00BC5141"/>
    <w:rsid w:val="00BC514A"/>
    <w:rsid w:val="00BC51D8"/>
    <w:rsid w:val="00BC51FA"/>
    <w:rsid w:val="00BC51FD"/>
    <w:rsid w:val="00BC5225"/>
    <w:rsid w:val="00BC522E"/>
    <w:rsid w:val="00BC5265"/>
    <w:rsid w:val="00BC5270"/>
    <w:rsid w:val="00BC5293"/>
    <w:rsid w:val="00BC52A1"/>
    <w:rsid w:val="00BC52DE"/>
    <w:rsid w:val="00BC5311"/>
    <w:rsid w:val="00BC5321"/>
    <w:rsid w:val="00BC534B"/>
    <w:rsid w:val="00BC538C"/>
    <w:rsid w:val="00BC5409"/>
    <w:rsid w:val="00BC543F"/>
    <w:rsid w:val="00BC5526"/>
    <w:rsid w:val="00BC5537"/>
    <w:rsid w:val="00BC5547"/>
    <w:rsid w:val="00BC555F"/>
    <w:rsid w:val="00BC55FF"/>
    <w:rsid w:val="00BC5627"/>
    <w:rsid w:val="00BC568E"/>
    <w:rsid w:val="00BC56B9"/>
    <w:rsid w:val="00BC5704"/>
    <w:rsid w:val="00BC570F"/>
    <w:rsid w:val="00BC57AA"/>
    <w:rsid w:val="00BC57FB"/>
    <w:rsid w:val="00BC58B9"/>
    <w:rsid w:val="00BC58D9"/>
    <w:rsid w:val="00BC58F7"/>
    <w:rsid w:val="00BC5944"/>
    <w:rsid w:val="00BC595F"/>
    <w:rsid w:val="00BC59D8"/>
    <w:rsid w:val="00BC59DE"/>
    <w:rsid w:val="00BC5A14"/>
    <w:rsid w:val="00BC5A7C"/>
    <w:rsid w:val="00BC5A83"/>
    <w:rsid w:val="00BC5AF8"/>
    <w:rsid w:val="00BC5B0F"/>
    <w:rsid w:val="00BC5BA5"/>
    <w:rsid w:val="00BC5BD5"/>
    <w:rsid w:val="00BC5C1A"/>
    <w:rsid w:val="00BC5C2D"/>
    <w:rsid w:val="00BC5C99"/>
    <w:rsid w:val="00BC5C9B"/>
    <w:rsid w:val="00BC5D49"/>
    <w:rsid w:val="00BC5D7E"/>
    <w:rsid w:val="00BC5E89"/>
    <w:rsid w:val="00BC5FE3"/>
    <w:rsid w:val="00BC5FEB"/>
    <w:rsid w:val="00BC6087"/>
    <w:rsid w:val="00BC6099"/>
    <w:rsid w:val="00BC60BF"/>
    <w:rsid w:val="00BC60CF"/>
    <w:rsid w:val="00BC6122"/>
    <w:rsid w:val="00BC6166"/>
    <w:rsid w:val="00BC6197"/>
    <w:rsid w:val="00BC61C3"/>
    <w:rsid w:val="00BC61D2"/>
    <w:rsid w:val="00BC6251"/>
    <w:rsid w:val="00BC633E"/>
    <w:rsid w:val="00BC6354"/>
    <w:rsid w:val="00BC6386"/>
    <w:rsid w:val="00BC63A6"/>
    <w:rsid w:val="00BC63E0"/>
    <w:rsid w:val="00BC6452"/>
    <w:rsid w:val="00BC6471"/>
    <w:rsid w:val="00BC6484"/>
    <w:rsid w:val="00BC6585"/>
    <w:rsid w:val="00BC65B2"/>
    <w:rsid w:val="00BC6670"/>
    <w:rsid w:val="00BC668C"/>
    <w:rsid w:val="00BC66BF"/>
    <w:rsid w:val="00BC670E"/>
    <w:rsid w:val="00BC67BB"/>
    <w:rsid w:val="00BC681D"/>
    <w:rsid w:val="00BC6828"/>
    <w:rsid w:val="00BC6849"/>
    <w:rsid w:val="00BC6860"/>
    <w:rsid w:val="00BC694F"/>
    <w:rsid w:val="00BC6990"/>
    <w:rsid w:val="00BC69F2"/>
    <w:rsid w:val="00BC6A83"/>
    <w:rsid w:val="00BC6A85"/>
    <w:rsid w:val="00BC6B6F"/>
    <w:rsid w:val="00BC6C27"/>
    <w:rsid w:val="00BC6C2F"/>
    <w:rsid w:val="00BC6C9C"/>
    <w:rsid w:val="00BC6CB3"/>
    <w:rsid w:val="00BC6CBC"/>
    <w:rsid w:val="00BC6E90"/>
    <w:rsid w:val="00BC6F43"/>
    <w:rsid w:val="00BC6F5A"/>
    <w:rsid w:val="00BC6F88"/>
    <w:rsid w:val="00BC6FE9"/>
    <w:rsid w:val="00BC705C"/>
    <w:rsid w:val="00BC707B"/>
    <w:rsid w:val="00BC7119"/>
    <w:rsid w:val="00BC713F"/>
    <w:rsid w:val="00BC7169"/>
    <w:rsid w:val="00BC716D"/>
    <w:rsid w:val="00BC7184"/>
    <w:rsid w:val="00BC71F9"/>
    <w:rsid w:val="00BC722C"/>
    <w:rsid w:val="00BC7237"/>
    <w:rsid w:val="00BC7240"/>
    <w:rsid w:val="00BC72D6"/>
    <w:rsid w:val="00BC72E6"/>
    <w:rsid w:val="00BC733A"/>
    <w:rsid w:val="00BC73A9"/>
    <w:rsid w:val="00BC74C0"/>
    <w:rsid w:val="00BC74F0"/>
    <w:rsid w:val="00BC75F2"/>
    <w:rsid w:val="00BC75F5"/>
    <w:rsid w:val="00BC775C"/>
    <w:rsid w:val="00BC77CA"/>
    <w:rsid w:val="00BC77DA"/>
    <w:rsid w:val="00BC7804"/>
    <w:rsid w:val="00BC7856"/>
    <w:rsid w:val="00BC7858"/>
    <w:rsid w:val="00BC78A9"/>
    <w:rsid w:val="00BC78DE"/>
    <w:rsid w:val="00BC799D"/>
    <w:rsid w:val="00BC79C7"/>
    <w:rsid w:val="00BC7A74"/>
    <w:rsid w:val="00BC7AB0"/>
    <w:rsid w:val="00BC7AD6"/>
    <w:rsid w:val="00BC7AF3"/>
    <w:rsid w:val="00BC7BCB"/>
    <w:rsid w:val="00BC7C02"/>
    <w:rsid w:val="00BC7C38"/>
    <w:rsid w:val="00BC7C5F"/>
    <w:rsid w:val="00BC7C79"/>
    <w:rsid w:val="00BC7C7E"/>
    <w:rsid w:val="00BC7C88"/>
    <w:rsid w:val="00BC7DC3"/>
    <w:rsid w:val="00BC7E1B"/>
    <w:rsid w:val="00BC7E44"/>
    <w:rsid w:val="00BC7E58"/>
    <w:rsid w:val="00BC7E63"/>
    <w:rsid w:val="00BC7E6E"/>
    <w:rsid w:val="00BC7ED2"/>
    <w:rsid w:val="00BC7ED8"/>
    <w:rsid w:val="00BC7EE1"/>
    <w:rsid w:val="00BC7F0E"/>
    <w:rsid w:val="00BC7F56"/>
    <w:rsid w:val="00BC7F7B"/>
    <w:rsid w:val="00BC7FC8"/>
    <w:rsid w:val="00BC7FC9"/>
    <w:rsid w:val="00BD003F"/>
    <w:rsid w:val="00BD004C"/>
    <w:rsid w:val="00BD0084"/>
    <w:rsid w:val="00BD00EA"/>
    <w:rsid w:val="00BD0114"/>
    <w:rsid w:val="00BD0163"/>
    <w:rsid w:val="00BD016B"/>
    <w:rsid w:val="00BD01C8"/>
    <w:rsid w:val="00BD01D8"/>
    <w:rsid w:val="00BD0239"/>
    <w:rsid w:val="00BD02AC"/>
    <w:rsid w:val="00BD02C2"/>
    <w:rsid w:val="00BD033C"/>
    <w:rsid w:val="00BD0419"/>
    <w:rsid w:val="00BD0475"/>
    <w:rsid w:val="00BD0573"/>
    <w:rsid w:val="00BD05DD"/>
    <w:rsid w:val="00BD0665"/>
    <w:rsid w:val="00BD0712"/>
    <w:rsid w:val="00BD07E6"/>
    <w:rsid w:val="00BD082E"/>
    <w:rsid w:val="00BD0834"/>
    <w:rsid w:val="00BD08B6"/>
    <w:rsid w:val="00BD0A10"/>
    <w:rsid w:val="00BD0A7D"/>
    <w:rsid w:val="00BD0A82"/>
    <w:rsid w:val="00BD0AF8"/>
    <w:rsid w:val="00BD0B45"/>
    <w:rsid w:val="00BD0B6A"/>
    <w:rsid w:val="00BD0BB3"/>
    <w:rsid w:val="00BD0BC7"/>
    <w:rsid w:val="00BD0CED"/>
    <w:rsid w:val="00BD0D9B"/>
    <w:rsid w:val="00BD0DB5"/>
    <w:rsid w:val="00BD0E42"/>
    <w:rsid w:val="00BD0E80"/>
    <w:rsid w:val="00BD0FC3"/>
    <w:rsid w:val="00BD0FCC"/>
    <w:rsid w:val="00BD105A"/>
    <w:rsid w:val="00BD109A"/>
    <w:rsid w:val="00BD10DE"/>
    <w:rsid w:val="00BD10F3"/>
    <w:rsid w:val="00BD11A4"/>
    <w:rsid w:val="00BD1227"/>
    <w:rsid w:val="00BD126B"/>
    <w:rsid w:val="00BD12EE"/>
    <w:rsid w:val="00BD133F"/>
    <w:rsid w:val="00BD1364"/>
    <w:rsid w:val="00BD13F6"/>
    <w:rsid w:val="00BD14B1"/>
    <w:rsid w:val="00BD14C3"/>
    <w:rsid w:val="00BD14CE"/>
    <w:rsid w:val="00BD15D3"/>
    <w:rsid w:val="00BD1696"/>
    <w:rsid w:val="00BD16B3"/>
    <w:rsid w:val="00BD1779"/>
    <w:rsid w:val="00BD177C"/>
    <w:rsid w:val="00BD183C"/>
    <w:rsid w:val="00BD18F9"/>
    <w:rsid w:val="00BD195F"/>
    <w:rsid w:val="00BD1977"/>
    <w:rsid w:val="00BD19DB"/>
    <w:rsid w:val="00BD19E9"/>
    <w:rsid w:val="00BD1A14"/>
    <w:rsid w:val="00BD1AC8"/>
    <w:rsid w:val="00BD1B2B"/>
    <w:rsid w:val="00BD1B8E"/>
    <w:rsid w:val="00BD1BB8"/>
    <w:rsid w:val="00BD1BDC"/>
    <w:rsid w:val="00BD1C31"/>
    <w:rsid w:val="00BD1CCE"/>
    <w:rsid w:val="00BD1D3E"/>
    <w:rsid w:val="00BD1D7A"/>
    <w:rsid w:val="00BD1DD6"/>
    <w:rsid w:val="00BD1DF3"/>
    <w:rsid w:val="00BD1E16"/>
    <w:rsid w:val="00BD1E5E"/>
    <w:rsid w:val="00BD1E84"/>
    <w:rsid w:val="00BD1E85"/>
    <w:rsid w:val="00BD2002"/>
    <w:rsid w:val="00BD206A"/>
    <w:rsid w:val="00BD20EC"/>
    <w:rsid w:val="00BD21FB"/>
    <w:rsid w:val="00BD221A"/>
    <w:rsid w:val="00BD232A"/>
    <w:rsid w:val="00BD24AA"/>
    <w:rsid w:val="00BD24BC"/>
    <w:rsid w:val="00BD2509"/>
    <w:rsid w:val="00BD250A"/>
    <w:rsid w:val="00BD251B"/>
    <w:rsid w:val="00BD26A5"/>
    <w:rsid w:val="00BD26DF"/>
    <w:rsid w:val="00BD26EE"/>
    <w:rsid w:val="00BD270E"/>
    <w:rsid w:val="00BD274F"/>
    <w:rsid w:val="00BD2927"/>
    <w:rsid w:val="00BD2945"/>
    <w:rsid w:val="00BD29D6"/>
    <w:rsid w:val="00BD29E3"/>
    <w:rsid w:val="00BD2ACB"/>
    <w:rsid w:val="00BD2AE6"/>
    <w:rsid w:val="00BD2B1F"/>
    <w:rsid w:val="00BD2B7A"/>
    <w:rsid w:val="00BD2B90"/>
    <w:rsid w:val="00BD2C0C"/>
    <w:rsid w:val="00BD2CA9"/>
    <w:rsid w:val="00BD2CB2"/>
    <w:rsid w:val="00BD2CF1"/>
    <w:rsid w:val="00BD2D03"/>
    <w:rsid w:val="00BD2D0A"/>
    <w:rsid w:val="00BD2D54"/>
    <w:rsid w:val="00BD2DC8"/>
    <w:rsid w:val="00BD2DF6"/>
    <w:rsid w:val="00BD2E48"/>
    <w:rsid w:val="00BD2EB1"/>
    <w:rsid w:val="00BD2F3D"/>
    <w:rsid w:val="00BD2F3E"/>
    <w:rsid w:val="00BD2F71"/>
    <w:rsid w:val="00BD2F89"/>
    <w:rsid w:val="00BD2FC6"/>
    <w:rsid w:val="00BD300C"/>
    <w:rsid w:val="00BD307A"/>
    <w:rsid w:val="00BD307C"/>
    <w:rsid w:val="00BD309F"/>
    <w:rsid w:val="00BD30B5"/>
    <w:rsid w:val="00BD310A"/>
    <w:rsid w:val="00BD3136"/>
    <w:rsid w:val="00BD3194"/>
    <w:rsid w:val="00BD31EE"/>
    <w:rsid w:val="00BD3234"/>
    <w:rsid w:val="00BD325F"/>
    <w:rsid w:val="00BD32B8"/>
    <w:rsid w:val="00BD32F3"/>
    <w:rsid w:val="00BD330C"/>
    <w:rsid w:val="00BD33A3"/>
    <w:rsid w:val="00BD34FF"/>
    <w:rsid w:val="00BD36BC"/>
    <w:rsid w:val="00BD376C"/>
    <w:rsid w:val="00BD3794"/>
    <w:rsid w:val="00BD37C9"/>
    <w:rsid w:val="00BD3805"/>
    <w:rsid w:val="00BD3806"/>
    <w:rsid w:val="00BD3862"/>
    <w:rsid w:val="00BD38D6"/>
    <w:rsid w:val="00BD3911"/>
    <w:rsid w:val="00BD39DC"/>
    <w:rsid w:val="00BD3A12"/>
    <w:rsid w:val="00BD3A62"/>
    <w:rsid w:val="00BD3AE0"/>
    <w:rsid w:val="00BD3AF6"/>
    <w:rsid w:val="00BD3B39"/>
    <w:rsid w:val="00BD3B7B"/>
    <w:rsid w:val="00BD3BF9"/>
    <w:rsid w:val="00BD3C22"/>
    <w:rsid w:val="00BD3C57"/>
    <w:rsid w:val="00BD3C59"/>
    <w:rsid w:val="00BD3CCB"/>
    <w:rsid w:val="00BD3CCF"/>
    <w:rsid w:val="00BD3DCB"/>
    <w:rsid w:val="00BD3E42"/>
    <w:rsid w:val="00BD3E6B"/>
    <w:rsid w:val="00BD3F19"/>
    <w:rsid w:val="00BD3F4A"/>
    <w:rsid w:val="00BD3FA3"/>
    <w:rsid w:val="00BD3FF6"/>
    <w:rsid w:val="00BD4116"/>
    <w:rsid w:val="00BD414C"/>
    <w:rsid w:val="00BD4160"/>
    <w:rsid w:val="00BD41CC"/>
    <w:rsid w:val="00BD41D3"/>
    <w:rsid w:val="00BD42BA"/>
    <w:rsid w:val="00BD42C8"/>
    <w:rsid w:val="00BD4410"/>
    <w:rsid w:val="00BD443B"/>
    <w:rsid w:val="00BD45B7"/>
    <w:rsid w:val="00BD4767"/>
    <w:rsid w:val="00BD47AE"/>
    <w:rsid w:val="00BD4892"/>
    <w:rsid w:val="00BD492A"/>
    <w:rsid w:val="00BD4A5E"/>
    <w:rsid w:val="00BD4A7E"/>
    <w:rsid w:val="00BD4A99"/>
    <w:rsid w:val="00BD4AE8"/>
    <w:rsid w:val="00BD4B5E"/>
    <w:rsid w:val="00BD4BA1"/>
    <w:rsid w:val="00BD4BA8"/>
    <w:rsid w:val="00BD4BF1"/>
    <w:rsid w:val="00BD4C29"/>
    <w:rsid w:val="00BD4C3C"/>
    <w:rsid w:val="00BD4CE8"/>
    <w:rsid w:val="00BD4D15"/>
    <w:rsid w:val="00BD4D1F"/>
    <w:rsid w:val="00BD4D85"/>
    <w:rsid w:val="00BD4D92"/>
    <w:rsid w:val="00BD4DB5"/>
    <w:rsid w:val="00BD4E34"/>
    <w:rsid w:val="00BD4EAF"/>
    <w:rsid w:val="00BD4EE6"/>
    <w:rsid w:val="00BD4EE9"/>
    <w:rsid w:val="00BD4EEB"/>
    <w:rsid w:val="00BD4F22"/>
    <w:rsid w:val="00BD4F6E"/>
    <w:rsid w:val="00BD4F81"/>
    <w:rsid w:val="00BD501E"/>
    <w:rsid w:val="00BD51FB"/>
    <w:rsid w:val="00BD5208"/>
    <w:rsid w:val="00BD52E0"/>
    <w:rsid w:val="00BD5325"/>
    <w:rsid w:val="00BD543C"/>
    <w:rsid w:val="00BD549F"/>
    <w:rsid w:val="00BD55D0"/>
    <w:rsid w:val="00BD55DB"/>
    <w:rsid w:val="00BD570D"/>
    <w:rsid w:val="00BD570F"/>
    <w:rsid w:val="00BD572D"/>
    <w:rsid w:val="00BD5876"/>
    <w:rsid w:val="00BD58BF"/>
    <w:rsid w:val="00BD58D4"/>
    <w:rsid w:val="00BD5908"/>
    <w:rsid w:val="00BD5913"/>
    <w:rsid w:val="00BD598F"/>
    <w:rsid w:val="00BD59A1"/>
    <w:rsid w:val="00BD5A15"/>
    <w:rsid w:val="00BD5AA4"/>
    <w:rsid w:val="00BD5ADF"/>
    <w:rsid w:val="00BD5BE4"/>
    <w:rsid w:val="00BD5C33"/>
    <w:rsid w:val="00BD5CAE"/>
    <w:rsid w:val="00BD5DB7"/>
    <w:rsid w:val="00BD5DC9"/>
    <w:rsid w:val="00BD5E9C"/>
    <w:rsid w:val="00BD5F2D"/>
    <w:rsid w:val="00BD5FA7"/>
    <w:rsid w:val="00BD5FCC"/>
    <w:rsid w:val="00BD5FE0"/>
    <w:rsid w:val="00BD601C"/>
    <w:rsid w:val="00BD602F"/>
    <w:rsid w:val="00BD60AD"/>
    <w:rsid w:val="00BD60D4"/>
    <w:rsid w:val="00BD60F2"/>
    <w:rsid w:val="00BD610F"/>
    <w:rsid w:val="00BD6237"/>
    <w:rsid w:val="00BD62E0"/>
    <w:rsid w:val="00BD630D"/>
    <w:rsid w:val="00BD63AF"/>
    <w:rsid w:val="00BD63CE"/>
    <w:rsid w:val="00BD63DF"/>
    <w:rsid w:val="00BD6407"/>
    <w:rsid w:val="00BD64E5"/>
    <w:rsid w:val="00BD6516"/>
    <w:rsid w:val="00BD65DA"/>
    <w:rsid w:val="00BD660F"/>
    <w:rsid w:val="00BD6612"/>
    <w:rsid w:val="00BD669D"/>
    <w:rsid w:val="00BD671D"/>
    <w:rsid w:val="00BD672F"/>
    <w:rsid w:val="00BD68A2"/>
    <w:rsid w:val="00BD68D7"/>
    <w:rsid w:val="00BD68FC"/>
    <w:rsid w:val="00BD693B"/>
    <w:rsid w:val="00BD6968"/>
    <w:rsid w:val="00BD6971"/>
    <w:rsid w:val="00BD6985"/>
    <w:rsid w:val="00BD69E5"/>
    <w:rsid w:val="00BD6A5B"/>
    <w:rsid w:val="00BD6A6D"/>
    <w:rsid w:val="00BD6ABD"/>
    <w:rsid w:val="00BD6ABE"/>
    <w:rsid w:val="00BD6AE1"/>
    <w:rsid w:val="00BD6B42"/>
    <w:rsid w:val="00BD6B8C"/>
    <w:rsid w:val="00BD6C58"/>
    <w:rsid w:val="00BD6C81"/>
    <w:rsid w:val="00BD6DDE"/>
    <w:rsid w:val="00BD6E49"/>
    <w:rsid w:val="00BD6F13"/>
    <w:rsid w:val="00BD6F28"/>
    <w:rsid w:val="00BD6FDB"/>
    <w:rsid w:val="00BD701C"/>
    <w:rsid w:val="00BD71C6"/>
    <w:rsid w:val="00BD729B"/>
    <w:rsid w:val="00BD729F"/>
    <w:rsid w:val="00BD72D9"/>
    <w:rsid w:val="00BD72FD"/>
    <w:rsid w:val="00BD7544"/>
    <w:rsid w:val="00BD75CC"/>
    <w:rsid w:val="00BD760A"/>
    <w:rsid w:val="00BD7652"/>
    <w:rsid w:val="00BD767D"/>
    <w:rsid w:val="00BD76B0"/>
    <w:rsid w:val="00BD76F7"/>
    <w:rsid w:val="00BD7752"/>
    <w:rsid w:val="00BD776B"/>
    <w:rsid w:val="00BD77C7"/>
    <w:rsid w:val="00BD7801"/>
    <w:rsid w:val="00BD7844"/>
    <w:rsid w:val="00BD78A5"/>
    <w:rsid w:val="00BD78DA"/>
    <w:rsid w:val="00BD78F2"/>
    <w:rsid w:val="00BD78F6"/>
    <w:rsid w:val="00BD79A8"/>
    <w:rsid w:val="00BD79A9"/>
    <w:rsid w:val="00BD7A27"/>
    <w:rsid w:val="00BD7AC6"/>
    <w:rsid w:val="00BD7AF9"/>
    <w:rsid w:val="00BD7B11"/>
    <w:rsid w:val="00BD7B89"/>
    <w:rsid w:val="00BD7BA0"/>
    <w:rsid w:val="00BD7BAC"/>
    <w:rsid w:val="00BD7C1B"/>
    <w:rsid w:val="00BD7CEE"/>
    <w:rsid w:val="00BD7D05"/>
    <w:rsid w:val="00BD7E68"/>
    <w:rsid w:val="00BD7E90"/>
    <w:rsid w:val="00BD7EB0"/>
    <w:rsid w:val="00BD7F3E"/>
    <w:rsid w:val="00BD7FE8"/>
    <w:rsid w:val="00BE006B"/>
    <w:rsid w:val="00BE00EF"/>
    <w:rsid w:val="00BE0103"/>
    <w:rsid w:val="00BE020D"/>
    <w:rsid w:val="00BE021C"/>
    <w:rsid w:val="00BE0243"/>
    <w:rsid w:val="00BE0255"/>
    <w:rsid w:val="00BE0268"/>
    <w:rsid w:val="00BE0277"/>
    <w:rsid w:val="00BE0284"/>
    <w:rsid w:val="00BE030A"/>
    <w:rsid w:val="00BE0421"/>
    <w:rsid w:val="00BE043E"/>
    <w:rsid w:val="00BE04A7"/>
    <w:rsid w:val="00BE04CE"/>
    <w:rsid w:val="00BE04DE"/>
    <w:rsid w:val="00BE06AB"/>
    <w:rsid w:val="00BE0771"/>
    <w:rsid w:val="00BE07B4"/>
    <w:rsid w:val="00BE0862"/>
    <w:rsid w:val="00BE086C"/>
    <w:rsid w:val="00BE0986"/>
    <w:rsid w:val="00BE09BC"/>
    <w:rsid w:val="00BE0A4E"/>
    <w:rsid w:val="00BE0AAF"/>
    <w:rsid w:val="00BE0ABB"/>
    <w:rsid w:val="00BE0AE5"/>
    <w:rsid w:val="00BE0B60"/>
    <w:rsid w:val="00BE0B72"/>
    <w:rsid w:val="00BE0C99"/>
    <w:rsid w:val="00BE0CD1"/>
    <w:rsid w:val="00BE0D18"/>
    <w:rsid w:val="00BE0D63"/>
    <w:rsid w:val="00BE0DD2"/>
    <w:rsid w:val="00BE0E5C"/>
    <w:rsid w:val="00BE0F4C"/>
    <w:rsid w:val="00BE0FAF"/>
    <w:rsid w:val="00BE0FBC"/>
    <w:rsid w:val="00BE0FC8"/>
    <w:rsid w:val="00BE0FE8"/>
    <w:rsid w:val="00BE1061"/>
    <w:rsid w:val="00BE10E5"/>
    <w:rsid w:val="00BE1117"/>
    <w:rsid w:val="00BE11B9"/>
    <w:rsid w:val="00BE1281"/>
    <w:rsid w:val="00BE1374"/>
    <w:rsid w:val="00BE13A9"/>
    <w:rsid w:val="00BE1409"/>
    <w:rsid w:val="00BE1424"/>
    <w:rsid w:val="00BE144A"/>
    <w:rsid w:val="00BE152A"/>
    <w:rsid w:val="00BE15DC"/>
    <w:rsid w:val="00BE16C6"/>
    <w:rsid w:val="00BE16EE"/>
    <w:rsid w:val="00BE1754"/>
    <w:rsid w:val="00BE1766"/>
    <w:rsid w:val="00BE17A0"/>
    <w:rsid w:val="00BE17C6"/>
    <w:rsid w:val="00BE1872"/>
    <w:rsid w:val="00BE18A2"/>
    <w:rsid w:val="00BE18F6"/>
    <w:rsid w:val="00BE1929"/>
    <w:rsid w:val="00BE1933"/>
    <w:rsid w:val="00BE194C"/>
    <w:rsid w:val="00BE1AAE"/>
    <w:rsid w:val="00BE1AF7"/>
    <w:rsid w:val="00BE1B72"/>
    <w:rsid w:val="00BE1BA5"/>
    <w:rsid w:val="00BE1C00"/>
    <w:rsid w:val="00BE1D04"/>
    <w:rsid w:val="00BE1D4E"/>
    <w:rsid w:val="00BE1D53"/>
    <w:rsid w:val="00BE1D82"/>
    <w:rsid w:val="00BE1D8B"/>
    <w:rsid w:val="00BE1DD4"/>
    <w:rsid w:val="00BE1E26"/>
    <w:rsid w:val="00BE1E79"/>
    <w:rsid w:val="00BE1F20"/>
    <w:rsid w:val="00BE1F7F"/>
    <w:rsid w:val="00BE1FA3"/>
    <w:rsid w:val="00BE1FEB"/>
    <w:rsid w:val="00BE201F"/>
    <w:rsid w:val="00BE20BF"/>
    <w:rsid w:val="00BE2153"/>
    <w:rsid w:val="00BE2173"/>
    <w:rsid w:val="00BE21A9"/>
    <w:rsid w:val="00BE21AA"/>
    <w:rsid w:val="00BE21EE"/>
    <w:rsid w:val="00BE22AC"/>
    <w:rsid w:val="00BE2368"/>
    <w:rsid w:val="00BE23CF"/>
    <w:rsid w:val="00BE240A"/>
    <w:rsid w:val="00BE2434"/>
    <w:rsid w:val="00BE246A"/>
    <w:rsid w:val="00BE24DD"/>
    <w:rsid w:val="00BE2549"/>
    <w:rsid w:val="00BE25A6"/>
    <w:rsid w:val="00BE25DC"/>
    <w:rsid w:val="00BE26CB"/>
    <w:rsid w:val="00BE26DD"/>
    <w:rsid w:val="00BE26FF"/>
    <w:rsid w:val="00BE275D"/>
    <w:rsid w:val="00BE2781"/>
    <w:rsid w:val="00BE27B3"/>
    <w:rsid w:val="00BE28F6"/>
    <w:rsid w:val="00BE2A13"/>
    <w:rsid w:val="00BE2A37"/>
    <w:rsid w:val="00BE2A73"/>
    <w:rsid w:val="00BE2AFB"/>
    <w:rsid w:val="00BE2B34"/>
    <w:rsid w:val="00BE2B58"/>
    <w:rsid w:val="00BE2B5B"/>
    <w:rsid w:val="00BE2B86"/>
    <w:rsid w:val="00BE2BA7"/>
    <w:rsid w:val="00BE2C5D"/>
    <w:rsid w:val="00BE2CA5"/>
    <w:rsid w:val="00BE2D2E"/>
    <w:rsid w:val="00BE2D6D"/>
    <w:rsid w:val="00BE2DEB"/>
    <w:rsid w:val="00BE2E90"/>
    <w:rsid w:val="00BE2EA7"/>
    <w:rsid w:val="00BE2EBD"/>
    <w:rsid w:val="00BE2EC7"/>
    <w:rsid w:val="00BE2F26"/>
    <w:rsid w:val="00BE2F53"/>
    <w:rsid w:val="00BE337F"/>
    <w:rsid w:val="00BE33AC"/>
    <w:rsid w:val="00BE342A"/>
    <w:rsid w:val="00BE3436"/>
    <w:rsid w:val="00BE360C"/>
    <w:rsid w:val="00BE3710"/>
    <w:rsid w:val="00BE3745"/>
    <w:rsid w:val="00BE3801"/>
    <w:rsid w:val="00BE3805"/>
    <w:rsid w:val="00BE38FA"/>
    <w:rsid w:val="00BE393C"/>
    <w:rsid w:val="00BE3974"/>
    <w:rsid w:val="00BE3A59"/>
    <w:rsid w:val="00BE3A7E"/>
    <w:rsid w:val="00BE3A9B"/>
    <w:rsid w:val="00BE3AE2"/>
    <w:rsid w:val="00BE3B33"/>
    <w:rsid w:val="00BE3B53"/>
    <w:rsid w:val="00BE3C34"/>
    <w:rsid w:val="00BE3C36"/>
    <w:rsid w:val="00BE3C84"/>
    <w:rsid w:val="00BE3CDF"/>
    <w:rsid w:val="00BE3DC4"/>
    <w:rsid w:val="00BE3F4A"/>
    <w:rsid w:val="00BE3FC9"/>
    <w:rsid w:val="00BE402F"/>
    <w:rsid w:val="00BE411B"/>
    <w:rsid w:val="00BE4157"/>
    <w:rsid w:val="00BE4173"/>
    <w:rsid w:val="00BE41F6"/>
    <w:rsid w:val="00BE41F7"/>
    <w:rsid w:val="00BE422F"/>
    <w:rsid w:val="00BE426D"/>
    <w:rsid w:val="00BE437F"/>
    <w:rsid w:val="00BE438D"/>
    <w:rsid w:val="00BE43A2"/>
    <w:rsid w:val="00BE4515"/>
    <w:rsid w:val="00BE451D"/>
    <w:rsid w:val="00BE4546"/>
    <w:rsid w:val="00BE45C2"/>
    <w:rsid w:val="00BE45EE"/>
    <w:rsid w:val="00BE4620"/>
    <w:rsid w:val="00BE46E1"/>
    <w:rsid w:val="00BE46FD"/>
    <w:rsid w:val="00BE47BB"/>
    <w:rsid w:val="00BE4856"/>
    <w:rsid w:val="00BE4911"/>
    <w:rsid w:val="00BE4941"/>
    <w:rsid w:val="00BE49DB"/>
    <w:rsid w:val="00BE49F6"/>
    <w:rsid w:val="00BE4A22"/>
    <w:rsid w:val="00BE4B39"/>
    <w:rsid w:val="00BE4B76"/>
    <w:rsid w:val="00BE4C25"/>
    <w:rsid w:val="00BE4CA6"/>
    <w:rsid w:val="00BE4D0A"/>
    <w:rsid w:val="00BE4D61"/>
    <w:rsid w:val="00BE4D94"/>
    <w:rsid w:val="00BE4E18"/>
    <w:rsid w:val="00BE4E2F"/>
    <w:rsid w:val="00BE4E53"/>
    <w:rsid w:val="00BE4E57"/>
    <w:rsid w:val="00BE4F17"/>
    <w:rsid w:val="00BE4F2C"/>
    <w:rsid w:val="00BE4F3C"/>
    <w:rsid w:val="00BE4FC7"/>
    <w:rsid w:val="00BE4FF4"/>
    <w:rsid w:val="00BE4FFE"/>
    <w:rsid w:val="00BE50D3"/>
    <w:rsid w:val="00BE50ED"/>
    <w:rsid w:val="00BE5101"/>
    <w:rsid w:val="00BE5135"/>
    <w:rsid w:val="00BE5216"/>
    <w:rsid w:val="00BE526C"/>
    <w:rsid w:val="00BE529D"/>
    <w:rsid w:val="00BE5355"/>
    <w:rsid w:val="00BE5372"/>
    <w:rsid w:val="00BE54E7"/>
    <w:rsid w:val="00BE5571"/>
    <w:rsid w:val="00BE5651"/>
    <w:rsid w:val="00BE5668"/>
    <w:rsid w:val="00BE568B"/>
    <w:rsid w:val="00BE56DA"/>
    <w:rsid w:val="00BE56F1"/>
    <w:rsid w:val="00BE572A"/>
    <w:rsid w:val="00BE5786"/>
    <w:rsid w:val="00BE5793"/>
    <w:rsid w:val="00BE57A0"/>
    <w:rsid w:val="00BE57D3"/>
    <w:rsid w:val="00BE5854"/>
    <w:rsid w:val="00BE5867"/>
    <w:rsid w:val="00BE58CB"/>
    <w:rsid w:val="00BE58E7"/>
    <w:rsid w:val="00BE594F"/>
    <w:rsid w:val="00BE5950"/>
    <w:rsid w:val="00BE59D9"/>
    <w:rsid w:val="00BE5A08"/>
    <w:rsid w:val="00BE5A21"/>
    <w:rsid w:val="00BE5A7D"/>
    <w:rsid w:val="00BE5A85"/>
    <w:rsid w:val="00BE5AFD"/>
    <w:rsid w:val="00BE5B5D"/>
    <w:rsid w:val="00BE5BF2"/>
    <w:rsid w:val="00BE5C09"/>
    <w:rsid w:val="00BE5C46"/>
    <w:rsid w:val="00BE5D6F"/>
    <w:rsid w:val="00BE5D8C"/>
    <w:rsid w:val="00BE5D93"/>
    <w:rsid w:val="00BE5DDF"/>
    <w:rsid w:val="00BE5E19"/>
    <w:rsid w:val="00BE5E75"/>
    <w:rsid w:val="00BE5E9E"/>
    <w:rsid w:val="00BE5FF4"/>
    <w:rsid w:val="00BE6084"/>
    <w:rsid w:val="00BE610E"/>
    <w:rsid w:val="00BE6205"/>
    <w:rsid w:val="00BE6212"/>
    <w:rsid w:val="00BE6255"/>
    <w:rsid w:val="00BE62F1"/>
    <w:rsid w:val="00BE6382"/>
    <w:rsid w:val="00BE63A9"/>
    <w:rsid w:val="00BE643B"/>
    <w:rsid w:val="00BE65E0"/>
    <w:rsid w:val="00BE6657"/>
    <w:rsid w:val="00BE66A7"/>
    <w:rsid w:val="00BE672E"/>
    <w:rsid w:val="00BE6806"/>
    <w:rsid w:val="00BE682C"/>
    <w:rsid w:val="00BE68BB"/>
    <w:rsid w:val="00BE68CB"/>
    <w:rsid w:val="00BE6936"/>
    <w:rsid w:val="00BE694F"/>
    <w:rsid w:val="00BE69B1"/>
    <w:rsid w:val="00BE69E6"/>
    <w:rsid w:val="00BE6AED"/>
    <w:rsid w:val="00BE6B48"/>
    <w:rsid w:val="00BE6B59"/>
    <w:rsid w:val="00BE6B71"/>
    <w:rsid w:val="00BE6C00"/>
    <w:rsid w:val="00BE6D0D"/>
    <w:rsid w:val="00BE6D16"/>
    <w:rsid w:val="00BE6E2E"/>
    <w:rsid w:val="00BE6E33"/>
    <w:rsid w:val="00BE6E51"/>
    <w:rsid w:val="00BE6EB3"/>
    <w:rsid w:val="00BE6EC3"/>
    <w:rsid w:val="00BE6F99"/>
    <w:rsid w:val="00BE6FA0"/>
    <w:rsid w:val="00BE6FBD"/>
    <w:rsid w:val="00BE7007"/>
    <w:rsid w:val="00BE705D"/>
    <w:rsid w:val="00BE7098"/>
    <w:rsid w:val="00BE70AE"/>
    <w:rsid w:val="00BE7132"/>
    <w:rsid w:val="00BE7285"/>
    <w:rsid w:val="00BE730C"/>
    <w:rsid w:val="00BE7329"/>
    <w:rsid w:val="00BE7368"/>
    <w:rsid w:val="00BE73E9"/>
    <w:rsid w:val="00BE740E"/>
    <w:rsid w:val="00BE7451"/>
    <w:rsid w:val="00BE749F"/>
    <w:rsid w:val="00BE74E9"/>
    <w:rsid w:val="00BE7522"/>
    <w:rsid w:val="00BE755F"/>
    <w:rsid w:val="00BE75C2"/>
    <w:rsid w:val="00BE75C4"/>
    <w:rsid w:val="00BE75D2"/>
    <w:rsid w:val="00BE77AF"/>
    <w:rsid w:val="00BE77E1"/>
    <w:rsid w:val="00BE781E"/>
    <w:rsid w:val="00BE7895"/>
    <w:rsid w:val="00BE7929"/>
    <w:rsid w:val="00BE7957"/>
    <w:rsid w:val="00BE79F2"/>
    <w:rsid w:val="00BE7A1D"/>
    <w:rsid w:val="00BE7A44"/>
    <w:rsid w:val="00BE7A74"/>
    <w:rsid w:val="00BE7AFF"/>
    <w:rsid w:val="00BE7C04"/>
    <w:rsid w:val="00BE7D77"/>
    <w:rsid w:val="00BE7DDF"/>
    <w:rsid w:val="00BE7E6A"/>
    <w:rsid w:val="00BE7E99"/>
    <w:rsid w:val="00BE7F1A"/>
    <w:rsid w:val="00BE7F88"/>
    <w:rsid w:val="00BE7FAE"/>
    <w:rsid w:val="00BE7FAF"/>
    <w:rsid w:val="00BF0052"/>
    <w:rsid w:val="00BF008E"/>
    <w:rsid w:val="00BF008F"/>
    <w:rsid w:val="00BF00CC"/>
    <w:rsid w:val="00BF019B"/>
    <w:rsid w:val="00BF01D9"/>
    <w:rsid w:val="00BF0263"/>
    <w:rsid w:val="00BF02B5"/>
    <w:rsid w:val="00BF0339"/>
    <w:rsid w:val="00BF03C2"/>
    <w:rsid w:val="00BF03DD"/>
    <w:rsid w:val="00BF04C4"/>
    <w:rsid w:val="00BF050B"/>
    <w:rsid w:val="00BF051E"/>
    <w:rsid w:val="00BF064B"/>
    <w:rsid w:val="00BF069F"/>
    <w:rsid w:val="00BF0701"/>
    <w:rsid w:val="00BF072C"/>
    <w:rsid w:val="00BF080F"/>
    <w:rsid w:val="00BF083C"/>
    <w:rsid w:val="00BF0897"/>
    <w:rsid w:val="00BF08AD"/>
    <w:rsid w:val="00BF0939"/>
    <w:rsid w:val="00BF0944"/>
    <w:rsid w:val="00BF0965"/>
    <w:rsid w:val="00BF09AB"/>
    <w:rsid w:val="00BF09BB"/>
    <w:rsid w:val="00BF09DA"/>
    <w:rsid w:val="00BF0A31"/>
    <w:rsid w:val="00BF0A4D"/>
    <w:rsid w:val="00BF0AE4"/>
    <w:rsid w:val="00BF0AEC"/>
    <w:rsid w:val="00BF0B4C"/>
    <w:rsid w:val="00BF0BA4"/>
    <w:rsid w:val="00BF0C1A"/>
    <w:rsid w:val="00BF0CF6"/>
    <w:rsid w:val="00BF0D8F"/>
    <w:rsid w:val="00BF0DBE"/>
    <w:rsid w:val="00BF0E05"/>
    <w:rsid w:val="00BF0E5F"/>
    <w:rsid w:val="00BF0E69"/>
    <w:rsid w:val="00BF0E96"/>
    <w:rsid w:val="00BF0ED1"/>
    <w:rsid w:val="00BF0F14"/>
    <w:rsid w:val="00BF0F1C"/>
    <w:rsid w:val="00BF0F45"/>
    <w:rsid w:val="00BF0FD6"/>
    <w:rsid w:val="00BF0FEE"/>
    <w:rsid w:val="00BF100A"/>
    <w:rsid w:val="00BF104F"/>
    <w:rsid w:val="00BF105B"/>
    <w:rsid w:val="00BF106D"/>
    <w:rsid w:val="00BF10B8"/>
    <w:rsid w:val="00BF10C7"/>
    <w:rsid w:val="00BF10D5"/>
    <w:rsid w:val="00BF1165"/>
    <w:rsid w:val="00BF11E4"/>
    <w:rsid w:val="00BF12AF"/>
    <w:rsid w:val="00BF12CC"/>
    <w:rsid w:val="00BF13B9"/>
    <w:rsid w:val="00BF13C7"/>
    <w:rsid w:val="00BF13E0"/>
    <w:rsid w:val="00BF14BC"/>
    <w:rsid w:val="00BF156C"/>
    <w:rsid w:val="00BF1591"/>
    <w:rsid w:val="00BF1597"/>
    <w:rsid w:val="00BF1695"/>
    <w:rsid w:val="00BF16C5"/>
    <w:rsid w:val="00BF1705"/>
    <w:rsid w:val="00BF1715"/>
    <w:rsid w:val="00BF171D"/>
    <w:rsid w:val="00BF175B"/>
    <w:rsid w:val="00BF17F4"/>
    <w:rsid w:val="00BF1805"/>
    <w:rsid w:val="00BF180D"/>
    <w:rsid w:val="00BF183B"/>
    <w:rsid w:val="00BF1843"/>
    <w:rsid w:val="00BF1893"/>
    <w:rsid w:val="00BF18CD"/>
    <w:rsid w:val="00BF1905"/>
    <w:rsid w:val="00BF1965"/>
    <w:rsid w:val="00BF1AA6"/>
    <w:rsid w:val="00BF1AC7"/>
    <w:rsid w:val="00BF1AD3"/>
    <w:rsid w:val="00BF1B52"/>
    <w:rsid w:val="00BF1BB2"/>
    <w:rsid w:val="00BF1C9F"/>
    <w:rsid w:val="00BF1CAC"/>
    <w:rsid w:val="00BF1D19"/>
    <w:rsid w:val="00BF1D9E"/>
    <w:rsid w:val="00BF1DD9"/>
    <w:rsid w:val="00BF1E12"/>
    <w:rsid w:val="00BF1ECB"/>
    <w:rsid w:val="00BF1F1D"/>
    <w:rsid w:val="00BF1F49"/>
    <w:rsid w:val="00BF1F81"/>
    <w:rsid w:val="00BF1F9C"/>
    <w:rsid w:val="00BF1FE0"/>
    <w:rsid w:val="00BF2086"/>
    <w:rsid w:val="00BF2108"/>
    <w:rsid w:val="00BF2112"/>
    <w:rsid w:val="00BF2149"/>
    <w:rsid w:val="00BF21B8"/>
    <w:rsid w:val="00BF21CD"/>
    <w:rsid w:val="00BF21D7"/>
    <w:rsid w:val="00BF21E5"/>
    <w:rsid w:val="00BF221B"/>
    <w:rsid w:val="00BF22C3"/>
    <w:rsid w:val="00BF2381"/>
    <w:rsid w:val="00BF241A"/>
    <w:rsid w:val="00BF2450"/>
    <w:rsid w:val="00BF2451"/>
    <w:rsid w:val="00BF2499"/>
    <w:rsid w:val="00BF24B0"/>
    <w:rsid w:val="00BF2529"/>
    <w:rsid w:val="00BF2558"/>
    <w:rsid w:val="00BF2624"/>
    <w:rsid w:val="00BF2671"/>
    <w:rsid w:val="00BF2703"/>
    <w:rsid w:val="00BF2742"/>
    <w:rsid w:val="00BF285F"/>
    <w:rsid w:val="00BF2876"/>
    <w:rsid w:val="00BF28AD"/>
    <w:rsid w:val="00BF28B4"/>
    <w:rsid w:val="00BF28F4"/>
    <w:rsid w:val="00BF2907"/>
    <w:rsid w:val="00BF29B7"/>
    <w:rsid w:val="00BF29DD"/>
    <w:rsid w:val="00BF2A87"/>
    <w:rsid w:val="00BF2AF0"/>
    <w:rsid w:val="00BF2B47"/>
    <w:rsid w:val="00BF2B49"/>
    <w:rsid w:val="00BF2B5D"/>
    <w:rsid w:val="00BF2BC7"/>
    <w:rsid w:val="00BF2BF3"/>
    <w:rsid w:val="00BF2C54"/>
    <w:rsid w:val="00BF2C72"/>
    <w:rsid w:val="00BF2D60"/>
    <w:rsid w:val="00BF2D66"/>
    <w:rsid w:val="00BF2E15"/>
    <w:rsid w:val="00BF2E31"/>
    <w:rsid w:val="00BF2E98"/>
    <w:rsid w:val="00BF2EB3"/>
    <w:rsid w:val="00BF2F19"/>
    <w:rsid w:val="00BF2F72"/>
    <w:rsid w:val="00BF3059"/>
    <w:rsid w:val="00BF3102"/>
    <w:rsid w:val="00BF316A"/>
    <w:rsid w:val="00BF320D"/>
    <w:rsid w:val="00BF3286"/>
    <w:rsid w:val="00BF32FE"/>
    <w:rsid w:val="00BF33AD"/>
    <w:rsid w:val="00BF33E4"/>
    <w:rsid w:val="00BF33E5"/>
    <w:rsid w:val="00BF3444"/>
    <w:rsid w:val="00BF3565"/>
    <w:rsid w:val="00BF358A"/>
    <w:rsid w:val="00BF35BB"/>
    <w:rsid w:val="00BF35F2"/>
    <w:rsid w:val="00BF365E"/>
    <w:rsid w:val="00BF368A"/>
    <w:rsid w:val="00BF3760"/>
    <w:rsid w:val="00BF3786"/>
    <w:rsid w:val="00BF3795"/>
    <w:rsid w:val="00BF37D6"/>
    <w:rsid w:val="00BF384C"/>
    <w:rsid w:val="00BF390F"/>
    <w:rsid w:val="00BF391D"/>
    <w:rsid w:val="00BF3934"/>
    <w:rsid w:val="00BF3960"/>
    <w:rsid w:val="00BF39A8"/>
    <w:rsid w:val="00BF39BC"/>
    <w:rsid w:val="00BF3A52"/>
    <w:rsid w:val="00BF3A90"/>
    <w:rsid w:val="00BF3AAE"/>
    <w:rsid w:val="00BF3CE6"/>
    <w:rsid w:val="00BF3D44"/>
    <w:rsid w:val="00BF3D63"/>
    <w:rsid w:val="00BF3D83"/>
    <w:rsid w:val="00BF3DCC"/>
    <w:rsid w:val="00BF3E1D"/>
    <w:rsid w:val="00BF3E2C"/>
    <w:rsid w:val="00BF3EB1"/>
    <w:rsid w:val="00BF3EE8"/>
    <w:rsid w:val="00BF3EFC"/>
    <w:rsid w:val="00BF3F2D"/>
    <w:rsid w:val="00BF3F3A"/>
    <w:rsid w:val="00BF3FD1"/>
    <w:rsid w:val="00BF4049"/>
    <w:rsid w:val="00BF406B"/>
    <w:rsid w:val="00BF4260"/>
    <w:rsid w:val="00BF4265"/>
    <w:rsid w:val="00BF4283"/>
    <w:rsid w:val="00BF4394"/>
    <w:rsid w:val="00BF43C3"/>
    <w:rsid w:val="00BF43D7"/>
    <w:rsid w:val="00BF43F6"/>
    <w:rsid w:val="00BF4449"/>
    <w:rsid w:val="00BF44B8"/>
    <w:rsid w:val="00BF46D9"/>
    <w:rsid w:val="00BF46F9"/>
    <w:rsid w:val="00BF47F8"/>
    <w:rsid w:val="00BF4806"/>
    <w:rsid w:val="00BF4A74"/>
    <w:rsid w:val="00BF4A91"/>
    <w:rsid w:val="00BF4ADB"/>
    <w:rsid w:val="00BF4AE4"/>
    <w:rsid w:val="00BF4AF2"/>
    <w:rsid w:val="00BF4AFA"/>
    <w:rsid w:val="00BF4B01"/>
    <w:rsid w:val="00BF4BF1"/>
    <w:rsid w:val="00BF4BFF"/>
    <w:rsid w:val="00BF4C7A"/>
    <w:rsid w:val="00BF4E03"/>
    <w:rsid w:val="00BF4E80"/>
    <w:rsid w:val="00BF4E96"/>
    <w:rsid w:val="00BF4EF9"/>
    <w:rsid w:val="00BF4F49"/>
    <w:rsid w:val="00BF4F72"/>
    <w:rsid w:val="00BF4FA7"/>
    <w:rsid w:val="00BF4FAE"/>
    <w:rsid w:val="00BF4FCF"/>
    <w:rsid w:val="00BF5093"/>
    <w:rsid w:val="00BF51AF"/>
    <w:rsid w:val="00BF5236"/>
    <w:rsid w:val="00BF527A"/>
    <w:rsid w:val="00BF5291"/>
    <w:rsid w:val="00BF5298"/>
    <w:rsid w:val="00BF531A"/>
    <w:rsid w:val="00BF5342"/>
    <w:rsid w:val="00BF534E"/>
    <w:rsid w:val="00BF53AA"/>
    <w:rsid w:val="00BF53B7"/>
    <w:rsid w:val="00BF53DF"/>
    <w:rsid w:val="00BF545E"/>
    <w:rsid w:val="00BF54A0"/>
    <w:rsid w:val="00BF54F8"/>
    <w:rsid w:val="00BF54FB"/>
    <w:rsid w:val="00BF557F"/>
    <w:rsid w:val="00BF55DF"/>
    <w:rsid w:val="00BF5610"/>
    <w:rsid w:val="00BF5763"/>
    <w:rsid w:val="00BF577C"/>
    <w:rsid w:val="00BF57A3"/>
    <w:rsid w:val="00BF5814"/>
    <w:rsid w:val="00BF5889"/>
    <w:rsid w:val="00BF589B"/>
    <w:rsid w:val="00BF5959"/>
    <w:rsid w:val="00BF5964"/>
    <w:rsid w:val="00BF5977"/>
    <w:rsid w:val="00BF59AB"/>
    <w:rsid w:val="00BF5A90"/>
    <w:rsid w:val="00BF5AF2"/>
    <w:rsid w:val="00BF5B11"/>
    <w:rsid w:val="00BF5B22"/>
    <w:rsid w:val="00BF5B7C"/>
    <w:rsid w:val="00BF5B82"/>
    <w:rsid w:val="00BF5C16"/>
    <w:rsid w:val="00BF5C7F"/>
    <w:rsid w:val="00BF5C83"/>
    <w:rsid w:val="00BF5DC3"/>
    <w:rsid w:val="00BF5DFA"/>
    <w:rsid w:val="00BF5E58"/>
    <w:rsid w:val="00BF5E61"/>
    <w:rsid w:val="00BF5EBF"/>
    <w:rsid w:val="00BF5F2A"/>
    <w:rsid w:val="00BF5F91"/>
    <w:rsid w:val="00BF5FBC"/>
    <w:rsid w:val="00BF601E"/>
    <w:rsid w:val="00BF6029"/>
    <w:rsid w:val="00BF604F"/>
    <w:rsid w:val="00BF6059"/>
    <w:rsid w:val="00BF62C2"/>
    <w:rsid w:val="00BF631E"/>
    <w:rsid w:val="00BF638C"/>
    <w:rsid w:val="00BF63E9"/>
    <w:rsid w:val="00BF63FA"/>
    <w:rsid w:val="00BF646B"/>
    <w:rsid w:val="00BF64E0"/>
    <w:rsid w:val="00BF64E3"/>
    <w:rsid w:val="00BF64EE"/>
    <w:rsid w:val="00BF6510"/>
    <w:rsid w:val="00BF6676"/>
    <w:rsid w:val="00BF66F8"/>
    <w:rsid w:val="00BF6703"/>
    <w:rsid w:val="00BF679D"/>
    <w:rsid w:val="00BF6801"/>
    <w:rsid w:val="00BF6902"/>
    <w:rsid w:val="00BF694B"/>
    <w:rsid w:val="00BF69F8"/>
    <w:rsid w:val="00BF6B9C"/>
    <w:rsid w:val="00BF6C05"/>
    <w:rsid w:val="00BF6C94"/>
    <w:rsid w:val="00BF6CCB"/>
    <w:rsid w:val="00BF6CE7"/>
    <w:rsid w:val="00BF6D4F"/>
    <w:rsid w:val="00BF6DD7"/>
    <w:rsid w:val="00BF6DF2"/>
    <w:rsid w:val="00BF6F17"/>
    <w:rsid w:val="00BF6F28"/>
    <w:rsid w:val="00BF6F29"/>
    <w:rsid w:val="00BF6F4B"/>
    <w:rsid w:val="00BF702C"/>
    <w:rsid w:val="00BF70E9"/>
    <w:rsid w:val="00BF715E"/>
    <w:rsid w:val="00BF72B5"/>
    <w:rsid w:val="00BF72E4"/>
    <w:rsid w:val="00BF7471"/>
    <w:rsid w:val="00BF7524"/>
    <w:rsid w:val="00BF758B"/>
    <w:rsid w:val="00BF758C"/>
    <w:rsid w:val="00BF75D7"/>
    <w:rsid w:val="00BF7639"/>
    <w:rsid w:val="00BF7688"/>
    <w:rsid w:val="00BF76E3"/>
    <w:rsid w:val="00BF7721"/>
    <w:rsid w:val="00BF7741"/>
    <w:rsid w:val="00BF774C"/>
    <w:rsid w:val="00BF776A"/>
    <w:rsid w:val="00BF7816"/>
    <w:rsid w:val="00BF7830"/>
    <w:rsid w:val="00BF7876"/>
    <w:rsid w:val="00BF78C6"/>
    <w:rsid w:val="00BF7906"/>
    <w:rsid w:val="00BF7982"/>
    <w:rsid w:val="00BF79F3"/>
    <w:rsid w:val="00BF7A51"/>
    <w:rsid w:val="00BF7BC4"/>
    <w:rsid w:val="00BF7C30"/>
    <w:rsid w:val="00BF7C8B"/>
    <w:rsid w:val="00BF7DB4"/>
    <w:rsid w:val="00BF7DE9"/>
    <w:rsid w:val="00BF7E20"/>
    <w:rsid w:val="00BF7E42"/>
    <w:rsid w:val="00BF7E5F"/>
    <w:rsid w:val="00BF7E78"/>
    <w:rsid w:val="00BF7EA2"/>
    <w:rsid w:val="00BF7F46"/>
    <w:rsid w:val="00BF7F59"/>
    <w:rsid w:val="00BF7F74"/>
    <w:rsid w:val="00BF7F76"/>
    <w:rsid w:val="00BF7FC5"/>
    <w:rsid w:val="00BF7FE8"/>
    <w:rsid w:val="00C00020"/>
    <w:rsid w:val="00C0002A"/>
    <w:rsid w:val="00C00067"/>
    <w:rsid w:val="00C00082"/>
    <w:rsid w:val="00C000FC"/>
    <w:rsid w:val="00C00185"/>
    <w:rsid w:val="00C00224"/>
    <w:rsid w:val="00C00252"/>
    <w:rsid w:val="00C0029C"/>
    <w:rsid w:val="00C0029D"/>
    <w:rsid w:val="00C002B3"/>
    <w:rsid w:val="00C0037E"/>
    <w:rsid w:val="00C003C4"/>
    <w:rsid w:val="00C00444"/>
    <w:rsid w:val="00C004AA"/>
    <w:rsid w:val="00C004D3"/>
    <w:rsid w:val="00C005C2"/>
    <w:rsid w:val="00C00637"/>
    <w:rsid w:val="00C006C1"/>
    <w:rsid w:val="00C006C5"/>
    <w:rsid w:val="00C006E0"/>
    <w:rsid w:val="00C006FC"/>
    <w:rsid w:val="00C00735"/>
    <w:rsid w:val="00C00738"/>
    <w:rsid w:val="00C00813"/>
    <w:rsid w:val="00C00830"/>
    <w:rsid w:val="00C00903"/>
    <w:rsid w:val="00C0091C"/>
    <w:rsid w:val="00C00AA1"/>
    <w:rsid w:val="00C00ABD"/>
    <w:rsid w:val="00C00BDE"/>
    <w:rsid w:val="00C00C61"/>
    <w:rsid w:val="00C00C8C"/>
    <w:rsid w:val="00C00D46"/>
    <w:rsid w:val="00C00D5F"/>
    <w:rsid w:val="00C00DA0"/>
    <w:rsid w:val="00C00DAB"/>
    <w:rsid w:val="00C00E90"/>
    <w:rsid w:val="00C00F17"/>
    <w:rsid w:val="00C00F54"/>
    <w:rsid w:val="00C00F7C"/>
    <w:rsid w:val="00C00F8F"/>
    <w:rsid w:val="00C01015"/>
    <w:rsid w:val="00C0108F"/>
    <w:rsid w:val="00C01254"/>
    <w:rsid w:val="00C0125A"/>
    <w:rsid w:val="00C012A7"/>
    <w:rsid w:val="00C01300"/>
    <w:rsid w:val="00C01338"/>
    <w:rsid w:val="00C0136E"/>
    <w:rsid w:val="00C0137B"/>
    <w:rsid w:val="00C0138F"/>
    <w:rsid w:val="00C01391"/>
    <w:rsid w:val="00C013A4"/>
    <w:rsid w:val="00C013BB"/>
    <w:rsid w:val="00C0140C"/>
    <w:rsid w:val="00C014F6"/>
    <w:rsid w:val="00C0155B"/>
    <w:rsid w:val="00C0155D"/>
    <w:rsid w:val="00C01597"/>
    <w:rsid w:val="00C01610"/>
    <w:rsid w:val="00C016B4"/>
    <w:rsid w:val="00C016E6"/>
    <w:rsid w:val="00C017AD"/>
    <w:rsid w:val="00C01867"/>
    <w:rsid w:val="00C018DF"/>
    <w:rsid w:val="00C019C1"/>
    <w:rsid w:val="00C019D6"/>
    <w:rsid w:val="00C01B27"/>
    <w:rsid w:val="00C01BA4"/>
    <w:rsid w:val="00C01BC4"/>
    <w:rsid w:val="00C01C6D"/>
    <w:rsid w:val="00C01CBD"/>
    <w:rsid w:val="00C01CDD"/>
    <w:rsid w:val="00C01DC0"/>
    <w:rsid w:val="00C01DCE"/>
    <w:rsid w:val="00C01E2B"/>
    <w:rsid w:val="00C01ED5"/>
    <w:rsid w:val="00C01F56"/>
    <w:rsid w:val="00C01F68"/>
    <w:rsid w:val="00C01F82"/>
    <w:rsid w:val="00C01F86"/>
    <w:rsid w:val="00C01FB1"/>
    <w:rsid w:val="00C01FD4"/>
    <w:rsid w:val="00C02059"/>
    <w:rsid w:val="00C020B3"/>
    <w:rsid w:val="00C0219F"/>
    <w:rsid w:val="00C02250"/>
    <w:rsid w:val="00C02262"/>
    <w:rsid w:val="00C02274"/>
    <w:rsid w:val="00C022B4"/>
    <w:rsid w:val="00C022C6"/>
    <w:rsid w:val="00C02360"/>
    <w:rsid w:val="00C023F0"/>
    <w:rsid w:val="00C02459"/>
    <w:rsid w:val="00C0247B"/>
    <w:rsid w:val="00C02591"/>
    <w:rsid w:val="00C02663"/>
    <w:rsid w:val="00C0266F"/>
    <w:rsid w:val="00C026D3"/>
    <w:rsid w:val="00C0276D"/>
    <w:rsid w:val="00C0278F"/>
    <w:rsid w:val="00C0281B"/>
    <w:rsid w:val="00C02827"/>
    <w:rsid w:val="00C02830"/>
    <w:rsid w:val="00C0286C"/>
    <w:rsid w:val="00C02880"/>
    <w:rsid w:val="00C028A0"/>
    <w:rsid w:val="00C028C7"/>
    <w:rsid w:val="00C029E2"/>
    <w:rsid w:val="00C02A02"/>
    <w:rsid w:val="00C02A1A"/>
    <w:rsid w:val="00C02A93"/>
    <w:rsid w:val="00C02AAB"/>
    <w:rsid w:val="00C02B4B"/>
    <w:rsid w:val="00C02B95"/>
    <w:rsid w:val="00C02BB1"/>
    <w:rsid w:val="00C02C1E"/>
    <w:rsid w:val="00C02C64"/>
    <w:rsid w:val="00C02D82"/>
    <w:rsid w:val="00C02D99"/>
    <w:rsid w:val="00C02DA3"/>
    <w:rsid w:val="00C02DD3"/>
    <w:rsid w:val="00C02DE0"/>
    <w:rsid w:val="00C02E02"/>
    <w:rsid w:val="00C02ED6"/>
    <w:rsid w:val="00C02FC3"/>
    <w:rsid w:val="00C0307F"/>
    <w:rsid w:val="00C030EF"/>
    <w:rsid w:val="00C03101"/>
    <w:rsid w:val="00C03134"/>
    <w:rsid w:val="00C0315C"/>
    <w:rsid w:val="00C03164"/>
    <w:rsid w:val="00C03225"/>
    <w:rsid w:val="00C0325A"/>
    <w:rsid w:val="00C03296"/>
    <w:rsid w:val="00C03321"/>
    <w:rsid w:val="00C03342"/>
    <w:rsid w:val="00C0334C"/>
    <w:rsid w:val="00C0336F"/>
    <w:rsid w:val="00C0339B"/>
    <w:rsid w:val="00C033BC"/>
    <w:rsid w:val="00C0349F"/>
    <w:rsid w:val="00C034B6"/>
    <w:rsid w:val="00C034BD"/>
    <w:rsid w:val="00C034F3"/>
    <w:rsid w:val="00C0360D"/>
    <w:rsid w:val="00C03791"/>
    <w:rsid w:val="00C037C4"/>
    <w:rsid w:val="00C03834"/>
    <w:rsid w:val="00C0385C"/>
    <w:rsid w:val="00C03864"/>
    <w:rsid w:val="00C03976"/>
    <w:rsid w:val="00C039D9"/>
    <w:rsid w:val="00C03A0B"/>
    <w:rsid w:val="00C03A61"/>
    <w:rsid w:val="00C03A64"/>
    <w:rsid w:val="00C03A8C"/>
    <w:rsid w:val="00C03AC6"/>
    <w:rsid w:val="00C03AF8"/>
    <w:rsid w:val="00C03B3C"/>
    <w:rsid w:val="00C03BEC"/>
    <w:rsid w:val="00C03C1B"/>
    <w:rsid w:val="00C03C7D"/>
    <w:rsid w:val="00C03CF4"/>
    <w:rsid w:val="00C03CFE"/>
    <w:rsid w:val="00C03D72"/>
    <w:rsid w:val="00C03D8B"/>
    <w:rsid w:val="00C03DAB"/>
    <w:rsid w:val="00C03E19"/>
    <w:rsid w:val="00C03EA3"/>
    <w:rsid w:val="00C03EF2"/>
    <w:rsid w:val="00C03F21"/>
    <w:rsid w:val="00C03F40"/>
    <w:rsid w:val="00C03F97"/>
    <w:rsid w:val="00C03FB1"/>
    <w:rsid w:val="00C04011"/>
    <w:rsid w:val="00C04050"/>
    <w:rsid w:val="00C0407B"/>
    <w:rsid w:val="00C04083"/>
    <w:rsid w:val="00C04091"/>
    <w:rsid w:val="00C04127"/>
    <w:rsid w:val="00C041D4"/>
    <w:rsid w:val="00C041E8"/>
    <w:rsid w:val="00C041FA"/>
    <w:rsid w:val="00C042A6"/>
    <w:rsid w:val="00C042CE"/>
    <w:rsid w:val="00C042FF"/>
    <w:rsid w:val="00C04330"/>
    <w:rsid w:val="00C04366"/>
    <w:rsid w:val="00C043AC"/>
    <w:rsid w:val="00C04444"/>
    <w:rsid w:val="00C04476"/>
    <w:rsid w:val="00C044DD"/>
    <w:rsid w:val="00C044FC"/>
    <w:rsid w:val="00C04535"/>
    <w:rsid w:val="00C045C9"/>
    <w:rsid w:val="00C04697"/>
    <w:rsid w:val="00C046B5"/>
    <w:rsid w:val="00C046C3"/>
    <w:rsid w:val="00C047BF"/>
    <w:rsid w:val="00C0484A"/>
    <w:rsid w:val="00C0484B"/>
    <w:rsid w:val="00C04872"/>
    <w:rsid w:val="00C04953"/>
    <w:rsid w:val="00C04959"/>
    <w:rsid w:val="00C049D1"/>
    <w:rsid w:val="00C04A03"/>
    <w:rsid w:val="00C04A1E"/>
    <w:rsid w:val="00C04A21"/>
    <w:rsid w:val="00C04AC5"/>
    <w:rsid w:val="00C04ADF"/>
    <w:rsid w:val="00C04B10"/>
    <w:rsid w:val="00C04B86"/>
    <w:rsid w:val="00C04C71"/>
    <w:rsid w:val="00C04CA6"/>
    <w:rsid w:val="00C04CB8"/>
    <w:rsid w:val="00C04CFD"/>
    <w:rsid w:val="00C04D39"/>
    <w:rsid w:val="00C04EE4"/>
    <w:rsid w:val="00C04F1A"/>
    <w:rsid w:val="00C04F4D"/>
    <w:rsid w:val="00C04F52"/>
    <w:rsid w:val="00C05017"/>
    <w:rsid w:val="00C05072"/>
    <w:rsid w:val="00C05085"/>
    <w:rsid w:val="00C050AA"/>
    <w:rsid w:val="00C05162"/>
    <w:rsid w:val="00C0516E"/>
    <w:rsid w:val="00C05180"/>
    <w:rsid w:val="00C05187"/>
    <w:rsid w:val="00C05199"/>
    <w:rsid w:val="00C051BA"/>
    <w:rsid w:val="00C051C4"/>
    <w:rsid w:val="00C051E0"/>
    <w:rsid w:val="00C05214"/>
    <w:rsid w:val="00C0524F"/>
    <w:rsid w:val="00C0529A"/>
    <w:rsid w:val="00C052F9"/>
    <w:rsid w:val="00C0537C"/>
    <w:rsid w:val="00C053D0"/>
    <w:rsid w:val="00C053DE"/>
    <w:rsid w:val="00C05447"/>
    <w:rsid w:val="00C05499"/>
    <w:rsid w:val="00C054C1"/>
    <w:rsid w:val="00C05550"/>
    <w:rsid w:val="00C0559A"/>
    <w:rsid w:val="00C05600"/>
    <w:rsid w:val="00C0567E"/>
    <w:rsid w:val="00C05692"/>
    <w:rsid w:val="00C0575E"/>
    <w:rsid w:val="00C05785"/>
    <w:rsid w:val="00C0596F"/>
    <w:rsid w:val="00C059BC"/>
    <w:rsid w:val="00C05A51"/>
    <w:rsid w:val="00C05AFA"/>
    <w:rsid w:val="00C05B21"/>
    <w:rsid w:val="00C05BB0"/>
    <w:rsid w:val="00C05C7B"/>
    <w:rsid w:val="00C05D3A"/>
    <w:rsid w:val="00C05D45"/>
    <w:rsid w:val="00C05DB0"/>
    <w:rsid w:val="00C05DEC"/>
    <w:rsid w:val="00C05E58"/>
    <w:rsid w:val="00C05E8D"/>
    <w:rsid w:val="00C05EA3"/>
    <w:rsid w:val="00C05EE2"/>
    <w:rsid w:val="00C05F30"/>
    <w:rsid w:val="00C05F3B"/>
    <w:rsid w:val="00C05F7B"/>
    <w:rsid w:val="00C05FB2"/>
    <w:rsid w:val="00C05FC6"/>
    <w:rsid w:val="00C06078"/>
    <w:rsid w:val="00C062A0"/>
    <w:rsid w:val="00C062CA"/>
    <w:rsid w:val="00C06488"/>
    <w:rsid w:val="00C0648E"/>
    <w:rsid w:val="00C0649F"/>
    <w:rsid w:val="00C064B4"/>
    <w:rsid w:val="00C064C8"/>
    <w:rsid w:val="00C06538"/>
    <w:rsid w:val="00C0653A"/>
    <w:rsid w:val="00C06552"/>
    <w:rsid w:val="00C065E2"/>
    <w:rsid w:val="00C06600"/>
    <w:rsid w:val="00C066CD"/>
    <w:rsid w:val="00C066ED"/>
    <w:rsid w:val="00C06717"/>
    <w:rsid w:val="00C06752"/>
    <w:rsid w:val="00C06768"/>
    <w:rsid w:val="00C067E5"/>
    <w:rsid w:val="00C06829"/>
    <w:rsid w:val="00C06886"/>
    <w:rsid w:val="00C068C7"/>
    <w:rsid w:val="00C06902"/>
    <w:rsid w:val="00C0692E"/>
    <w:rsid w:val="00C0693D"/>
    <w:rsid w:val="00C06991"/>
    <w:rsid w:val="00C069B7"/>
    <w:rsid w:val="00C069DA"/>
    <w:rsid w:val="00C06A32"/>
    <w:rsid w:val="00C06A7B"/>
    <w:rsid w:val="00C06A95"/>
    <w:rsid w:val="00C06AC0"/>
    <w:rsid w:val="00C06ACA"/>
    <w:rsid w:val="00C06AE8"/>
    <w:rsid w:val="00C06AF2"/>
    <w:rsid w:val="00C06AFB"/>
    <w:rsid w:val="00C06B28"/>
    <w:rsid w:val="00C06BBF"/>
    <w:rsid w:val="00C06C0F"/>
    <w:rsid w:val="00C06C9B"/>
    <w:rsid w:val="00C06CC6"/>
    <w:rsid w:val="00C06CDE"/>
    <w:rsid w:val="00C06CE8"/>
    <w:rsid w:val="00C06D62"/>
    <w:rsid w:val="00C06D94"/>
    <w:rsid w:val="00C06DD9"/>
    <w:rsid w:val="00C06DFB"/>
    <w:rsid w:val="00C06DFC"/>
    <w:rsid w:val="00C06E22"/>
    <w:rsid w:val="00C06E64"/>
    <w:rsid w:val="00C06E95"/>
    <w:rsid w:val="00C06E9F"/>
    <w:rsid w:val="00C06EB6"/>
    <w:rsid w:val="00C06EB9"/>
    <w:rsid w:val="00C06F4B"/>
    <w:rsid w:val="00C06F5F"/>
    <w:rsid w:val="00C06FEC"/>
    <w:rsid w:val="00C07042"/>
    <w:rsid w:val="00C07077"/>
    <w:rsid w:val="00C0707C"/>
    <w:rsid w:val="00C07164"/>
    <w:rsid w:val="00C071C0"/>
    <w:rsid w:val="00C07252"/>
    <w:rsid w:val="00C07282"/>
    <w:rsid w:val="00C0729E"/>
    <w:rsid w:val="00C072AE"/>
    <w:rsid w:val="00C072C0"/>
    <w:rsid w:val="00C07317"/>
    <w:rsid w:val="00C0739C"/>
    <w:rsid w:val="00C073D6"/>
    <w:rsid w:val="00C07400"/>
    <w:rsid w:val="00C07414"/>
    <w:rsid w:val="00C07421"/>
    <w:rsid w:val="00C0742F"/>
    <w:rsid w:val="00C074D6"/>
    <w:rsid w:val="00C074E9"/>
    <w:rsid w:val="00C0750E"/>
    <w:rsid w:val="00C07535"/>
    <w:rsid w:val="00C075E0"/>
    <w:rsid w:val="00C075F9"/>
    <w:rsid w:val="00C07684"/>
    <w:rsid w:val="00C07685"/>
    <w:rsid w:val="00C07782"/>
    <w:rsid w:val="00C0780B"/>
    <w:rsid w:val="00C07840"/>
    <w:rsid w:val="00C07864"/>
    <w:rsid w:val="00C07891"/>
    <w:rsid w:val="00C078C4"/>
    <w:rsid w:val="00C078E2"/>
    <w:rsid w:val="00C079A3"/>
    <w:rsid w:val="00C07A30"/>
    <w:rsid w:val="00C07A7A"/>
    <w:rsid w:val="00C07AB7"/>
    <w:rsid w:val="00C07AF4"/>
    <w:rsid w:val="00C07B29"/>
    <w:rsid w:val="00C07BC8"/>
    <w:rsid w:val="00C07BCB"/>
    <w:rsid w:val="00C07C56"/>
    <w:rsid w:val="00C07C64"/>
    <w:rsid w:val="00C07C6C"/>
    <w:rsid w:val="00C07CC7"/>
    <w:rsid w:val="00C07CCE"/>
    <w:rsid w:val="00C07CDA"/>
    <w:rsid w:val="00C07D0B"/>
    <w:rsid w:val="00C07D49"/>
    <w:rsid w:val="00C07D5F"/>
    <w:rsid w:val="00C07DAE"/>
    <w:rsid w:val="00C07DF1"/>
    <w:rsid w:val="00C07E53"/>
    <w:rsid w:val="00C07E5E"/>
    <w:rsid w:val="00C07E9A"/>
    <w:rsid w:val="00C07F5D"/>
    <w:rsid w:val="00C07F9B"/>
    <w:rsid w:val="00C07FF1"/>
    <w:rsid w:val="00C07FF5"/>
    <w:rsid w:val="00C10023"/>
    <w:rsid w:val="00C10077"/>
    <w:rsid w:val="00C100FA"/>
    <w:rsid w:val="00C10152"/>
    <w:rsid w:val="00C1020E"/>
    <w:rsid w:val="00C1029F"/>
    <w:rsid w:val="00C10373"/>
    <w:rsid w:val="00C1041C"/>
    <w:rsid w:val="00C10483"/>
    <w:rsid w:val="00C10551"/>
    <w:rsid w:val="00C105AD"/>
    <w:rsid w:val="00C1060B"/>
    <w:rsid w:val="00C1061A"/>
    <w:rsid w:val="00C10677"/>
    <w:rsid w:val="00C1073E"/>
    <w:rsid w:val="00C1074A"/>
    <w:rsid w:val="00C1075E"/>
    <w:rsid w:val="00C10763"/>
    <w:rsid w:val="00C108AF"/>
    <w:rsid w:val="00C108C4"/>
    <w:rsid w:val="00C1090D"/>
    <w:rsid w:val="00C109CF"/>
    <w:rsid w:val="00C10A05"/>
    <w:rsid w:val="00C10A1E"/>
    <w:rsid w:val="00C10A53"/>
    <w:rsid w:val="00C10AE1"/>
    <w:rsid w:val="00C10AFA"/>
    <w:rsid w:val="00C10B32"/>
    <w:rsid w:val="00C10B51"/>
    <w:rsid w:val="00C10B6F"/>
    <w:rsid w:val="00C10C1F"/>
    <w:rsid w:val="00C10C2A"/>
    <w:rsid w:val="00C10C45"/>
    <w:rsid w:val="00C10DF6"/>
    <w:rsid w:val="00C10F87"/>
    <w:rsid w:val="00C1105A"/>
    <w:rsid w:val="00C11091"/>
    <w:rsid w:val="00C110E6"/>
    <w:rsid w:val="00C11112"/>
    <w:rsid w:val="00C11161"/>
    <w:rsid w:val="00C1116A"/>
    <w:rsid w:val="00C111B0"/>
    <w:rsid w:val="00C111D8"/>
    <w:rsid w:val="00C111EB"/>
    <w:rsid w:val="00C11223"/>
    <w:rsid w:val="00C11285"/>
    <w:rsid w:val="00C11288"/>
    <w:rsid w:val="00C11394"/>
    <w:rsid w:val="00C113A0"/>
    <w:rsid w:val="00C114E0"/>
    <w:rsid w:val="00C114E9"/>
    <w:rsid w:val="00C11553"/>
    <w:rsid w:val="00C11584"/>
    <w:rsid w:val="00C115C6"/>
    <w:rsid w:val="00C115CD"/>
    <w:rsid w:val="00C11618"/>
    <w:rsid w:val="00C11668"/>
    <w:rsid w:val="00C11696"/>
    <w:rsid w:val="00C1181E"/>
    <w:rsid w:val="00C11825"/>
    <w:rsid w:val="00C11872"/>
    <w:rsid w:val="00C11894"/>
    <w:rsid w:val="00C11927"/>
    <w:rsid w:val="00C11929"/>
    <w:rsid w:val="00C1197E"/>
    <w:rsid w:val="00C119A4"/>
    <w:rsid w:val="00C119AD"/>
    <w:rsid w:val="00C119FD"/>
    <w:rsid w:val="00C11AF9"/>
    <w:rsid w:val="00C11AFD"/>
    <w:rsid w:val="00C11BC3"/>
    <w:rsid w:val="00C11C59"/>
    <w:rsid w:val="00C11C6F"/>
    <w:rsid w:val="00C11CB5"/>
    <w:rsid w:val="00C11D09"/>
    <w:rsid w:val="00C11E0F"/>
    <w:rsid w:val="00C11E4C"/>
    <w:rsid w:val="00C11E74"/>
    <w:rsid w:val="00C11FA6"/>
    <w:rsid w:val="00C11FC0"/>
    <w:rsid w:val="00C11FD2"/>
    <w:rsid w:val="00C11FEE"/>
    <w:rsid w:val="00C12022"/>
    <w:rsid w:val="00C12163"/>
    <w:rsid w:val="00C12176"/>
    <w:rsid w:val="00C121F4"/>
    <w:rsid w:val="00C12234"/>
    <w:rsid w:val="00C1223B"/>
    <w:rsid w:val="00C12292"/>
    <w:rsid w:val="00C122E6"/>
    <w:rsid w:val="00C124FB"/>
    <w:rsid w:val="00C12525"/>
    <w:rsid w:val="00C125C4"/>
    <w:rsid w:val="00C125DE"/>
    <w:rsid w:val="00C12633"/>
    <w:rsid w:val="00C127B6"/>
    <w:rsid w:val="00C127F2"/>
    <w:rsid w:val="00C127F3"/>
    <w:rsid w:val="00C12864"/>
    <w:rsid w:val="00C1286B"/>
    <w:rsid w:val="00C128B7"/>
    <w:rsid w:val="00C12A01"/>
    <w:rsid w:val="00C12A9C"/>
    <w:rsid w:val="00C12AF8"/>
    <w:rsid w:val="00C12BCE"/>
    <w:rsid w:val="00C12BEE"/>
    <w:rsid w:val="00C12C0C"/>
    <w:rsid w:val="00C12C64"/>
    <w:rsid w:val="00C12C96"/>
    <w:rsid w:val="00C12CAA"/>
    <w:rsid w:val="00C12D0C"/>
    <w:rsid w:val="00C12DA0"/>
    <w:rsid w:val="00C12DF5"/>
    <w:rsid w:val="00C12E12"/>
    <w:rsid w:val="00C12E23"/>
    <w:rsid w:val="00C12EE9"/>
    <w:rsid w:val="00C12EF3"/>
    <w:rsid w:val="00C12F50"/>
    <w:rsid w:val="00C13178"/>
    <w:rsid w:val="00C13183"/>
    <w:rsid w:val="00C131BD"/>
    <w:rsid w:val="00C1325D"/>
    <w:rsid w:val="00C13277"/>
    <w:rsid w:val="00C1333B"/>
    <w:rsid w:val="00C13449"/>
    <w:rsid w:val="00C134B8"/>
    <w:rsid w:val="00C13517"/>
    <w:rsid w:val="00C135EC"/>
    <w:rsid w:val="00C1362C"/>
    <w:rsid w:val="00C136D2"/>
    <w:rsid w:val="00C1374F"/>
    <w:rsid w:val="00C13768"/>
    <w:rsid w:val="00C1377D"/>
    <w:rsid w:val="00C1377F"/>
    <w:rsid w:val="00C1379A"/>
    <w:rsid w:val="00C13800"/>
    <w:rsid w:val="00C13802"/>
    <w:rsid w:val="00C13818"/>
    <w:rsid w:val="00C13848"/>
    <w:rsid w:val="00C1385D"/>
    <w:rsid w:val="00C13894"/>
    <w:rsid w:val="00C138EA"/>
    <w:rsid w:val="00C13A1B"/>
    <w:rsid w:val="00C13A34"/>
    <w:rsid w:val="00C13A45"/>
    <w:rsid w:val="00C13A4C"/>
    <w:rsid w:val="00C13B28"/>
    <w:rsid w:val="00C13B5F"/>
    <w:rsid w:val="00C13C08"/>
    <w:rsid w:val="00C13C18"/>
    <w:rsid w:val="00C13C2A"/>
    <w:rsid w:val="00C13C71"/>
    <w:rsid w:val="00C13C90"/>
    <w:rsid w:val="00C13CCA"/>
    <w:rsid w:val="00C13D41"/>
    <w:rsid w:val="00C13DA7"/>
    <w:rsid w:val="00C13DBE"/>
    <w:rsid w:val="00C13DD1"/>
    <w:rsid w:val="00C13DDB"/>
    <w:rsid w:val="00C13E70"/>
    <w:rsid w:val="00C13F28"/>
    <w:rsid w:val="00C13FA9"/>
    <w:rsid w:val="00C14066"/>
    <w:rsid w:val="00C140C1"/>
    <w:rsid w:val="00C1410E"/>
    <w:rsid w:val="00C141A7"/>
    <w:rsid w:val="00C141C0"/>
    <w:rsid w:val="00C14237"/>
    <w:rsid w:val="00C1425A"/>
    <w:rsid w:val="00C142AC"/>
    <w:rsid w:val="00C142F9"/>
    <w:rsid w:val="00C143B8"/>
    <w:rsid w:val="00C143F1"/>
    <w:rsid w:val="00C144E7"/>
    <w:rsid w:val="00C144E9"/>
    <w:rsid w:val="00C14586"/>
    <w:rsid w:val="00C14594"/>
    <w:rsid w:val="00C145A8"/>
    <w:rsid w:val="00C145F2"/>
    <w:rsid w:val="00C145FB"/>
    <w:rsid w:val="00C14677"/>
    <w:rsid w:val="00C146F0"/>
    <w:rsid w:val="00C147D4"/>
    <w:rsid w:val="00C147DC"/>
    <w:rsid w:val="00C1484C"/>
    <w:rsid w:val="00C148CD"/>
    <w:rsid w:val="00C148F0"/>
    <w:rsid w:val="00C14941"/>
    <w:rsid w:val="00C14942"/>
    <w:rsid w:val="00C149F8"/>
    <w:rsid w:val="00C14A32"/>
    <w:rsid w:val="00C14ADA"/>
    <w:rsid w:val="00C14AF4"/>
    <w:rsid w:val="00C14B7F"/>
    <w:rsid w:val="00C14B8E"/>
    <w:rsid w:val="00C14C22"/>
    <w:rsid w:val="00C14C3B"/>
    <w:rsid w:val="00C14C89"/>
    <w:rsid w:val="00C14D35"/>
    <w:rsid w:val="00C14D66"/>
    <w:rsid w:val="00C14D72"/>
    <w:rsid w:val="00C14E18"/>
    <w:rsid w:val="00C14E7B"/>
    <w:rsid w:val="00C14EB9"/>
    <w:rsid w:val="00C14F40"/>
    <w:rsid w:val="00C14F48"/>
    <w:rsid w:val="00C14F61"/>
    <w:rsid w:val="00C14F87"/>
    <w:rsid w:val="00C14FAE"/>
    <w:rsid w:val="00C15090"/>
    <w:rsid w:val="00C15093"/>
    <w:rsid w:val="00C150E9"/>
    <w:rsid w:val="00C151EF"/>
    <w:rsid w:val="00C15267"/>
    <w:rsid w:val="00C15281"/>
    <w:rsid w:val="00C15340"/>
    <w:rsid w:val="00C153BF"/>
    <w:rsid w:val="00C15414"/>
    <w:rsid w:val="00C1544D"/>
    <w:rsid w:val="00C154E2"/>
    <w:rsid w:val="00C15510"/>
    <w:rsid w:val="00C15539"/>
    <w:rsid w:val="00C155C1"/>
    <w:rsid w:val="00C155DC"/>
    <w:rsid w:val="00C15612"/>
    <w:rsid w:val="00C1562C"/>
    <w:rsid w:val="00C15668"/>
    <w:rsid w:val="00C15704"/>
    <w:rsid w:val="00C15706"/>
    <w:rsid w:val="00C15768"/>
    <w:rsid w:val="00C1578F"/>
    <w:rsid w:val="00C157DF"/>
    <w:rsid w:val="00C1587C"/>
    <w:rsid w:val="00C158FA"/>
    <w:rsid w:val="00C15908"/>
    <w:rsid w:val="00C15A1A"/>
    <w:rsid w:val="00C15A24"/>
    <w:rsid w:val="00C15A34"/>
    <w:rsid w:val="00C15BC5"/>
    <w:rsid w:val="00C15BEC"/>
    <w:rsid w:val="00C15C82"/>
    <w:rsid w:val="00C15CA4"/>
    <w:rsid w:val="00C15D84"/>
    <w:rsid w:val="00C15DC5"/>
    <w:rsid w:val="00C15F51"/>
    <w:rsid w:val="00C15FB0"/>
    <w:rsid w:val="00C15FB9"/>
    <w:rsid w:val="00C15FF7"/>
    <w:rsid w:val="00C1604B"/>
    <w:rsid w:val="00C161C1"/>
    <w:rsid w:val="00C162FF"/>
    <w:rsid w:val="00C16339"/>
    <w:rsid w:val="00C1641B"/>
    <w:rsid w:val="00C1641F"/>
    <w:rsid w:val="00C164C0"/>
    <w:rsid w:val="00C16549"/>
    <w:rsid w:val="00C16658"/>
    <w:rsid w:val="00C166AA"/>
    <w:rsid w:val="00C166C0"/>
    <w:rsid w:val="00C166EB"/>
    <w:rsid w:val="00C16755"/>
    <w:rsid w:val="00C16862"/>
    <w:rsid w:val="00C16899"/>
    <w:rsid w:val="00C1698B"/>
    <w:rsid w:val="00C16A43"/>
    <w:rsid w:val="00C16A96"/>
    <w:rsid w:val="00C16B1E"/>
    <w:rsid w:val="00C16B38"/>
    <w:rsid w:val="00C16C26"/>
    <w:rsid w:val="00C16CA3"/>
    <w:rsid w:val="00C16E03"/>
    <w:rsid w:val="00C16E5F"/>
    <w:rsid w:val="00C16EC5"/>
    <w:rsid w:val="00C16EE6"/>
    <w:rsid w:val="00C16F25"/>
    <w:rsid w:val="00C16F5C"/>
    <w:rsid w:val="00C16F75"/>
    <w:rsid w:val="00C16FF6"/>
    <w:rsid w:val="00C16FFE"/>
    <w:rsid w:val="00C170E9"/>
    <w:rsid w:val="00C171B8"/>
    <w:rsid w:val="00C1722C"/>
    <w:rsid w:val="00C17272"/>
    <w:rsid w:val="00C1727D"/>
    <w:rsid w:val="00C172BE"/>
    <w:rsid w:val="00C17351"/>
    <w:rsid w:val="00C17449"/>
    <w:rsid w:val="00C17492"/>
    <w:rsid w:val="00C17556"/>
    <w:rsid w:val="00C17560"/>
    <w:rsid w:val="00C175B0"/>
    <w:rsid w:val="00C175EB"/>
    <w:rsid w:val="00C17654"/>
    <w:rsid w:val="00C1766F"/>
    <w:rsid w:val="00C176B2"/>
    <w:rsid w:val="00C176E0"/>
    <w:rsid w:val="00C176FE"/>
    <w:rsid w:val="00C17716"/>
    <w:rsid w:val="00C1775A"/>
    <w:rsid w:val="00C177A1"/>
    <w:rsid w:val="00C177EC"/>
    <w:rsid w:val="00C177F8"/>
    <w:rsid w:val="00C1780C"/>
    <w:rsid w:val="00C17858"/>
    <w:rsid w:val="00C1790B"/>
    <w:rsid w:val="00C1795A"/>
    <w:rsid w:val="00C17968"/>
    <w:rsid w:val="00C179B4"/>
    <w:rsid w:val="00C17A46"/>
    <w:rsid w:val="00C17A72"/>
    <w:rsid w:val="00C17B8C"/>
    <w:rsid w:val="00C17CB6"/>
    <w:rsid w:val="00C17D73"/>
    <w:rsid w:val="00C17DAE"/>
    <w:rsid w:val="00C17E70"/>
    <w:rsid w:val="00C17E86"/>
    <w:rsid w:val="00C17EB0"/>
    <w:rsid w:val="00C17EE1"/>
    <w:rsid w:val="00C17F2E"/>
    <w:rsid w:val="00C17F83"/>
    <w:rsid w:val="00C17FA5"/>
    <w:rsid w:val="00C17FBA"/>
    <w:rsid w:val="00C17FE2"/>
    <w:rsid w:val="00C20239"/>
    <w:rsid w:val="00C2025B"/>
    <w:rsid w:val="00C20263"/>
    <w:rsid w:val="00C202C7"/>
    <w:rsid w:val="00C203A1"/>
    <w:rsid w:val="00C204E2"/>
    <w:rsid w:val="00C205A6"/>
    <w:rsid w:val="00C20604"/>
    <w:rsid w:val="00C20717"/>
    <w:rsid w:val="00C207A5"/>
    <w:rsid w:val="00C207A7"/>
    <w:rsid w:val="00C207B0"/>
    <w:rsid w:val="00C20813"/>
    <w:rsid w:val="00C2082D"/>
    <w:rsid w:val="00C2087C"/>
    <w:rsid w:val="00C2088E"/>
    <w:rsid w:val="00C208A9"/>
    <w:rsid w:val="00C208BD"/>
    <w:rsid w:val="00C20930"/>
    <w:rsid w:val="00C20953"/>
    <w:rsid w:val="00C2095D"/>
    <w:rsid w:val="00C209A1"/>
    <w:rsid w:val="00C20A12"/>
    <w:rsid w:val="00C20A2B"/>
    <w:rsid w:val="00C20A49"/>
    <w:rsid w:val="00C20A87"/>
    <w:rsid w:val="00C20A9C"/>
    <w:rsid w:val="00C20B24"/>
    <w:rsid w:val="00C20B49"/>
    <w:rsid w:val="00C20B7B"/>
    <w:rsid w:val="00C20BBF"/>
    <w:rsid w:val="00C20BC2"/>
    <w:rsid w:val="00C20C3A"/>
    <w:rsid w:val="00C20C6F"/>
    <w:rsid w:val="00C20CB0"/>
    <w:rsid w:val="00C20CC3"/>
    <w:rsid w:val="00C20CD2"/>
    <w:rsid w:val="00C20D1C"/>
    <w:rsid w:val="00C20D68"/>
    <w:rsid w:val="00C20D96"/>
    <w:rsid w:val="00C20DA0"/>
    <w:rsid w:val="00C20DA1"/>
    <w:rsid w:val="00C20DD2"/>
    <w:rsid w:val="00C20ECE"/>
    <w:rsid w:val="00C20ED7"/>
    <w:rsid w:val="00C20F39"/>
    <w:rsid w:val="00C20F59"/>
    <w:rsid w:val="00C20FA0"/>
    <w:rsid w:val="00C20FED"/>
    <w:rsid w:val="00C20FFD"/>
    <w:rsid w:val="00C21029"/>
    <w:rsid w:val="00C21100"/>
    <w:rsid w:val="00C21186"/>
    <w:rsid w:val="00C211E3"/>
    <w:rsid w:val="00C21203"/>
    <w:rsid w:val="00C2130B"/>
    <w:rsid w:val="00C21342"/>
    <w:rsid w:val="00C21368"/>
    <w:rsid w:val="00C21382"/>
    <w:rsid w:val="00C213C8"/>
    <w:rsid w:val="00C213D0"/>
    <w:rsid w:val="00C213D5"/>
    <w:rsid w:val="00C21428"/>
    <w:rsid w:val="00C21475"/>
    <w:rsid w:val="00C2147B"/>
    <w:rsid w:val="00C2148E"/>
    <w:rsid w:val="00C214D6"/>
    <w:rsid w:val="00C21534"/>
    <w:rsid w:val="00C21545"/>
    <w:rsid w:val="00C2164E"/>
    <w:rsid w:val="00C21708"/>
    <w:rsid w:val="00C21748"/>
    <w:rsid w:val="00C2175A"/>
    <w:rsid w:val="00C2175E"/>
    <w:rsid w:val="00C217A5"/>
    <w:rsid w:val="00C217AA"/>
    <w:rsid w:val="00C217C3"/>
    <w:rsid w:val="00C217DC"/>
    <w:rsid w:val="00C2184D"/>
    <w:rsid w:val="00C219B2"/>
    <w:rsid w:val="00C21A21"/>
    <w:rsid w:val="00C21A3A"/>
    <w:rsid w:val="00C21A7A"/>
    <w:rsid w:val="00C21AAD"/>
    <w:rsid w:val="00C21AFC"/>
    <w:rsid w:val="00C21CBB"/>
    <w:rsid w:val="00C21CFE"/>
    <w:rsid w:val="00C21D84"/>
    <w:rsid w:val="00C21DCE"/>
    <w:rsid w:val="00C21F36"/>
    <w:rsid w:val="00C21F81"/>
    <w:rsid w:val="00C21FB0"/>
    <w:rsid w:val="00C21FDC"/>
    <w:rsid w:val="00C21FDD"/>
    <w:rsid w:val="00C21FE1"/>
    <w:rsid w:val="00C2200E"/>
    <w:rsid w:val="00C2211B"/>
    <w:rsid w:val="00C22189"/>
    <w:rsid w:val="00C221E1"/>
    <w:rsid w:val="00C2223C"/>
    <w:rsid w:val="00C22265"/>
    <w:rsid w:val="00C2235B"/>
    <w:rsid w:val="00C22363"/>
    <w:rsid w:val="00C223DA"/>
    <w:rsid w:val="00C223F6"/>
    <w:rsid w:val="00C223FD"/>
    <w:rsid w:val="00C22400"/>
    <w:rsid w:val="00C2249D"/>
    <w:rsid w:val="00C224A0"/>
    <w:rsid w:val="00C224F4"/>
    <w:rsid w:val="00C22528"/>
    <w:rsid w:val="00C22580"/>
    <w:rsid w:val="00C22627"/>
    <w:rsid w:val="00C22633"/>
    <w:rsid w:val="00C22651"/>
    <w:rsid w:val="00C2265B"/>
    <w:rsid w:val="00C226DE"/>
    <w:rsid w:val="00C227FC"/>
    <w:rsid w:val="00C2284E"/>
    <w:rsid w:val="00C228FC"/>
    <w:rsid w:val="00C229C7"/>
    <w:rsid w:val="00C22A3E"/>
    <w:rsid w:val="00C22A61"/>
    <w:rsid w:val="00C22AA3"/>
    <w:rsid w:val="00C22AB4"/>
    <w:rsid w:val="00C22B13"/>
    <w:rsid w:val="00C22B14"/>
    <w:rsid w:val="00C22B18"/>
    <w:rsid w:val="00C22D05"/>
    <w:rsid w:val="00C22D57"/>
    <w:rsid w:val="00C22DAE"/>
    <w:rsid w:val="00C22F1E"/>
    <w:rsid w:val="00C22F64"/>
    <w:rsid w:val="00C22FAF"/>
    <w:rsid w:val="00C23098"/>
    <w:rsid w:val="00C231A8"/>
    <w:rsid w:val="00C231C0"/>
    <w:rsid w:val="00C232AE"/>
    <w:rsid w:val="00C23317"/>
    <w:rsid w:val="00C2335F"/>
    <w:rsid w:val="00C233C9"/>
    <w:rsid w:val="00C23441"/>
    <w:rsid w:val="00C23465"/>
    <w:rsid w:val="00C2349F"/>
    <w:rsid w:val="00C234A1"/>
    <w:rsid w:val="00C234C9"/>
    <w:rsid w:val="00C234DC"/>
    <w:rsid w:val="00C2350A"/>
    <w:rsid w:val="00C2353E"/>
    <w:rsid w:val="00C235EB"/>
    <w:rsid w:val="00C235FB"/>
    <w:rsid w:val="00C235FC"/>
    <w:rsid w:val="00C23653"/>
    <w:rsid w:val="00C236D4"/>
    <w:rsid w:val="00C236F1"/>
    <w:rsid w:val="00C23706"/>
    <w:rsid w:val="00C237B1"/>
    <w:rsid w:val="00C237E4"/>
    <w:rsid w:val="00C2380F"/>
    <w:rsid w:val="00C23898"/>
    <w:rsid w:val="00C23899"/>
    <w:rsid w:val="00C238A6"/>
    <w:rsid w:val="00C238B1"/>
    <w:rsid w:val="00C238CC"/>
    <w:rsid w:val="00C238DD"/>
    <w:rsid w:val="00C23917"/>
    <w:rsid w:val="00C23974"/>
    <w:rsid w:val="00C23A18"/>
    <w:rsid w:val="00C23A37"/>
    <w:rsid w:val="00C23A64"/>
    <w:rsid w:val="00C23AEB"/>
    <w:rsid w:val="00C23B14"/>
    <w:rsid w:val="00C23BED"/>
    <w:rsid w:val="00C23C22"/>
    <w:rsid w:val="00C23C2E"/>
    <w:rsid w:val="00C23DD4"/>
    <w:rsid w:val="00C23DF4"/>
    <w:rsid w:val="00C23E0B"/>
    <w:rsid w:val="00C23E1C"/>
    <w:rsid w:val="00C23E4E"/>
    <w:rsid w:val="00C23E7E"/>
    <w:rsid w:val="00C23EF0"/>
    <w:rsid w:val="00C23F16"/>
    <w:rsid w:val="00C23F2D"/>
    <w:rsid w:val="00C23FD9"/>
    <w:rsid w:val="00C23FDE"/>
    <w:rsid w:val="00C24095"/>
    <w:rsid w:val="00C240FE"/>
    <w:rsid w:val="00C24103"/>
    <w:rsid w:val="00C241C0"/>
    <w:rsid w:val="00C241C6"/>
    <w:rsid w:val="00C241CD"/>
    <w:rsid w:val="00C241F0"/>
    <w:rsid w:val="00C242B5"/>
    <w:rsid w:val="00C242C6"/>
    <w:rsid w:val="00C243B0"/>
    <w:rsid w:val="00C244CE"/>
    <w:rsid w:val="00C24546"/>
    <w:rsid w:val="00C2455E"/>
    <w:rsid w:val="00C245B5"/>
    <w:rsid w:val="00C24640"/>
    <w:rsid w:val="00C246C2"/>
    <w:rsid w:val="00C246F9"/>
    <w:rsid w:val="00C24760"/>
    <w:rsid w:val="00C247BC"/>
    <w:rsid w:val="00C247DE"/>
    <w:rsid w:val="00C24956"/>
    <w:rsid w:val="00C2496E"/>
    <w:rsid w:val="00C24975"/>
    <w:rsid w:val="00C2499E"/>
    <w:rsid w:val="00C249AE"/>
    <w:rsid w:val="00C249E2"/>
    <w:rsid w:val="00C24A14"/>
    <w:rsid w:val="00C24AA2"/>
    <w:rsid w:val="00C24AA3"/>
    <w:rsid w:val="00C24AC8"/>
    <w:rsid w:val="00C24AF9"/>
    <w:rsid w:val="00C24BDF"/>
    <w:rsid w:val="00C24C28"/>
    <w:rsid w:val="00C24C37"/>
    <w:rsid w:val="00C24C40"/>
    <w:rsid w:val="00C24C70"/>
    <w:rsid w:val="00C24C72"/>
    <w:rsid w:val="00C24CA6"/>
    <w:rsid w:val="00C24CD6"/>
    <w:rsid w:val="00C24D10"/>
    <w:rsid w:val="00C24D7D"/>
    <w:rsid w:val="00C24ED1"/>
    <w:rsid w:val="00C24EFE"/>
    <w:rsid w:val="00C24F92"/>
    <w:rsid w:val="00C2500C"/>
    <w:rsid w:val="00C2504B"/>
    <w:rsid w:val="00C25052"/>
    <w:rsid w:val="00C2513C"/>
    <w:rsid w:val="00C25149"/>
    <w:rsid w:val="00C25167"/>
    <w:rsid w:val="00C25194"/>
    <w:rsid w:val="00C251EC"/>
    <w:rsid w:val="00C25224"/>
    <w:rsid w:val="00C2522E"/>
    <w:rsid w:val="00C25279"/>
    <w:rsid w:val="00C252F0"/>
    <w:rsid w:val="00C25327"/>
    <w:rsid w:val="00C25330"/>
    <w:rsid w:val="00C253E9"/>
    <w:rsid w:val="00C25404"/>
    <w:rsid w:val="00C2541F"/>
    <w:rsid w:val="00C2545D"/>
    <w:rsid w:val="00C254E7"/>
    <w:rsid w:val="00C254F0"/>
    <w:rsid w:val="00C25543"/>
    <w:rsid w:val="00C255BB"/>
    <w:rsid w:val="00C255F1"/>
    <w:rsid w:val="00C255FE"/>
    <w:rsid w:val="00C25612"/>
    <w:rsid w:val="00C2561F"/>
    <w:rsid w:val="00C25635"/>
    <w:rsid w:val="00C25663"/>
    <w:rsid w:val="00C2567E"/>
    <w:rsid w:val="00C25680"/>
    <w:rsid w:val="00C256B1"/>
    <w:rsid w:val="00C256EE"/>
    <w:rsid w:val="00C257C3"/>
    <w:rsid w:val="00C257F2"/>
    <w:rsid w:val="00C2584E"/>
    <w:rsid w:val="00C2586C"/>
    <w:rsid w:val="00C2589D"/>
    <w:rsid w:val="00C258C5"/>
    <w:rsid w:val="00C258C7"/>
    <w:rsid w:val="00C2599E"/>
    <w:rsid w:val="00C259B6"/>
    <w:rsid w:val="00C259D9"/>
    <w:rsid w:val="00C259FF"/>
    <w:rsid w:val="00C25A06"/>
    <w:rsid w:val="00C25C13"/>
    <w:rsid w:val="00C25C20"/>
    <w:rsid w:val="00C25CB0"/>
    <w:rsid w:val="00C25D1B"/>
    <w:rsid w:val="00C25D21"/>
    <w:rsid w:val="00C25E87"/>
    <w:rsid w:val="00C25E9A"/>
    <w:rsid w:val="00C25EB3"/>
    <w:rsid w:val="00C25F3C"/>
    <w:rsid w:val="00C25F75"/>
    <w:rsid w:val="00C2600F"/>
    <w:rsid w:val="00C26043"/>
    <w:rsid w:val="00C26097"/>
    <w:rsid w:val="00C260E7"/>
    <w:rsid w:val="00C26126"/>
    <w:rsid w:val="00C2612C"/>
    <w:rsid w:val="00C26184"/>
    <w:rsid w:val="00C261DC"/>
    <w:rsid w:val="00C261E3"/>
    <w:rsid w:val="00C261EE"/>
    <w:rsid w:val="00C2620E"/>
    <w:rsid w:val="00C2628A"/>
    <w:rsid w:val="00C26318"/>
    <w:rsid w:val="00C26363"/>
    <w:rsid w:val="00C263C3"/>
    <w:rsid w:val="00C2640F"/>
    <w:rsid w:val="00C264A3"/>
    <w:rsid w:val="00C264A6"/>
    <w:rsid w:val="00C2654A"/>
    <w:rsid w:val="00C265B9"/>
    <w:rsid w:val="00C265FB"/>
    <w:rsid w:val="00C2672D"/>
    <w:rsid w:val="00C267AB"/>
    <w:rsid w:val="00C2680D"/>
    <w:rsid w:val="00C2687F"/>
    <w:rsid w:val="00C268C4"/>
    <w:rsid w:val="00C26956"/>
    <w:rsid w:val="00C26973"/>
    <w:rsid w:val="00C26989"/>
    <w:rsid w:val="00C26A64"/>
    <w:rsid w:val="00C26A7E"/>
    <w:rsid w:val="00C26BBE"/>
    <w:rsid w:val="00C26C05"/>
    <w:rsid w:val="00C26C75"/>
    <w:rsid w:val="00C26CEE"/>
    <w:rsid w:val="00C26CF0"/>
    <w:rsid w:val="00C26E65"/>
    <w:rsid w:val="00C26F6C"/>
    <w:rsid w:val="00C26FD5"/>
    <w:rsid w:val="00C2701F"/>
    <w:rsid w:val="00C27037"/>
    <w:rsid w:val="00C270C4"/>
    <w:rsid w:val="00C270CD"/>
    <w:rsid w:val="00C270D0"/>
    <w:rsid w:val="00C27127"/>
    <w:rsid w:val="00C27192"/>
    <w:rsid w:val="00C2719A"/>
    <w:rsid w:val="00C2719D"/>
    <w:rsid w:val="00C271A9"/>
    <w:rsid w:val="00C27236"/>
    <w:rsid w:val="00C2727B"/>
    <w:rsid w:val="00C27298"/>
    <w:rsid w:val="00C272D9"/>
    <w:rsid w:val="00C272DF"/>
    <w:rsid w:val="00C27325"/>
    <w:rsid w:val="00C2732F"/>
    <w:rsid w:val="00C273CA"/>
    <w:rsid w:val="00C27428"/>
    <w:rsid w:val="00C27478"/>
    <w:rsid w:val="00C27494"/>
    <w:rsid w:val="00C27495"/>
    <w:rsid w:val="00C2753B"/>
    <w:rsid w:val="00C275F6"/>
    <w:rsid w:val="00C27615"/>
    <w:rsid w:val="00C2766D"/>
    <w:rsid w:val="00C276B3"/>
    <w:rsid w:val="00C2779B"/>
    <w:rsid w:val="00C277A9"/>
    <w:rsid w:val="00C277C6"/>
    <w:rsid w:val="00C277FB"/>
    <w:rsid w:val="00C2786D"/>
    <w:rsid w:val="00C27872"/>
    <w:rsid w:val="00C278DF"/>
    <w:rsid w:val="00C278E1"/>
    <w:rsid w:val="00C27925"/>
    <w:rsid w:val="00C27BDC"/>
    <w:rsid w:val="00C27C5F"/>
    <w:rsid w:val="00C27C69"/>
    <w:rsid w:val="00C27C95"/>
    <w:rsid w:val="00C27D04"/>
    <w:rsid w:val="00C27DD5"/>
    <w:rsid w:val="00C27EDF"/>
    <w:rsid w:val="00C27FCF"/>
    <w:rsid w:val="00C27FD1"/>
    <w:rsid w:val="00C3002F"/>
    <w:rsid w:val="00C300BC"/>
    <w:rsid w:val="00C3012B"/>
    <w:rsid w:val="00C3013C"/>
    <w:rsid w:val="00C3021A"/>
    <w:rsid w:val="00C30242"/>
    <w:rsid w:val="00C3024F"/>
    <w:rsid w:val="00C30265"/>
    <w:rsid w:val="00C302C5"/>
    <w:rsid w:val="00C302FB"/>
    <w:rsid w:val="00C302FD"/>
    <w:rsid w:val="00C30312"/>
    <w:rsid w:val="00C303E7"/>
    <w:rsid w:val="00C304B6"/>
    <w:rsid w:val="00C3055F"/>
    <w:rsid w:val="00C3057B"/>
    <w:rsid w:val="00C3058A"/>
    <w:rsid w:val="00C306E7"/>
    <w:rsid w:val="00C3077A"/>
    <w:rsid w:val="00C307E9"/>
    <w:rsid w:val="00C30810"/>
    <w:rsid w:val="00C3081B"/>
    <w:rsid w:val="00C30907"/>
    <w:rsid w:val="00C30954"/>
    <w:rsid w:val="00C3097D"/>
    <w:rsid w:val="00C309C4"/>
    <w:rsid w:val="00C30A32"/>
    <w:rsid w:val="00C30ADB"/>
    <w:rsid w:val="00C30AE6"/>
    <w:rsid w:val="00C30B2A"/>
    <w:rsid w:val="00C30BAC"/>
    <w:rsid w:val="00C30DB9"/>
    <w:rsid w:val="00C30E03"/>
    <w:rsid w:val="00C30E23"/>
    <w:rsid w:val="00C30F0C"/>
    <w:rsid w:val="00C3102D"/>
    <w:rsid w:val="00C310B8"/>
    <w:rsid w:val="00C3116C"/>
    <w:rsid w:val="00C3119A"/>
    <w:rsid w:val="00C311CF"/>
    <w:rsid w:val="00C3124C"/>
    <w:rsid w:val="00C312AC"/>
    <w:rsid w:val="00C312B0"/>
    <w:rsid w:val="00C31319"/>
    <w:rsid w:val="00C313B7"/>
    <w:rsid w:val="00C314E2"/>
    <w:rsid w:val="00C314F4"/>
    <w:rsid w:val="00C314FF"/>
    <w:rsid w:val="00C31579"/>
    <w:rsid w:val="00C3158B"/>
    <w:rsid w:val="00C31733"/>
    <w:rsid w:val="00C3175B"/>
    <w:rsid w:val="00C3175E"/>
    <w:rsid w:val="00C317BC"/>
    <w:rsid w:val="00C3182E"/>
    <w:rsid w:val="00C31871"/>
    <w:rsid w:val="00C31877"/>
    <w:rsid w:val="00C3197F"/>
    <w:rsid w:val="00C319C7"/>
    <w:rsid w:val="00C319DF"/>
    <w:rsid w:val="00C31A13"/>
    <w:rsid w:val="00C31A14"/>
    <w:rsid w:val="00C31AA4"/>
    <w:rsid w:val="00C31B48"/>
    <w:rsid w:val="00C31B55"/>
    <w:rsid w:val="00C31B72"/>
    <w:rsid w:val="00C31C5F"/>
    <w:rsid w:val="00C31CB3"/>
    <w:rsid w:val="00C31F85"/>
    <w:rsid w:val="00C31F9C"/>
    <w:rsid w:val="00C31FD2"/>
    <w:rsid w:val="00C31FE1"/>
    <w:rsid w:val="00C32003"/>
    <w:rsid w:val="00C32039"/>
    <w:rsid w:val="00C3209E"/>
    <w:rsid w:val="00C320DE"/>
    <w:rsid w:val="00C32120"/>
    <w:rsid w:val="00C321EF"/>
    <w:rsid w:val="00C32248"/>
    <w:rsid w:val="00C32309"/>
    <w:rsid w:val="00C3234B"/>
    <w:rsid w:val="00C32390"/>
    <w:rsid w:val="00C3239F"/>
    <w:rsid w:val="00C323CF"/>
    <w:rsid w:val="00C32402"/>
    <w:rsid w:val="00C3249A"/>
    <w:rsid w:val="00C324B8"/>
    <w:rsid w:val="00C324C9"/>
    <w:rsid w:val="00C324E6"/>
    <w:rsid w:val="00C324E8"/>
    <w:rsid w:val="00C3259F"/>
    <w:rsid w:val="00C325B5"/>
    <w:rsid w:val="00C325ED"/>
    <w:rsid w:val="00C32611"/>
    <w:rsid w:val="00C32657"/>
    <w:rsid w:val="00C326C2"/>
    <w:rsid w:val="00C326D1"/>
    <w:rsid w:val="00C326FB"/>
    <w:rsid w:val="00C3271E"/>
    <w:rsid w:val="00C32746"/>
    <w:rsid w:val="00C327B5"/>
    <w:rsid w:val="00C327DC"/>
    <w:rsid w:val="00C3288A"/>
    <w:rsid w:val="00C328EA"/>
    <w:rsid w:val="00C3291B"/>
    <w:rsid w:val="00C32983"/>
    <w:rsid w:val="00C32A1A"/>
    <w:rsid w:val="00C32A3A"/>
    <w:rsid w:val="00C32A93"/>
    <w:rsid w:val="00C32B8C"/>
    <w:rsid w:val="00C32BC7"/>
    <w:rsid w:val="00C32C10"/>
    <w:rsid w:val="00C32D33"/>
    <w:rsid w:val="00C32DE2"/>
    <w:rsid w:val="00C32E01"/>
    <w:rsid w:val="00C32E3A"/>
    <w:rsid w:val="00C32E8A"/>
    <w:rsid w:val="00C32E98"/>
    <w:rsid w:val="00C32ECA"/>
    <w:rsid w:val="00C32F48"/>
    <w:rsid w:val="00C32F5F"/>
    <w:rsid w:val="00C32F95"/>
    <w:rsid w:val="00C33142"/>
    <w:rsid w:val="00C33153"/>
    <w:rsid w:val="00C331AC"/>
    <w:rsid w:val="00C331CA"/>
    <w:rsid w:val="00C331FA"/>
    <w:rsid w:val="00C33211"/>
    <w:rsid w:val="00C3326A"/>
    <w:rsid w:val="00C33281"/>
    <w:rsid w:val="00C33328"/>
    <w:rsid w:val="00C333B8"/>
    <w:rsid w:val="00C333D3"/>
    <w:rsid w:val="00C33435"/>
    <w:rsid w:val="00C3347D"/>
    <w:rsid w:val="00C3368A"/>
    <w:rsid w:val="00C33729"/>
    <w:rsid w:val="00C3372F"/>
    <w:rsid w:val="00C33739"/>
    <w:rsid w:val="00C3375C"/>
    <w:rsid w:val="00C3376A"/>
    <w:rsid w:val="00C33879"/>
    <w:rsid w:val="00C338B7"/>
    <w:rsid w:val="00C338F5"/>
    <w:rsid w:val="00C33980"/>
    <w:rsid w:val="00C33998"/>
    <w:rsid w:val="00C339C3"/>
    <w:rsid w:val="00C33A23"/>
    <w:rsid w:val="00C33A31"/>
    <w:rsid w:val="00C33A7A"/>
    <w:rsid w:val="00C33AAC"/>
    <w:rsid w:val="00C33AF7"/>
    <w:rsid w:val="00C33B65"/>
    <w:rsid w:val="00C33BFC"/>
    <w:rsid w:val="00C33C13"/>
    <w:rsid w:val="00C33C1E"/>
    <w:rsid w:val="00C33C90"/>
    <w:rsid w:val="00C33D95"/>
    <w:rsid w:val="00C33DA0"/>
    <w:rsid w:val="00C33DCC"/>
    <w:rsid w:val="00C33DCD"/>
    <w:rsid w:val="00C33EAA"/>
    <w:rsid w:val="00C33ECE"/>
    <w:rsid w:val="00C33F0B"/>
    <w:rsid w:val="00C33F31"/>
    <w:rsid w:val="00C33F9A"/>
    <w:rsid w:val="00C33FC7"/>
    <w:rsid w:val="00C33FFC"/>
    <w:rsid w:val="00C34071"/>
    <w:rsid w:val="00C340AA"/>
    <w:rsid w:val="00C340B5"/>
    <w:rsid w:val="00C3412B"/>
    <w:rsid w:val="00C34148"/>
    <w:rsid w:val="00C341AA"/>
    <w:rsid w:val="00C341E2"/>
    <w:rsid w:val="00C3421B"/>
    <w:rsid w:val="00C342F9"/>
    <w:rsid w:val="00C34398"/>
    <w:rsid w:val="00C343D5"/>
    <w:rsid w:val="00C3441C"/>
    <w:rsid w:val="00C34439"/>
    <w:rsid w:val="00C3444A"/>
    <w:rsid w:val="00C344B5"/>
    <w:rsid w:val="00C345A2"/>
    <w:rsid w:val="00C345E9"/>
    <w:rsid w:val="00C3464D"/>
    <w:rsid w:val="00C346E0"/>
    <w:rsid w:val="00C34700"/>
    <w:rsid w:val="00C3484D"/>
    <w:rsid w:val="00C34922"/>
    <w:rsid w:val="00C34938"/>
    <w:rsid w:val="00C349B8"/>
    <w:rsid w:val="00C34A02"/>
    <w:rsid w:val="00C34A1B"/>
    <w:rsid w:val="00C34AA4"/>
    <w:rsid w:val="00C34AC6"/>
    <w:rsid w:val="00C34AD7"/>
    <w:rsid w:val="00C34B45"/>
    <w:rsid w:val="00C34B6B"/>
    <w:rsid w:val="00C34B91"/>
    <w:rsid w:val="00C34BC4"/>
    <w:rsid w:val="00C34BDD"/>
    <w:rsid w:val="00C34C6C"/>
    <w:rsid w:val="00C34CB9"/>
    <w:rsid w:val="00C34CF1"/>
    <w:rsid w:val="00C34CF2"/>
    <w:rsid w:val="00C34D05"/>
    <w:rsid w:val="00C34D8C"/>
    <w:rsid w:val="00C34E42"/>
    <w:rsid w:val="00C34E6D"/>
    <w:rsid w:val="00C34EC9"/>
    <w:rsid w:val="00C34EF4"/>
    <w:rsid w:val="00C34F2D"/>
    <w:rsid w:val="00C34F60"/>
    <w:rsid w:val="00C34F71"/>
    <w:rsid w:val="00C34FD0"/>
    <w:rsid w:val="00C3504C"/>
    <w:rsid w:val="00C3508B"/>
    <w:rsid w:val="00C350AF"/>
    <w:rsid w:val="00C350CC"/>
    <w:rsid w:val="00C350EB"/>
    <w:rsid w:val="00C3530F"/>
    <w:rsid w:val="00C353D3"/>
    <w:rsid w:val="00C353E3"/>
    <w:rsid w:val="00C3540F"/>
    <w:rsid w:val="00C3543D"/>
    <w:rsid w:val="00C354A5"/>
    <w:rsid w:val="00C354DB"/>
    <w:rsid w:val="00C35504"/>
    <w:rsid w:val="00C35509"/>
    <w:rsid w:val="00C35539"/>
    <w:rsid w:val="00C355F3"/>
    <w:rsid w:val="00C3561B"/>
    <w:rsid w:val="00C35660"/>
    <w:rsid w:val="00C3566F"/>
    <w:rsid w:val="00C35694"/>
    <w:rsid w:val="00C35759"/>
    <w:rsid w:val="00C35815"/>
    <w:rsid w:val="00C3581D"/>
    <w:rsid w:val="00C358CF"/>
    <w:rsid w:val="00C35906"/>
    <w:rsid w:val="00C35A06"/>
    <w:rsid w:val="00C35AB6"/>
    <w:rsid w:val="00C35AD1"/>
    <w:rsid w:val="00C35ADE"/>
    <w:rsid w:val="00C35B13"/>
    <w:rsid w:val="00C35BFF"/>
    <w:rsid w:val="00C35C08"/>
    <w:rsid w:val="00C35C64"/>
    <w:rsid w:val="00C35CB2"/>
    <w:rsid w:val="00C35CD2"/>
    <w:rsid w:val="00C35CF6"/>
    <w:rsid w:val="00C35D37"/>
    <w:rsid w:val="00C35D60"/>
    <w:rsid w:val="00C35DD2"/>
    <w:rsid w:val="00C35E60"/>
    <w:rsid w:val="00C35E86"/>
    <w:rsid w:val="00C35EFD"/>
    <w:rsid w:val="00C35F87"/>
    <w:rsid w:val="00C35FA9"/>
    <w:rsid w:val="00C35FE1"/>
    <w:rsid w:val="00C36015"/>
    <w:rsid w:val="00C36028"/>
    <w:rsid w:val="00C360CD"/>
    <w:rsid w:val="00C36100"/>
    <w:rsid w:val="00C36111"/>
    <w:rsid w:val="00C36118"/>
    <w:rsid w:val="00C3615D"/>
    <w:rsid w:val="00C36174"/>
    <w:rsid w:val="00C361BB"/>
    <w:rsid w:val="00C36239"/>
    <w:rsid w:val="00C36338"/>
    <w:rsid w:val="00C36351"/>
    <w:rsid w:val="00C363B3"/>
    <w:rsid w:val="00C363FB"/>
    <w:rsid w:val="00C36443"/>
    <w:rsid w:val="00C36454"/>
    <w:rsid w:val="00C36457"/>
    <w:rsid w:val="00C36505"/>
    <w:rsid w:val="00C3651A"/>
    <w:rsid w:val="00C365AC"/>
    <w:rsid w:val="00C365C5"/>
    <w:rsid w:val="00C366C8"/>
    <w:rsid w:val="00C36723"/>
    <w:rsid w:val="00C36792"/>
    <w:rsid w:val="00C3680E"/>
    <w:rsid w:val="00C3683D"/>
    <w:rsid w:val="00C368DC"/>
    <w:rsid w:val="00C3694A"/>
    <w:rsid w:val="00C36B00"/>
    <w:rsid w:val="00C36B2A"/>
    <w:rsid w:val="00C36C0B"/>
    <w:rsid w:val="00C36CA8"/>
    <w:rsid w:val="00C36D0A"/>
    <w:rsid w:val="00C36D5F"/>
    <w:rsid w:val="00C36D86"/>
    <w:rsid w:val="00C36E8A"/>
    <w:rsid w:val="00C36EA3"/>
    <w:rsid w:val="00C36EB1"/>
    <w:rsid w:val="00C36F0B"/>
    <w:rsid w:val="00C36F3A"/>
    <w:rsid w:val="00C36FDA"/>
    <w:rsid w:val="00C37018"/>
    <w:rsid w:val="00C37048"/>
    <w:rsid w:val="00C37077"/>
    <w:rsid w:val="00C370EC"/>
    <w:rsid w:val="00C37159"/>
    <w:rsid w:val="00C3715A"/>
    <w:rsid w:val="00C37193"/>
    <w:rsid w:val="00C371A9"/>
    <w:rsid w:val="00C371DB"/>
    <w:rsid w:val="00C3720E"/>
    <w:rsid w:val="00C37295"/>
    <w:rsid w:val="00C3731C"/>
    <w:rsid w:val="00C3731E"/>
    <w:rsid w:val="00C373E7"/>
    <w:rsid w:val="00C3747F"/>
    <w:rsid w:val="00C37605"/>
    <w:rsid w:val="00C376B2"/>
    <w:rsid w:val="00C376E5"/>
    <w:rsid w:val="00C37728"/>
    <w:rsid w:val="00C3774D"/>
    <w:rsid w:val="00C377E8"/>
    <w:rsid w:val="00C378E4"/>
    <w:rsid w:val="00C379A5"/>
    <w:rsid w:val="00C37A7B"/>
    <w:rsid w:val="00C37A88"/>
    <w:rsid w:val="00C37A8C"/>
    <w:rsid w:val="00C37AE5"/>
    <w:rsid w:val="00C37AF9"/>
    <w:rsid w:val="00C37BB1"/>
    <w:rsid w:val="00C37BBC"/>
    <w:rsid w:val="00C37BDE"/>
    <w:rsid w:val="00C37C4A"/>
    <w:rsid w:val="00C37C4D"/>
    <w:rsid w:val="00C37C9E"/>
    <w:rsid w:val="00C37CA0"/>
    <w:rsid w:val="00C37CAD"/>
    <w:rsid w:val="00C37E73"/>
    <w:rsid w:val="00C37F16"/>
    <w:rsid w:val="00C37F85"/>
    <w:rsid w:val="00C40000"/>
    <w:rsid w:val="00C4005A"/>
    <w:rsid w:val="00C40064"/>
    <w:rsid w:val="00C4009F"/>
    <w:rsid w:val="00C400D0"/>
    <w:rsid w:val="00C400D4"/>
    <w:rsid w:val="00C40134"/>
    <w:rsid w:val="00C4014E"/>
    <w:rsid w:val="00C4014F"/>
    <w:rsid w:val="00C4017D"/>
    <w:rsid w:val="00C401C6"/>
    <w:rsid w:val="00C4020D"/>
    <w:rsid w:val="00C402A5"/>
    <w:rsid w:val="00C402B2"/>
    <w:rsid w:val="00C402FA"/>
    <w:rsid w:val="00C4031C"/>
    <w:rsid w:val="00C40362"/>
    <w:rsid w:val="00C4036B"/>
    <w:rsid w:val="00C403AB"/>
    <w:rsid w:val="00C403EC"/>
    <w:rsid w:val="00C403ED"/>
    <w:rsid w:val="00C403F4"/>
    <w:rsid w:val="00C40452"/>
    <w:rsid w:val="00C40453"/>
    <w:rsid w:val="00C40645"/>
    <w:rsid w:val="00C407C8"/>
    <w:rsid w:val="00C407D4"/>
    <w:rsid w:val="00C407FF"/>
    <w:rsid w:val="00C40850"/>
    <w:rsid w:val="00C40869"/>
    <w:rsid w:val="00C408EC"/>
    <w:rsid w:val="00C40981"/>
    <w:rsid w:val="00C409A1"/>
    <w:rsid w:val="00C409A5"/>
    <w:rsid w:val="00C40A0F"/>
    <w:rsid w:val="00C40A73"/>
    <w:rsid w:val="00C40AB9"/>
    <w:rsid w:val="00C40BD7"/>
    <w:rsid w:val="00C40C00"/>
    <w:rsid w:val="00C40C43"/>
    <w:rsid w:val="00C40C85"/>
    <w:rsid w:val="00C40C9B"/>
    <w:rsid w:val="00C40E28"/>
    <w:rsid w:val="00C40EF9"/>
    <w:rsid w:val="00C40F41"/>
    <w:rsid w:val="00C40F51"/>
    <w:rsid w:val="00C40F9F"/>
    <w:rsid w:val="00C40FB2"/>
    <w:rsid w:val="00C40FBB"/>
    <w:rsid w:val="00C41053"/>
    <w:rsid w:val="00C410A4"/>
    <w:rsid w:val="00C410C9"/>
    <w:rsid w:val="00C411C3"/>
    <w:rsid w:val="00C4127C"/>
    <w:rsid w:val="00C41283"/>
    <w:rsid w:val="00C4131B"/>
    <w:rsid w:val="00C41381"/>
    <w:rsid w:val="00C413DB"/>
    <w:rsid w:val="00C413EB"/>
    <w:rsid w:val="00C414C2"/>
    <w:rsid w:val="00C414EE"/>
    <w:rsid w:val="00C415CE"/>
    <w:rsid w:val="00C41637"/>
    <w:rsid w:val="00C41652"/>
    <w:rsid w:val="00C41678"/>
    <w:rsid w:val="00C41697"/>
    <w:rsid w:val="00C41708"/>
    <w:rsid w:val="00C41732"/>
    <w:rsid w:val="00C41977"/>
    <w:rsid w:val="00C419BA"/>
    <w:rsid w:val="00C419D5"/>
    <w:rsid w:val="00C41A2A"/>
    <w:rsid w:val="00C41A82"/>
    <w:rsid w:val="00C41B50"/>
    <w:rsid w:val="00C41BC2"/>
    <w:rsid w:val="00C41BC3"/>
    <w:rsid w:val="00C41BCA"/>
    <w:rsid w:val="00C41BD4"/>
    <w:rsid w:val="00C41BFE"/>
    <w:rsid w:val="00C41D76"/>
    <w:rsid w:val="00C41DB2"/>
    <w:rsid w:val="00C41DDD"/>
    <w:rsid w:val="00C41E6A"/>
    <w:rsid w:val="00C41E6D"/>
    <w:rsid w:val="00C41EC2"/>
    <w:rsid w:val="00C41EDF"/>
    <w:rsid w:val="00C41EFB"/>
    <w:rsid w:val="00C41F42"/>
    <w:rsid w:val="00C41F45"/>
    <w:rsid w:val="00C41F79"/>
    <w:rsid w:val="00C42013"/>
    <w:rsid w:val="00C420FF"/>
    <w:rsid w:val="00C421BB"/>
    <w:rsid w:val="00C421BC"/>
    <w:rsid w:val="00C421D5"/>
    <w:rsid w:val="00C4223E"/>
    <w:rsid w:val="00C42281"/>
    <w:rsid w:val="00C42282"/>
    <w:rsid w:val="00C422E3"/>
    <w:rsid w:val="00C422F9"/>
    <w:rsid w:val="00C4230A"/>
    <w:rsid w:val="00C42360"/>
    <w:rsid w:val="00C42393"/>
    <w:rsid w:val="00C4241E"/>
    <w:rsid w:val="00C424E8"/>
    <w:rsid w:val="00C4250E"/>
    <w:rsid w:val="00C42615"/>
    <w:rsid w:val="00C42630"/>
    <w:rsid w:val="00C42655"/>
    <w:rsid w:val="00C42669"/>
    <w:rsid w:val="00C426F9"/>
    <w:rsid w:val="00C427F0"/>
    <w:rsid w:val="00C4288E"/>
    <w:rsid w:val="00C428F3"/>
    <w:rsid w:val="00C4299E"/>
    <w:rsid w:val="00C42A03"/>
    <w:rsid w:val="00C42A18"/>
    <w:rsid w:val="00C42A3D"/>
    <w:rsid w:val="00C42A7F"/>
    <w:rsid w:val="00C42ACF"/>
    <w:rsid w:val="00C42B66"/>
    <w:rsid w:val="00C42B9E"/>
    <w:rsid w:val="00C42C7E"/>
    <w:rsid w:val="00C42D24"/>
    <w:rsid w:val="00C42DA0"/>
    <w:rsid w:val="00C42E07"/>
    <w:rsid w:val="00C42E2B"/>
    <w:rsid w:val="00C42F51"/>
    <w:rsid w:val="00C42F74"/>
    <w:rsid w:val="00C42F9B"/>
    <w:rsid w:val="00C42FEE"/>
    <w:rsid w:val="00C43094"/>
    <w:rsid w:val="00C430BE"/>
    <w:rsid w:val="00C4310A"/>
    <w:rsid w:val="00C43152"/>
    <w:rsid w:val="00C43163"/>
    <w:rsid w:val="00C4317C"/>
    <w:rsid w:val="00C431C3"/>
    <w:rsid w:val="00C4325B"/>
    <w:rsid w:val="00C4330E"/>
    <w:rsid w:val="00C4333D"/>
    <w:rsid w:val="00C43359"/>
    <w:rsid w:val="00C43379"/>
    <w:rsid w:val="00C433A1"/>
    <w:rsid w:val="00C433A2"/>
    <w:rsid w:val="00C433CE"/>
    <w:rsid w:val="00C4346E"/>
    <w:rsid w:val="00C4348F"/>
    <w:rsid w:val="00C434E5"/>
    <w:rsid w:val="00C434EE"/>
    <w:rsid w:val="00C43546"/>
    <w:rsid w:val="00C4356A"/>
    <w:rsid w:val="00C435F8"/>
    <w:rsid w:val="00C43617"/>
    <w:rsid w:val="00C43692"/>
    <w:rsid w:val="00C436D2"/>
    <w:rsid w:val="00C436E0"/>
    <w:rsid w:val="00C4378B"/>
    <w:rsid w:val="00C437BF"/>
    <w:rsid w:val="00C437E8"/>
    <w:rsid w:val="00C4382B"/>
    <w:rsid w:val="00C438AF"/>
    <w:rsid w:val="00C438D8"/>
    <w:rsid w:val="00C438F5"/>
    <w:rsid w:val="00C43902"/>
    <w:rsid w:val="00C43962"/>
    <w:rsid w:val="00C43A15"/>
    <w:rsid w:val="00C43B4B"/>
    <w:rsid w:val="00C43B54"/>
    <w:rsid w:val="00C43BA6"/>
    <w:rsid w:val="00C43C1B"/>
    <w:rsid w:val="00C43CB6"/>
    <w:rsid w:val="00C43D18"/>
    <w:rsid w:val="00C43D8D"/>
    <w:rsid w:val="00C43E0F"/>
    <w:rsid w:val="00C43ED2"/>
    <w:rsid w:val="00C43F0F"/>
    <w:rsid w:val="00C43FC0"/>
    <w:rsid w:val="00C4402E"/>
    <w:rsid w:val="00C4412C"/>
    <w:rsid w:val="00C4417A"/>
    <w:rsid w:val="00C44205"/>
    <w:rsid w:val="00C44226"/>
    <w:rsid w:val="00C4425C"/>
    <w:rsid w:val="00C44276"/>
    <w:rsid w:val="00C44468"/>
    <w:rsid w:val="00C444F1"/>
    <w:rsid w:val="00C44506"/>
    <w:rsid w:val="00C4455F"/>
    <w:rsid w:val="00C445F3"/>
    <w:rsid w:val="00C44662"/>
    <w:rsid w:val="00C446A9"/>
    <w:rsid w:val="00C44754"/>
    <w:rsid w:val="00C44844"/>
    <w:rsid w:val="00C4485C"/>
    <w:rsid w:val="00C448AC"/>
    <w:rsid w:val="00C4491F"/>
    <w:rsid w:val="00C44931"/>
    <w:rsid w:val="00C449AE"/>
    <w:rsid w:val="00C449FD"/>
    <w:rsid w:val="00C44A73"/>
    <w:rsid w:val="00C44AA7"/>
    <w:rsid w:val="00C44B25"/>
    <w:rsid w:val="00C44BE5"/>
    <w:rsid w:val="00C44C29"/>
    <w:rsid w:val="00C44C81"/>
    <w:rsid w:val="00C44CF4"/>
    <w:rsid w:val="00C44D94"/>
    <w:rsid w:val="00C44DBE"/>
    <w:rsid w:val="00C44E3B"/>
    <w:rsid w:val="00C44EF6"/>
    <w:rsid w:val="00C44F44"/>
    <w:rsid w:val="00C44F55"/>
    <w:rsid w:val="00C4501B"/>
    <w:rsid w:val="00C450AC"/>
    <w:rsid w:val="00C450E8"/>
    <w:rsid w:val="00C45126"/>
    <w:rsid w:val="00C451BD"/>
    <w:rsid w:val="00C451CF"/>
    <w:rsid w:val="00C451F7"/>
    <w:rsid w:val="00C4528A"/>
    <w:rsid w:val="00C452BA"/>
    <w:rsid w:val="00C4531E"/>
    <w:rsid w:val="00C45336"/>
    <w:rsid w:val="00C45397"/>
    <w:rsid w:val="00C453B1"/>
    <w:rsid w:val="00C45416"/>
    <w:rsid w:val="00C45435"/>
    <w:rsid w:val="00C45452"/>
    <w:rsid w:val="00C454D0"/>
    <w:rsid w:val="00C4552A"/>
    <w:rsid w:val="00C45563"/>
    <w:rsid w:val="00C455EE"/>
    <w:rsid w:val="00C456D5"/>
    <w:rsid w:val="00C45733"/>
    <w:rsid w:val="00C45770"/>
    <w:rsid w:val="00C45793"/>
    <w:rsid w:val="00C457B1"/>
    <w:rsid w:val="00C457C4"/>
    <w:rsid w:val="00C45875"/>
    <w:rsid w:val="00C458A6"/>
    <w:rsid w:val="00C458F9"/>
    <w:rsid w:val="00C45ACC"/>
    <w:rsid w:val="00C45ADA"/>
    <w:rsid w:val="00C45B06"/>
    <w:rsid w:val="00C45B87"/>
    <w:rsid w:val="00C45B9F"/>
    <w:rsid w:val="00C45BF3"/>
    <w:rsid w:val="00C45D16"/>
    <w:rsid w:val="00C45E4C"/>
    <w:rsid w:val="00C45F12"/>
    <w:rsid w:val="00C45F53"/>
    <w:rsid w:val="00C45F94"/>
    <w:rsid w:val="00C45F9D"/>
    <w:rsid w:val="00C45FF0"/>
    <w:rsid w:val="00C4608C"/>
    <w:rsid w:val="00C460A1"/>
    <w:rsid w:val="00C4615F"/>
    <w:rsid w:val="00C461D0"/>
    <w:rsid w:val="00C461E0"/>
    <w:rsid w:val="00C461EF"/>
    <w:rsid w:val="00C462F4"/>
    <w:rsid w:val="00C4643B"/>
    <w:rsid w:val="00C46504"/>
    <w:rsid w:val="00C46516"/>
    <w:rsid w:val="00C46540"/>
    <w:rsid w:val="00C4655A"/>
    <w:rsid w:val="00C46772"/>
    <w:rsid w:val="00C467E8"/>
    <w:rsid w:val="00C467F1"/>
    <w:rsid w:val="00C46893"/>
    <w:rsid w:val="00C46899"/>
    <w:rsid w:val="00C469BD"/>
    <w:rsid w:val="00C469BF"/>
    <w:rsid w:val="00C46A18"/>
    <w:rsid w:val="00C46B55"/>
    <w:rsid w:val="00C46C5D"/>
    <w:rsid w:val="00C46CCB"/>
    <w:rsid w:val="00C46D26"/>
    <w:rsid w:val="00C46E47"/>
    <w:rsid w:val="00C46F7F"/>
    <w:rsid w:val="00C46F96"/>
    <w:rsid w:val="00C46FAD"/>
    <w:rsid w:val="00C47046"/>
    <w:rsid w:val="00C47054"/>
    <w:rsid w:val="00C470F4"/>
    <w:rsid w:val="00C4719F"/>
    <w:rsid w:val="00C471DE"/>
    <w:rsid w:val="00C471F6"/>
    <w:rsid w:val="00C47201"/>
    <w:rsid w:val="00C47205"/>
    <w:rsid w:val="00C4721B"/>
    <w:rsid w:val="00C47295"/>
    <w:rsid w:val="00C472CB"/>
    <w:rsid w:val="00C47350"/>
    <w:rsid w:val="00C47364"/>
    <w:rsid w:val="00C473CA"/>
    <w:rsid w:val="00C47435"/>
    <w:rsid w:val="00C4749E"/>
    <w:rsid w:val="00C47513"/>
    <w:rsid w:val="00C47525"/>
    <w:rsid w:val="00C47557"/>
    <w:rsid w:val="00C475A8"/>
    <w:rsid w:val="00C476BA"/>
    <w:rsid w:val="00C476DA"/>
    <w:rsid w:val="00C4773C"/>
    <w:rsid w:val="00C47752"/>
    <w:rsid w:val="00C477A1"/>
    <w:rsid w:val="00C477D9"/>
    <w:rsid w:val="00C47827"/>
    <w:rsid w:val="00C478B7"/>
    <w:rsid w:val="00C4795F"/>
    <w:rsid w:val="00C47968"/>
    <w:rsid w:val="00C479E5"/>
    <w:rsid w:val="00C47A05"/>
    <w:rsid w:val="00C47A57"/>
    <w:rsid w:val="00C47A99"/>
    <w:rsid w:val="00C47AAE"/>
    <w:rsid w:val="00C47AB8"/>
    <w:rsid w:val="00C47AC1"/>
    <w:rsid w:val="00C47B4E"/>
    <w:rsid w:val="00C47B67"/>
    <w:rsid w:val="00C47B6C"/>
    <w:rsid w:val="00C47B6F"/>
    <w:rsid w:val="00C47B92"/>
    <w:rsid w:val="00C47B93"/>
    <w:rsid w:val="00C47D53"/>
    <w:rsid w:val="00C47D5C"/>
    <w:rsid w:val="00C47E0A"/>
    <w:rsid w:val="00C47E35"/>
    <w:rsid w:val="00C47F40"/>
    <w:rsid w:val="00C47FE0"/>
    <w:rsid w:val="00C47FEE"/>
    <w:rsid w:val="00C50071"/>
    <w:rsid w:val="00C500BB"/>
    <w:rsid w:val="00C5010E"/>
    <w:rsid w:val="00C50112"/>
    <w:rsid w:val="00C50127"/>
    <w:rsid w:val="00C50158"/>
    <w:rsid w:val="00C501BF"/>
    <w:rsid w:val="00C501F9"/>
    <w:rsid w:val="00C502A7"/>
    <w:rsid w:val="00C502D3"/>
    <w:rsid w:val="00C502F0"/>
    <w:rsid w:val="00C502F9"/>
    <w:rsid w:val="00C50375"/>
    <w:rsid w:val="00C503F3"/>
    <w:rsid w:val="00C5040A"/>
    <w:rsid w:val="00C50434"/>
    <w:rsid w:val="00C50447"/>
    <w:rsid w:val="00C50510"/>
    <w:rsid w:val="00C5051F"/>
    <w:rsid w:val="00C50538"/>
    <w:rsid w:val="00C50553"/>
    <w:rsid w:val="00C505AB"/>
    <w:rsid w:val="00C50611"/>
    <w:rsid w:val="00C50666"/>
    <w:rsid w:val="00C50673"/>
    <w:rsid w:val="00C506E0"/>
    <w:rsid w:val="00C50904"/>
    <w:rsid w:val="00C50956"/>
    <w:rsid w:val="00C5095C"/>
    <w:rsid w:val="00C509D3"/>
    <w:rsid w:val="00C50A13"/>
    <w:rsid w:val="00C50A1D"/>
    <w:rsid w:val="00C50A80"/>
    <w:rsid w:val="00C50A8C"/>
    <w:rsid w:val="00C50A99"/>
    <w:rsid w:val="00C50AC7"/>
    <w:rsid w:val="00C50B30"/>
    <w:rsid w:val="00C50B60"/>
    <w:rsid w:val="00C50BD8"/>
    <w:rsid w:val="00C50CEC"/>
    <w:rsid w:val="00C50D49"/>
    <w:rsid w:val="00C50DC9"/>
    <w:rsid w:val="00C50E41"/>
    <w:rsid w:val="00C50ECD"/>
    <w:rsid w:val="00C50ECF"/>
    <w:rsid w:val="00C50F06"/>
    <w:rsid w:val="00C50FA2"/>
    <w:rsid w:val="00C51072"/>
    <w:rsid w:val="00C510C1"/>
    <w:rsid w:val="00C510D0"/>
    <w:rsid w:val="00C510F5"/>
    <w:rsid w:val="00C5125E"/>
    <w:rsid w:val="00C51264"/>
    <w:rsid w:val="00C512AB"/>
    <w:rsid w:val="00C512EA"/>
    <w:rsid w:val="00C512FB"/>
    <w:rsid w:val="00C51308"/>
    <w:rsid w:val="00C5131F"/>
    <w:rsid w:val="00C5138D"/>
    <w:rsid w:val="00C513F1"/>
    <w:rsid w:val="00C513FE"/>
    <w:rsid w:val="00C5141C"/>
    <w:rsid w:val="00C5142B"/>
    <w:rsid w:val="00C515CF"/>
    <w:rsid w:val="00C5165B"/>
    <w:rsid w:val="00C51716"/>
    <w:rsid w:val="00C5174C"/>
    <w:rsid w:val="00C517B6"/>
    <w:rsid w:val="00C5192D"/>
    <w:rsid w:val="00C519D5"/>
    <w:rsid w:val="00C519E6"/>
    <w:rsid w:val="00C51A9E"/>
    <w:rsid w:val="00C51B15"/>
    <w:rsid w:val="00C51B24"/>
    <w:rsid w:val="00C51C25"/>
    <w:rsid w:val="00C51C34"/>
    <w:rsid w:val="00C51CAA"/>
    <w:rsid w:val="00C51CFF"/>
    <w:rsid w:val="00C51D06"/>
    <w:rsid w:val="00C51D36"/>
    <w:rsid w:val="00C51D58"/>
    <w:rsid w:val="00C51D7C"/>
    <w:rsid w:val="00C51E0C"/>
    <w:rsid w:val="00C51E60"/>
    <w:rsid w:val="00C51F1B"/>
    <w:rsid w:val="00C51F71"/>
    <w:rsid w:val="00C51FAB"/>
    <w:rsid w:val="00C51FB1"/>
    <w:rsid w:val="00C51FF0"/>
    <w:rsid w:val="00C52006"/>
    <w:rsid w:val="00C52026"/>
    <w:rsid w:val="00C5202B"/>
    <w:rsid w:val="00C520D4"/>
    <w:rsid w:val="00C52200"/>
    <w:rsid w:val="00C52232"/>
    <w:rsid w:val="00C522A3"/>
    <w:rsid w:val="00C522CD"/>
    <w:rsid w:val="00C522F0"/>
    <w:rsid w:val="00C52406"/>
    <w:rsid w:val="00C52419"/>
    <w:rsid w:val="00C52489"/>
    <w:rsid w:val="00C52555"/>
    <w:rsid w:val="00C525C8"/>
    <w:rsid w:val="00C52656"/>
    <w:rsid w:val="00C5265C"/>
    <w:rsid w:val="00C526A0"/>
    <w:rsid w:val="00C527B1"/>
    <w:rsid w:val="00C527C5"/>
    <w:rsid w:val="00C52967"/>
    <w:rsid w:val="00C52974"/>
    <w:rsid w:val="00C52988"/>
    <w:rsid w:val="00C5299F"/>
    <w:rsid w:val="00C52A5E"/>
    <w:rsid w:val="00C52A73"/>
    <w:rsid w:val="00C52A7E"/>
    <w:rsid w:val="00C52AC0"/>
    <w:rsid w:val="00C52AF6"/>
    <w:rsid w:val="00C52B0D"/>
    <w:rsid w:val="00C52B29"/>
    <w:rsid w:val="00C52BB1"/>
    <w:rsid w:val="00C52BFF"/>
    <w:rsid w:val="00C52C1C"/>
    <w:rsid w:val="00C52C4E"/>
    <w:rsid w:val="00C52C70"/>
    <w:rsid w:val="00C52C7F"/>
    <w:rsid w:val="00C52CA1"/>
    <w:rsid w:val="00C52D9C"/>
    <w:rsid w:val="00C52DBC"/>
    <w:rsid w:val="00C52E08"/>
    <w:rsid w:val="00C52E1E"/>
    <w:rsid w:val="00C52E3D"/>
    <w:rsid w:val="00C52E4A"/>
    <w:rsid w:val="00C52F2D"/>
    <w:rsid w:val="00C53093"/>
    <w:rsid w:val="00C530E3"/>
    <w:rsid w:val="00C5315D"/>
    <w:rsid w:val="00C5316E"/>
    <w:rsid w:val="00C53172"/>
    <w:rsid w:val="00C531FA"/>
    <w:rsid w:val="00C532CD"/>
    <w:rsid w:val="00C53338"/>
    <w:rsid w:val="00C53381"/>
    <w:rsid w:val="00C533D4"/>
    <w:rsid w:val="00C53405"/>
    <w:rsid w:val="00C53468"/>
    <w:rsid w:val="00C53584"/>
    <w:rsid w:val="00C535B6"/>
    <w:rsid w:val="00C535CB"/>
    <w:rsid w:val="00C53607"/>
    <w:rsid w:val="00C53631"/>
    <w:rsid w:val="00C53642"/>
    <w:rsid w:val="00C53678"/>
    <w:rsid w:val="00C53766"/>
    <w:rsid w:val="00C537E2"/>
    <w:rsid w:val="00C53813"/>
    <w:rsid w:val="00C53840"/>
    <w:rsid w:val="00C5384D"/>
    <w:rsid w:val="00C53883"/>
    <w:rsid w:val="00C538AA"/>
    <w:rsid w:val="00C53934"/>
    <w:rsid w:val="00C53A5E"/>
    <w:rsid w:val="00C53A68"/>
    <w:rsid w:val="00C53AE4"/>
    <w:rsid w:val="00C53B2D"/>
    <w:rsid w:val="00C53B43"/>
    <w:rsid w:val="00C53DF7"/>
    <w:rsid w:val="00C53E68"/>
    <w:rsid w:val="00C53ED9"/>
    <w:rsid w:val="00C53F68"/>
    <w:rsid w:val="00C53FDC"/>
    <w:rsid w:val="00C5408F"/>
    <w:rsid w:val="00C540D3"/>
    <w:rsid w:val="00C54119"/>
    <w:rsid w:val="00C541F1"/>
    <w:rsid w:val="00C54262"/>
    <w:rsid w:val="00C5428E"/>
    <w:rsid w:val="00C542C1"/>
    <w:rsid w:val="00C5445C"/>
    <w:rsid w:val="00C54483"/>
    <w:rsid w:val="00C544C5"/>
    <w:rsid w:val="00C544D8"/>
    <w:rsid w:val="00C544F5"/>
    <w:rsid w:val="00C5455A"/>
    <w:rsid w:val="00C5457C"/>
    <w:rsid w:val="00C54596"/>
    <w:rsid w:val="00C545A8"/>
    <w:rsid w:val="00C545CE"/>
    <w:rsid w:val="00C545F2"/>
    <w:rsid w:val="00C5463F"/>
    <w:rsid w:val="00C54662"/>
    <w:rsid w:val="00C54665"/>
    <w:rsid w:val="00C546C3"/>
    <w:rsid w:val="00C54740"/>
    <w:rsid w:val="00C54749"/>
    <w:rsid w:val="00C54794"/>
    <w:rsid w:val="00C54795"/>
    <w:rsid w:val="00C547A1"/>
    <w:rsid w:val="00C547AE"/>
    <w:rsid w:val="00C5482D"/>
    <w:rsid w:val="00C548BC"/>
    <w:rsid w:val="00C54947"/>
    <w:rsid w:val="00C5496E"/>
    <w:rsid w:val="00C54973"/>
    <w:rsid w:val="00C549A8"/>
    <w:rsid w:val="00C549B0"/>
    <w:rsid w:val="00C54A7D"/>
    <w:rsid w:val="00C54B12"/>
    <w:rsid w:val="00C54B78"/>
    <w:rsid w:val="00C54CA4"/>
    <w:rsid w:val="00C54D39"/>
    <w:rsid w:val="00C54E21"/>
    <w:rsid w:val="00C54F64"/>
    <w:rsid w:val="00C54F65"/>
    <w:rsid w:val="00C54FD6"/>
    <w:rsid w:val="00C54FDB"/>
    <w:rsid w:val="00C54FEF"/>
    <w:rsid w:val="00C55007"/>
    <w:rsid w:val="00C55099"/>
    <w:rsid w:val="00C550EB"/>
    <w:rsid w:val="00C5519C"/>
    <w:rsid w:val="00C55285"/>
    <w:rsid w:val="00C55286"/>
    <w:rsid w:val="00C552A5"/>
    <w:rsid w:val="00C5531C"/>
    <w:rsid w:val="00C55349"/>
    <w:rsid w:val="00C55361"/>
    <w:rsid w:val="00C55396"/>
    <w:rsid w:val="00C55399"/>
    <w:rsid w:val="00C553A3"/>
    <w:rsid w:val="00C553F2"/>
    <w:rsid w:val="00C55426"/>
    <w:rsid w:val="00C554F8"/>
    <w:rsid w:val="00C5550B"/>
    <w:rsid w:val="00C55538"/>
    <w:rsid w:val="00C555D1"/>
    <w:rsid w:val="00C557B0"/>
    <w:rsid w:val="00C557C3"/>
    <w:rsid w:val="00C5583A"/>
    <w:rsid w:val="00C5584F"/>
    <w:rsid w:val="00C5588A"/>
    <w:rsid w:val="00C55964"/>
    <w:rsid w:val="00C559F1"/>
    <w:rsid w:val="00C559F9"/>
    <w:rsid w:val="00C55A00"/>
    <w:rsid w:val="00C55A57"/>
    <w:rsid w:val="00C55AA0"/>
    <w:rsid w:val="00C55AEB"/>
    <w:rsid w:val="00C55B74"/>
    <w:rsid w:val="00C55BB8"/>
    <w:rsid w:val="00C55BCA"/>
    <w:rsid w:val="00C55BCD"/>
    <w:rsid w:val="00C55BDC"/>
    <w:rsid w:val="00C55C2B"/>
    <w:rsid w:val="00C55C38"/>
    <w:rsid w:val="00C55D0E"/>
    <w:rsid w:val="00C55D2E"/>
    <w:rsid w:val="00C55D5D"/>
    <w:rsid w:val="00C55DB8"/>
    <w:rsid w:val="00C55E1C"/>
    <w:rsid w:val="00C55E2F"/>
    <w:rsid w:val="00C55E5D"/>
    <w:rsid w:val="00C55E63"/>
    <w:rsid w:val="00C55F8B"/>
    <w:rsid w:val="00C5601E"/>
    <w:rsid w:val="00C561D7"/>
    <w:rsid w:val="00C56235"/>
    <w:rsid w:val="00C56263"/>
    <w:rsid w:val="00C56280"/>
    <w:rsid w:val="00C56326"/>
    <w:rsid w:val="00C5641B"/>
    <w:rsid w:val="00C5650B"/>
    <w:rsid w:val="00C5650E"/>
    <w:rsid w:val="00C565BF"/>
    <w:rsid w:val="00C565DB"/>
    <w:rsid w:val="00C565FE"/>
    <w:rsid w:val="00C56658"/>
    <w:rsid w:val="00C566A5"/>
    <w:rsid w:val="00C56712"/>
    <w:rsid w:val="00C56714"/>
    <w:rsid w:val="00C56767"/>
    <w:rsid w:val="00C56805"/>
    <w:rsid w:val="00C569F5"/>
    <w:rsid w:val="00C56ABC"/>
    <w:rsid w:val="00C56B4B"/>
    <w:rsid w:val="00C56B70"/>
    <w:rsid w:val="00C56BBA"/>
    <w:rsid w:val="00C56C5A"/>
    <w:rsid w:val="00C56CD0"/>
    <w:rsid w:val="00C56D16"/>
    <w:rsid w:val="00C56DD8"/>
    <w:rsid w:val="00C56DE8"/>
    <w:rsid w:val="00C56E3D"/>
    <w:rsid w:val="00C56E41"/>
    <w:rsid w:val="00C56E86"/>
    <w:rsid w:val="00C56EB5"/>
    <w:rsid w:val="00C56EE7"/>
    <w:rsid w:val="00C56F8D"/>
    <w:rsid w:val="00C56FDF"/>
    <w:rsid w:val="00C57081"/>
    <w:rsid w:val="00C570F5"/>
    <w:rsid w:val="00C570F6"/>
    <w:rsid w:val="00C5718D"/>
    <w:rsid w:val="00C571D4"/>
    <w:rsid w:val="00C571F2"/>
    <w:rsid w:val="00C5724A"/>
    <w:rsid w:val="00C57287"/>
    <w:rsid w:val="00C573B1"/>
    <w:rsid w:val="00C57455"/>
    <w:rsid w:val="00C574DA"/>
    <w:rsid w:val="00C57514"/>
    <w:rsid w:val="00C57537"/>
    <w:rsid w:val="00C57549"/>
    <w:rsid w:val="00C57694"/>
    <w:rsid w:val="00C57738"/>
    <w:rsid w:val="00C577FA"/>
    <w:rsid w:val="00C57815"/>
    <w:rsid w:val="00C57830"/>
    <w:rsid w:val="00C5790F"/>
    <w:rsid w:val="00C579D8"/>
    <w:rsid w:val="00C57A82"/>
    <w:rsid w:val="00C57B26"/>
    <w:rsid w:val="00C57B62"/>
    <w:rsid w:val="00C57B7E"/>
    <w:rsid w:val="00C57BA9"/>
    <w:rsid w:val="00C57BF4"/>
    <w:rsid w:val="00C57C03"/>
    <w:rsid w:val="00C57C3C"/>
    <w:rsid w:val="00C57CF0"/>
    <w:rsid w:val="00C57D52"/>
    <w:rsid w:val="00C57D54"/>
    <w:rsid w:val="00C57DC6"/>
    <w:rsid w:val="00C57E65"/>
    <w:rsid w:val="00C57E84"/>
    <w:rsid w:val="00C57ED8"/>
    <w:rsid w:val="00C57F57"/>
    <w:rsid w:val="00C57F89"/>
    <w:rsid w:val="00C60002"/>
    <w:rsid w:val="00C600BA"/>
    <w:rsid w:val="00C6013F"/>
    <w:rsid w:val="00C601E2"/>
    <w:rsid w:val="00C601FC"/>
    <w:rsid w:val="00C602AE"/>
    <w:rsid w:val="00C602B0"/>
    <w:rsid w:val="00C603A9"/>
    <w:rsid w:val="00C6042A"/>
    <w:rsid w:val="00C604B9"/>
    <w:rsid w:val="00C60592"/>
    <w:rsid w:val="00C605C1"/>
    <w:rsid w:val="00C60656"/>
    <w:rsid w:val="00C606BC"/>
    <w:rsid w:val="00C606C6"/>
    <w:rsid w:val="00C60708"/>
    <w:rsid w:val="00C6075B"/>
    <w:rsid w:val="00C607B1"/>
    <w:rsid w:val="00C607DB"/>
    <w:rsid w:val="00C607EA"/>
    <w:rsid w:val="00C607EB"/>
    <w:rsid w:val="00C608D3"/>
    <w:rsid w:val="00C608E2"/>
    <w:rsid w:val="00C60A42"/>
    <w:rsid w:val="00C60A69"/>
    <w:rsid w:val="00C60BAF"/>
    <w:rsid w:val="00C60BC4"/>
    <w:rsid w:val="00C60BDF"/>
    <w:rsid w:val="00C60C07"/>
    <w:rsid w:val="00C60CB8"/>
    <w:rsid w:val="00C60D94"/>
    <w:rsid w:val="00C60DB2"/>
    <w:rsid w:val="00C60DEC"/>
    <w:rsid w:val="00C60E3A"/>
    <w:rsid w:val="00C60FDF"/>
    <w:rsid w:val="00C61085"/>
    <w:rsid w:val="00C6110D"/>
    <w:rsid w:val="00C61197"/>
    <w:rsid w:val="00C611E4"/>
    <w:rsid w:val="00C611F0"/>
    <w:rsid w:val="00C61302"/>
    <w:rsid w:val="00C6139D"/>
    <w:rsid w:val="00C613D0"/>
    <w:rsid w:val="00C61406"/>
    <w:rsid w:val="00C61439"/>
    <w:rsid w:val="00C61473"/>
    <w:rsid w:val="00C6149A"/>
    <w:rsid w:val="00C614BA"/>
    <w:rsid w:val="00C614C8"/>
    <w:rsid w:val="00C61507"/>
    <w:rsid w:val="00C61589"/>
    <w:rsid w:val="00C616A8"/>
    <w:rsid w:val="00C61743"/>
    <w:rsid w:val="00C618A4"/>
    <w:rsid w:val="00C618FF"/>
    <w:rsid w:val="00C619B7"/>
    <w:rsid w:val="00C619C2"/>
    <w:rsid w:val="00C619FB"/>
    <w:rsid w:val="00C61A11"/>
    <w:rsid w:val="00C61AB5"/>
    <w:rsid w:val="00C61ADD"/>
    <w:rsid w:val="00C61B8B"/>
    <w:rsid w:val="00C61C06"/>
    <w:rsid w:val="00C61C3C"/>
    <w:rsid w:val="00C61C5A"/>
    <w:rsid w:val="00C61CBA"/>
    <w:rsid w:val="00C61D2C"/>
    <w:rsid w:val="00C61D80"/>
    <w:rsid w:val="00C61D99"/>
    <w:rsid w:val="00C61DEF"/>
    <w:rsid w:val="00C61E77"/>
    <w:rsid w:val="00C61E95"/>
    <w:rsid w:val="00C61EA2"/>
    <w:rsid w:val="00C61F01"/>
    <w:rsid w:val="00C61F11"/>
    <w:rsid w:val="00C61F29"/>
    <w:rsid w:val="00C61FE4"/>
    <w:rsid w:val="00C62020"/>
    <w:rsid w:val="00C62031"/>
    <w:rsid w:val="00C62049"/>
    <w:rsid w:val="00C62050"/>
    <w:rsid w:val="00C620C1"/>
    <w:rsid w:val="00C620E8"/>
    <w:rsid w:val="00C62161"/>
    <w:rsid w:val="00C621E0"/>
    <w:rsid w:val="00C621F0"/>
    <w:rsid w:val="00C62221"/>
    <w:rsid w:val="00C6229B"/>
    <w:rsid w:val="00C622F9"/>
    <w:rsid w:val="00C62349"/>
    <w:rsid w:val="00C62407"/>
    <w:rsid w:val="00C6240D"/>
    <w:rsid w:val="00C62410"/>
    <w:rsid w:val="00C6246C"/>
    <w:rsid w:val="00C6248A"/>
    <w:rsid w:val="00C62490"/>
    <w:rsid w:val="00C624A1"/>
    <w:rsid w:val="00C624CC"/>
    <w:rsid w:val="00C625AD"/>
    <w:rsid w:val="00C625C8"/>
    <w:rsid w:val="00C625E5"/>
    <w:rsid w:val="00C6279B"/>
    <w:rsid w:val="00C62953"/>
    <w:rsid w:val="00C629FF"/>
    <w:rsid w:val="00C62A24"/>
    <w:rsid w:val="00C62AA1"/>
    <w:rsid w:val="00C62B39"/>
    <w:rsid w:val="00C62B46"/>
    <w:rsid w:val="00C62B74"/>
    <w:rsid w:val="00C62B91"/>
    <w:rsid w:val="00C62BDC"/>
    <w:rsid w:val="00C62BF8"/>
    <w:rsid w:val="00C62CDF"/>
    <w:rsid w:val="00C62D18"/>
    <w:rsid w:val="00C62E61"/>
    <w:rsid w:val="00C62EA8"/>
    <w:rsid w:val="00C62F30"/>
    <w:rsid w:val="00C62F5A"/>
    <w:rsid w:val="00C62FA9"/>
    <w:rsid w:val="00C63007"/>
    <w:rsid w:val="00C63032"/>
    <w:rsid w:val="00C630DA"/>
    <w:rsid w:val="00C63113"/>
    <w:rsid w:val="00C631E6"/>
    <w:rsid w:val="00C63291"/>
    <w:rsid w:val="00C63342"/>
    <w:rsid w:val="00C633C3"/>
    <w:rsid w:val="00C63400"/>
    <w:rsid w:val="00C6348E"/>
    <w:rsid w:val="00C6352D"/>
    <w:rsid w:val="00C63559"/>
    <w:rsid w:val="00C63592"/>
    <w:rsid w:val="00C635D6"/>
    <w:rsid w:val="00C635ED"/>
    <w:rsid w:val="00C6360B"/>
    <w:rsid w:val="00C63630"/>
    <w:rsid w:val="00C63744"/>
    <w:rsid w:val="00C63753"/>
    <w:rsid w:val="00C63769"/>
    <w:rsid w:val="00C63793"/>
    <w:rsid w:val="00C63832"/>
    <w:rsid w:val="00C6383A"/>
    <w:rsid w:val="00C63890"/>
    <w:rsid w:val="00C638E6"/>
    <w:rsid w:val="00C6394D"/>
    <w:rsid w:val="00C63997"/>
    <w:rsid w:val="00C639D0"/>
    <w:rsid w:val="00C639E0"/>
    <w:rsid w:val="00C63A22"/>
    <w:rsid w:val="00C63A2E"/>
    <w:rsid w:val="00C63A57"/>
    <w:rsid w:val="00C63AB8"/>
    <w:rsid w:val="00C63AE9"/>
    <w:rsid w:val="00C63B21"/>
    <w:rsid w:val="00C63B9F"/>
    <w:rsid w:val="00C63C0A"/>
    <w:rsid w:val="00C63C28"/>
    <w:rsid w:val="00C63C53"/>
    <w:rsid w:val="00C63CBA"/>
    <w:rsid w:val="00C63CD3"/>
    <w:rsid w:val="00C63D87"/>
    <w:rsid w:val="00C63E2D"/>
    <w:rsid w:val="00C63EB7"/>
    <w:rsid w:val="00C63F99"/>
    <w:rsid w:val="00C63FA2"/>
    <w:rsid w:val="00C6400F"/>
    <w:rsid w:val="00C64096"/>
    <w:rsid w:val="00C6426D"/>
    <w:rsid w:val="00C642D5"/>
    <w:rsid w:val="00C642F7"/>
    <w:rsid w:val="00C64326"/>
    <w:rsid w:val="00C64341"/>
    <w:rsid w:val="00C64344"/>
    <w:rsid w:val="00C643DC"/>
    <w:rsid w:val="00C643FD"/>
    <w:rsid w:val="00C6454C"/>
    <w:rsid w:val="00C645A8"/>
    <w:rsid w:val="00C6467E"/>
    <w:rsid w:val="00C64682"/>
    <w:rsid w:val="00C646A2"/>
    <w:rsid w:val="00C646EA"/>
    <w:rsid w:val="00C6484B"/>
    <w:rsid w:val="00C6487D"/>
    <w:rsid w:val="00C6489B"/>
    <w:rsid w:val="00C648F5"/>
    <w:rsid w:val="00C6493D"/>
    <w:rsid w:val="00C649CB"/>
    <w:rsid w:val="00C649CD"/>
    <w:rsid w:val="00C64A24"/>
    <w:rsid w:val="00C64A7D"/>
    <w:rsid w:val="00C64AC6"/>
    <w:rsid w:val="00C64B99"/>
    <w:rsid w:val="00C64BB0"/>
    <w:rsid w:val="00C64BB3"/>
    <w:rsid w:val="00C64BCD"/>
    <w:rsid w:val="00C64C00"/>
    <w:rsid w:val="00C64C35"/>
    <w:rsid w:val="00C64C83"/>
    <w:rsid w:val="00C64C9E"/>
    <w:rsid w:val="00C64CBF"/>
    <w:rsid w:val="00C64CC3"/>
    <w:rsid w:val="00C64E70"/>
    <w:rsid w:val="00C64F15"/>
    <w:rsid w:val="00C6507C"/>
    <w:rsid w:val="00C650AD"/>
    <w:rsid w:val="00C650E6"/>
    <w:rsid w:val="00C65161"/>
    <w:rsid w:val="00C65355"/>
    <w:rsid w:val="00C653D6"/>
    <w:rsid w:val="00C653E9"/>
    <w:rsid w:val="00C65478"/>
    <w:rsid w:val="00C6556C"/>
    <w:rsid w:val="00C655DD"/>
    <w:rsid w:val="00C655ED"/>
    <w:rsid w:val="00C65724"/>
    <w:rsid w:val="00C657A3"/>
    <w:rsid w:val="00C6583E"/>
    <w:rsid w:val="00C658A6"/>
    <w:rsid w:val="00C65931"/>
    <w:rsid w:val="00C6594D"/>
    <w:rsid w:val="00C6598E"/>
    <w:rsid w:val="00C659A2"/>
    <w:rsid w:val="00C65A2D"/>
    <w:rsid w:val="00C65BA2"/>
    <w:rsid w:val="00C65BAE"/>
    <w:rsid w:val="00C65C2D"/>
    <w:rsid w:val="00C65CB2"/>
    <w:rsid w:val="00C65D28"/>
    <w:rsid w:val="00C65E76"/>
    <w:rsid w:val="00C65F73"/>
    <w:rsid w:val="00C65F7B"/>
    <w:rsid w:val="00C66012"/>
    <w:rsid w:val="00C6605A"/>
    <w:rsid w:val="00C66087"/>
    <w:rsid w:val="00C66120"/>
    <w:rsid w:val="00C66384"/>
    <w:rsid w:val="00C6638F"/>
    <w:rsid w:val="00C6640B"/>
    <w:rsid w:val="00C66413"/>
    <w:rsid w:val="00C66495"/>
    <w:rsid w:val="00C664C9"/>
    <w:rsid w:val="00C664F0"/>
    <w:rsid w:val="00C66569"/>
    <w:rsid w:val="00C665C0"/>
    <w:rsid w:val="00C66624"/>
    <w:rsid w:val="00C666A8"/>
    <w:rsid w:val="00C66764"/>
    <w:rsid w:val="00C66765"/>
    <w:rsid w:val="00C66793"/>
    <w:rsid w:val="00C6679B"/>
    <w:rsid w:val="00C667FC"/>
    <w:rsid w:val="00C6680B"/>
    <w:rsid w:val="00C66867"/>
    <w:rsid w:val="00C6686A"/>
    <w:rsid w:val="00C668F4"/>
    <w:rsid w:val="00C66917"/>
    <w:rsid w:val="00C66923"/>
    <w:rsid w:val="00C66937"/>
    <w:rsid w:val="00C669C4"/>
    <w:rsid w:val="00C66CAD"/>
    <w:rsid w:val="00C66CDA"/>
    <w:rsid w:val="00C66D5F"/>
    <w:rsid w:val="00C66D6E"/>
    <w:rsid w:val="00C66DA7"/>
    <w:rsid w:val="00C66DB4"/>
    <w:rsid w:val="00C66DC9"/>
    <w:rsid w:val="00C66EBD"/>
    <w:rsid w:val="00C6701F"/>
    <w:rsid w:val="00C67030"/>
    <w:rsid w:val="00C670E1"/>
    <w:rsid w:val="00C67116"/>
    <w:rsid w:val="00C67173"/>
    <w:rsid w:val="00C6717B"/>
    <w:rsid w:val="00C67234"/>
    <w:rsid w:val="00C6723D"/>
    <w:rsid w:val="00C67286"/>
    <w:rsid w:val="00C672BB"/>
    <w:rsid w:val="00C672C8"/>
    <w:rsid w:val="00C672CA"/>
    <w:rsid w:val="00C672D0"/>
    <w:rsid w:val="00C67384"/>
    <w:rsid w:val="00C6739B"/>
    <w:rsid w:val="00C67400"/>
    <w:rsid w:val="00C6740A"/>
    <w:rsid w:val="00C6743C"/>
    <w:rsid w:val="00C6747F"/>
    <w:rsid w:val="00C6754A"/>
    <w:rsid w:val="00C675C5"/>
    <w:rsid w:val="00C6760F"/>
    <w:rsid w:val="00C67635"/>
    <w:rsid w:val="00C67667"/>
    <w:rsid w:val="00C67669"/>
    <w:rsid w:val="00C6768B"/>
    <w:rsid w:val="00C67702"/>
    <w:rsid w:val="00C67707"/>
    <w:rsid w:val="00C67795"/>
    <w:rsid w:val="00C6781C"/>
    <w:rsid w:val="00C678AA"/>
    <w:rsid w:val="00C678AC"/>
    <w:rsid w:val="00C67934"/>
    <w:rsid w:val="00C67990"/>
    <w:rsid w:val="00C679BA"/>
    <w:rsid w:val="00C67A97"/>
    <w:rsid w:val="00C67B1A"/>
    <w:rsid w:val="00C67BD0"/>
    <w:rsid w:val="00C67BE9"/>
    <w:rsid w:val="00C67C2D"/>
    <w:rsid w:val="00C67CC7"/>
    <w:rsid w:val="00C67DBC"/>
    <w:rsid w:val="00C67E1D"/>
    <w:rsid w:val="00C67EB2"/>
    <w:rsid w:val="00C67EF6"/>
    <w:rsid w:val="00C67F03"/>
    <w:rsid w:val="00C67F63"/>
    <w:rsid w:val="00C67F91"/>
    <w:rsid w:val="00C67FB3"/>
    <w:rsid w:val="00C67FCB"/>
    <w:rsid w:val="00C700B3"/>
    <w:rsid w:val="00C700DB"/>
    <w:rsid w:val="00C70118"/>
    <w:rsid w:val="00C701C7"/>
    <w:rsid w:val="00C701E6"/>
    <w:rsid w:val="00C701EF"/>
    <w:rsid w:val="00C70290"/>
    <w:rsid w:val="00C70293"/>
    <w:rsid w:val="00C702B8"/>
    <w:rsid w:val="00C70301"/>
    <w:rsid w:val="00C70401"/>
    <w:rsid w:val="00C70453"/>
    <w:rsid w:val="00C704AF"/>
    <w:rsid w:val="00C704BF"/>
    <w:rsid w:val="00C70526"/>
    <w:rsid w:val="00C70675"/>
    <w:rsid w:val="00C7069D"/>
    <w:rsid w:val="00C706BA"/>
    <w:rsid w:val="00C706D3"/>
    <w:rsid w:val="00C70714"/>
    <w:rsid w:val="00C70743"/>
    <w:rsid w:val="00C7076E"/>
    <w:rsid w:val="00C707A6"/>
    <w:rsid w:val="00C70803"/>
    <w:rsid w:val="00C7083F"/>
    <w:rsid w:val="00C70870"/>
    <w:rsid w:val="00C7090C"/>
    <w:rsid w:val="00C7095C"/>
    <w:rsid w:val="00C7095D"/>
    <w:rsid w:val="00C709AC"/>
    <w:rsid w:val="00C70A83"/>
    <w:rsid w:val="00C70AC4"/>
    <w:rsid w:val="00C70ADD"/>
    <w:rsid w:val="00C70AFD"/>
    <w:rsid w:val="00C70B20"/>
    <w:rsid w:val="00C70B64"/>
    <w:rsid w:val="00C70B6F"/>
    <w:rsid w:val="00C70B73"/>
    <w:rsid w:val="00C70B7D"/>
    <w:rsid w:val="00C70C1F"/>
    <w:rsid w:val="00C70C6C"/>
    <w:rsid w:val="00C70C79"/>
    <w:rsid w:val="00C70D23"/>
    <w:rsid w:val="00C70DA4"/>
    <w:rsid w:val="00C70DB2"/>
    <w:rsid w:val="00C70DD0"/>
    <w:rsid w:val="00C70E03"/>
    <w:rsid w:val="00C70E60"/>
    <w:rsid w:val="00C70FF6"/>
    <w:rsid w:val="00C71010"/>
    <w:rsid w:val="00C71121"/>
    <w:rsid w:val="00C711B1"/>
    <w:rsid w:val="00C71280"/>
    <w:rsid w:val="00C712DD"/>
    <w:rsid w:val="00C713D3"/>
    <w:rsid w:val="00C713F5"/>
    <w:rsid w:val="00C71437"/>
    <w:rsid w:val="00C7147F"/>
    <w:rsid w:val="00C715C2"/>
    <w:rsid w:val="00C71615"/>
    <w:rsid w:val="00C71780"/>
    <w:rsid w:val="00C71783"/>
    <w:rsid w:val="00C717BB"/>
    <w:rsid w:val="00C717D1"/>
    <w:rsid w:val="00C717E6"/>
    <w:rsid w:val="00C717F4"/>
    <w:rsid w:val="00C718B3"/>
    <w:rsid w:val="00C71954"/>
    <w:rsid w:val="00C71959"/>
    <w:rsid w:val="00C7197D"/>
    <w:rsid w:val="00C7198D"/>
    <w:rsid w:val="00C719FF"/>
    <w:rsid w:val="00C71A0A"/>
    <w:rsid w:val="00C71AAD"/>
    <w:rsid w:val="00C71ACF"/>
    <w:rsid w:val="00C71B47"/>
    <w:rsid w:val="00C71B63"/>
    <w:rsid w:val="00C71BAA"/>
    <w:rsid w:val="00C71D78"/>
    <w:rsid w:val="00C71DA1"/>
    <w:rsid w:val="00C71E8A"/>
    <w:rsid w:val="00C71EB3"/>
    <w:rsid w:val="00C71FC8"/>
    <w:rsid w:val="00C71FF2"/>
    <w:rsid w:val="00C72005"/>
    <w:rsid w:val="00C72058"/>
    <w:rsid w:val="00C7207B"/>
    <w:rsid w:val="00C72104"/>
    <w:rsid w:val="00C72146"/>
    <w:rsid w:val="00C7215A"/>
    <w:rsid w:val="00C721CC"/>
    <w:rsid w:val="00C72251"/>
    <w:rsid w:val="00C722C3"/>
    <w:rsid w:val="00C722CC"/>
    <w:rsid w:val="00C722D6"/>
    <w:rsid w:val="00C722F1"/>
    <w:rsid w:val="00C72321"/>
    <w:rsid w:val="00C72390"/>
    <w:rsid w:val="00C723A0"/>
    <w:rsid w:val="00C7243B"/>
    <w:rsid w:val="00C72461"/>
    <w:rsid w:val="00C72478"/>
    <w:rsid w:val="00C72761"/>
    <w:rsid w:val="00C727E6"/>
    <w:rsid w:val="00C72804"/>
    <w:rsid w:val="00C728B5"/>
    <w:rsid w:val="00C728EC"/>
    <w:rsid w:val="00C72925"/>
    <w:rsid w:val="00C72A09"/>
    <w:rsid w:val="00C72A0E"/>
    <w:rsid w:val="00C72AAC"/>
    <w:rsid w:val="00C72AD4"/>
    <w:rsid w:val="00C72B47"/>
    <w:rsid w:val="00C72B75"/>
    <w:rsid w:val="00C72B95"/>
    <w:rsid w:val="00C72BA1"/>
    <w:rsid w:val="00C72BAE"/>
    <w:rsid w:val="00C72BB9"/>
    <w:rsid w:val="00C72BD8"/>
    <w:rsid w:val="00C72C92"/>
    <w:rsid w:val="00C72CD2"/>
    <w:rsid w:val="00C72D8B"/>
    <w:rsid w:val="00C72D93"/>
    <w:rsid w:val="00C72DE6"/>
    <w:rsid w:val="00C72DF9"/>
    <w:rsid w:val="00C72E0A"/>
    <w:rsid w:val="00C72E15"/>
    <w:rsid w:val="00C72E41"/>
    <w:rsid w:val="00C72EDE"/>
    <w:rsid w:val="00C72EF5"/>
    <w:rsid w:val="00C72F06"/>
    <w:rsid w:val="00C72F21"/>
    <w:rsid w:val="00C72FFA"/>
    <w:rsid w:val="00C73067"/>
    <w:rsid w:val="00C7306D"/>
    <w:rsid w:val="00C7310F"/>
    <w:rsid w:val="00C73123"/>
    <w:rsid w:val="00C73246"/>
    <w:rsid w:val="00C73269"/>
    <w:rsid w:val="00C732AD"/>
    <w:rsid w:val="00C732FE"/>
    <w:rsid w:val="00C73310"/>
    <w:rsid w:val="00C73321"/>
    <w:rsid w:val="00C733C2"/>
    <w:rsid w:val="00C733E0"/>
    <w:rsid w:val="00C7349C"/>
    <w:rsid w:val="00C734F1"/>
    <w:rsid w:val="00C73569"/>
    <w:rsid w:val="00C735C9"/>
    <w:rsid w:val="00C735DC"/>
    <w:rsid w:val="00C73698"/>
    <w:rsid w:val="00C736D9"/>
    <w:rsid w:val="00C736E4"/>
    <w:rsid w:val="00C7371B"/>
    <w:rsid w:val="00C73752"/>
    <w:rsid w:val="00C73811"/>
    <w:rsid w:val="00C73898"/>
    <w:rsid w:val="00C738BE"/>
    <w:rsid w:val="00C738E4"/>
    <w:rsid w:val="00C73974"/>
    <w:rsid w:val="00C739E0"/>
    <w:rsid w:val="00C73A05"/>
    <w:rsid w:val="00C73AA3"/>
    <w:rsid w:val="00C73B5D"/>
    <w:rsid w:val="00C73B61"/>
    <w:rsid w:val="00C73C21"/>
    <w:rsid w:val="00C73C79"/>
    <w:rsid w:val="00C73C93"/>
    <w:rsid w:val="00C73D23"/>
    <w:rsid w:val="00C73D4A"/>
    <w:rsid w:val="00C73DF1"/>
    <w:rsid w:val="00C73E45"/>
    <w:rsid w:val="00C73E60"/>
    <w:rsid w:val="00C73E82"/>
    <w:rsid w:val="00C73E93"/>
    <w:rsid w:val="00C73FC3"/>
    <w:rsid w:val="00C73FD9"/>
    <w:rsid w:val="00C73FDB"/>
    <w:rsid w:val="00C74031"/>
    <w:rsid w:val="00C740F5"/>
    <w:rsid w:val="00C7418A"/>
    <w:rsid w:val="00C741E8"/>
    <w:rsid w:val="00C74366"/>
    <w:rsid w:val="00C7436A"/>
    <w:rsid w:val="00C74396"/>
    <w:rsid w:val="00C743F5"/>
    <w:rsid w:val="00C74447"/>
    <w:rsid w:val="00C744AE"/>
    <w:rsid w:val="00C744C5"/>
    <w:rsid w:val="00C744F6"/>
    <w:rsid w:val="00C74526"/>
    <w:rsid w:val="00C74533"/>
    <w:rsid w:val="00C74561"/>
    <w:rsid w:val="00C74562"/>
    <w:rsid w:val="00C745F1"/>
    <w:rsid w:val="00C746AE"/>
    <w:rsid w:val="00C74723"/>
    <w:rsid w:val="00C747D1"/>
    <w:rsid w:val="00C74816"/>
    <w:rsid w:val="00C74894"/>
    <w:rsid w:val="00C748DF"/>
    <w:rsid w:val="00C749BB"/>
    <w:rsid w:val="00C749BC"/>
    <w:rsid w:val="00C74B09"/>
    <w:rsid w:val="00C74B15"/>
    <w:rsid w:val="00C74B63"/>
    <w:rsid w:val="00C74B6C"/>
    <w:rsid w:val="00C74B8E"/>
    <w:rsid w:val="00C74BA9"/>
    <w:rsid w:val="00C74CD8"/>
    <w:rsid w:val="00C7507E"/>
    <w:rsid w:val="00C750B3"/>
    <w:rsid w:val="00C750BA"/>
    <w:rsid w:val="00C750DC"/>
    <w:rsid w:val="00C751D5"/>
    <w:rsid w:val="00C75254"/>
    <w:rsid w:val="00C75336"/>
    <w:rsid w:val="00C753B8"/>
    <w:rsid w:val="00C75452"/>
    <w:rsid w:val="00C7546A"/>
    <w:rsid w:val="00C754B8"/>
    <w:rsid w:val="00C754E1"/>
    <w:rsid w:val="00C75511"/>
    <w:rsid w:val="00C7552A"/>
    <w:rsid w:val="00C75533"/>
    <w:rsid w:val="00C7553A"/>
    <w:rsid w:val="00C7553F"/>
    <w:rsid w:val="00C75587"/>
    <w:rsid w:val="00C755D6"/>
    <w:rsid w:val="00C75678"/>
    <w:rsid w:val="00C756F2"/>
    <w:rsid w:val="00C75716"/>
    <w:rsid w:val="00C75718"/>
    <w:rsid w:val="00C7572B"/>
    <w:rsid w:val="00C75842"/>
    <w:rsid w:val="00C759AE"/>
    <w:rsid w:val="00C75A8E"/>
    <w:rsid w:val="00C75AAD"/>
    <w:rsid w:val="00C75B75"/>
    <w:rsid w:val="00C75C77"/>
    <w:rsid w:val="00C75CDE"/>
    <w:rsid w:val="00C75CF8"/>
    <w:rsid w:val="00C75D3C"/>
    <w:rsid w:val="00C75DCC"/>
    <w:rsid w:val="00C75E0C"/>
    <w:rsid w:val="00C75E87"/>
    <w:rsid w:val="00C75EF1"/>
    <w:rsid w:val="00C75F18"/>
    <w:rsid w:val="00C75F43"/>
    <w:rsid w:val="00C75FF6"/>
    <w:rsid w:val="00C76036"/>
    <w:rsid w:val="00C760BB"/>
    <w:rsid w:val="00C76105"/>
    <w:rsid w:val="00C7610C"/>
    <w:rsid w:val="00C76128"/>
    <w:rsid w:val="00C76197"/>
    <w:rsid w:val="00C761BD"/>
    <w:rsid w:val="00C76278"/>
    <w:rsid w:val="00C762AA"/>
    <w:rsid w:val="00C762D8"/>
    <w:rsid w:val="00C762E5"/>
    <w:rsid w:val="00C7630D"/>
    <w:rsid w:val="00C763B7"/>
    <w:rsid w:val="00C763D6"/>
    <w:rsid w:val="00C76422"/>
    <w:rsid w:val="00C7643D"/>
    <w:rsid w:val="00C76447"/>
    <w:rsid w:val="00C764C2"/>
    <w:rsid w:val="00C764F6"/>
    <w:rsid w:val="00C76545"/>
    <w:rsid w:val="00C76624"/>
    <w:rsid w:val="00C7668A"/>
    <w:rsid w:val="00C7668E"/>
    <w:rsid w:val="00C7670E"/>
    <w:rsid w:val="00C76777"/>
    <w:rsid w:val="00C767F0"/>
    <w:rsid w:val="00C76866"/>
    <w:rsid w:val="00C7686D"/>
    <w:rsid w:val="00C768B0"/>
    <w:rsid w:val="00C768D0"/>
    <w:rsid w:val="00C76909"/>
    <w:rsid w:val="00C7699C"/>
    <w:rsid w:val="00C76A64"/>
    <w:rsid w:val="00C76B63"/>
    <w:rsid w:val="00C76C05"/>
    <w:rsid w:val="00C76C4C"/>
    <w:rsid w:val="00C76C8A"/>
    <w:rsid w:val="00C76CB0"/>
    <w:rsid w:val="00C76CF7"/>
    <w:rsid w:val="00C76D19"/>
    <w:rsid w:val="00C76DB2"/>
    <w:rsid w:val="00C76DC3"/>
    <w:rsid w:val="00C76DD9"/>
    <w:rsid w:val="00C76DE1"/>
    <w:rsid w:val="00C76EB7"/>
    <w:rsid w:val="00C76F26"/>
    <w:rsid w:val="00C76FFD"/>
    <w:rsid w:val="00C770E8"/>
    <w:rsid w:val="00C77105"/>
    <w:rsid w:val="00C77172"/>
    <w:rsid w:val="00C771C1"/>
    <w:rsid w:val="00C7720E"/>
    <w:rsid w:val="00C7723D"/>
    <w:rsid w:val="00C7724E"/>
    <w:rsid w:val="00C772B3"/>
    <w:rsid w:val="00C7736C"/>
    <w:rsid w:val="00C7739B"/>
    <w:rsid w:val="00C773C1"/>
    <w:rsid w:val="00C7741D"/>
    <w:rsid w:val="00C774FB"/>
    <w:rsid w:val="00C77510"/>
    <w:rsid w:val="00C775D2"/>
    <w:rsid w:val="00C77628"/>
    <w:rsid w:val="00C7763A"/>
    <w:rsid w:val="00C7764D"/>
    <w:rsid w:val="00C776B7"/>
    <w:rsid w:val="00C77726"/>
    <w:rsid w:val="00C77778"/>
    <w:rsid w:val="00C7777F"/>
    <w:rsid w:val="00C777CA"/>
    <w:rsid w:val="00C77820"/>
    <w:rsid w:val="00C7782A"/>
    <w:rsid w:val="00C77867"/>
    <w:rsid w:val="00C7786A"/>
    <w:rsid w:val="00C778D9"/>
    <w:rsid w:val="00C779CD"/>
    <w:rsid w:val="00C77A7A"/>
    <w:rsid w:val="00C77B89"/>
    <w:rsid w:val="00C77B9E"/>
    <w:rsid w:val="00C77BAE"/>
    <w:rsid w:val="00C77C74"/>
    <w:rsid w:val="00C77CA7"/>
    <w:rsid w:val="00C77D17"/>
    <w:rsid w:val="00C77D84"/>
    <w:rsid w:val="00C77DA1"/>
    <w:rsid w:val="00C77DEC"/>
    <w:rsid w:val="00C77E38"/>
    <w:rsid w:val="00C77E96"/>
    <w:rsid w:val="00C77EE7"/>
    <w:rsid w:val="00C77F49"/>
    <w:rsid w:val="00C77F5E"/>
    <w:rsid w:val="00C77F9C"/>
    <w:rsid w:val="00C77FA1"/>
    <w:rsid w:val="00C77FC1"/>
    <w:rsid w:val="00C77FE3"/>
    <w:rsid w:val="00C8004F"/>
    <w:rsid w:val="00C80132"/>
    <w:rsid w:val="00C80148"/>
    <w:rsid w:val="00C80151"/>
    <w:rsid w:val="00C80190"/>
    <w:rsid w:val="00C801F1"/>
    <w:rsid w:val="00C801F7"/>
    <w:rsid w:val="00C80226"/>
    <w:rsid w:val="00C802FD"/>
    <w:rsid w:val="00C8030D"/>
    <w:rsid w:val="00C803ED"/>
    <w:rsid w:val="00C80420"/>
    <w:rsid w:val="00C80428"/>
    <w:rsid w:val="00C80429"/>
    <w:rsid w:val="00C804C5"/>
    <w:rsid w:val="00C80647"/>
    <w:rsid w:val="00C80667"/>
    <w:rsid w:val="00C80691"/>
    <w:rsid w:val="00C807D2"/>
    <w:rsid w:val="00C8082E"/>
    <w:rsid w:val="00C80895"/>
    <w:rsid w:val="00C808D1"/>
    <w:rsid w:val="00C80926"/>
    <w:rsid w:val="00C80A01"/>
    <w:rsid w:val="00C80A1A"/>
    <w:rsid w:val="00C80A2F"/>
    <w:rsid w:val="00C80AB3"/>
    <w:rsid w:val="00C80AFE"/>
    <w:rsid w:val="00C80B36"/>
    <w:rsid w:val="00C80B58"/>
    <w:rsid w:val="00C80B7B"/>
    <w:rsid w:val="00C80BE9"/>
    <w:rsid w:val="00C80BF7"/>
    <w:rsid w:val="00C80C63"/>
    <w:rsid w:val="00C80CD3"/>
    <w:rsid w:val="00C80CDA"/>
    <w:rsid w:val="00C80CE4"/>
    <w:rsid w:val="00C80D1F"/>
    <w:rsid w:val="00C80D2B"/>
    <w:rsid w:val="00C80D69"/>
    <w:rsid w:val="00C80E6F"/>
    <w:rsid w:val="00C80EB5"/>
    <w:rsid w:val="00C80ED1"/>
    <w:rsid w:val="00C80FE3"/>
    <w:rsid w:val="00C81089"/>
    <w:rsid w:val="00C81183"/>
    <w:rsid w:val="00C811DD"/>
    <w:rsid w:val="00C812C7"/>
    <w:rsid w:val="00C81337"/>
    <w:rsid w:val="00C81420"/>
    <w:rsid w:val="00C81499"/>
    <w:rsid w:val="00C814D6"/>
    <w:rsid w:val="00C814F7"/>
    <w:rsid w:val="00C81596"/>
    <w:rsid w:val="00C815B2"/>
    <w:rsid w:val="00C816B6"/>
    <w:rsid w:val="00C8172C"/>
    <w:rsid w:val="00C81777"/>
    <w:rsid w:val="00C81822"/>
    <w:rsid w:val="00C818CA"/>
    <w:rsid w:val="00C81914"/>
    <w:rsid w:val="00C81928"/>
    <w:rsid w:val="00C81983"/>
    <w:rsid w:val="00C819B3"/>
    <w:rsid w:val="00C81A24"/>
    <w:rsid w:val="00C81A66"/>
    <w:rsid w:val="00C81A71"/>
    <w:rsid w:val="00C81B27"/>
    <w:rsid w:val="00C81B74"/>
    <w:rsid w:val="00C81B84"/>
    <w:rsid w:val="00C81C0B"/>
    <w:rsid w:val="00C81C18"/>
    <w:rsid w:val="00C81C97"/>
    <w:rsid w:val="00C81C9C"/>
    <w:rsid w:val="00C81D84"/>
    <w:rsid w:val="00C81E03"/>
    <w:rsid w:val="00C81E0D"/>
    <w:rsid w:val="00C81E61"/>
    <w:rsid w:val="00C81ECE"/>
    <w:rsid w:val="00C81FAC"/>
    <w:rsid w:val="00C81FF4"/>
    <w:rsid w:val="00C8202D"/>
    <w:rsid w:val="00C82046"/>
    <w:rsid w:val="00C82119"/>
    <w:rsid w:val="00C821DF"/>
    <w:rsid w:val="00C82204"/>
    <w:rsid w:val="00C8220D"/>
    <w:rsid w:val="00C82220"/>
    <w:rsid w:val="00C82271"/>
    <w:rsid w:val="00C822AE"/>
    <w:rsid w:val="00C822B4"/>
    <w:rsid w:val="00C823A5"/>
    <w:rsid w:val="00C823B4"/>
    <w:rsid w:val="00C823E0"/>
    <w:rsid w:val="00C82486"/>
    <w:rsid w:val="00C82498"/>
    <w:rsid w:val="00C82616"/>
    <w:rsid w:val="00C826FD"/>
    <w:rsid w:val="00C8272F"/>
    <w:rsid w:val="00C8276F"/>
    <w:rsid w:val="00C82776"/>
    <w:rsid w:val="00C827E1"/>
    <w:rsid w:val="00C8286A"/>
    <w:rsid w:val="00C828A2"/>
    <w:rsid w:val="00C8292D"/>
    <w:rsid w:val="00C8297A"/>
    <w:rsid w:val="00C82A2E"/>
    <w:rsid w:val="00C82A37"/>
    <w:rsid w:val="00C82AAD"/>
    <w:rsid w:val="00C82AB3"/>
    <w:rsid w:val="00C82AE4"/>
    <w:rsid w:val="00C82AFD"/>
    <w:rsid w:val="00C82C5D"/>
    <w:rsid w:val="00C82C60"/>
    <w:rsid w:val="00C82C6A"/>
    <w:rsid w:val="00C82C71"/>
    <w:rsid w:val="00C82C91"/>
    <w:rsid w:val="00C82CB9"/>
    <w:rsid w:val="00C82D1C"/>
    <w:rsid w:val="00C82D72"/>
    <w:rsid w:val="00C82D7C"/>
    <w:rsid w:val="00C82DA5"/>
    <w:rsid w:val="00C82DE7"/>
    <w:rsid w:val="00C82EE0"/>
    <w:rsid w:val="00C83031"/>
    <w:rsid w:val="00C83038"/>
    <w:rsid w:val="00C8303B"/>
    <w:rsid w:val="00C830A6"/>
    <w:rsid w:val="00C83182"/>
    <w:rsid w:val="00C832FC"/>
    <w:rsid w:val="00C8330F"/>
    <w:rsid w:val="00C83367"/>
    <w:rsid w:val="00C8337E"/>
    <w:rsid w:val="00C83387"/>
    <w:rsid w:val="00C833BD"/>
    <w:rsid w:val="00C83479"/>
    <w:rsid w:val="00C83510"/>
    <w:rsid w:val="00C83658"/>
    <w:rsid w:val="00C836FF"/>
    <w:rsid w:val="00C83763"/>
    <w:rsid w:val="00C837DC"/>
    <w:rsid w:val="00C839F9"/>
    <w:rsid w:val="00C83A1A"/>
    <w:rsid w:val="00C83A2A"/>
    <w:rsid w:val="00C83B5D"/>
    <w:rsid w:val="00C83B81"/>
    <w:rsid w:val="00C83BAC"/>
    <w:rsid w:val="00C83C4D"/>
    <w:rsid w:val="00C83C90"/>
    <w:rsid w:val="00C83CA0"/>
    <w:rsid w:val="00C83D26"/>
    <w:rsid w:val="00C83D49"/>
    <w:rsid w:val="00C83D58"/>
    <w:rsid w:val="00C83E58"/>
    <w:rsid w:val="00C83E92"/>
    <w:rsid w:val="00C83ECD"/>
    <w:rsid w:val="00C83F99"/>
    <w:rsid w:val="00C83FD3"/>
    <w:rsid w:val="00C84158"/>
    <w:rsid w:val="00C8415F"/>
    <w:rsid w:val="00C841D7"/>
    <w:rsid w:val="00C8421B"/>
    <w:rsid w:val="00C8421F"/>
    <w:rsid w:val="00C8426A"/>
    <w:rsid w:val="00C84271"/>
    <w:rsid w:val="00C84295"/>
    <w:rsid w:val="00C842A3"/>
    <w:rsid w:val="00C842AE"/>
    <w:rsid w:val="00C842B4"/>
    <w:rsid w:val="00C8434E"/>
    <w:rsid w:val="00C84370"/>
    <w:rsid w:val="00C843A6"/>
    <w:rsid w:val="00C84411"/>
    <w:rsid w:val="00C84421"/>
    <w:rsid w:val="00C84491"/>
    <w:rsid w:val="00C844A4"/>
    <w:rsid w:val="00C844AE"/>
    <w:rsid w:val="00C844BE"/>
    <w:rsid w:val="00C84528"/>
    <w:rsid w:val="00C84556"/>
    <w:rsid w:val="00C84558"/>
    <w:rsid w:val="00C8459F"/>
    <w:rsid w:val="00C845E7"/>
    <w:rsid w:val="00C845F2"/>
    <w:rsid w:val="00C845F5"/>
    <w:rsid w:val="00C8465A"/>
    <w:rsid w:val="00C846F9"/>
    <w:rsid w:val="00C84705"/>
    <w:rsid w:val="00C84732"/>
    <w:rsid w:val="00C84778"/>
    <w:rsid w:val="00C84812"/>
    <w:rsid w:val="00C848F1"/>
    <w:rsid w:val="00C84900"/>
    <w:rsid w:val="00C849AB"/>
    <w:rsid w:val="00C84ADC"/>
    <w:rsid w:val="00C84B92"/>
    <w:rsid w:val="00C84BF2"/>
    <w:rsid w:val="00C84C26"/>
    <w:rsid w:val="00C84C40"/>
    <w:rsid w:val="00C84C4C"/>
    <w:rsid w:val="00C84DED"/>
    <w:rsid w:val="00C84E03"/>
    <w:rsid w:val="00C84E72"/>
    <w:rsid w:val="00C84E78"/>
    <w:rsid w:val="00C84E7C"/>
    <w:rsid w:val="00C84E7F"/>
    <w:rsid w:val="00C84E84"/>
    <w:rsid w:val="00C84EA5"/>
    <w:rsid w:val="00C84F8C"/>
    <w:rsid w:val="00C84FB2"/>
    <w:rsid w:val="00C85016"/>
    <w:rsid w:val="00C85039"/>
    <w:rsid w:val="00C85046"/>
    <w:rsid w:val="00C8506E"/>
    <w:rsid w:val="00C850BC"/>
    <w:rsid w:val="00C850FB"/>
    <w:rsid w:val="00C8511A"/>
    <w:rsid w:val="00C851BE"/>
    <w:rsid w:val="00C85267"/>
    <w:rsid w:val="00C852D4"/>
    <w:rsid w:val="00C85301"/>
    <w:rsid w:val="00C85380"/>
    <w:rsid w:val="00C853E7"/>
    <w:rsid w:val="00C85443"/>
    <w:rsid w:val="00C854C9"/>
    <w:rsid w:val="00C854D2"/>
    <w:rsid w:val="00C855FB"/>
    <w:rsid w:val="00C85631"/>
    <w:rsid w:val="00C856CC"/>
    <w:rsid w:val="00C85716"/>
    <w:rsid w:val="00C857CF"/>
    <w:rsid w:val="00C8583B"/>
    <w:rsid w:val="00C85854"/>
    <w:rsid w:val="00C85866"/>
    <w:rsid w:val="00C858A3"/>
    <w:rsid w:val="00C858C1"/>
    <w:rsid w:val="00C8594C"/>
    <w:rsid w:val="00C85A3A"/>
    <w:rsid w:val="00C85A8D"/>
    <w:rsid w:val="00C85AED"/>
    <w:rsid w:val="00C85B5D"/>
    <w:rsid w:val="00C85B95"/>
    <w:rsid w:val="00C85BF7"/>
    <w:rsid w:val="00C85CB1"/>
    <w:rsid w:val="00C85DB0"/>
    <w:rsid w:val="00C85DFC"/>
    <w:rsid w:val="00C85E32"/>
    <w:rsid w:val="00C85E62"/>
    <w:rsid w:val="00C85E69"/>
    <w:rsid w:val="00C85EDE"/>
    <w:rsid w:val="00C85EE9"/>
    <w:rsid w:val="00C85F6E"/>
    <w:rsid w:val="00C85F88"/>
    <w:rsid w:val="00C86027"/>
    <w:rsid w:val="00C86134"/>
    <w:rsid w:val="00C8616F"/>
    <w:rsid w:val="00C861C8"/>
    <w:rsid w:val="00C861F0"/>
    <w:rsid w:val="00C8626D"/>
    <w:rsid w:val="00C86299"/>
    <w:rsid w:val="00C862C2"/>
    <w:rsid w:val="00C863B1"/>
    <w:rsid w:val="00C86423"/>
    <w:rsid w:val="00C86461"/>
    <w:rsid w:val="00C864F5"/>
    <w:rsid w:val="00C86525"/>
    <w:rsid w:val="00C865B5"/>
    <w:rsid w:val="00C865E7"/>
    <w:rsid w:val="00C866B2"/>
    <w:rsid w:val="00C8672E"/>
    <w:rsid w:val="00C867A3"/>
    <w:rsid w:val="00C867FC"/>
    <w:rsid w:val="00C86858"/>
    <w:rsid w:val="00C8685B"/>
    <w:rsid w:val="00C8686F"/>
    <w:rsid w:val="00C8687C"/>
    <w:rsid w:val="00C86909"/>
    <w:rsid w:val="00C86975"/>
    <w:rsid w:val="00C869C3"/>
    <w:rsid w:val="00C869E9"/>
    <w:rsid w:val="00C86A80"/>
    <w:rsid w:val="00C86B3C"/>
    <w:rsid w:val="00C86BA3"/>
    <w:rsid w:val="00C86BE7"/>
    <w:rsid w:val="00C86DCA"/>
    <w:rsid w:val="00C86DEF"/>
    <w:rsid w:val="00C86E21"/>
    <w:rsid w:val="00C86E31"/>
    <w:rsid w:val="00C86F31"/>
    <w:rsid w:val="00C86F8F"/>
    <w:rsid w:val="00C86FB6"/>
    <w:rsid w:val="00C86FB8"/>
    <w:rsid w:val="00C87014"/>
    <w:rsid w:val="00C870C8"/>
    <w:rsid w:val="00C870E9"/>
    <w:rsid w:val="00C871BF"/>
    <w:rsid w:val="00C87381"/>
    <w:rsid w:val="00C8739E"/>
    <w:rsid w:val="00C87401"/>
    <w:rsid w:val="00C8744C"/>
    <w:rsid w:val="00C87474"/>
    <w:rsid w:val="00C87479"/>
    <w:rsid w:val="00C8747C"/>
    <w:rsid w:val="00C874DA"/>
    <w:rsid w:val="00C87525"/>
    <w:rsid w:val="00C8756C"/>
    <w:rsid w:val="00C877B4"/>
    <w:rsid w:val="00C87919"/>
    <w:rsid w:val="00C87935"/>
    <w:rsid w:val="00C87968"/>
    <w:rsid w:val="00C879B3"/>
    <w:rsid w:val="00C879EB"/>
    <w:rsid w:val="00C87AF1"/>
    <w:rsid w:val="00C87B2A"/>
    <w:rsid w:val="00C87BE6"/>
    <w:rsid w:val="00C87C16"/>
    <w:rsid w:val="00C87D4D"/>
    <w:rsid w:val="00C87DDF"/>
    <w:rsid w:val="00C87EF2"/>
    <w:rsid w:val="00C87EFC"/>
    <w:rsid w:val="00C87F39"/>
    <w:rsid w:val="00C9009D"/>
    <w:rsid w:val="00C900AC"/>
    <w:rsid w:val="00C901ED"/>
    <w:rsid w:val="00C90240"/>
    <w:rsid w:val="00C90273"/>
    <w:rsid w:val="00C90318"/>
    <w:rsid w:val="00C903DC"/>
    <w:rsid w:val="00C90461"/>
    <w:rsid w:val="00C9047A"/>
    <w:rsid w:val="00C904FA"/>
    <w:rsid w:val="00C90548"/>
    <w:rsid w:val="00C905D4"/>
    <w:rsid w:val="00C90646"/>
    <w:rsid w:val="00C906BB"/>
    <w:rsid w:val="00C906CF"/>
    <w:rsid w:val="00C906E6"/>
    <w:rsid w:val="00C906EA"/>
    <w:rsid w:val="00C90775"/>
    <w:rsid w:val="00C907A8"/>
    <w:rsid w:val="00C907E3"/>
    <w:rsid w:val="00C90A00"/>
    <w:rsid w:val="00C90AA3"/>
    <w:rsid w:val="00C90ACC"/>
    <w:rsid w:val="00C90AF5"/>
    <w:rsid w:val="00C90B70"/>
    <w:rsid w:val="00C90B84"/>
    <w:rsid w:val="00C90B8E"/>
    <w:rsid w:val="00C90C67"/>
    <w:rsid w:val="00C90E24"/>
    <w:rsid w:val="00C90E34"/>
    <w:rsid w:val="00C90E90"/>
    <w:rsid w:val="00C90EB7"/>
    <w:rsid w:val="00C90EE4"/>
    <w:rsid w:val="00C90F47"/>
    <w:rsid w:val="00C90F8C"/>
    <w:rsid w:val="00C91012"/>
    <w:rsid w:val="00C91095"/>
    <w:rsid w:val="00C91113"/>
    <w:rsid w:val="00C9118E"/>
    <w:rsid w:val="00C911B7"/>
    <w:rsid w:val="00C911E0"/>
    <w:rsid w:val="00C911E9"/>
    <w:rsid w:val="00C91289"/>
    <w:rsid w:val="00C912D1"/>
    <w:rsid w:val="00C913A4"/>
    <w:rsid w:val="00C913C5"/>
    <w:rsid w:val="00C913CF"/>
    <w:rsid w:val="00C913F2"/>
    <w:rsid w:val="00C91456"/>
    <w:rsid w:val="00C914B9"/>
    <w:rsid w:val="00C914DE"/>
    <w:rsid w:val="00C914E3"/>
    <w:rsid w:val="00C91559"/>
    <w:rsid w:val="00C91570"/>
    <w:rsid w:val="00C91622"/>
    <w:rsid w:val="00C916C1"/>
    <w:rsid w:val="00C916FF"/>
    <w:rsid w:val="00C9174A"/>
    <w:rsid w:val="00C91769"/>
    <w:rsid w:val="00C9178D"/>
    <w:rsid w:val="00C917DF"/>
    <w:rsid w:val="00C917F8"/>
    <w:rsid w:val="00C9183A"/>
    <w:rsid w:val="00C918A0"/>
    <w:rsid w:val="00C918CD"/>
    <w:rsid w:val="00C9194E"/>
    <w:rsid w:val="00C9195A"/>
    <w:rsid w:val="00C91973"/>
    <w:rsid w:val="00C919BC"/>
    <w:rsid w:val="00C919D7"/>
    <w:rsid w:val="00C91AF5"/>
    <w:rsid w:val="00C91B12"/>
    <w:rsid w:val="00C91B69"/>
    <w:rsid w:val="00C91B72"/>
    <w:rsid w:val="00C91B98"/>
    <w:rsid w:val="00C91CAB"/>
    <w:rsid w:val="00C91CCF"/>
    <w:rsid w:val="00C91D35"/>
    <w:rsid w:val="00C91D45"/>
    <w:rsid w:val="00C91D93"/>
    <w:rsid w:val="00C91DA6"/>
    <w:rsid w:val="00C91DEA"/>
    <w:rsid w:val="00C91E7F"/>
    <w:rsid w:val="00C91F6C"/>
    <w:rsid w:val="00C91F90"/>
    <w:rsid w:val="00C920A5"/>
    <w:rsid w:val="00C920FC"/>
    <w:rsid w:val="00C92187"/>
    <w:rsid w:val="00C921EF"/>
    <w:rsid w:val="00C9226E"/>
    <w:rsid w:val="00C9235F"/>
    <w:rsid w:val="00C92390"/>
    <w:rsid w:val="00C923D3"/>
    <w:rsid w:val="00C924C5"/>
    <w:rsid w:val="00C9251A"/>
    <w:rsid w:val="00C92549"/>
    <w:rsid w:val="00C925D7"/>
    <w:rsid w:val="00C92616"/>
    <w:rsid w:val="00C9271C"/>
    <w:rsid w:val="00C92834"/>
    <w:rsid w:val="00C92873"/>
    <w:rsid w:val="00C9291E"/>
    <w:rsid w:val="00C92960"/>
    <w:rsid w:val="00C92963"/>
    <w:rsid w:val="00C92971"/>
    <w:rsid w:val="00C929BF"/>
    <w:rsid w:val="00C929D3"/>
    <w:rsid w:val="00C92A39"/>
    <w:rsid w:val="00C92A7A"/>
    <w:rsid w:val="00C92ACA"/>
    <w:rsid w:val="00C92ACF"/>
    <w:rsid w:val="00C92BB2"/>
    <w:rsid w:val="00C92BC7"/>
    <w:rsid w:val="00C92BE5"/>
    <w:rsid w:val="00C92CFF"/>
    <w:rsid w:val="00C92D03"/>
    <w:rsid w:val="00C92D7C"/>
    <w:rsid w:val="00C92E61"/>
    <w:rsid w:val="00C92EA6"/>
    <w:rsid w:val="00C92EDF"/>
    <w:rsid w:val="00C92EE9"/>
    <w:rsid w:val="00C92F09"/>
    <w:rsid w:val="00C92FA7"/>
    <w:rsid w:val="00C92FC8"/>
    <w:rsid w:val="00C92FD1"/>
    <w:rsid w:val="00C92FE7"/>
    <w:rsid w:val="00C92FF0"/>
    <w:rsid w:val="00C93004"/>
    <w:rsid w:val="00C930C5"/>
    <w:rsid w:val="00C930C8"/>
    <w:rsid w:val="00C9316E"/>
    <w:rsid w:val="00C931D4"/>
    <w:rsid w:val="00C931E2"/>
    <w:rsid w:val="00C9321F"/>
    <w:rsid w:val="00C9325E"/>
    <w:rsid w:val="00C932F2"/>
    <w:rsid w:val="00C9335D"/>
    <w:rsid w:val="00C93367"/>
    <w:rsid w:val="00C9339B"/>
    <w:rsid w:val="00C933C7"/>
    <w:rsid w:val="00C933CE"/>
    <w:rsid w:val="00C933D4"/>
    <w:rsid w:val="00C93470"/>
    <w:rsid w:val="00C93533"/>
    <w:rsid w:val="00C93549"/>
    <w:rsid w:val="00C93598"/>
    <w:rsid w:val="00C935FA"/>
    <w:rsid w:val="00C9378A"/>
    <w:rsid w:val="00C93816"/>
    <w:rsid w:val="00C9386A"/>
    <w:rsid w:val="00C9387A"/>
    <w:rsid w:val="00C93997"/>
    <w:rsid w:val="00C93A1A"/>
    <w:rsid w:val="00C93A73"/>
    <w:rsid w:val="00C93B3B"/>
    <w:rsid w:val="00C93BE4"/>
    <w:rsid w:val="00C93C2A"/>
    <w:rsid w:val="00C93C54"/>
    <w:rsid w:val="00C93CF5"/>
    <w:rsid w:val="00C93D25"/>
    <w:rsid w:val="00C93DCA"/>
    <w:rsid w:val="00C93DF6"/>
    <w:rsid w:val="00C93E4C"/>
    <w:rsid w:val="00C93E83"/>
    <w:rsid w:val="00C93FFF"/>
    <w:rsid w:val="00C940C7"/>
    <w:rsid w:val="00C9415C"/>
    <w:rsid w:val="00C94293"/>
    <w:rsid w:val="00C942D6"/>
    <w:rsid w:val="00C942F5"/>
    <w:rsid w:val="00C943A3"/>
    <w:rsid w:val="00C943C0"/>
    <w:rsid w:val="00C9441D"/>
    <w:rsid w:val="00C9443B"/>
    <w:rsid w:val="00C944BF"/>
    <w:rsid w:val="00C94521"/>
    <w:rsid w:val="00C945D8"/>
    <w:rsid w:val="00C9479A"/>
    <w:rsid w:val="00C947A3"/>
    <w:rsid w:val="00C947B8"/>
    <w:rsid w:val="00C94806"/>
    <w:rsid w:val="00C948C0"/>
    <w:rsid w:val="00C948C7"/>
    <w:rsid w:val="00C948DD"/>
    <w:rsid w:val="00C94947"/>
    <w:rsid w:val="00C9496D"/>
    <w:rsid w:val="00C949C4"/>
    <w:rsid w:val="00C949ED"/>
    <w:rsid w:val="00C949F6"/>
    <w:rsid w:val="00C94A5D"/>
    <w:rsid w:val="00C94A67"/>
    <w:rsid w:val="00C94A93"/>
    <w:rsid w:val="00C94AE3"/>
    <w:rsid w:val="00C94AFB"/>
    <w:rsid w:val="00C94C48"/>
    <w:rsid w:val="00C94C9A"/>
    <w:rsid w:val="00C94CC7"/>
    <w:rsid w:val="00C94CF3"/>
    <w:rsid w:val="00C94D75"/>
    <w:rsid w:val="00C94D91"/>
    <w:rsid w:val="00C94DA3"/>
    <w:rsid w:val="00C94DAE"/>
    <w:rsid w:val="00C94DB7"/>
    <w:rsid w:val="00C9511F"/>
    <w:rsid w:val="00C9519E"/>
    <w:rsid w:val="00C951AA"/>
    <w:rsid w:val="00C951DA"/>
    <w:rsid w:val="00C95251"/>
    <w:rsid w:val="00C9526A"/>
    <w:rsid w:val="00C9529C"/>
    <w:rsid w:val="00C95301"/>
    <w:rsid w:val="00C95359"/>
    <w:rsid w:val="00C95361"/>
    <w:rsid w:val="00C9536D"/>
    <w:rsid w:val="00C953E1"/>
    <w:rsid w:val="00C95425"/>
    <w:rsid w:val="00C9545F"/>
    <w:rsid w:val="00C95486"/>
    <w:rsid w:val="00C954B7"/>
    <w:rsid w:val="00C95527"/>
    <w:rsid w:val="00C95537"/>
    <w:rsid w:val="00C95552"/>
    <w:rsid w:val="00C95676"/>
    <w:rsid w:val="00C95690"/>
    <w:rsid w:val="00C95699"/>
    <w:rsid w:val="00C956BF"/>
    <w:rsid w:val="00C957C5"/>
    <w:rsid w:val="00C95874"/>
    <w:rsid w:val="00C95888"/>
    <w:rsid w:val="00C958AA"/>
    <w:rsid w:val="00C958B4"/>
    <w:rsid w:val="00C95938"/>
    <w:rsid w:val="00C959AE"/>
    <w:rsid w:val="00C959E8"/>
    <w:rsid w:val="00C95A08"/>
    <w:rsid w:val="00C95A14"/>
    <w:rsid w:val="00C95A28"/>
    <w:rsid w:val="00C95A80"/>
    <w:rsid w:val="00C95A93"/>
    <w:rsid w:val="00C95B06"/>
    <w:rsid w:val="00C95B3C"/>
    <w:rsid w:val="00C95C07"/>
    <w:rsid w:val="00C95D3C"/>
    <w:rsid w:val="00C95DB9"/>
    <w:rsid w:val="00C95DCF"/>
    <w:rsid w:val="00C95E2C"/>
    <w:rsid w:val="00C95E58"/>
    <w:rsid w:val="00C95EAA"/>
    <w:rsid w:val="00C95F92"/>
    <w:rsid w:val="00C95FA4"/>
    <w:rsid w:val="00C9606E"/>
    <w:rsid w:val="00C96084"/>
    <w:rsid w:val="00C96118"/>
    <w:rsid w:val="00C96120"/>
    <w:rsid w:val="00C96185"/>
    <w:rsid w:val="00C961B8"/>
    <w:rsid w:val="00C96250"/>
    <w:rsid w:val="00C962BF"/>
    <w:rsid w:val="00C96308"/>
    <w:rsid w:val="00C96339"/>
    <w:rsid w:val="00C9634B"/>
    <w:rsid w:val="00C963FC"/>
    <w:rsid w:val="00C96449"/>
    <w:rsid w:val="00C964BC"/>
    <w:rsid w:val="00C96528"/>
    <w:rsid w:val="00C96540"/>
    <w:rsid w:val="00C96543"/>
    <w:rsid w:val="00C9672E"/>
    <w:rsid w:val="00C9679D"/>
    <w:rsid w:val="00C967FE"/>
    <w:rsid w:val="00C96812"/>
    <w:rsid w:val="00C968A6"/>
    <w:rsid w:val="00C968DC"/>
    <w:rsid w:val="00C96920"/>
    <w:rsid w:val="00C96940"/>
    <w:rsid w:val="00C969E3"/>
    <w:rsid w:val="00C969E5"/>
    <w:rsid w:val="00C96AC3"/>
    <w:rsid w:val="00C96ACC"/>
    <w:rsid w:val="00C96B49"/>
    <w:rsid w:val="00C96B9E"/>
    <w:rsid w:val="00C96C2A"/>
    <w:rsid w:val="00C96C2C"/>
    <w:rsid w:val="00C96CE8"/>
    <w:rsid w:val="00C96D3A"/>
    <w:rsid w:val="00C96DAA"/>
    <w:rsid w:val="00C96E91"/>
    <w:rsid w:val="00C96EDA"/>
    <w:rsid w:val="00C96F11"/>
    <w:rsid w:val="00C97032"/>
    <w:rsid w:val="00C9706C"/>
    <w:rsid w:val="00C97089"/>
    <w:rsid w:val="00C9708B"/>
    <w:rsid w:val="00C9709F"/>
    <w:rsid w:val="00C97121"/>
    <w:rsid w:val="00C9714F"/>
    <w:rsid w:val="00C97197"/>
    <w:rsid w:val="00C97255"/>
    <w:rsid w:val="00C97302"/>
    <w:rsid w:val="00C97310"/>
    <w:rsid w:val="00C973BC"/>
    <w:rsid w:val="00C9741A"/>
    <w:rsid w:val="00C97434"/>
    <w:rsid w:val="00C974B9"/>
    <w:rsid w:val="00C974D8"/>
    <w:rsid w:val="00C97546"/>
    <w:rsid w:val="00C97591"/>
    <w:rsid w:val="00C975AE"/>
    <w:rsid w:val="00C97643"/>
    <w:rsid w:val="00C97759"/>
    <w:rsid w:val="00C97792"/>
    <w:rsid w:val="00C977F2"/>
    <w:rsid w:val="00C9780A"/>
    <w:rsid w:val="00C97875"/>
    <w:rsid w:val="00C978F5"/>
    <w:rsid w:val="00C97A9A"/>
    <w:rsid w:val="00C97AAF"/>
    <w:rsid w:val="00C97AF1"/>
    <w:rsid w:val="00C97AF7"/>
    <w:rsid w:val="00C97BA2"/>
    <w:rsid w:val="00C97BB3"/>
    <w:rsid w:val="00C97C8A"/>
    <w:rsid w:val="00C97D0F"/>
    <w:rsid w:val="00C97DDA"/>
    <w:rsid w:val="00C97E54"/>
    <w:rsid w:val="00C97F16"/>
    <w:rsid w:val="00C97F7C"/>
    <w:rsid w:val="00C97FD0"/>
    <w:rsid w:val="00CA0006"/>
    <w:rsid w:val="00CA003A"/>
    <w:rsid w:val="00CA00EB"/>
    <w:rsid w:val="00CA0150"/>
    <w:rsid w:val="00CA01B5"/>
    <w:rsid w:val="00CA01D6"/>
    <w:rsid w:val="00CA01E6"/>
    <w:rsid w:val="00CA0244"/>
    <w:rsid w:val="00CA02D7"/>
    <w:rsid w:val="00CA02E4"/>
    <w:rsid w:val="00CA0327"/>
    <w:rsid w:val="00CA03E5"/>
    <w:rsid w:val="00CA0455"/>
    <w:rsid w:val="00CA04F8"/>
    <w:rsid w:val="00CA0580"/>
    <w:rsid w:val="00CA05FF"/>
    <w:rsid w:val="00CA0633"/>
    <w:rsid w:val="00CA0769"/>
    <w:rsid w:val="00CA076A"/>
    <w:rsid w:val="00CA0772"/>
    <w:rsid w:val="00CA07EE"/>
    <w:rsid w:val="00CA0834"/>
    <w:rsid w:val="00CA083A"/>
    <w:rsid w:val="00CA08A4"/>
    <w:rsid w:val="00CA08CB"/>
    <w:rsid w:val="00CA08D3"/>
    <w:rsid w:val="00CA09CC"/>
    <w:rsid w:val="00CA0AB8"/>
    <w:rsid w:val="00CA0B30"/>
    <w:rsid w:val="00CA0BF8"/>
    <w:rsid w:val="00CA0C0F"/>
    <w:rsid w:val="00CA0C37"/>
    <w:rsid w:val="00CA0DD5"/>
    <w:rsid w:val="00CA0F5A"/>
    <w:rsid w:val="00CA10BB"/>
    <w:rsid w:val="00CA10E6"/>
    <w:rsid w:val="00CA1119"/>
    <w:rsid w:val="00CA1153"/>
    <w:rsid w:val="00CA1165"/>
    <w:rsid w:val="00CA1174"/>
    <w:rsid w:val="00CA1199"/>
    <w:rsid w:val="00CA12C8"/>
    <w:rsid w:val="00CA12E2"/>
    <w:rsid w:val="00CA1308"/>
    <w:rsid w:val="00CA1356"/>
    <w:rsid w:val="00CA1388"/>
    <w:rsid w:val="00CA143C"/>
    <w:rsid w:val="00CA148D"/>
    <w:rsid w:val="00CA1497"/>
    <w:rsid w:val="00CA14DA"/>
    <w:rsid w:val="00CA152A"/>
    <w:rsid w:val="00CA1548"/>
    <w:rsid w:val="00CA15E1"/>
    <w:rsid w:val="00CA16AF"/>
    <w:rsid w:val="00CA1719"/>
    <w:rsid w:val="00CA17AD"/>
    <w:rsid w:val="00CA17BC"/>
    <w:rsid w:val="00CA182F"/>
    <w:rsid w:val="00CA1843"/>
    <w:rsid w:val="00CA18CC"/>
    <w:rsid w:val="00CA18FB"/>
    <w:rsid w:val="00CA1929"/>
    <w:rsid w:val="00CA1968"/>
    <w:rsid w:val="00CA19E3"/>
    <w:rsid w:val="00CA1A80"/>
    <w:rsid w:val="00CA1A82"/>
    <w:rsid w:val="00CA1B9B"/>
    <w:rsid w:val="00CA1BB3"/>
    <w:rsid w:val="00CA1BFB"/>
    <w:rsid w:val="00CA1C60"/>
    <w:rsid w:val="00CA1D70"/>
    <w:rsid w:val="00CA1DE6"/>
    <w:rsid w:val="00CA1EB6"/>
    <w:rsid w:val="00CA1F4F"/>
    <w:rsid w:val="00CA1F56"/>
    <w:rsid w:val="00CA1FC5"/>
    <w:rsid w:val="00CA2003"/>
    <w:rsid w:val="00CA204E"/>
    <w:rsid w:val="00CA2068"/>
    <w:rsid w:val="00CA2071"/>
    <w:rsid w:val="00CA2092"/>
    <w:rsid w:val="00CA20A7"/>
    <w:rsid w:val="00CA20DB"/>
    <w:rsid w:val="00CA2113"/>
    <w:rsid w:val="00CA2205"/>
    <w:rsid w:val="00CA220A"/>
    <w:rsid w:val="00CA2334"/>
    <w:rsid w:val="00CA23B5"/>
    <w:rsid w:val="00CA23BF"/>
    <w:rsid w:val="00CA23E3"/>
    <w:rsid w:val="00CA258A"/>
    <w:rsid w:val="00CA2595"/>
    <w:rsid w:val="00CA25B0"/>
    <w:rsid w:val="00CA25D8"/>
    <w:rsid w:val="00CA261A"/>
    <w:rsid w:val="00CA265E"/>
    <w:rsid w:val="00CA2669"/>
    <w:rsid w:val="00CA266B"/>
    <w:rsid w:val="00CA268E"/>
    <w:rsid w:val="00CA275A"/>
    <w:rsid w:val="00CA2835"/>
    <w:rsid w:val="00CA2914"/>
    <w:rsid w:val="00CA2960"/>
    <w:rsid w:val="00CA2982"/>
    <w:rsid w:val="00CA29B2"/>
    <w:rsid w:val="00CA29D2"/>
    <w:rsid w:val="00CA2A8A"/>
    <w:rsid w:val="00CA2B7A"/>
    <w:rsid w:val="00CA2BB3"/>
    <w:rsid w:val="00CA2C7A"/>
    <w:rsid w:val="00CA2C86"/>
    <w:rsid w:val="00CA2D84"/>
    <w:rsid w:val="00CA2EFC"/>
    <w:rsid w:val="00CA2F01"/>
    <w:rsid w:val="00CA2F3C"/>
    <w:rsid w:val="00CA2F82"/>
    <w:rsid w:val="00CA313A"/>
    <w:rsid w:val="00CA315D"/>
    <w:rsid w:val="00CA3182"/>
    <w:rsid w:val="00CA31D5"/>
    <w:rsid w:val="00CA3260"/>
    <w:rsid w:val="00CA3289"/>
    <w:rsid w:val="00CA32F2"/>
    <w:rsid w:val="00CA3339"/>
    <w:rsid w:val="00CA337C"/>
    <w:rsid w:val="00CA33A2"/>
    <w:rsid w:val="00CA33A8"/>
    <w:rsid w:val="00CA3486"/>
    <w:rsid w:val="00CA34D8"/>
    <w:rsid w:val="00CA34F3"/>
    <w:rsid w:val="00CA3612"/>
    <w:rsid w:val="00CA369D"/>
    <w:rsid w:val="00CA37E8"/>
    <w:rsid w:val="00CA37FA"/>
    <w:rsid w:val="00CA3879"/>
    <w:rsid w:val="00CA391E"/>
    <w:rsid w:val="00CA3935"/>
    <w:rsid w:val="00CA39AF"/>
    <w:rsid w:val="00CA3A3D"/>
    <w:rsid w:val="00CA3A61"/>
    <w:rsid w:val="00CA3A98"/>
    <w:rsid w:val="00CA3AD4"/>
    <w:rsid w:val="00CA3B24"/>
    <w:rsid w:val="00CA3B50"/>
    <w:rsid w:val="00CA3C3C"/>
    <w:rsid w:val="00CA3C52"/>
    <w:rsid w:val="00CA3C63"/>
    <w:rsid w:val="00CA3C71"/>
    <w:rsid w:val="00CA3C81"/>
    <w:rsid w:val="00CA3CA0"/>
    <w:rsid w:val="00CA3D35"/>
    <w:rsid w:val="00CA3F08"/>
    <w:rsid w:val="00CA3F5A"/>
    <w:rsid w:val="00CA4060"/>
    <w:rsid w:val="00CA406A"/>
    <w:rsid w:val="00CA406E"/>
    <w:rsid w:val="00CA40E9"/>
    <w:rsid w:val="00CA415D"/>
    <w:rsid w:val="00CA4277"/>
    <w:rsid w:val="00CA429F"/>
    <w:rsid w:val="00CA4377"/>
    <w:rsid w:val="00CA439B"/>
    <w:rsid w:val="00CA43BF"/>
    <w:rsid w:val="00CA4421"/>
    <w:rsid w:val="00CA450C"/>
    <w:rsid w:val="00CA451E"/>
    <w:rsid w:val="00CA452C"/>
    <w:rsid w:val="00CA452F"/>
    <w:rsid w:val="00CA4581"/>
    <w:rsid w:val="00CA4610"/>
    <w:rsid w:val="00CA464F"/>
    <w:rsid w:val="00CA4677"/>
    <w:rsid w:val="00CA46B5"/>
    <w:rsid w:val="00CA46B8"/>
    <w:rsid w:val="00CA47B0"/>
    <w:rsid w:val="00CA47B4"/>
    <w:rsid w:val="00CA47FF"/>
    <w:rsid w:val="00CA4811"/>
    <w:rsid w:val="00CA4819"/>
    <w:rsid w:val="00CA4833"/>
    <w:rsid w:val="00CA488E"/>
    <w:rsid w:val="00CA4917"/>
    <w:rsid w:val="00CA4936"/>
    <w:rsid w:val="00CA49BC"/>
    <w:rsid w:val="00CA4A2B"/>
    <w:rsid w:val="00CA4AA9"/>
    <w:rsid w:val="00CA4AF2"/>
    <w:rsid w:val="00CA4AF8"/>
    <w:rsid w:val="00CA4B15"/>
    <w:rsid w:val="00CA4B40"/>
    <w:rsid w:val="00CA4C44"/>
    <w:rsid w:val="00CA4CB5"/>
    <w:rsid w:val="00CA4E0E"/>
    <w:rsid w:val="00CA4E22"/>
    <w:rsid w:val="00CA4EFF"/>
    <w:rsid w:val="00CA4F70"/>
    <w:rsid w:val="00CA4FE1"/>
    <w:rsid w:val="00CA5014"/>
    <w:rsid w:val="00CA502F"/>
    <w:rsid w:val="00CA5048"/>
    <w:rsid w:val="00CA50B3"/>
    <w:rsid w:val="00CA5132"/>
    <w:rsid w:val="00CA5283"/>
    <w:rsid w:val="00CA52AE"/>
    <w:rsid w:val="00CA5300"/>
    <w:rsid w:val="00CA53AB"/>
    <w:rsid w:val="00CA5439"/>
    <w:rsid w:val="00CA54C6"/>
    <w:rsid w:val="00CA55B6"/>
    <w:rsid w:val="00CA564B"/>
    <w:rsid w:val="00CA572F"/>
    <w:rsid w:val="00CA57EE"/>
    <w:rsid w:val="00CA5812"/>
    <w:rsid w:val="00CA5846"/>
    <w:rsid w:val="00CA586B"/>
    <w:rsid w:val="00CA58BD"/>
    <w:rsid w:val="00CA59C0"/>
    <w:rsid w:val="00CA5A00"/>
    <w:rsid w:val="00CA5A8C"/>
    <w:rsid w:val="00CA5A98"/>
    <w:rsid w:val="00CA5AC3"/>
    <w:rsid w:val="00CA5B26"/>
    <w:rsid w:val="00CA5B70"/>
    <w:rsid w:val="00CA5B8F"/>
    <w:rsid w:val="00CA5C5A"/>
    <w:rsid w:val="00CA5C62"/>
    <w:rsid w:val="00CA5C81"/>
    <w:rsid w:val="00CA5C9B"/>
    <w:rsid w:val="00CA5CC6"/>
    <w:rsid w:val="00CA5CF9"/>
    <w:rsid w:val="00CA5D9F"/>
    <w:rsid w:val="00CA5E36"/>
    <w:rsid w:val="00CA5E77"/>
    <w:rsid w:val="00CA5E94"/>
    <w:rsid w:val="00CA5EFF"/>
    <w:rsid w:val="00CA5F82"/>
    <w:rsid w:val="00CA5FA0"/>
    <w:rsid w:val="00CA5FAF"/>
    <w:rsid w:val="00CA5FFF"/>
    <w:rsid w:val="00CA603D"/>
    <w:rsid w:val="00CA608A"/>
    <w:rsid w:val="00CA608B"/>
    <w:rsid w:val="00CA608D"/>
    <w:rsid w:val="00CA60B2"/>
    <w:rsid w:val="00CA60C1"/>
    <w:rsid w:val="00CA60F8"/>
    <w:rsid w:val="00CA6119"/>
    <w:rsid w:val="00CA61F7"/>
    <w:rsid w:val="00CA6254"/>
    <w:rsid w:val="00CA6271"/>
    <w:rsid w:val="00CA62A9"/>
    <w:rsid w:val="00CA62E6"/>
    <w:rsid w:val="00CA63CD"/>
    <w:rsid w:val="00CA63CE"/>
    <w:rsid w:val="00CA63E1"/>
    <w:rsid w:val="00CA6402"/>
    <w:rsid w:val="00CA643F"/>
    <w:rsid w:val="00CA6475"/>
    <w:rsid w:val="00CA6479"/>
    <w:rsid w:val="00CA653C"/>
    <w:rsid w:val="00CA657C"/>
    <w:rsid w:val="00CA65A4"/>
    <w:rsid w:val="00CA65C7"/>
    <w:rsid w:val="00CA65DE"/>
    <w:rsid w:val="00CA65F4"/>
    <w:rsid w:val="00CA6642"/>
    <w:rsid w:val="00CA6652"/>
    <w:rsid w:val="00CA66EA"/>
    <w:rsid w:val="00CA66FF"/>
    <w:rsid w:val="00CA6706"/>
    <w:rsid w:val="00CA6712"/>
    <w:rsid w:val="00CA6734"/>
    <w:rsid w:val="00CA67BF"/>
    <w:rsid w:val="00CA6892"/>
    <w:rsid w:val="00CA68BC"/>
    <w:rsid w:val="00CA6901"/>
    <w:rsid w:val="00CA695A"/>
    <w:rsid w:val="00CA69B8"/>
    <w:rsid w:val="00CA69E6"/>
    <w:rsid w:val="00CA6A4C"/>
    <w:rsid w:val="00CA6B51"/>
    <w:rsid w:val="00CA6BA0"/>
    <w:rsid w:val="00CA6BA2"/>
    <w:rsid w:val="00CA6CD5"/>
    <w:rsid w:val="00CA6D1B"/>
    <w:rsid w:val="00CA6D83"/>
    <w:rsid w:val="00CA6DCB"/>
    <w:rsid w:val="00CA6DCC"/>
    <w:rsid w:val="00CA6EA9"/>
    <w:rsid w:val="00CA6EEE"/>
    <w:rsid w:val="00CA6EFC"/>
    <w:rsid w:val="00CA6F4B"/>
    <w:rsid w:val="00CA6F6C"/>
    <w:rsid w:val="00CA6FB8"/>
    <w:rsid w:val="00CA7043"/>
    <w:rsid w:val="00CA70A1"/>
    <w:rsid w:val="00CA70E8"/>
    <w:rsid w:val="00CA720D"/>
    <w:rsid w:val="00CA7270"/>
    <w:rsid w:val="00CA729C"/>
    <w:rsid w:val="00CA72B8"/>
    <w:rsid w:val="00CA72E8"/>
    <w:rsid w:val="00CA7354"/>
    <w:rsid w:val="00CA7391"/>
    <w:rsid w:val="00CA73DF"/>
    <w:rsid w:val="00CA743C"/>
    <w:rsid w:val="00CA74D7"/>
    <w:rsid w:val="00CA7599"/>
    <w:rsid w:val="00CA7615"/>
    <w:rsid w:val="00CA7633"/>
    <w:rsid w:val="00CA7667"/>
    <w:rsid w:val="00CA7673"/>
    <w:rsid w:val="00CA7704"/>
    <w:rsid w:val="00CA771A"/>
    <w:rsid w:val="00CA7779"/>
    <w:rsid w:val="00CA780C"/>
    <w:rsid w:val="00CA7833"/>
    <w:rsid w:val="00CA78AC"/>
    <w:rsid w:val="00CA7924"/>
    <w:rsid w:val="00CA7994"/>
    <w:rsid w:val="00CA7A2F"/>
    <w:rsid w:val="00CA7B25"/>
    <w:rsid w:val="00CA7BA1"/>
    <w:rsid w:val="00CA7C40"/>
    <w:rsid w:val="00CA7C4A"/>
    <w:rsid w:val="00CA7CE3"/>
    <w:rsid w:val="00CA7CE7"/>
    <w:rsid w:val="00CA7CEF"/>
    <w:rsid w:val="00CA7D41"/>
    <w:rsid w:val="00CA7DDE"/>
    <w:rsid w:val="00CA7E62"/>
    <w:rsid w:val="00CA7EE3"/>
    <w:rsid w:val="00CA7F8E"/>
    <w:rsid w:val="00CB002C"/>
    <w:rsid w:val="00CB0033"/>
    <w:rsid w:val="00CB0082"/>
    <w:rsid w:val="00CB00A3"/>
    <w:rsid w:val="00CB00A8"/>
    <w:rsid w:val="00CB01AD"/>
    <w:rsid w:val="00CB031C"/>
    <w:rsid w:val="00CB0361"/>
    <w:rsid w:val="00CB0371"/>
    <w:rsid w:val="00CB03E0"/>
    <w:rsid w:val="00CB03E6"/>
    <w:rsid w:val="00CB0421"/>
    <w:rsid w:val="00CB04D0"/>
    <w:rsid w:val="00CB0568"/>
    <w:rsid w:val="00CB0589"/>
    <w:rsid w:val="00CB0590"/>
    <w:rsid w:val="00CB0597"/>
    <w:rsid w:val="00CB060C"/>
    <w:rsid w:val="00CB0648"/>
    <w:rsid w:val="00CB06B3"/>
    <w:rsid w:val="00CB0771"/>
    <w:rsid w:val="00CB07ED"/>
    <w:rsid w:val="00CB07FF"/>
    <w:rsid w:val="00CB081C"/>
    <w:rsid w:val="00CB084D"/>
    <w:rsid w:val="00CB0879"/>
    <w:rsid w:val="00CB0905"/>
    <w:rsid w:val="00CB096C"/>
    <w:rsid w:val="00CB0994"/>
    <w:rsid w:val="00CB09F8"/>
    <w:rsid w:val="00CB0A19"/>
    <w:rsid w:val="00CB0A3C"/>
    <w:rsid w:val="00CB0A64"/>
    <w:rsid w:val="00CB0A6F"/>
    <w:rsid w:val="00CB0A7F"/>
    <w:rsid w:val="00CB0AA5"/>
    <w:rsid w:val="00CB0B21"/>
    <w:rsid w:val="00CB0C03"/>
    <w:rsid w:val="00CB0CAE"/>
    <w:rsid w:val="00CB0D4B"/>
    <w:rsid w:val="00CB0D4E"/>
    <w:rsid w:val="00CB0D52"/>
    <w:rsid w:val="00CB0DF4"/>
    <w:rsid w:val="00CB0E12"/>
    <w:rsid w:val="00CB0EE0"/>
    <w:rsid w:val="00CB0EEE"/>
    <w:rsid w:val="00CB0EF4"/>
    <w:rsid w:val="00CB0F62"/>
    <w:rsid w:val="00CB0FAD"/>
    <w:rsid w:val="00CB1017"/>
    <w:rsid w:val="00CB1091"/>
    <w:rsid w:val="00CB10D9"/>
    <w:rsid w:val="00CB10DD"/>
    <w:rsid w:val="00CB1107"/>
    <w:rsid w:val="00CB111C"/>
    <w:rsid w:val="00CB1152"/>
    <w:rsid w:val="00CB119B"/>
    <w:rsid w:val="00CB11F8"/>
    <w:rsid w:val="00CB1292"/>
    <w:rsid w:val="00CB1452"/>
    <w:rsid w:val="00CB1487"/>
    <w:rsid w:val="00CB14AC"/>
    <w:rsid w:val="00CB14BB"/>
    <w:rsid w:val="00CB1543"/>
    <w:rsid w:val="00CB15E1"/>
    <w:rsid w:val="00CB1629"/>
    <w:rsid w:val="00CB1722"/>
    <w:rsid w:val="00CB176F"/>
    <w:rsid w:val="00CB179B"/>
    <w:rsid w:val="00CB17D0"/>
    <w:rsid w:val="00CB17D7"/>
    <w:rsid w:val="00CB17F8"/>
    <w:rsid w:val="00CB182A"/>
    <w:rsid w:val="00CB1960"/>
    <w:rsid w:val="00CB19C5"/>
    <w:rsid w:val="00CB19DB"/>
    <w:rsid w:val="00CB1AC0"/>
    <w:rsid w:val="00CB1BA1"/>
    <w:rsid w:val="00CB1BC9"/>
    <w:rsid w:val="00CB1BCE"/>
    <w:rsid w:val="00CB1C60"/>
    <w:rsid w:val="00CB1C7B"/>
    <w:rsid w:val="00CB1CFC"/>
    <w:rsid w:val="00CB1D4F"/>
    <w:rsid w:val="00CB1D71"/>
    <w:rsid w:val="00CB1DA8"/>
    <w:rsid w:val="00CB1DDA"/>
    <w:rsid w:val="00CB1DDD"/>
    <w:rsid w:val="00CB1E07"/>
    <w:rsid w:val="00CB1E1E"/>
    <w:rsid w:val="00CB1E2D"/>
    <w:rsid w:val="00CB1EBB"/>
    <w:rsid w:val="00CB1ED7"/>
    <w:rsid w:val="00CB1F3D"/>
    <w:rsid w:val="00CB1FD2"/>
    <w:rsid w:val="00CB205C"/>
    <w:rsid w:val="00CB20D8"/>
    <w:rsid w:val="00CB20EF"/>
    <w:rsid w:val="00CB210B"/>
    <w:rsid w:val="00CB21DB"/>
    <w:rsid w:val="00CB2202"/>
    <w:rsid w:val="00CB2210"/>
    <w:rsid w:val="00CB2256"/>
    <w:rsid w:val="00CB22E5"/>
    <w:rsid w:val="00CB22FE"/>
    <w:rsid w:val="00CB2334"/>
    <w:rsid w:val="00CB2431"/>
    <w:rsid w:val="00CB24BF"/>
    <w:rsid w:val="00CB2501"/>
    <w:rsid w:val="00CB2553"/>
    <w:rsid w:val="00CB2626"/>
    <w:rsid w:val="00CB2629"/>
    <w:rsid w:val="00CB26AE"/>
    <w:rsid w:val="00CB26EC"/>
    <w:rsid w:val="00CB2717"/>
    <w:rsid w:val="00CB275A"/>
    <w:rsid w:val="00CB275F"/>
    <w:rsid w:val="00CB2767"/>
    <w:rsid w:val="00CB2794"/>
    <w:rsid w:val="00CB27B7"/>
    <w:rsid w:val="00CB27BF"/>
    <w:rsid w:val="00CB27D8"/>
    <w:rsid w:val="00CB2915"/>
    <w:rsid w:val="00CB2921"/>
    <w:rsid w:val="00CB2939"/>
    <w:rsid w:val="00CB29F7"/>
    <w:rsid w:val="00CB2A4F"/>
    <w:rsid w:val="00CB2A5E"/>
    <w:rsid w:val="00CB2A89"/>
    <w:rsid w:val="00CB2ABD"/>
    <w:rsid w:val="00CB2ACE"/>
    <w:rsid w:val="00CB2AE2"/>
    <w:rsid w:val="00CB2B06"/>
    <w:rsid w:val="00CB2BA4"/>
    <w:rsid w:val="00CB2BF3"/>
    <w:rsid w:val="00CB2C4A"/>
    <w:rsid w:val="00CB2C98"/>
    <w:rsid w:val="00CB2CBC"/>
    <w:rsid w:val="00CB2CF2"/>
    <w:rsid w:val="00CB2D09"/>
    <w:rsid w:val="00CB2D40"/>
    <w:rsid w:val="00CB2DE1"/>
    <w:rsid w:val="00CB2E32"/>
    <w:rsid w:val="00CB2E91"/>
    <w:rsid w:val="00CB2F1C"/>
    <w:rsid w:val="00CB2F44"/>
    <w:rsid w:val="00CB2F94"/>
    <w:rsid w:val="00CB2F9F"/>
    <w:rsid w:val="00CB3025"/>
    <w:rsid w:val="00CB307A"/>
    <w:rsid w:val="00CB318F"/>
    <w:rsid w:val="00CB321B"/>
    <w:rsid w:val="00CB3249"/>
    <w:rsid w:val="00CB3278"/>
    <w:rsid w:val="00CB32B8"/>
    <w:rsid w:val="00CB32C7"/>
    <w:rsid w:val="00CB3311"/>
    <w:rsid w:val="00CB3369"/>
    <w:rsid w:val="00CB33BD"/>
    <w:rsid w:val="00CB33BE"/>
    <w:rsid w:val="00CB3448"/>
    <w:rsid w:val="00CB3479"/>
    <w:rsid w:val="00CB34F6"/>
    <w:rsid w:val="00CB3533"/>
    <w:rsid w:val="00CB3738"/>
    <w:rsid w:val="00CB3775"/>
    <w:rsid w:val="00CB37DB"/>
    <w:rsid w:val="00CB3814"/>
    <w:rsid w:val="00CB388E"/>
    <w:rsid w:val="00CB38C3"/>
    <w:rsid w:val="00CB38D5"/>
    <w:rsid w:val="00CB38D6"/>
    <w:rsid w:val="00CB3907"/>
    <w:rsid w:val="00CB394D"/>
    <w:rsid w:val="00CB39A8"/>
    <w:rsid w:val="00CB39B6"/>
    <w:rsid w:val="00CB39E2"/>
    <w:rsid w:val="00CB3A08"/>
    <w:rsid w:val="00CB3B43"/>
    <w:rsid w:val="00CB3B91"/>
    <w:rsid w:val="00CB3BD1"/>
    <w:rsid w:val="00CB3C92"/>
    <w:rsid w:val="00CB3CB8"/>
    <w:rsid w:val="00CB3CF8"/>
    <w:rsid w:val="00CB3D6E"/>
    <w:rsid w:val="00CB3DAA"/>
    <w:rsid w:val="00CB3E9C"/>
    <w:rsid w:val="00CB3EAD"/>
    <w:rsid w:val="00CB3EC0"/>
    <w:rsid w:val="00CB3ED9"/>
    <w:rsid w:val="00CB3F62"/>
    <w:rsid w:val="00CB3F6A"/>
    <w:rsid w:val="00CB3F9B"/>
    <w:rsid w:val="00CB3FC2"/>
    <w:rsid w:val="00CB40BE"/>
    <w:rsid w:val="00CB40E7"/>
    <w:rsid w:val="00CB4127"/>
    <w:rsid w:val="00CB4128"/>
    <w:rsid w:val="00CB4142"/>
    <w:rsid w:val="00CB4242"/>
    <w:rsid w:val="00CB4261"/>
    <w:rsid w:val="00CB4279"/>
    <w:rsid w:val="00CB42AD"/>
    <w:rsid w:val="00CB42FE"/>
    <w:rsid w:val="00CB433B"/>
    <w:rsid w:val="00CB438A"/>
    <w:rsid w:val="00CB43BF"/>
    <w:rsid w:val="00CB4485"/>
    <w:rsid w:val="00CB449E"/>
    <w:rsid w:val="00CB44D7"/>
    <w:rsid w:val="00CB454F"/>
    <w:rsid w:val="00CB456E"/>
    <w:rsid w:val="00CB45D4"/>
    <w:rsid w:val="00CB4659"/>
    <w:rsid w:val="00CB46DB"/>
    <w:rsid w:val="00CB47C0"/>
    <w:rsid w:val="00CB47D1"/>
    <w:rsid w:val="00CB481C"/>
    <w:rsid w:val="00CB4831"/>
    <w:rsid w:val="00CB489B"/>
    <w:rsid w:val="00CB491D"/>
    <w:rsid w:val="00CB49A7"/>
    <w:rsid w:val="00CB49BC"/>
    <w:rsid w:val="00CB4AB8"/>
    <w:rsid w:val="00CB4B14"/>
    <w:rsid w:val="00CB4B15"/>
    <w:rsid w:val="00CB4BA0"/>
    <w:rsid w:val="00CB4C32"/>
    <w:rsid w:val="00CB4CD2"/>
    <w:rsid w:val="00CB4D22"/>
    <w:rsid w:val="00CB4D25"/>
    <w:rsid w:val="00CB4D59"/>
    <w:rsid w:val="00CB4E01"/>
    <w:rsid w:val="00CB4E75"/>
    <w:rsid w:val="00CB4E97"/>
    <w:rsid w:val="00CB4EB7"/>
    <w:rsid w:val="00CB4EF9"/>
    <w:rsid w:val="00CB4F0C"/>
    <w:rsid w:val="00CB4F7F"/>
    <w:rsid w:val="00CB505F"/>
    <w:rsid w:val="00CB5076"/>
    <w:rsid w:val="00CB509C"/>
    <w:rsid w:val="00CB50EE"/>
    <w:rsid w:val="00CB5104"/>
    <w:rsid w:val="00CB5190"/>
    <w:rsid w:val="00CB5195"/>
    <w:rsid w:val="00CB51AA"/>
    <w:rsid w:val="00CB520F"/>
    <w:rsid w:val="00CB5246"/>
    <w:rsid w:val="00CB5297"/>
    <w:rsid w:val="00CB5495"/>
    <w:rsid w:val="00CB5521"/>
    <w:rsid w:val="00CB5622"/>
    <w:rsid w:val="00CB564A"/>
    <w:rsid w:val="00CB5650"/>
    <w:rsid w:val="00CB566D"/>
    <w:rsid w:val="00CB57BA"/>
    <w:rsid w:val="00CB587F"/>
    <w:rsid w:val="00CB58AD"/>
    <w:rsid w:val="00CB59B2"/>
    <w:rsid w:val="00CB5A04"/>
    <w:rsid w:val="00CB5A8F"/>
    <w:rsid w:val="00CB5AC9"/>
    <w:rsid w:val="00CB5B80"/>
    <w:rsid w:val="00CB5B9C"/>
    <w:rsid w:val="00CB5C3C"/>
    <w:rsid w:val="00CB5CA8"/>
    <w:rsid w:val="00CB5CB1"/>
    <w:rsid w:val="00CB5CC2"/>
    <w:rsid w:val="00CB5CF6"/>
    <w:rsid w:val="00CB5DC7"/>
    <w:rsid w:val="00CB5DD7"/>
    <w:rsid w:val="00CB5E5C"/>
    <w:rsid w:val="00CB5E87"/>
    <w:rsid w:val="00CB5EBE"/>
    <w:rsid w:val="00CB5EC4"/>
    <w:rsid w:val="00CB6008"/>
    <w:rsid w:val="00CB603B"/>
    <w:rsid w:val="00CB6041"/>
    <w:rsid w:val="00CB6141"/>
    <w:rsid w:val="00CB61A1"/>
    <w:rsid w:val="00CB61D5"/>
    <w:rsid w:val="00CB6203"/>
    <w:rsid w:val="00CB624E"/>
    <w:rsid w:val="00CB6251"/>
    <w:rsid w:val="00CB6305"/>
    <w:rsid w:val="00CB6309"/>
    <w:rsid w:val="00CB6378"/>
    <w:rsid w:val="00CB639B"/>
    <w:rsid w:val="00CB63E0"/>
    <w:rsid w:val="00CB6425"/>
    <w:rsid w:val="00CB64A8"/>
    <w:rsid w:val="00CB6537"/>
    <w:rsid w:val="00CB6654"/>
    <w:rsid w:val="00CB665B"/>
    <w:rsid w:val="00CB673A"/>
    <w:rsid w:val="00CB675B"/>
    <w:rsid w:val="00CB67BF"/>
    <w:rsid w:val="00CB67CE"/>
    <w:rsid w:val="00CB67FC"/>
    <w:rsid w:val="00CB6802"/>
    <w:rsid w:val="00CB6805"/>
    <w:rsid w:val="00CB6834"/>
    <w:rsid w:val="00CB6838"/>
    <w:rsid w:val="00CB686E"/>
    <w:rsid w:val="00CB6931"/>
    <w:rsid w:val="00CB6977"/>
    <w:rsid w:val="00CB69A8"/>
    <w:rsid w:val="00CB69BC"/>
    <w:rsid w:val="00CB6A25"/>
    <w:rsid w:val="00CB6A80"/>
    <w:rsid w:val="00CB6AC7"/>
    <w:rsid w:val="00CB6ACE"/>
    <w:rsid w:val="00CB6BB1"/>
    <w:rsid w:val="00CB6C48"/>
    <w:rsid w:val="00CB6CB9"/>
    <w:rsid w:val="00CB6CC0"/>
    <w:rsid w:val="00CB6CDD"/>
    <w:rsid w:val="00CB6CF3"/>
    <w:rsid w:val="00CB6DAA"/>
    <w:rsid w:val="00CB6E2C"/>
    <w:rsid w:val="00CB6E4A"/>
    <w:rsid w:val="00CB6F05"/>
    <w:rsid w:val="00CB6F29"/>
    <w:rsid w:val="00CB6FA8"/>
    <w:rsid w:val="00CB6FAF"/>
    <w:rsid w:val="00CB6FFD"/>
    <w:rsid w:val="00CB700C"/>
    <w:rsid w:val="00CB7024"/>
    <w:rsid w:val="00CB7048"/>
    <w:rsid w:val="00CB70D5"/>
    <w:rsid w:val="00CB7190"/>
    <w:rsid w:val="00CB71EE"/>
    <w:rsid w:val="00CB727A"/>
    <w:rsid w:val="00CB729F"/>
    <w:rsid w:val="00CB72E0"/>
    <w:rsid w:val="00CB7334"/>
    <w:rsid w:val="00CB7374"/>
    <w:rsid w:val="00CB7389"/>
    <w:rsid w:val="00CB740D"/>
    <w:rsid w:val="00CB7432"/>
    <w:rsid w:val="00CB74EF"/>
    <w:rsid w:val="00CB751B"/>
    <w:rsid w:val="00CB7614"/>
    <w:rsid w:val="00CB763A"/>
    <w:rsid w:val="00CB7684"/>
    <w:rsid w:val="00CB76B9"/>
    <w:rsid w:val="00CB776D"/>
    <w:rsid w:val="00CB77AC"/>
    <w:rsid w:val="00CB77E7"/>
    <w:rsid w:val="00CB7857"/>
    <w:rsid w:val="00CB7888"/>
    <w:rsid w:val="00CB78BF"/>
    <w:rsid w:val="00CB79E1"/>
    <w:rsid w:val="00CB7A6F"/>
    <w:rsid w:val="00CB7B04"/>
    <w:rsid w:val="00CB7B1C"/>
    <w:rsid w:val="00CB7B97"/>
    <w:rsid w:val="00CB7BD4"/>
    <w:rsid w:val="00CB7C46"/>
    <w:rsid w:val="00CB7CAE"/>
    <w:rsid w:val="00CB7CB5"/>
    <w:rsid w:val="00CB7CD9"/>
    <w:rsid w:val="00CB7CE3"/>
    <w:rsid w:val="00CB7E4C"/>
    <w:rsid w:val="00CB7F08"/>
    <w:rsid w:val="00CB7F3E"/>
    <w:rsid w:val="00CB7F6C"/>
    <w:rsid w:val="00CB7FB8"/>
    <w:rsid w:val="00CC0024"/>
    <w:rsid w:val="00CC0035"/>
    <w:rsid w:val="00CC00AE"/>
    <w:rsid w:val="00CC0127"/>
    <w:rsid w:val="00CC01B7"/>
    <w:rsid w:val="00CC023C"/>
    <w:rsid w:val="00CC0264"/>
    <w:rsid w:val="00CC027A"/>
    <w:rsid w:val="00CC02D4"/>
    <w:rsid w:val="00CC031B"/>
    <w:rsid w:val="00CC0483"/>
    <w:rsid w:val="00CC0487"/>
    <w:rsid w:val="00CC04DC"/>
    <w:rsid w:val="00CC05AC"/>
    <w:rsid w:val="00CC0710"/>
    <w:rsid w:val="00CC07D8"/>
    <w:rsid w:val="00CC0819"/>
    <w:rsid w:val="00CC08C5"/>
    <w:rsid w:val="00CC099C"/>
    <w:rsid w:val="00CC0A4F"/>
    <w:rsid w:val="00CC0B37"/>
    <w:rsid w:val="00CC0B45"/>
    <w:rsid w:val="00CC0C4C"/>
    <w:rsid w:val="00CC0C4E"/>
    <w:rsid w:val="00CC0CA3"/>
    <w:rsid w:val="00CC0CBB"/>
    <w:rsid w:val="00CC0CED"/>
    <w:rsid w:val="00CC0CFD"/>
    <w:rsid w:val="00CC0D7F"/>
    <w:rsid w:val="00CC0DB7"/>
    <w:rsid w:val="00CC0E2A"/>
    <w:rsid w:val="00CC0E52"/>
    <w:rsid w:val="00CC0E5D"/>
    <w:rsid w:val="00CC0F67"/>
    <w:rsid w:val="00CC0F88"/>
    <w:rsid w:val="00CC0F89"/>
    <w:rsid w:val="00CC1064"/>
    <w:rsid w:val="00CC10C2"/>
    <w:rsid w:val="00CC1214"/>
    <w:rsid w:val="00CC1248"/>
    <w:rsid w:val="00CC128F"/>
    <w:rsid w:val="00CC132A"/>
    <w:rsid w:val="00CC1442"/>
    <w:rsid w:val="00CC1465"/>
    <w:rsid w:val="00CC14BE"/>
    <w:rsid w:val="00CC14C5"/>
    <w:rsid w:val="00CC14F6"/>
    <w:rsid w:val="00CC1527"/>
    <w:rsid w:val="00CC15CD"/>
    <w:rsid w:val="00CC167D"/>
    <w:rsid w:val="00CC16A1"/>
    <w:rsid w:val="00CC1732"/>
    <w:rsid w:val="00CC175A"/>
    <w:rsid w:val="00CC17E2"/>
    <w:rsid w:val="00CC1806"/>
    <w:rsid w:val="00CC183C"/>
    <w:rsid w:val="00CC1890"/>
    <w:rsid w:val="00CC199E"/>
    <w:rsid w:val="00CC19E1"/>
    <w:rsid w:val="00CC19F4"/>
    <w:rsid w:val="00CC1A77"/>
    <w:rsid w:val="00CC1B33"/>
    <w:rsid w:val="00CC1BA4"/>
    <w:rsid w:val="00CC1C07"/>
    <w:rsid w:val="00CC1D53"/>
    <w:rsid w:val="00CC1D8C"/>
    <w:rsid w:val="00CC1DB0"/>
    <w:rsid w:val="00CC1E28"/>
    <w:rsid w:val="00CC1E3E"/>
    <w:rsid w:val="00CC1F2C"/>
    <w:rsid w:val="00CC1F35"/>
    <w:rsid w:val="00CC1F74"/>
    <w:rsid w:val="00CC201F"/>
    <w:rsid w:val="00CC20C1"/>
    <w:rsid w:val="00CC20F5"/>
    <w:rsid w:val="00CC212A"/>
    <w:rsid w:val="00CC219F"/>
    <w:rsid w:val="00CC2264"/>
    <w:rsid w:val="00CC22B1"/>
    <w:rsid w:val="00CC23DD"/>
    <w:rsid w:val="00CC23FF"/>
    <w:rsid w:val="00CC246D"/>
    <w:rsid w:val="00CC2481"/>
    <w:rsid w:val="00CC24BE"/>
    <w:rsid w:val="00CC257C"/>
    <w:rsid w:val="00CC25C2"/>
    <w:rsid w:val="00CC25C7"/>
    <w:rsid w:val="00CC25F1"/>
    <w:rsid w:val="00CC2608"/>
    <w:rsid w:val="00CC2654"/>
    <w:rsid w:val="00CC26D7"/>
    <w:rsid w:val="00CC26FC"/>
    <w:rsid w:val="00CC2876"/>
    <w:rsid w:val="00CC29AB"/>
    <w:rsid w:val="00CC29D8"/>
    <w:rsid w:val="00CC29DC"/>
    <w:rsid w:val="00CC29DD"/>
    <w:rsid w:val="00CC2A25"/>
    <w:rsid w:val="00CC2ACD"/>
    <w:rsid w:val="00CC2B8B"/>
    <w:rsid w:val="00CC2C10"/>
    <w:rsid w:val="00CC2C2D"/>
    <w:rsid w:val="00CC2C4E"/>
    <w:rsid w:val="00CC2CA0"/>
    <w:rsid w:val="00CC2D41"/>
    <w:rsid w:val="00CC2F83"/>
    <w:rsid w:val="00CC2FB5"/>
    <w:rsid w:val="00CC2FF0"/>
    <w:rsid w:val="00CC300C"/>
    <w:rsid w:val="00CC3087"/>
    <w:rsid w:val="00CC30E3"/>
    <w:rsid w:val="00CC310C"/>
    <w:rsid w:val="00CC3146"/>
    <w:rsid w:val="00CC31C7"/>
    <w:rsid w:val="00CC3271"/>
    <w:rsid w:val="00CC3285"/>
    <w:rsid w:val="00CC32E0"/>
    <w:rsid w:val="00CC3381"/>
    <w:rsid w:val="00CC343C"/>
    <w:rsid w:val="00CC349B"/>
    <w:rsid w:val="00CC34B4"/>
    <w:rsid w:val="00CC351A"/>
    <w:rsid w:val="00CC352B"/>
    <w:rsid w:val="00CC35E8"/>
    <w:rsid w:val="00CC3707"/>
    <w:rsid w:val="00CC3808"/>
    <w:rsid w:val="00CC38B5"/>
    <w:rsid w:val="00CC3996"/>
    <w:rsid w:val="00CC39DB"/>
    <w:rsid w:val="00CC39FB"/>
    <w:rsid w:val="00CC3A11"/>
    <w:rsid w:val="00CC3A42"/>
    <w:rsid w:val="00CC3A49"/>
    <w:rsid w:val="00CC3AC8"/>
    <w:rsid w:val="00CC3B35"/>
    <w:rsid w:val="00CC3B4D"/>
    <w:rsid w:val="00CC3B66"/>
    <w:rsid w:val="00CC3B75"/>
    <w:rsid w:val="00CC3C89"/>
    <w:rsid w:val="00CC3CA4"/>
    <w:rsid w:val="00CC3D2E"/>
    <w:rsid w:val="00CC3F09"/>
    <w:rsid w:val="00CC3F44"/>
    <w:rsid w:val="00CC3F7C"/>
    <w:rsid w:val="00CC3FAF"/>
    <w:rsid w:val="00CC3FC1"/>
    <w:rsid w:val="00CC3FD5"/>
    <w:rsid w:val="00CC3FDA"/>
    <w:rsid w:val="00CC3FFB"/>
    <w:rsid w:val="00CC4017"/>
    <w:rsid w:val="00CC401B"/>
    <w:rsid w:val="00CC4023"/>
    <w:rsid w:val="00CC4027"/>
    <w:rsid w:val="00CC40CB"/>
    <w:rsid w:val="00CC40FD"/>
    <w:rsid w:val="00CC4180"/>
    <w:rsid w:val="00CC4192"/>
    <w:rsid w:val="00CC41EA"/>
    <w:rsid w:val="00CC421A"/>
    <w:rsid w:val="00CC42D5"/>
    <w:rsid w:val="00CC4315"/>
    <w:rsid w:val="00CC4339"/>
    <w:rsid w:val="00CC437D"/>
    <w:rsid w:val="00CC43B6"/>
    <w:rsid w:val="00CC43DD"/>
    <w:rsid w:val="00CC43F5"/>
    <w:rsid w:val="00CC4429"/>
    <w:rsid w:val="00CC4486"/>
    <w:rsid w:val="00CC4517"/>
    <w:rsid w:val="00CC460C"/>
    <w:rsid w:val="00CC4687"/>
    <w:rsid w:val="00CC46B0"/>
    <w:rsid w:val="00CC48B6"/>
    <w:rsid w:val="00CC4994"/>
    <w:rsid w:val="00CC49A3"/>
    <w:rsid w:val="00CC49AF"/>
    <w:rsid w:val="00CC4A50"/>
    <w:rsid w:val="00CC4A71"/>
    <w:rsid w:val="00CC4B3A"/>
    <w:rsid w:val="00CC4CDC"/>
    <w:rsid w:val="00CC4D5A"/>
    <w:rsid w:val="00CC4DD3"/>
    <w:rsid w:val="00CC4DE3"/>
    <w:rsid w:val="00CC4E2D"/>
    <w:rsid w:val="00CC4E9F"/>
    <w:rsid w:val="00CC4EAE"/>
    <w:rsid w:val="00CC4EFF"/>
    <w:rsid w:val="00CC4F02"/>
    <w:rsid w:val="00CC4F21"/>
    <w:rsid w:val="00CC5003"/>
    <w:rsid w:val="00CC502B"/>
    <w:rsid w:val="00CC505F"/>
    <w:rsid w:val="00CC50B1"/>
    <w:rsid w:val="00CC5183"/>
    <w:rsid w:val="00CC51CD"/>
    <w:rsid w:val="00CC537C"/>
    <w:rsid w:val="00CC5392"/>
    <w:rsid w:val="00CC5428"/>
    <w:rsid w:val="00CC5464"/>
    <w:rsid w:val="00CC5471"/>
    <w:rsid w:val="00CC5581"/>
    <w:rsid w:val="00CC564F"/>
    <w:rsid w:val="00CC5672"/>
    <w:rsid w:val="00CC5674"/>
    <w:rsid w:val="00CC56D5"/>
    <w:rsid w:val="00CC5763"/>
    <w:rsid w:val="00CC576D"/>
    <w:rsid w:val="00CC57AC"/>
    <w:rsid w:val="00CC57BB"/>
    <w:rsid w:val="00CC583C"/>
    <w:rsid w:val="00CC5840"/>
    <w:rsid w:val="00CC5853"/>
    <w:rsid w:val="00CC5982"/>
    <w:rsid w:val="00CC5997"/>
    <w:rsid w:val="00CC59D1"/>
    <w:rsid w:val="00CC59DB"/>
    <w:rsid w:val="00CC59F5"/>
    <w:rsid w:val="00CC5B0F"/>
    <w:rsid w:val="00CC5C40"/>
    <w:rsid w:val="00CC5D57"/>
    <w:rsid w:val="00CC5DF4"/>
    <w:rsid w:val="00CC5E19"/>
    <w:rsid w:val="00CC5F0E"/>
    <w:rsid w:val="00CC5F10"/>
    <w:rsid w:val="00CC5FAC"/>
    <w:rsid w:val="00CC5FAF"/>
    <w:rsid w:val="00CC5FC1"/>
    <w:rsid w:val="00CC60B4"/>
    <w:rsid w:val="00CC60C0"/>
    <w:rsid w:val="00CC61B4"/>
    <w:rsid w:val="00CC6247"/>
    <w:rsid w:val="00CC63EA"/>
    <w:rsid w:val="00CC63FF"/>
    <w:rsid w:val="00CC6445"/>
    <w:rsid w:val="00CC6481"/>
    <w:rsid w:val="00CC648A"/>
    <w:rsid w:val="00CC64A5"/>
    <w:rsid w:val="00CC64FC"/>
    <w:rsid w:val="00CC6506"/>
    <w:rsid w:val="00CC6511"/>
    <w:rsid w:val="00CC6542"/>
    <w:rsid w:val="00CC657D"/>
    <w:rsid w:val="00CC65C4"/>
    <w:rsid w:val="00CC6674"/>
    <w:rsid w:val="00CC6738"/>
    <w:rsid w:val="00CC67B3"/>
    <w:rsid w:val="00CC67CA"/>
    <w:rsid w:val="00CC685F"/>
    <w:rsid w:val="00CC687F"/>
    <w:rsid w:val="00CC6969"/>
    <w:rsid w:val="00CC6B7C"/>
    <w:rsid w:val="00CC6BAD"/>
    <w:rsid w:val="00CC6BF1"/>
    <w:rsid w:val="00CC6C0C"/>
    <w:rsid w:val="00CC6CA5"/>
    <w:rsid w:val="00CC6CBD"/>
    <w:rsid w:val="00CC6D61"/>
    <w:rsid w:val="00CC6D88"/>
    <w:rsid w:val="00CC6DF9"/>
    <w:rsid w:val="00CC6E30"/>
    <w:rsid w:val="00CC6E79"/>
    <w:rsid w:val="00CC6EE0"/>
    <w:rsid w:val="00CC6F03"/>
    <w:rsid w:val="00CC6F0B"/>
    <w:rsid w:val="00CC6F39"/>
    <w:rsid w:val="00CC6F6C"/>
    <w:rsid w:val="00CC6FA8"/>
    <w:rsid w:val="00CC6FD4"/>
    <w:rsid w:val="00CC6FE8"/>
    <w:rsid w:val="00CC7093"/>
    <w:rsid w:val="00CC711D"/>
    <w:rsid w:val="00CC7141"/>
    <w:rsid w:val="00CC7175"/>
    <w:rsid w:val="00CC7181"/>
    <w:rsid w:val="00CC7229"/>
    <w:rsid w:val="00CC7294"/>
    <w:rsid w:val="00CC7295"/>
    <w:rsid w:val="00CC729B"/>
    <w:rsid w:val="00CC72C6"/>
    <w:rsid w:val="00CC72E3"/>
    <w:rsid w:val="00CC72EF"/>
    <w:rsid w:val="00CC7418"/>
    <w:rsid w:val="00CC741B"/>
    <w:rsid w:val="00CC746A"/>
    <w:rsid w:val="00CC7474"/>
    <w:rsid w:val="00CC74A2"/>
    <w:rsid w:val="00CC74A8"/>
    <w:rsid w:val="00CC74C3"/>
    <w:rsid w:val="00CC752F"/>
    <w:rsid w:val="00CC7593"/>
    <w:rsid w:val="00CC75B9"/>
    <w:rsid w:val="00CC75C8"/>
    <w:rsid w:val="00CC7696"/>
    <w:rsid w:val="00CC76D9"/>
    <w:rsid w:val="00CC76DD"/>
    <w:rsid w:val="00CC7721"/>
    <w:rsid w:val="00CC7722"/>
    <w:rsid w:val="00CC7879"/>
    <w:rsid w:val="00CC78D0"/>
    <w:rsid w:val="00CC78D7"/>
    <w:rsid w:val="00CC78DA"/>
    <w:rsid w:val="00CC7945"/>
    <w:rsid w:val="00CC7A94"/>
    <w:rsid w:val="00CC7A95"/>
    <w:rsid w:val="00CC7B01"/>
    <w:rsid w:val="00CC7B5A"/>
    <w:rsid w:val="00CC7C86"/>
    <w:rsid w:val="00CC7D53"/>
    <w:rsid w:val="00CC7E89"/>
    <w:rsid w:val="00CC7EDB"/>
    <w:rsid w:val="00CD0002"/>
    <w:rsid w:val="00CD000F"/>
    <w:rsid w:val="00CD0049"/>
    <w:rsid w:val="00CD00D7"/>
    <w:rsid w:val="00CD00F8"/>
    <w:rsid w:val="00CD015A"/>
    <w:rsid w:val="00CD0180"/>
    <w:rsid w:val="00CD01FC"/>
    <w:rsid w:val="00CD023D"/>
    <w:rsid w:val="00CD025D"/>
    <w:rsid w:val="00CD02BC"/>
    <w:rsid w:val="00CD031A"/>
    <w:rsid w:val="00CD0345"/>
    <w:rsid w:val="00CD03EF"/>
    <w:rsid w:val="00CD03F7"/>
    <w:rsid w:val="00CD0464"/>
    <w:rsid w:val="00CD048A"/>
    <w:rsid w:val="00CD04B0"/>
    <w:rsid w:val="00CD04D1"/>
    <w:rsid w:val="00CD0520"/>
    <w:rsid w:val="00CD0523"/>
    <w:rsid w:val="00CD05A5"/>
    <w:rsid w:val="00CD05F5"/>
    <w:rsid w:val="00CD0653"/>
    <w:rsid w:val="00CD0658"/>
    <w:rsid w:val="00CD0664"/>
    <w:rsid w:val="00CD0668"/>
    <w:rsid w:val="00CD067C"/>
    <w:rsid w:val="00CD0680"/>
    <w:rsid w:val="00CD06E2"/>
    <w:rsid w:val="00CD08DA"/>
    <w:rsid w:val="00CD08EA"/>
    <w:rsid w:val="00CD0919"/>
    <w:rsid w:val="00CD0932"/>
    <w:rsid w:val="00CD09BF"/>
    <w:rsid w:val="00CD09C1"/>
    <w:rsid w:val="00CD0A1F"/>
    <w:rsid w:val="00CD0A6C"/>
    <w:rsid w:val="00CD0A81"/>
    <w:rsid w:val="00CD0B02"/>
    <w:rsid w:val="00CD0B39"/>
    <w:rsid w:val="00CD0B5E"/>
    <w:rsid w:val="00CD0B6A"/>
    <w:rsid w:val="00CD0C0B"/>
    <w:rsid w:val="00CD0C7C"/>
    <w:rsid w:val="00CD0CBD"/>
    <w:rsid w:val="00CD0D3B"/>
    <w:rsid w:val="00CD0D5D"/>
    <w:rsid w:val="00CD0DB7"/>
    <w:rsid w:val="00CD0DF4"/>
    <w:rsid w:val="00CD0E93"/>
    <w:rsid w:val="00CD0EE4"/>
    <w:rsid w:val="00CD1049"/>
    <w:rsid w:val="00CD1071"/>
    <w:rsid w:val="00CD1082"/>
    <w:rsid w:val="00CD1087"/>
    <w:rsid w:val="00CD10FE"/>
    <w:rsid w:val="00CD118B"/>
    <w:rsid w:val="00CD11F5"/>
    <w:rsid w:val="00CD1205"/>
    <w:rsid w:val="00CD1211"/>
    <w:rsid w:val="00CD1230"/>
    <w:rsid w:val="00CD127E"/>
    <w:rsid w:val="00CD12DE"/>
    <w:rsid w:val="00CD1314"/>
    <w:rsid w:val="00CD1327"/>
    <w:rsid w:val="00CD13C7"/>
    <w:rsid w:val="00CD13F7"/>
    <w:rsid w:val="00CD140B"/>
    <w:rsid w:val="00CD149E"/>
    <w:rsid w:val="00CD1515"/>
    <w:rsid w:val="00CD1597"/>
    <w:rsid w:val="00CD15AD"/>
    <w:rsid w:val="00CD15D1"/>
    <w:rsid w:val="00CD1610"/>
    <w:rsid w:val="00CD165F"/>
    <w:rsid w:val="00CD16B0"/>
    <w:rsid w:val="00CD16C0"/>
    <w:rsid w:val="00CD16F1"/>
    <w:rsid w:val="00CD1724"/>
    <w:rsid w:val="00CD1765"/>
    <w:rsid w:val="00CD1792"/>
    <w:rsid w:val="00CD17DA"/>
    <w:rsid w:val="00CD1859"/>
    <w:rsid w:val="00CD19AB"/>
    <w:rsid w:val="00CD19D4"/>
    <w:rsid w:val="00CD1A4B"/>
    <w:rsid w:val="00CD1AA0"/>
    <w:rsid w:val="00CD1ABA"/>
    <w:rsid w:val="00CD1AE0"/>
    <w:rsid w:val="00CD1B1F"/>
    <w:rsid w:val="00CD1B62"/>
    <w:rsid w:val="00CD1BF4"/>
    <w:rsid w:val="00CD1C04"/>
    <w:rsid w:val="00CD1C33"/>
    <w:rsid w:val="00CD1C4C"/>
    <w:rsid w:val="00CD1C5B"/>
    <w:rsid w:val="00CD1C86"/>
    <w:rsid w:val="00CD1D8A"/>
    <w:rsid w:val="00CD1D90"/>
    <w:rsid w:val="00CD1DDF"/>
    <w:rsid w:val="00CD1E39"/>
    <w:rsid w:val="00CD1E4C"/>
    <w:rsid w:val="00CD1EBB"/>
    <w:rsid w:val="00CD1FC1"/>
    <w:rsid w:val="00CD1FEE"/>
    <w:rsid w:val="00CD2052"/>
    <w:rsid w:val="00CD21E5"/>
    <w:rsid w:val="00CD2212"/>
    <w:rsid w:val="00CD22AD"/>
    <w:rsid w:val="00CD22F6"/>
    <w:rsid w:val="00CD2392"/>
    <w:rsid w:val="00CD23A6"/>
    <w:rsid w:val="00CD23BE"/>
    <w:rsid w:val="00CD2431"/>
    <w:rsid w:val="00CD2438"/>
    <w:rsid w:val="00CD2445"/>
    <w:rsid w:val="00CD2633"/>
    <w:rsid w:val="00CD2638"/>
    <w:rsid w:val="00CD263C"/>
    <w:rsid w:val="00CD2644"/>
    <w:rsid w:val="00CD26E0"/>
    <w:rsid w:val="00CD2703"/>
    <w:rsid w:val="00CD270A"/>
    <w:rsid w:val="00CD27C1"/>
    <w:rsid w:val="00CD283B"/>
    <w:rsid w:val="00CD2856"/>
    <w:rsid w:val="00CD28F3"/>
    <w:rsid w:val="00CD2911"/>
    <w:rsid w:val="00CD29A8"/>
    <w:rsid w:val="00CD29C1"/>
    <w:rsid w:val="00CD29EA"/>
    <w:rsid w:val="00CD2A12"/>
    <w:rsid w:val="00CD2A23"/>
    <w:rsid w:val="00CD2B64"/>
    <w:rsid w:val="00CD2B95"/>
    <w:rsid w:val="00CD2BD6"/>
    <w:rsid w:val="00CD2BF1"/>
    <w:rsid w:val="00CD2C19"/>
    <w:rsid w:val="00CD2C5D"/>
    <w:rsid w:val="00CD2C89"/>
    <w:rsid w:val="00CD2CB0"/>
    <w:rsid w:val="00CD2CB2"/>
    <w:rsid w:val="00CD2CE8"/>
    <w:rsid w:val="00CD2D0A"/>
    <w:rsid w:val="00CD2DFC"/>
    <w:rsid w:val="00CD2E46"/>
    <w:rsid w:val="00CD2E6D"/>
    <w:rsid w:val="00CD2F6A"/>
    <w:rsid w:val="00CD2F9E"/>
    <w:rsid w:val="00CD3030"/>
    <w:rsid w:val="00CD305E"/>
    <w:rsid w:val="00CD30F8"/>
    <w:rsid w:val="00CD3111"/>
    <w:rsid w:val="00CD3120"/>
    <w:rsid w:val="00CD3154"/>
    <w:rsid w:val="00CD317B"/>
    <w:rsid w:val="00CD31E7"/>
    <w:rsid w:val="00CD31E9"/>
    <w:rsid w:val="00CD3214"/>
    <w:rsid w:val="00CD3295"/>
    <w:rsid w:val="00CD32FA"/>
    <w:rsid w:val="00CD335E"/>
    <w:rsid w:val="00CD33BA"/>
    <w:rsid w:val="00CD33F3"/>
    <w:rsid w:val="00CD3457"/>
    <w:rsid w:val="00CD3596"/>
    <w:rsid w:val="00CD35FE"/>
    <w:rsid w:val="00CD366E"/>
    <w:rsid w:val="00CD376E"/>
    <w:rsid w:val="00CD377C"/>
    <w:rsid w:val="00CD3866"/>
    <w:rsid w:val="00CD3890"/>
    <w:rsid w:val="00CD38EE"/>
    <w:rsid w:val="00CD392D"/>
    <w:rsid w:val="00CD39B4"/>
    <w:rsid w:val="00CD3A02"/>
    <w:rsid w:val="00CD3B68"/>
    <w:rsid w:val="00CD3BCC"/>
    <w:rsid w:val="00CD3C33"/>
    <w:rsid w:val="00CD3C3A"/>
    <w:rsid w:val="00CD3C42"/>
    <w:rsid w:val="00CD3C54"/>
    <w:rsid w:val="00CD3CDC"/>
    <w:rsid w:val="00CD3E1D"/>
    <w:rsid w:val="00CD3E1F"/>
    <w:rsid w:val="00CD3E4F"/>
    <w:rsid w:val="00CD3E83"/>
    <w:rsid w:val="00CD3EEC"/>
    <w:rsid w:val="00CD3F22"/>
    <w:rsid w:val="00CD3F48"/>
    <w:rsid w:val="00CD3F85"/>
    <w:rsid w:val="00CD3FA1"/>
    <w:rsid w:val="00CD3FEB"/>
    <w:rsid w:val="00CD4014"/>
    <w:rsid w:val="00CD4034"/>
    <w:rsid w:val="00CD41E5"/>
    <w:rsid w:val="00CD4216"/>
    <w:rsid w:val="00CD4247"/>
    <w:rsid w:val="00CD427E"/>
    <w:rsid w:val="00CD428B"/>
    <w:rsid w:val="00CD432C"/>
    <w:rsid w:val="00CD4331"/>
    <w:rsid w:val="00CD43D7"/>
    <w:rsid w:val="00CD43E5"/>
    <w:rsid w:val="00CD442E"/>
    <w:rsid w:val="00CD4549"/>
    <w:rsid w:val="00CD45D5"/>
    <w:rsid w:val="00CD4600"/>
    <w:rsid w:val="00CD466A"/>
    <w:rsid w:val="00CD46D8"/>
    <w:rsid w:val="00CD471C"/>
    <w:rsid w:val="00CD482C"/>
    <w:rsid w:val="00CD4864"/>
    <w:rsid w:val="00CD4888"/>
    <w:rsid w:val="00CD492C"/>
    <w:rsid w:val="00CD4948"/>
    <w:rsid w:val="00CD4950"/>
    <w:rsid w:val="00CD49DD"/>
    <w:rsid w:val="00CD4A6F"/>
    <w:rsid w:val="00CD4A80"/>
    <w:rsid w:val="00CD4A85"/>
    <w:rsid w:val="00CD4A93"/>
    <w:rsid w:val="00CD4B0A"/>
    <w:rsid w:val="00CD4B8E"/>
    <w:rsid w:val="00CD4B9D"/>
    <w:rsid w:val="00CD4BC1"/>
    <w:rsid w:val="00CD4C27"/>
    <w:rsid w:val="00CD4C36"/>
    <w:rsid w:val="00CD4C4E"/>
    <w:rsid w:val="00CD4C88"/>
    <w:rsid w:val="00CD4CA3"/>
    <w:rsid w:val="00CD4CBB"/>
    <w:rsid w:val="00CD4D1C"/>
    <w:rsid w:val="00CD4D45"/>
    <w:rsid w:val="00CD4D5B"/>
    <w:rsid w:val="00CD4D5C"/>
    <w:rsid w:val="00CD4DC6"/>
    <w:rsid w:val="00CD4DCF"/>
    <w:rsid w:val="00CD4E87"/>
    <w:rsid w:val="00CD4EEB"/>
    <w:rsid w:val="00CD4F2E"/>
    <w:rsid w:val="00CD4F44"/>
    <w:rsid w:val="00CD4FDC"/>
    <w:rsid w:val="00CD50A2"/>
    <w:rsid w:val="00CD510B"/>
    <w:rsid w:val="00CD516A"/>
    <w:rsid w:val="00CD518F"/>
    <w:rsid w:val="00CD5218"/>
    <w:rsid w:val="00CD52EC"/>
    <w:rsid w:val="00CD5365"/>
    <w:rsid w:val="00CD5369"/>
    <w:rsid w:val="00CD53B9"/>
    <w:rsid w:val="00CD53C7"/>
    <w:rsid w:val="00CD5496"/>
    <w:rsid w:val="00CD54BE"/>
    <w:rsid w:val="00CD552B"/>
    <w:rsid w:val="00CD55C2"/>
    <w:rsid w:val="00CD5674"/>
    <w:rsid w:val="00CD569D"/>
    <w:rsid w:val="00CD56E9"/>
    <w:rsid w:val="00CD571D"/>
    <w:rsid w:val="00CD5781"/>
    <w:rsid w:val="00CD57A1"/>
    <w:rsid w:val="00CD57A4"/>
    <w:rsid w:val="00CD57B2"/>
    <w:rsid w:val="00CD57D8"/>
    <w:rsid w:val="00CD582A"/>
    <w:rsid w:val="00CD5856"/>
    <w:rsid w:val="00CD58DC"/>
    <w:rsid w:val="00CD58E9"/>
    <w:rsid w:val="00CD591D"/>
    <w:rsid w:val="00CD5A39"/>
    <w:rsid w:val="00CD5A79"/>
    <w:rsid w:val="00CD5AB0"/>
    <w:rsid w:val="00CD5B0C"/>
    <w:rsid w:val="00CD5B47"/>
    <w:rsid w:val="00CD5BCD"/>
    <w:rsid w:val="00CD5C1B"/>
    <w:rsid w:val="00CD5C66"/>
    <w:rsid w:val="00CD5CA2"/>
    <w:rsid w:val="00CD5D29"/>
    <w:rsid w:val="00CD5DB8"/>
    <w:rsid w:val="00CD5DCE"/>
    <w:rsid w:val="00CD5E5A"/>
    <w:rsid w:val="00CD5F8C"/>
    <w:rsid w:val="00CD5F99"/>
    <w:rsid w:val="00CD5FC3"/>
    <w:rsid w:val="00CD5FC7"/>
    <w:rsid w:val="00CD5FE2"/>
    <w:rsid w:val="00CD5FE7"/>
    <w:rsid w:val="00CD6061"/>
    <w:rsid w:val="00CD61C4"/>
    <w:rsid w:val="00CD622D"/>
    <w:rsid w:val="00CD62DD"/>
    <w:rsid w:val="00CD64B8"/>
    <w:rsid w:val="00CD64D4"/>
    <w:rsid w:val="00CD64D8"/>
    <w:rsid w:val="00CD64F6"/>
    <w:rsid w:val="00CD6599"/>
    <w:rsid w:val="00CD6666"/>
    <w:rsid w:val="00CD66A6"/>
    <w:rsid w:val="00CD66A8"/>
    <w:rsid w:val="00CD6707"/>
    <w:rsid w:val="00CD6709"/>
    <w:rsid w:val="00CD6711"/>
    <w:rsid w:val="00CD6729"/>
    <w:rsid w:val="00CD6774"/>
    <w:rsid w:val="00CD67A4"/>
    <w:rsid w:val="00CD67CF"/>
    <w:rsid w:val="00CD67FB"/>
    <w:rsid w:val="00CD688A"/>
    <w:rsid w:val="00CD68A1"/>
    <w:rsid w:val="00CD68F6"/>
    <w:rsid w:val="00CD690D"/>
    <w:rsid w:val="00CD692A"/>
    <w:rsid w:val="00CD693D"/>
    <w:rsid w:val="00CD6948"/>
    <w:rsid w:val="00CD6950"/>
    <w:rsid w:val="00CD6AEF"/>
    <w:rsid w:val="00CD6B40"/>
    <w:rsid w:val="00CD6B9C"/>
    <w:rsid w:val="00CD6BDF"/>
    <w:rsid w:val="00CD6C0A"/>
    <w:rsid w:val="00CD6C56"/>
    <w:rsid w:val="00CD6C5E"/>
    <w:rsid w:val="00CD6C6A"/>
    <w:rsid w:val="00CD6C94"/>
    <w:rsid w:val="00CD6D16"/>
    <w:rsid w:val="00CD6D1D"/>
    <w:rsid w:val="00CD6D22"/>
    <w:rsid w:val="00CD6DBB"/>
    <w:rsid w:val="00CD6DF1"/>
    <w:rsid w:val="00CD6E75"/>
    <w:rsid w:val="00CD6E78"/>
    <w:rsid w:val="00CD7016"/>
    <w:rsid w:val="00CD7028"/>
    <w:rsid w:val="00CD712B"/>
    <w:rsid w:val="00CD7175"/>
    <w:rsid w:val="00CD727B"/>
    <w:rsid w:val="00CD7316"/>
    <w:rsid w:val="00CD7359"/>
    <w:rsid w:val="00CD735D"/>
    <w:rsid w:val="00CD737E"/>
    <w:rsid w:val="00CD73DC"/>
    <w:rsid w:val="00CD749E"/>
    <w:rsid w:val="00CD74D4"/>
    <w:rsid w:val="00CD74F4"/>
    <w:rsid w:val="00CD7561"/>
    <w:rsid w:val="00CD7569"/>
    <w:rsid w:val="00CD7597"/>
    <w:rsid w:val="00CD7598"/>
    <w:rsid w:val="00CD75B1"/>
    <w:rsid w:val="00CD75E9"/>
    <w:rsid w:val="00CD7615"/>
    <w:rsid w:val="00CD7621"/>
    <w:rsid w:val="00CD765A"/>
    <w:rsid w:val="00CD765D"/>
    <w:rsid w:val="00CD7660"/>
    <w:rsid w:val="00CD7931"/>
    <w:rsid w:val="00CD7969"/>
    <w:rsid w:val="00CD7A11"/>
    <w:rsid w:val="00CD7A54"/>
    <w:rsid w:val="00CD7ACD"/>
    <w:rsid w:val="00CD7BE5"/>
    <w:rsid w:val="00CD7BF3"/>
    <w:rsid w:val="00CD7BFE"/>
    <w:rsid w:val="00CD7C1E"/>
    <w:rsid w:val="00CD7C57"/>
    <w:rsid w:val="00CD7C89"/>
    <w:rsid w:val="00CD7C99"/>
    <w:rsid w:val="00CD7CA8"/>
    <w:rsid w:val="00CD7CED"/>
    <w:rsid w:val="00CD7CFE"/>
    <w:rsid w:val="00CD7DCA"/>
    <w:rsid w:val="00CD7DCF"/>
    <w:rsid w:val="00CD7E53"/>
    <w:rsid w:val="00CD7E61"/>
    <w:rsid w:val="00CD7E88"/>
    <w:rsid w:val="00CD7ECC"/>
    <w:rsid w:val="00CD7FC6"/>
    <w:rsid w:val="00CE000D"/>
    <w:rsid w:val="00CE0022"/>
    <w:rsid w:val="00CE0146"/>
    <w:rsid w:val="00CE0158"/>
    <w:rsid w:val="00CE01AF"/>
    <w:rsid w:val="00CE01DE"/>
    <w:rsid w:val="00CE0220"/>
    <w:rsid w:val="00CE02EE"/>
    <w:rsid w:val="00CE0333"/>
    <w:rsid w:val="00CE0352"/>
    <w:rsid w:val="00CE03B5"/>
    <w:rsid w:val="00CE03CC"/>
    <w:rsid w:val="00CE03F0"/>
    <w:rsid w:val="00CE0400"/>
    <w:rsid w:val="00CE041B"/>
    <w:rsid w:val="00CE041F"/>
    <w:rsid w:val="00CE04D0"/>
    <w:rsid w:val="00CE0534"/>
    <w:rsid w:val="00CE054F"/>
    <w:rsid w:val="00CE064B"/>
    <w:rsid w:val="00CE06BD"/>
    <w:rsid w:val="00CE06F0"/>
    <w:rsid w:val="00CE071F"/>
    <w:rsid w:val="00CE074D"/>
    <w:rsid w:val="00CE0820"/>
    <w:rsid w:val="00CE08D2"/>
    <w:rsid w:val="00CE09AA"/>
    <w:rsid w:val="00CE0A0E"/>
    <w:rsid w:val="00CE0A53"/>
    <w:rsid w:val="00CE0A66"/>
    <w:rsid w:val="00CE0A88"/>
    <w:rsid w:val="00CE0A8E"/>
    <w:rsid w:val="00CE0AFF"/>
    <w:rsid w:val="00CE0BF3"/>
    <w:rsid w:val="00CE0C51"/>
    <w:rsid w:val="00CE0CE3"/>
    <w:rsid w:val="00CE0D7D"/>
    <w:rsid w:val="00CE0DDF"/>
    <w:rsid w:val="00CE0E22"/>
    <w:rsid w:val="00CE0EC1"/>
    <w:rsid w:val="00CE10DD"/>
    <w:rsid w:val="00CE10E6"/>
    <w:rsid w:val="00CE10EC"/>
    <w:rsid w:val="00CE114E"/>
    <w:rsid w:val="00CE1339"/>
    <w:rsid w:val="00CE135E"/>
    <w:rsid w:val="00CE136D"/>
    <w:rsid w:val="00CE142C"/>
    <w:rsid w:val="00CE1439"/>
    <w:rsid w:val="00CE14B8"/>
    <w:rsid w:val="00CE14FA"/>
    <w:rsid w:val="00CE15BA"/>
    <w:rsid w:val="00CE1600"/>
    <w:rsid w:val="00CE1729"/>
    <w:rsid w:val="00CE1731"/>
    <w:rsid w:val="00CE1768"/>
    <w:rsid w:val="00CE177D"/>
    <w:rsid w:val="00CE178A"/>
    <w:rsid w:val="00CE185A"/>
    <w:rsid w:val="00CE1879"/>
    <w:rsid w:val="00CE18D5"/>
    <w:rsid w:val="00CE1914"/>
    <w:rsid w:val="00CE1A92"/>
    <w:rsid w:val="00CE1B0F"/>
    <w:rsid w:val="00CE1B4B"/>
    <w:rsid w:val="00CE1B57"/>
    <w:rsid w:val="00CE1B71"/>
    <w:rsid w:val="00CE1B78"/>
    <w:rsid w:val="00CE1B87"/>
    <w:rsid w:val="00CE1BBD"/>
    <w:rsid w:val="00CE1C78"/>
    <w:rsid w:val="00CE1CA5"/>
    <w:rsid w:val="00CE1CFC"/>
    <w:rsid w:val="00CE1E98"/>
    <w:rsid w:val="00CE1EA4"/>
    <w:rsid w:val="00CE1ED0"/>
    <w:rsid w:val="00CE1EEA"/>
    <w:rsid w:val="00CE1FBD"/>
    <w:rsid w:val="00CE1FD3"/>
    <w:rsid w:val="00CE1FDB"/>
    <w:rsid w:val="00CE202F"/>
    <w:rsid w:val="00CE2073"/>
    <w:rsid w:val="00CE20F3"/>
    <w:rsid w:val="00CE2113"/>
    <w:rsid w:val="00CE2141"/>
    <w:rsid w:val="00CE215F"/>
    <w:rsid w:val="00CE2197"/>
    <w:rsid w:val="00CE231A"/>
    <w:rsid w:val="00CE23A2"/>
    <w:rsid w:val="00CE23F4"/>
    <w:rsid w:val="00CE2404"/>
    <w:rsid w:val="00CE2418"/>
    <w:rsid w:val="00CE2446"/>
    <w:rsid w:val="00CE244D"/>
    <w:rsid w:val="00CE248A"/>
    <w:rsid w:val="00CE248F"/>
    <w:rsid w:val="00CE2490"/>
    <w:rsid w:val="00CE24C9"/>
    <w:rsid w:val="00CE263C"/>
    <w:rsid w:val="00CE2663"/>
    <w:rsid w:val="00CE26D4"/>
    <w:rsid w:val="00CE26E2"/>
    <w:rsid w:val="00CE2704"/>
    <w:rsid w:val="00CE27D3"/>
    <w:rsid w:val="00CE2835"/>
    <w:rsid w:val="00CE284D"/>
    <w:rsid w:val="00CE289D"/>
    <w:rsid w:val="00CE28E4"/>
    <w:rsid w:val="00CE2930"/>
    <w:rsid w:val="00CE29A7"/>
    <w:rsid w:val="00CE29EA"/>
    <w:rsid w:val="00CE29F4"/>
    <w:rsid w:val="00CE2A72"/>
    <w:rsid w:val="00CE2AA0"/>
    <w:rsid w:val="00CE2AEC"/>
    <w:rsid w:val="00CE2AF2"/>
    <w:rsid w:val="00CE2B14"/>
    <w:rsid w:val="00CE2B30"/>
    <w:rsid w:val="00CE2B3A"/>
    <w:rsid w:val="00CE2B59"/>
    <w:rsid w:val="00CE2BF9"/>
    <w:rsid w:val="00CE2C29"/>
    <w:rsid w:val="00CE2C32"/>
    <w:rsid w:val="00CE2C42"/>
    <w:rsid w:val="00CE2CB7"/>
    <w:rsid w:val="00CE2D69"/>
    <w:rsid w:val="00CE2E96"/>
    <w:rsid w:val="00CE2EE3"/>
    <w:rsid w:val="00CE2F26"/>
    <w:rsid w:val="00CE2FEB"/>
    <w:rsid w:val="00CE3005"/>
    <w:rsid w:val="00CE30E6"/>
    <w:rsid w:val="00CE3126"/>
    <w:rsid w:val="00CE31A8"/>
    <w:rsid w:val="00CE322E"/>
    <w:rsid w:val="00CE324D"/>
    <w:rsid w:val="00CE32F7"/>
    <w:rsid w:val="00CE331C"/>
    <w:rsid w:val="00CE333E"/>
    <w:rsid w:val="00CE3351"/>
    <w:rsid w:val="00CE3380"/>
    <w:rsid w:val="00CE3473"/>
    <w:rsid w:val="00CE3583"/>
    <w:rsid w:val="00CE35EF"/>
    <w:rsid w:val="00CE3622"/>
    <w:rsid w:val="00CE3624"/>
    <w:rsid w:val="00CE3653"/>
    <w:rsid w:val="00CE371C"/>
    <w:rsid w:val="00CE3728"/>
    <w:rsid w:val="00CE3790"/>
    <w:rsid w:val="00CE37C6"/>
    <w:rsid w:val="00CE37FF"/>
    <w:rsid w:val="00CE380A"/>
    <w:rsid w:val="00CE3867"/>
    <w:rsid w:val="00CE3910"/>
    <w:rsid w:val="00CE39A9"/>
    <w:rsid w:val="00CE39FD"/>
    <w:rsid w:val="00CE3AF3"/>
    <w:rsid w:val="00CE3AF5"/>
    <w:rsid w:val="00CE3BBE"/>
    <w:rsid w:val="00CE3C01"/>
    <w:rsid w:val="00CE3CA6"/>
    <w:rsid w:val="00CE3D17"/>
    <w:rsid w:val="00CE3DA5"/>
    <w:rsid w:val="00CE3F2C"/>
    <w:rsid w:val="00CE3F59"/>
    <w:rsid w:val="00CE3FAB"/>
    <w:rsid w:val="00CE3FB4"/>
    <w:rsid w:val="00CE3FF8"/>
    <w:rsid w:val="00CE405F"/>
    <w:rsid w:val="00CE406D"/>
    <w:rsid w:val="00CE4072"/>
    <w:rsid w:val="00CE430C"/>
    <w:rsid w:val="00CE4310"/>
    <w:rsid w:val="00CE4311"/>
    <w:rsid w:val="00CE4341"/>
    <w:rsid w:val="00CE4371"/>
    <w:rsid w:val="00CE43BB"/>
    <w:rsid w:val="00CE44A1"/>
    <w:rsid w:val="00CE44E4"/>
    <w:rsid w:val="00CE450E"/>
    <w:rsid w:val="00CE463D"/>
    <w:rsid w:val="00CE4670"/>
    <w:rsid w:val="00CE467F"/>
    <w:rsid w:val="00CE4709"/>
    <w:rsid w:val="00CE470D"/>
    <w:rsid w:val="00CE472C"/>
    <w:rsid w:val="00CE473F"/>
    <w:rsid w:val="00CE4832"/>
    <w:rsid w:val="00CE48AB"/>
    <w:rsid w:val="00CE48B9"/>
    <w:rsid w:val="00CE491C"/>
    <w:rsid w:val="00CE492E"/>
    <w:rsid w:val="00CE4951"/>
    <w:rsid w:val="00CE4978"/>
    <w:rsid w:val="00CE49C9"/>
    <w:rsid w:val="00CE4A9F"/>
    <w:rsid w:val="00CE4B27"/>
    <w:rsid w:val="00CE4B78"/>
    <w:rsid w:val="00CE4BB6"/>
    <w:rsid w:val="00CE4C8E"/>
    <w:rsid w:val="00CE4CD9"/>
    <w:rsid w:val="00CE4CEA"/>
    <w:rsid w:val="00CE4D62"/>
    <w:rsid w:val="00CE4D76"/>
    <w:rsid w:val="00CE4DC6"/>
    <w:rsid w:val="00CE4E23"/>
    <w:rsid w:val="00CE4E6A"/>
    <w:rsid w:val="00CE4E85"/>
    <w:rsid w:val="00CE4F56"/>
    <w:rsid w:val="00CE4F5B"/>
    <w:rsid w:val="00CE4F9E"/>
    <w:rsid w:val="00CE508B"/>
    <w:rsid w:val="00CE50B1"/>
    <w:rsid w:val="00CE5122"/>
    <w:rsid w:val="00CE5133"/>
    <w:rsid w:val="00CE5152"/>
    <w:rsid w:val="00CE5186"/>
    <w:rsid w:val="00CE521A"/>
    <w:rsid w:val="00CE5338"/>
    <w:rsid w:val="00CE534E"/>
    <w:rsid w:val="00CE5351"/>
    <w:rsid w:val="00CE53A8"/>
    <w:rsid w:val="00CE54D8"/>
    <w:rsid w:val="00CE550D"/>
    <w:rsid w:val="00CE5529"/>
    <w:rsid w:val="00CE5669"/>
    <w:rsid w:val="00CE566D"/>
    <w:rsid w:val="00CE5674"/>
    <w:rsid w:val="00CE5689"/>
    <w:rsid w:val="00CE5692"/>
    <w:rsid w:val="00CE56EC"/>
    <w:rsid w:val="00CE5761"/>
    <w:rsid w:val="00CE5878"/>
    <w:rsid w:val="00CE590A"/>
    <w:rsid w:val="00CE5944"/>
    <w:rsid w:val="00CE5989"/>
    <w:rsid w:val="00CE5A07"/>
    <w:rsid w:val="00CE5A0F"/>
    <w:rsid w:val="00CE5C92"/>
    <w:rsid w:val="00CE5C9F"/>
    <w:rsid w:val="00CE5D03"/>
    <w:rsid w:val="00CE5D81"/>
    <w:rsid w:val="00CE5E0C"/>
    <w:rsid w:val="00CE5E0D"/>
    <w:rsid w:val="00CE5E30"/>
    <w:rsid w:val="00CE5E4F"/>
    <w:rsid w:val="00CE5E74"/>
    <w:rsid w:val="00CE5EAF"/>
    <w:rsid w:val="00CE5F4B"/>
    <w:rsid w:val="00CE605A"/>
    <w:rsid w:val="00CE60E8"/>
    <w:rsid w:val="00CE6149"/>
    <w:rsid w:val="00CE6152"/>
    <w:rsid w:val="00CE61A2"/>
    <w:rsid w:val="00CE61A7"/>
    <w:rsid w:val="00CE61C5"/>
    <w:rsid w:val="00CE61FC"/>
    <w:rsid w:val="00CE6215"/>
    <w:rsid w:val="00CE62F6"/>
    <w:rsid w:val="00CE63C7"/>
    <w:rsid w:val="00CE63F8"/>
    <w:rsid w:val="00CE6496"/>
    <w:rsid w:val="00CE6652"/>
    <w:rsid w:val="00CE6654"/>
    <w:rsid w:val="00CE66B4"/>
    <w:rsid w:val="00CE6788"/>
    <w:rsid w:val="00CE682E"/>
    <w:rsid w:val="00CE6851"/>
    <w:rsid w:val="00CE6873"/>
    <w:rsid w:val="00CE6893"/>
    <w:rsid w:val="00CE68F3"/>
    <w:rsid w:val="00CE6949"/>
    <w:rsid w:val="00CE694A"/>
    <w:rsid w:val="00CE69E0"/>
    <w:rsid w:val="00CE6A18"/>
    <w:rsid w:val="00CE6ABB"/>
    <w:rsid w:val="00CE6AFD"/>
    <w:rsid w:val="00CE6C0E"/>
    <w:rsid w:val="00CE6CCB"/>
    <w:rsid w:val="00CE6D2E"/>
    <w:rsid w:val="00CE6D63"/>
    <w:rsid w:val="00CE6D75"/>
    <w:rsid w:val="00CE6E98"/>
    <w:rsid w:val="00CE6F7E"/>
    <w:rsid w:val="00CE6FA5"/>
    <w:rsid w:val="00CE7092"/>
    <w:rsid w:val="00CE70AF"/>
    <w:rsid w:val="00CE70E2"/>
    <w:rsid w:val="00CE70E9"/>
    <w:rsid w:val="00CE712D"/>
    <w:rsid w:val="00CE7186"/>
    <w:rsid w:val="00CE71E8"/>
    <w:rsid w:val="00CE7210"/>
    <w:rsid w:val="00CE72B8"/>
    <w:rsid w:val="00CE7300"/>
    <w:rsid w:val="00CE7405"/>
    <w:rsid w:val="00CE7581"/>
    <w:rsid w:val="00CE7595"/>
    <w:rsid w:val="00CE75B6"/>
    <w:rsid w:val="00CE766A"/>
    <w:rsid w:val="00CE7734"/>
    <w:rsid w:val="00CE77E4"/>
    <w:rsid w:val="00CE77E9"/>
    <w:rsid w:val="00CE783E"/>
    <w:rsid w:val="00CE78BE"/>
    <w:rsid w:val="00CE78C1"/>
    <w:rsid w:val="00CE7950"/>
    <w:rsid w:val="00CE7A3E"/>
    <w:rsid w:val="00CE7A54"/>
    <w:rsid w:val="00CE7A60"/>
    <w:rsid w:val="00CE7B2A"/>
    <w:rsid w:val="00CE7B4D"/>
    <w:rsid w:val="00CE7D85"/>
    <w:rsid w:val="00CE7DB7"/>
    <w:rsid w:val="00CE7E5E"/>
    <w:rsid w:val="00CE7E90"/>
    <w:rsid w:val="00CE7EBD"/>
    <w:rsid w:val="00CE7F1F"/>
    <w:rsid w:val="00CE7F3D"/>
    <w:rsid w:val="00CE7F4F"/>
    <w:rsid w:val="00CE7F8C"/>
    <w:rsid w:val="00CF001C"/>
    <w:rsid w:val="00CF002B"/>
    <w:rsid w:val="00CF014C"/>
    <w:rsid w:val="00CF0180"/>
    <w:rsid w:val="00CF01C0"/>
    <w:rsid w:val="00CF01C6"/>
    <w:rsid w:val="00CF01EE"/>
    <w:rsid w:val="00CF01F3"/>
    <w:rsid w:val="00CF022C"/>
    <w:rsid w:val="00CF023D"/>
    <w:rsid w:val="00CF028B"/>
    <w:rsid w:val="00CF0326"/>
    <w:rsid w:val="00CF0341"/>
    <w:rsid w:val="00CF03A0"/>
    <w:rsid w:val="00CF045A"/>
    <w:rsid w:val="00CF050E"/>
    <w:rsid w:val="00CF0619"/>
    <w:rsid w:val="00CF06BB"/>
    <w:rsid w:val="00CF06FF"/>
    <w:rsid w:val="00CF072D"/>
    <w:rsid w:val="00CF079F"/>
    <w:rsid w:val="00CF0845"/>
    <w:rsid w:val="00CF08CD"/>
    <w:rsid w:val="00CF091F"/>
    <w:rsid w:val="00CF0A35"/>
    <w:rsid w:val="00CF0B6F"/>
    <w:rsid w:val="00CF0B84"/>
    <w:rsid w:val="00CF0B9D"/>
    <w:rsid w:val="00CF0CBD"/>
    <w:rsid w:val="00CF0CE6"/>
    <w:rsid w:val="00CF0CF2"/>
    <w:rsid w:val="00CF0D3D"/>
    <w:rsid w:val="00CF0DAC"/>
    <w:rsid w:val="00CF0F3B"/>
    <w:rsid w:val="00CF0F67"/>
    <w:rsid w:val="00CF0F97"/>
    <w:rsid w:val="00CF0F9C"/>
    <w:rsid w:val="00CF101C"/>
    <w:rsid w:val="00CF1033"/>
    <w:rsid w:val="00CF105A"/>
    <w:rsid w:val="00CF1097"/>
    <w:rsid w:val="00CF10E1"/>
    <w:rsid w:val="00CF10E7"/>
    <w:rsid w:val="00CF10EB"/>
    <w:rsid w:val="00CF111A"/>
    <w:rsid w:val="00CF1128"/>
    <w:rsid w:val="00CF11A3"/>
    <w:rsid w:val="00CF1269"/>
    <w:rsid w:val="00CF128D"/>
    <w:rsid w:val="00CF12A0"/>
    <w:rsid w:val="00CF13DA"/>
    <w:rsid w:val="00CF13E4"/>
    <w:rsid w:val="00CF13FA"/>
    <w:rsid w:val="00CF1405"/>
    <w:rsid w:val="00CF1535"/>
    <w:rsid w:val="00CF1598"/>
    <w:rsid w:val="00CF15BE"/>
    <w:rsid w:val="00CF15CB"/>
    <w:rsid w:val="00CF1609"/>
    <w:rsid w:val="00CF1621"/>
    <w:rsid w:val="00CF1677"/>
    <w:rsid w:val="00CF1834"/>
    <w:rsid w:val="00CF1846"/>
    <w:rsid w:val="00CF1855"/>
    <w:rsid w:val="00CF189F"/>
    <w:rsid w:val="00CF1962"/>
    <w:rsid w:val="00CF1981"/>
    <w:rsid w:val="00CF19E4"/>
    <w:rsid w:val="00CF1B25"/>
    <w:rsid w:val="00CF1B5B"/>
    <w:rsid w:val="00CF1B8D"/>
    <w:rsid w:val="00CF1BD2"/>
    <w:rsid w:val="00CF1C35"/>
    <w:rsid w:val="00CF1C4B"/>
    <w:rsid w:val="00CF1CF7"/>
    <w:rsid w:val="00CF1D16"/>
    <w:rsid w:val="00CF1D88"/>
    <w:rsid w:val="00CF1DA2"/>
    <w:rsid w:val="00CF1DEC"/>
    <w:rsid w:val="00CF1EB4"/>
    <w:rsid w:val="00CF1EB9"/>
    <w:rsid w:val="00CF1EBA"/>
    <w:rsid w:val="00CF1F1A"/>
    <w:rsid w:val="00CF1F22"/>
    <w:rsid w:val="00CF1F28"/>
    <w:rsid w:val="00CF1FAB"/>
    <w:rsid w:val="00CF1FD9"/>
    <w:rsid w:val="00CF2048"/>
    <w:rsid w:val="00CF2050"/>
    <w:rsid w:val="00CF20FF"/>
    <w:rsid w:val="00CF2163"/>
    <w:rsid w:val="00CF2174"/>
    <w:rsid w:val="00CF21A0"/>
    <w:rsid w:val="00CF21AC"/>
    <w:rsid w:val="00CF21D5"/>
    <w:rsid w:val="00CF21FF"/>
    <w:rsid w:val="00CF2280"/>
    <w:rsid w:val="00CF22AC"/>
    <w:rsid w:val="00CF22BD"/>
    <w:rsid w:val="00CF2332"/>
    <w:rsid w:val="00CF2347"/>
    <w:rsid w:val="00CF237E"/>
    <w:rsid w:val="00CF23E5"/>
    <w:rsid w:val="00CF242E"/>
    <w:rsid w:val="00CF2434"/>
    <w:rsid w:val="00CF243F"/>
    <w:rsid w:val="00CF24E2"/>
    <w:rsid w:val="00CF24F4"/>
    <w:rsid w:val="00CF25DB"/>
    <w:rsid w:val="00CF269C"/>
    <w:rsid w:val="00CF26AD"/>
    <w:rsid w:val="00CF2749"/>
    <w:rsid w:val="00CF283C"/>
    <w:rsid w:val="00CF286A"/>
    <w:rsid w:val="00CF287A"/>
    <w:rsid w:val="00CF28E1"/>
    <w:rsid w:val="00CF29F3"/>
    <w:rsid w:val="00CF2A0E"/>
    <w:rsid w:val="00CF2AA0"/>
    <w:rsid w:val="00CF2ADF"/>
    <w:rsid w:val="00CF2B15"/>
    <w:rsid w:val="00CF2BAC"/>
    <w:rsid w:val="00CF2C1A"/>
    <w:rsid w:val="00CF2C90"/>
    <w:rsid w:val="00CF2CEB"/>
    <w:rsid w:val="00CF2CEC"/>
    <w:rsid w:val="00CF2DD2"/>
    <w:rsid w:val="00CF2E02"/>
    <w:rsid w:val="00CF2E39"/>
    <w:rsid w:val="00CF2E68"/>
    <w:rsid w:val="00CF2ED8"/>
    <w:rsid w:val="00CF2F6A"/>
    <w:rsid w:val="00CF2F9F"/>
    <w:rsid w:val="00CF2FC3"/>
    <w:rsid w:val="00CF2FFA"/>
    <w:rsid w:val="00CF303B"/>
    <w:rsid w:val="00CF30C7"/>
    <w:rsid w:val="00CF3123"/>
    <w:rsid w:val="00CF3158"/>
    <w:rsid w:val="00CF31C4"/>
    <w:rsid w:val="00CF31DB"/>
    <w:rsid w:val="00CF31EE"/>
    <w:rsid w:val="00CF3200"/>
    <w:rsid w:val="00CF320E"/>
    <w:rsid w:val="00CF3295"/>
    <w:rsid w:val="00CF33F5"/>
    <w:rsid w:val="00CF33F6"/>
    <w:rsid w:val="00CF342F"/>
    <w:rsid w:val="00CF3476"/>
    <w:rsid w:val="00CF348D"/>
    <w:rsid w:val="00CF34A2"/>
    <w:rsid w:val="00CF34D6"/>
    <w:rsid w:val="00CF3566"/>
    <w:rsid w:val="00CF35B3"/>
    <w:rsid w:val="00CF3619"/>
    <w:rsid w:val="00CF3690"/>
    <w:rsid w:val="00CF36DD"/>
    <w:rsid w:val="00CF3766"/>
    <w:rsid w:val="00CF3798"/>
    <w:rsid w:val="00CF37AB"/>
    <w:rsid w:val="00CF385F"/>
    <w:rsid w:val="00CF388B"/>
    <w:rsid w:val="00CF38E9"/>
    <w:rsid w:val="00CF3956"/>
    <w:rsid w:val="00CF398D"/>
    <w:rsid w:val="00CF39E4"/>
    <w:rsid w:val="00CF3A1B"/>
    <w:rsid w:val="00CF3A7D"/>
    <w:rsid w:val="00CF3A94"/>
    <w:rsid w:val="00CF3AF5"/>
    <w:rsid w:val="00CF3B01"/>
    <w:rsid w:val="00CF3B0A"/>
    <w:rsid w:val="00CF3B2E"/>
    <w:rsid w:val="00CF3B3B"/>
    <w:rsid w:val="00CF3CC7"/>
    <w:rsid w:val="00CF3CC8"/>
    <w:rsid w:val="00CF3CDE"/>
    <w:rsid w:val="00CF3CF4"/>
    <w:rsid w:val="00CF3D46"/>
    <w:rsid w:val="00CF3D4F"/>
    <w:rsid w:val="00CF3DAB"/>
    <w:rsid w:val="00CF3DD2"/>
    <w:rsid w:val="00CF3E7D"/>
    <w:rsid w:val="00CF3EAD"/>
    <w:rsid w:val="00CF3EEA"/>
    <w:rsid w:val="00CF3F55"/>
    <w:rsid w:val="00CF3FA4"/>
    <w:rsid w:val="00CF4011"/>
    <w:rsid w:val="00CF4072"/>
    <w:rsid w:val="00CF40D0"/>
    <w:rsid w:val="00CF412F"/>
    <w:rsid w:val="00CF418B"/>
    <w:rsid w:val="00CF4201"/>
    <w:rsid w:val="00CF4251"/>
    <w:rsid w:val="00CF4296"/>
    <w:rsid w:val="00CF4322"/>
    <w:rsid w:val="00CF4325"/>
    <w:rsid w:val="00CF439F"/>
    <w:rsid w:val="00CF451E"/>
    <w:rsid w:val="00CF45D2"/>
    <w:rsid w:val="00CF4637"/>
    <w:rsid w:val="00CF46B7"/>
    <w:rsid w:val="00CF46DA"/>
    <w:rsid w:val="00CF4756"/>
    <w:rsid w:val="00CF477F"/>
    <w:rsid w:val="00CF47CF"/>
    <w:rsid w:val="00CF47E7"/>
    <w:rsid w:val="00CF47FC"/>
    <w:rsid w:val="00CF4852"/>
    <w:rsid w:val="00CF4885"/>
    <w:rsid w:val="00CF488B"/>
    <w:rsid w:val="00CF48C1"/>
    <w:rsid w:val="00CF48F4"/>
    <w:rsid w:val="00CF493F"/>
    <w:rsid w:val="00CF4983"/>
    <w:rsid w:val="00CF49A9"/>
    <w:rsid w:val="00CF49E1"/>
    <w:rsid w:val="00CF49EF"/>
    <w:rsid w:val="00CF4A00"/>
    <w:rsid w:val="00CF4A70"/>
    <w:rsid w:val="00CF4AB4"/>
    <w:rsid w:val="00CF4AFF"/>
    <w:rsid w:val="00CF4BCA"/>
    <w:rsid w:val="00CF4C29"/>
    <w:rsid w:val="00CF4C4D"/>
    <w:rsid w:val="00CF4C71"/>
    <w:rsid w:val="00CF4CDE"/>
    <w:rsid w:val="00CF4D1E"/>
    <w:rsid w:val="00CF4D38"/>
    <w:rsid w:val="00CF4D6D"/>
    <w:rsid w:val="00CF4DB7"/>
    <w:rsid w:val="00CF4E59"/>
    <w:rsid w:val="00CF4EDD"/>
    <w:rsid w:val="00CF4F8E"/>
    <w:rsid w:val="00CF4FA9"/>
    <w:rsid w:val="00CF5028"/>
    <w:rsid w:val="00CF503A"/>
    <w:rsid w:val="00CF505E"/>
    <w:rsid w:val="00CF50BD"/>
    <w:rsid w:val="00CF50FC"/>
    <w:rsid w:val="00CF5212"/>
    <w:rsid w:val="00CF52F8"/>
    <w:rsid w:val="00CF5374"/>
    <w:rsid w:val="00CF53ED"/>
    <w:rsid w:val="00CF5472"/>
    <w:rsid w:val="00CF54DC"/>
    <w:rsid w:val="00CF54E2"/>
    <w:rsid w:val="00CF54FC"/>
    <w:rsid w:val="00CF5525"/>
    <w:rsid w:val="00CF557B"/>
    <w:rsid w:val="00CF560D"/>
    <w:rsid w:val="00CF561F"/>
    <w:rsid w:val="00CF56FB"/>
    <w:rsid w:val="00CF5715"/>
    <w:rsid w:val="00CF576E"/>
    <w:rsid w:val="00CF577F"/>
    <w:rsid w:val="00CF57D8"/>
    <w:rsid w:val="00CF58A3"/>
    <w:rsid w:val="00CF58E0"/>
    <w:rsid w:val="00CF58EB"/>
    <w:rsid w:val="00CF590A"/>
    <w:rsid w:val="00CF591F"/>
    <w:rsid w:val="00CF59C7"/>
    <w:rsid w:val="00CF5A69"/>
    <w:rsid w:val="00CF5AA0"/>
    <w:rsid w:val="00CF5AAD"/>
    <w:rsid w:val="00CF5B28"/>
    <w:rsid w:val="00CF5BF7"/>
    <w:rsid w:val="00CF5D1D"/>
    <w:rsid w:val="00CF5D71"/>
    <w:rsid w:val="00CF5DE7"/>
    <w:rsid w:val="00CF5E7E"/>
    <w:rsid w:val="00CF5ECF"/>
    <w:rsid w:val="00CF5ED9"/>
    <w:rsid w:val="00CF5F91"/>
    <w:rsid w:val="00CF6031"/>
    <w:rsid w:val="00CF60E2"/>
    <w:rsid w:val="00CF60F4"/>
    <w:rsid w:val="00CF6147"/>
    <w:rsid w:val="00CF6268"/>
    <w:rsid w:val="00CF6269"/>
    <w:rsid w:val="00CF632D"/>
    <w:rsid w:val="00CF633D"/>
    <w:rsid w:val="00CF642B"/>
    <w:rsid w:val="00CF64D7"/>
    <w:rsid w:val="00CF65B6"/>
    <w:rsid w:val="00CF65FF"/>
    <w:rsid w:val="00CF665F"/>
    <w:rsid w:val="00CF66F9"/>
    <w:rsid w:val="00CF6728"/>
    <w:rsid w:val="00CF67AD"/>
    <w:rsid w:val="00CF68A1"/>
    <w:rsid w:val="00CF68B2"/>
    <w:rsid w:val="00CF6935"/>
    <w:rsid w:val="00CF694F"/>
    <w:rsid w:val="00CF6ABF"/>
    <w:rsid w:val="00CF6B26"/>
    <w:rsid w:val="00CF6B73"/>
    <w:rsid w:val="00CF6BE2"/>
    <w:rsid w:val="00CF6C80"/>
    <w:rsid w:val="00CF6C82"/>
    <w:rsid w:val="00CF6D26"/>
    <w:rsid w:val="00CF6D57"/>
    <w:rsid w:val="00CF6D81"/>
    <w:rsid w:val="00CF6DD0"/>
    <w:rsid w:val="00CF6DE8"/>
    <w:rsid w:val="00CF6DF3"/>
    <w:rsid w:val="00CF6ED5"/>
    <w:rsid w:val="00CF6EF1"/>
    <w:rsid w:val="00CF6FBF"/>
    <w:rsid w:val="00CF7011"/>
    <w:rsid w:val="00CF7015"/>
    <w:rsid w:val="00CF704C"/>
    <w:rsid w:val="00CF70ED"/>
    <w:rsid w:val="00CF7144"/>
    <w:rsid w:val="00CF71AF"/>
    <w:rsid w:val="00CF731A"/>
    <w:rsid w:val="00CF743D"/>
    <w:rsid w:val="00CF7534"/>
    <w:rsid w:val="00CF756D"/>
    <w:rsid w:val="00CF75AB"/>
    <w:rsid w:val="00CF75B4"/>
    <w:rsid w:val="00CF767F"/>
    <w:rsid w:val="00CF76A5"/>
    <w:rsid w:val="00CF7735"/>
    <w:rsid w:val="00CF7796"/>
    <w:rsid w:val="00CF77C0"/>
    <w:rsid w:val="00CF7914"/>
    <w:rsid w:val="00CF79DD"/>
    <w:rsid w:val="00CF7A3A"/>
    <w:rsid w:val="00CF7A6B"/>
    <w:rsid w:val="00CF7B4A"/>
    <w:rsid w:val="00CF7BAF"/>
    <w:rsid w:val="00CF7BE8"/>
    <w:rsid w:val="00CF7C28"/>
    <w:rsid w:val="00CF7C8A"/>
    <w:rsid w:val="00CF7D38"/>
    <w:rsid w:val="00CF7D66"/>
    <w:rsid w:val="00CF7DD3"/>
    <w:rsid w:val="00CF7F11"/>
    <w:rsid w:val="00CF7FD1"/>
    <w:rsid w:val="00D00045"/>
    <w:rsid w:val="00D002EC"/>
    <w:rsid w:val="00D00323"/>
    <w:rsid w:val="00D00342"/>
    <w:rsid w:val="00D00351"/>
    <w:rsid w:val="00D0037F"/>
    <w:rsid w:val="00D00381"/>
    <w:rsid w:val="00D0039A"/>
    <w:rsid w:val="00D003E1"/>
    <w:rsid w:val="00D00452"/>
    <w:rsid w:val="00D004EA"/>
    <w:rsid w:val="00D004F1"/>
    <w:rsid w:val="00D004FF"/>
    <w:rsid w:val="00D00545"/>
    <w:rsid w:val="00D0054D"/>
    <w:rsid w:val="00D00560"/>
    <w:rsid w:val="00D005B1"/>
    <w:rsid w:val="00D005E1"/>
    <w:rsid w:val="00D00608"/>
    <w:rsid w:val="00D00654"/>
    <w:rsid w:val="00D0067F"/>
    <w:rsid w:val="00D00697"/>
    <w:rsid w:val="00D006B4"/>
    <w:rsid w:val="00D00734"/>
    <w:rsid w:val="00D0073A"/>
    <w:rsid w:val="00D007E8"/>
    <w:rsid w:val="00D008F6"/>
    <w:rsid w:val="00D0099B"/>
    <w:rsid w:val="00D009B3"/>
    <w:rsid w:val="00D009D7"/>
    <w:rsid w:val="00D00B34"/>
    <w:rsid w:val="00D00B59"/>
    <w:rsid w:val="00D00B9D"/>
    <w:rsid w:val="00D00BE3"/>
    <w:rsid w:val="00D00C5F"/>
    <w:rsid w:val="00D00D9D"/>
    <w:rsid w:val="00D00DE6"/>
    <w:rsid w:val="00D00DFF"/>
    <w:rsid w:val="00D00E1E"/>
    <w:rsid w:val="00D00E3F"/>
    <w:rsid w:val="00D00ED5"/>
    <w:rsid w:val="00D00EF2"/>
    <w:rsid w:val="00D00F09"/>
    <w:rsid w:val="00D00F6F"/>
    <w:rsid w:val="00D00FA1"/>
    <w:rsid w:val="00D01091"/>
    <w:rsid w:val="00D011BC"/>
    <w:rsid w:val="00D011F9"/>
    <w:rsid w:val="00D0129C"/>
    <w:rsid w:val="00D01363"/>
    <w:rsid w:val="00D013AB"/>
    <w:rsid w:val="00D0149C"/>
    <w:rsid w:val="00D014C0"/>
    <w:rsid w:val="00D014D2"/>
    <w:rsid w:val="00D0164E"/>
    <w:rsid w:val="00D01655"/>
    <w:rsid w:val="00D016DF"/>
    <w:rsid w:val="00D016FC"/>
    <w:rsid w:val="00D0172B"/>
    <w:rsid w:val="00D01736"/>
    <w:rsid w:val="00D0175B"/>
    <w:rsid w:val="00D0176B"/>
    <w:rsid w:val="00D017BA"/>
    <w:rsid w:val="00D0180E"/>
    <w:rsid w:val="00D018A3"/>
    <w:rsid w:val="00D01937"/>
    <w:rsid w:val="00D0195F"/>
    <w:rsid w:val="00D019C4"/>
    <w:rsid w:val="00D019D9"/>
    <w:rsid w:val="00D01A45"/>
    <w:rsid w:val="00D01A4A"/>
    <w:rsid w:val="00D01A9B"/>
    <w:rsid w:val="00D01AA5"/>
    <w:rsid w:val="00D01C0E"/>
    <w:rsid w:val="00D01CC8"/>
    <w:rsid w:val="00D01CEA"/>
    <w:rsid w:val="00D01CEF"/>
    <w:rsid w:val="00D01D13"/>
    <w:rsid w:val="00D01D19"/>
    <w:rsid w:val="00D01D51"/>
    <w:rsid w:val="00D01D76"/>
    <w:rsid w:val="00D01D86"/>
    <w:rsid w:val="00D01E8B"/>
    <w:rsid w:val="00D01EAE"/>
    <w:rsid w:val="00D01F06"/>
    <w:rsid w:val="00D01F19"/>
    <w:rsid w:val="00D01F94"/>
    <w:rsid w:val="00D02011"/>
    <w:rsid w:val="00D02041"/>
    <w:rsid w:val="00D0205D"/>
    <w:rsid w:val="00D020F6"/>
    <w:rsid w:val="00D020F7"/>
    <w:rsid w:val="00D0210F"/>
    <w:rsid w:val="00D021BA"/>
    <w:rsid w:val="00D021DA"/>
    <w:rsid w:val="00D021EF"/>
    <w:rsid w:val="00D0220E"/>
    <w:rsid w:val="00D02215"/>
    <w:rsid w:val="00D02224"/>
    <w:rsid w:val="00D02277"/>
    <w:rsid w:val="00D022F5"/>
    <w:rsid w:val="00D02383"/>
    <w:rsid w:val="00D0244B"/>
    <w:rsid w:val="00D024E3"/>
    <w:rsid w:val="00D02528"/>
    <w:rsid w:val="00D0255E"/>
    <w:rsid w:val="00D02665"/>
    <w:rsid w:val="00D026CE"/>
    <w:rsid w:val="00D02740"/>
    <w:rsid w:val="00D02753"/>
    <w:rsid w:val="00D0282C"/>
    <w:rsid w:val="00D02841"/>
    <w:rsid w:val="00D02855"/>
    <w:rsid w:val="00D02881"/>
    <w:rsid w:val="00D0288D"/>
    <w:rsid w:val="00D02894"/>
    <w:rsid w:val="00D0289D"/>
    <w:rsid w:val="00D028AA"/>
    <w:rsid w:val="00D028FE"/>
    <w:rsid w:val="00D0290D"/>
    <w:rsid w:val="00D0295E"/>
    <w:rsid w:val="00D02975"/>
    <w:rsid w:val="00D029B7"/>
    <w:rsid w:val="00D029D4"/>
    <w:rsid w:val="00D02A6C"/>
    <w:rsid w:val="00D02C00"/>
    <w:rsid w:val="00D02C0C"/>
    <w:rsid w:val="00D02C2E"/>
    <w:rsid w:val="00D02C72"/>
    <w:rsid w:val="00D02CC2"/>
    <w:rsid w:val="00D02D56"/>
    <w:rsid w:val="00D02DA0"/>
    <w:rsid w:val="00D02DB3"/>
    <w:rsid w:val="00D02DCC"/>
    <w:rsid w:val="00D02EC7"/>
    <w:rsid w:val="00D02EDB"/>
    <w:rsid w:val="00D02F1A"/>
    <w:rsid w:val="00D02F59"/>
    <w:rsid w:val="00D02F5D"/>
    <w:rsid w:val="00D02F60"/>
    <w:rsid w:val="00D03076"/>
    <w:rsid w:val="00D0307B"/>
    <w:rsid w:val="00D03081"/>
    <w:rsid w:val="00D030AA"/>
    <w:rsid w:val="00D030C2"/>
    <w:rsid w:val="00D03117"/>
    <w:rsid w:val="00D0311B"/>
    <w:rsid w:val="00D03126"/>
    <w:rsid w:val="00D03134"/>
    <w:rsid w:val="00D03251"/>
    <w:rsid w:val="00D032CC"/>
    <w:rsid w:val="00D032E8"/>
    <w:rsid w:val="00D032F5"/>
    <w:rsid w:val="00D032F6"/>
    <w:rsid w:val="00D0330B"/>
    <w:rsid w:val="00D03364"/>
    <w:rsid w:val="00D033D5"/>
    <w:rsid w:val="00D0340C"/>
    <w:rsid w:val="00D034B0"/>
    <w:rsid w:val="00D034C0"/>
    <w:rsid w:val="00D034EF"/>
    <w:rsid w:val="00D034F6"/>
    <w:rsid w:val="00D03599"/>
    <w:rsid w:val="00D035D9"/>
    <w:rsid w:val="00D03646"/>
    <w:rsid w:val="00D036C0"/>
    <w:rsid w:val="00D036CC"/>
    <w:rsid w:val="00D036FB"/>
    <w:rsid w:val="00D036FF"/>
    <w:rsid w:val="00D0372E"/>
    <w:rsid w:val="00D0377E"/>
    <w:rsid w:val="00D0379D"/>
    <w:rsid w:val="00D03884"/>
    <w:rsid w:val="00D03898"/>
    <w:rsid w:val="00D0394E"/>
    <w:rsid w:val="00D039F1"/>
    <w:rsid w:val="00D03A29"/>
    <w:rsid w:val="00D03A7E"/>
    <w:rsid w:val="00D03A8A"/>
    <w:rsid w:val="00D03B25"/>
    <w:rsid w:val="00D03C7B"/>
    <w:rsid w:val="00D03D28"/>
    <w:rsid w:val="00D03D9D"/>
    <w:rsid w:val="00D03DA1"/>
    <w:rsid w:val="00D03DC9"/>
    <w:rsid w:val="00D03DD5"/>
    <w:rsid w:val="00D03DF6"/>
    <w:rsid w:val="00D03E4F"/>
    <w:rsid w:val="00D03EC0"/>
    <w:rsid w:val="00D03EC3"/>
    <w:rsid w:val="00D03F47"/>
    <w:rsid w:val="00D03F52"/>
    <w:rsid w:val="00D03F74"/>
    <w:rsid w:val="00D03F94"/>
    <w:rsid w:val="00D03FD9"/>
    <w:rsid w:val="00D0401C"/>
    <w:rsid w:val="00D04024"/>
    <w:rsid w:val="00D040EC"/>
    <w:rsid w:val="00D04103"/>
    <w:rsid w:val="00D0419A"/>
    <w:rsid w:val="00D041B1"/>
    <w:rsid w:val="00D0426B"/>
    <w:rsid w:val="00D042D9"/>
    <w:rsid w:val="00D0439D"/>
    <w:rsid w:val="00D0443C"/>
    <w:rsid w:val="00D0449A"/>
    <w:rsid w:val="00D044E9"/>
    <w:rsid w:val="00D04514"/>
    <w:rsid w:val="00D04525"/>
    <w:rsid w:val="00D04558"/>
    <w:rsid w:val="00D04586"/>
    <w:rsid w:val="00D04598"/>
    <w:rsid w:val="00D045DA"/>
    <w:rsid w:val="00D0468C"/>
    <w:rsid w:val="00D0468D"/>
    <w:rsid w:val="00D046D2"/>
    <w:rsid w:val="00D0473E"/>
    <w:rsid w:val="00D04823"/>
    <w:rsid w:val="00D04833"/>
    <w:rsid w:val="00D04864"/>
    <w:rsid w:val="00D0486F"/>
    <w:rsid w:val="00D04884"/>
    <w:rsid w:val="00D04890"/>
    <w:rsid w:val="00D04941"/>
    <w:rsid w:val="00D0496D"/>
    <w:rsid w:val="00D04975"/>
    <w:rsid w:val="00D0499A"/>
    <w:rsid w:val="00D04A04"/>
    <w:rsid w:val="00D04AE3"/>
    <w:rsid w:val="00D04B1D"/>
    <w:rsid w:val="00D04B50"/>
    <w:rsid w:val="00D04C5F"/>
    <w:rsid w:val="00D04C6D"/>
    <w:rsid w:val="00D04CB3"/>
    <w:rsid w:val="00D04CC9"/>
    <w:rsid w:val="00D04D1D"/>
    <w:rsid w:val="00D04D62"/>
    <w:rsid w:val="00D04D74"/>
    <w:rsid w:val="00D04DB8"/>
    <w:rsid w:val="00D04DC5"/>
    <w:rsid w:val="00D04DDD"/>
    <w:rsid w:val="00D04DFA"/>
    <w:rsid w:val="00D04DFE"/>
    <w:rsid w:val="00D04F0C"/>
    <w:rsid w:val="00D04F9C"/>
    <w:rsid w:val="00D04FB4"/>
    <w:rsid w:val="00D04FDB"/>
    <w:rsid w:val="00D05053"/>
    <w:rsid w:val="00D050A0"/>
    <w:rsid w:val="00D05177"/>
    <w:rsid w:val="00D051DD"/>
    <w:rsid w:val="00D0522D"/>
    <w:rsid w:val="00D052FE"/>
    <w:rsid w:val="00D053AA"/>
    <w:rsid w:val="00D053CA"/>
    <w:rsid w:val="00D053EA"/>
    <w:rsid w:val="00D0540D"/>
    <w:rsid w:val="00D05450"/>
    <w:rsid w:val="00D054AD"/>
    <w:rsid w:val="00D05508"/>
    <w:rsid w:val="00D05555"/>
    <w:rsid w:val="00D05569"/>
    <w:rsid w:val="00D0559A"/>
    <w:rsid w:val="00D055BC"/>
    <w:rsid w:val="00D05703"/>
    <w:rsid w:val="00D05758"/>
    <w:rsid w:val="00D057F0"/>
    <w:rsid w:val="00D05834"/>
    <w:rsid w:val="00D05839"/>
    <w:rsid w:val="00D05921"/>
    <w:rsid w:val="00D0597D"/>
    <w:rsid w:val="00D05A69"/>
    <w:rsid w:val="00D05AC7"/>
    <w:rsid w:val="00D05B0E"/>
    <w:rsid w:val="00D05B79"/>
    <w:rsid w:val="00D05C49"/>
    <w:rsid w:val="00D05C69"/>
    <w:rsid w:val="00D05C71"/>
    <w:rsid w:val="00D05C90"/>
    <w:rsid w:val="00D05CC7"/>
    <w:rsid w:val="00D05CD1"/>
    <w:rsid w:val="00D05CF1"/>
    <w:rsid w:val="00D05D9D"/>
    <w:rsid w:val="00D05DD9"/>
    <w:rsid w:val="00D05DF0"/>
    <w:rsid w:val="00D05E27"/>
    <w:rsid w:val="00D05E57"/>
    <w:rsid w:val="00D05E68"/>
    <w:rsid w:val="00D05E72"/>
    <w:rsid w:val="00D05F1D"/>
    <w:rsid w:val="00D05FF4"/>
    <w:rsid w:val="00D0607C"/>
    <w:rsid w:val="00D060BC"/>
    <w:rsid w:val="00D06121"/>
    <w:rsid w:val="00D062B7"/>
    <w:rsid w:val="00D06313"/>
    <w:rsid w:val="00D0636A"/>
    <w:rsid w:val="00D063A2"/>
    <w:rsid w:val="00D06405"/>
    <w:rsid w:val="00D0643A"/>
    <w:rsid w:val="00D064C3"/>
    <w:rsid w:val="00D0657E"/>
    <w:rsid w:val="00D065F3"/>
    <w:rsid w:val="00D06627"/>
    <w:rsid w:val="00D06687"/>
    <w:rsid w:val="00D0668F"/>
    <w:rsid w:val="00D06753"/>
    <w:rsid w:val="00D06791"/>
    <w:rsid w:val="00D067B5"/>
    <w:rsid w:val="00D06838"/>
    <w:rsid w:val="00D06868"/>
    <w:rsid w:val="00D06887"/>
    <w:rsid w:val="00D06899"/>
    <w:rsid w:val="00D0689E"/>
    <w:rsid w:val="00D0694E"/>
    <w:rsid w:val="00D0699C"/>
    <w:rsid w:val="00D06A76"/>
    <w:rsid w:val="00D06A85"/>
    <w:rsid w:val="00D06AC3"/>
    <w:rsid w:val="00D06C45"/>
    <w:rsid w:val="00D06C74"/>
    <w:rsid w:val="00D06D88"/>
    <w:rsid w:val="00D06DE6"/>
    <w:rsid w:val="00D06E19"/>
    <w:rsid w:val="00D06E8F"/>
    <w:rsid w:val="00D06F09"/>
    <w:rsid w:val="00D06F76"/>
    <w:rsid w:val="00D06FA2"/>
    <w:rsid w:val="00D06FAD"/>
    <w:rsid w:val="00D070BA"/>
    <w:rsid w:val="00D07135"/>
    <w:rsid w:val="00D071C2"/>
    <w:rsid w:val="00D071E1"/>
    <w:rsid w:val="00D07239"/>
    <w:rsid w:val="00D07249"/>
    <w:rsid w:val="00D0725B"/>
    <w:rsid w:val="00D07296"/>
    <w:rsid w:val="00D07336"/>
    <w:rsid w:val="00D073DD"/>
    <w:rsid w:val="00D0748B"/>
    <w:rsid w:val="00D07536"/>
    <w:rsid w:val="00D07589"/>
    <w:rsid w:val="00D076D3"/>
    <w:rsid w:val="00D0778A"/>
    <w:rsid w:val="00D0785C"/>
    <w:rsid w:val="00D0788F"/>
    <w:rsid w:val="00D07926"/>
    <w:rsid w:val="00D07992"/>
    <w:rsid w:val="00D07993"/>
    <w:rsid w:val="00D07A2B"/>
    <w:rsid w:val="00D07A48"/>
    <w:rsid w:val="00D07ADC"/>
    <w:rsid w:val="00D07B33"/>
    <w:rsid w:val="00D07B68"/>
    <w:rsid w:val="00D07BD2"/>
    <w:rsid w:val="00D07C03"/>
    <w:rsid w:val="00D07D29"/>
    <w:rsid w:val="00D07E7F"/>
    <w:rsid w:val="00D07F0F"/>
    <w:rsid w:val="00D07FD3"/>
    <w:rsid w:val="00D07FE8"/>
    <w:rsid w:val="00D10075"/>
    <w:rsid w:val="00D100DB"/>
    <w:rsid w:val="00D100FF"/>
    <w:rsid w:val="00D10100"/>
    <w:rsid w:val="00D1021A"/>
    <w:rsid w:val="00D1021E"/>
    <w:rsid w:val="00D10268"/>
    <w:rsid w:val="00D10376"/>
    <w:rsid w:val="00D1039B"/>
    <w:rsid w:val="00D103B5"/>
    <w:rsid w:val="00D10445"/>
    <w:rsid w:val="00D104BE"/>
    <w:rsid w:val="00D104D8"/>
    <w:rsid w:val="00D105B7"/>
    <w:rsid w:val="00D105F8"/>
    <w:rsid w:val="00D1066B"/>
    <w:rsid w:val="00D10680"/>
    <w:rsid w:val="00D10699"/>
    <w:rsid w:val="00D106B6"/>
    <w:rsid w:val="00D10714"/>
    <w:rsid w:val="00D10773"/>
    <w:rsid w:val="00D107AF"/>
    <w:rsid w:val="00D10806"/>
    <w:rsid w:val="00D10876"/>
    <w:rsid w:val="00D10A09"/>
    <w:rsid w:val="00D10B7E"/>
    <w:rsid w:val="00D10BCA"/>
    <w:rsid w:val="00D10C5C"/>
    <w:rsid w:val="00D10C6E"/>
    <w:rsid w:val="00D10D12"/>
    <w:rsid w:val="00D10D71"/>
    <w:rsid w:val="00D10DC2"/>
    <w:rsid w:val="00D10DE0"/>
    <w:rsid w:val="00D10E0B"/>
    <w:rsid w:val="00D10E51"/>
    <w:rsid w:val="00D10E85"/>
    <w:rsid w:val="00D10EA9"/>
    <w:rsid w:val="00D10FBE"/>
    <w:rsid w:val="00D11094"/>
    <w:rsid w:val="00D110D7"/>
    <w:rsid w:val="00D110F5"/>
    <w:rsid w:val="00D11132"/>
    <w:rsid w:val="00D11195"/>
    <w:rsid w:val="00D111B0"/>
    <w:rsid w:val="00D111F7"/>
    <w:rsid w:val="00D1123C"/>
    <w:rsid w:val="00D11264"/>
    <w:rsid w:val="00D112BF"/>
    <w:rsid w:val="00D1138E"/>
    <w:rsid w:val="00D11395"/>
    <w:rsid w:val="00D113F7"/>
    <w:rsid w:val="00D1141A"/>
    <w:rsid w:val="00D1144C"/>
    <w:rsid w:val="00D1149D"/>
    <w:rsid w:val="00D1149F"/>
    <w:rsid w:val="00D1153E"/>
    <w:rsid w:val="00D115D6"/>
    <w:rsid w:val="00D115EA"/>
    <w:rsid w:val="00D1171D"/>
    <w:rsid w:val="00D11776"/>
    <w:rsid w:val="00D1178B"/>
    <w:rsid w:val="00D117F2"/>
    <w:rsid w:val="00D1181C"/>
    <w:rsid w:val="00D118CE"/>
    <w:rsid w:val="00D11A52"/>
    <w:rsid w:val="00D11A57"/>
    <w:rsid w:val="00D11C13"/>
    <w:rsid w:val="00D11DE1"/>
    <w:rsid w:val="00D11E58"/>
    <w:rsid w:val="00D11E5C"/>
    <w:rsid w:val="00D11E9D"/>
    <w:rsid w:val="00D11EB3"/>
    <w:rsid w:val="00D11FAF"/>
    <w:rsid w:val="00D1201D"/>
    <w:rsid w:val="00D12053"/>
    <w:rsid w:val="00D120B6"/>
    <w:rsid w:val="00D120CB"/>
    <w:rsid w:val="00D12118"/>
    <w:rsid w:val="00D12140"/>
    <w:rsid w:val="00D12162"/>
    <w:rsid w:val="00D12229"/>
    <w:rsid w:val="00D122EB"/>
    <w:rsid w:val="00D123AA"/>
    <w:rsid w:val="00D123AF"/>
    <w:rsid w:val="00D12424"/>
    <w:rsid w:val="00D1247E"/>
    <w:rsid w:val="00D12480"/>
    <w:rsid w:val="00D124E1"/>
    <w:rsid w:val="00D125B3"/>
    <w:rsid w:val="00D125BA"/>
    <w:rsid w:val="00D125F8"/>
    <w:rsid w:val="00D12663"/>
    <w:rsid w:val="00D1266C"/>
    <w:rsid w:val="00D1269C"/>
    <w:rsid w:val="00D126EC"/>
    <w:rsid w:val="00D1271A"/>
    <w:rsid w:val="00D12770"/>
    <w:rsid w:val="00D12792"/>
    <w:rsid w:val="00D127E0"/>
    <w:rsid w:val="00D12846"/>
    <w:rsid w:val="00D1287E"/>
    <w:rsid w:val="00D128B4"/>
    <w:rsid w:val="00D12935"/>
    <w:rsid w:val="00D12980"/>
    <w:rsid w:val="00D129E5"/>
    <w:rsid w:val="00D12A0A"/>
    <w:rsid w:val="00D12ABD"/>
    <w:rsid w:val="00D12BCC"/>
    <w:rsid w:val="00D12BD4"/>
    <w:rsid w:val="00D12C41"/>
    <w:rsid w:val="00D12C5E"/>
    <w:rsid w:val="00D12C84"/>
    <w:rsid w:val="00D12CEB"/>
    <w:rsid w:val="00D12D00"/>
    <w:rsid w:val="00D12D4F"/>
    <w:rsid w:val="00D12DB0"/>
    <w:rsid w:val="00D12DF8"/>
    <w:rsid w:val="00D1308F"/>
    <w:rsid w:val="00D13096"/>
    <w:rsid w:val="00D13161"/>
    <w:rsid w:val="00D1317B"/>
    <w:rsid w:val="00D132BB"/>
    <w:rsid w:val="00D132CC"/>
    <w:rsid w:val="00D13355"/>
    <w:rsid w:val="00D13409"/>
    <w:rsid w:val="00D13435"/>
    <w:rsid w:val="00D134AF"/>
    <w:rsid w:val="00D134ED"/>
    <w:rsid w:val="00D134F5"/>
    <w:rsid w:val="00D1365F"/>
    <w:rsid w:val="00D13699"/>
    <w:rsid w:val="00D1379F"/>
    <w:rsid w:val="00D1384D"/>
    <w:rsid w:val="00D138FA"/>
    <w:rsid w:val="00D13926"/>
    <w:rsid w:val="00D13956"/>
    <w:rsid w:val="00D1396B"/>
    <w:rsid w:val="00D139DD"/>
    <w:rsid w:val="00D13ABF"/>
    <w:rsid w:val="00D13B25"/>
    <w:rsid w:val="00D13B67"/>
    <w:rsid w:val="00D13BB3"/>
    <w:rsid w:val="00D13C47"/>
    <w:rsid w:val="00D13C5D"/>
    <w:rsid w:val="00D13CBA"/>
    <w:rsid w:val="00D13D6E"/>
    <w:rsid w:val="00D13DA4"/>
    <w:rsid w:val="00D13DBA"/>
    <w:rsid w:val="00D13DD3"/>
    <w:rsid w:val="00D13DF8"/>
    <w:rsid w:val="00D13E2D"/>
    <w:rsid w:val="00D13E4C"/>
    <w:rsid w:val="00D13E50"/>
    <w:rsid w:val="00D13E75"/>
    <w:rsid w:val="00D13F14"/>
    <w:rsid w:val="00D13F69"/>
    <w:rsid w:val="00D13FF4"/>
    <w:rsid w:val="00D13FFF"/>
    <w:rsid w:val="00D1403F"/>
    <w:rsid w:val="00D14098"/>
    <w:rsid w:val="00D140DE"/>
    <w:rsid w:val="00D1414A"/>
    <w:rsid w:val="00D141A6"/>
    <w:rsid w:val="00D14255"/>
    <w:rsid w:val="00D142B4"/>
    <w:rsid w:val="00D142BB"/>
    <w:rsid w:val="00D14371"/>
    <w:rsid w:val="00D1443D"/>
    <w:rsid w:val="00D14508"/>
    <w:rsid w:val="00D14568"/>
    <w:rsid w:val="00D14583"/>
    <w:rsid w:val="00D1459F"/>
    <w:rsid w:val="00D145F4"/>
    <w:rsid w:val="00D1473D"/>
    <w:rsid w:val="00D14821"/>
    <w:rsid w:val="00D14852"/>
    <w:rsid w:val="00D14911"/>
    <w:rsid w:val="00D149AB"/>
    <w:rsid w:val="00D149DB"/>
    <w:rsid w:val="00D14A2A"/>
    <w:rsid w:val="00D14A51"/>
    <w:rsid w:val="00D14A95"/>
    <w:rsid w:val="00D14ACF"/>
    <w:rsid w:val="00D14ADC"/>
    <w:rsid w:val="00D14C26"/>
    <w:rsid w:val="00D14E34"/>
    <w:rsid w:val="00D14E7B"/>
    <w:rsid w:val="00D14EDC"/>
    <w:rsid w:val="00D14F12"/>
    <w:rsid w:val="00D14F68"/>
    <w:rsid w:val="00D14F6E"/>
    <w:rsid w:val="00D14F83"/>
    <w:rsid w:val="00D14FD1"/>
    <w:rsid w:val="00D14FF5"/>
    <w:rsid w:val="00D1502F"/>
    <w:rsid w:val="00D150FC"/>
    <w:rsid w:val="00D1512C"/>
    <w:rsid w:val="00D1513D"/>
    <w:rsid w:val="00D1522C"/>
    <w:rsid w:val="00D1523D"/>
    <w:rsid w:val="00D152DA"/>
    <w:rsid w:val="00D1530C"/>
    <w:rsid w:val="00D15372"/>
    <w:rsid w:val="00D153BC"/>
    <w:rsid w:val="00D153C3"/>
    <w:rsid w:val="00D1542D"/>
    <w:rsid w:val="00D1558B"/>
    <w:rsid w:val="00D155B1"/>
    <w:rsid w:val="00D155DC"/>
    <w:rsid w:val="00D1568C"/>
    <w:rsid w:val="00D15703"/>
    <w:rsid w:val="00D1571F"/>
    <w:rsid w:val="00D157CC"/>
    <w:rsid w:val="00D1583B"/>
    <w:rsid w:val="00D15900"/>
    <w:rsid w:val="00D15939"/>
    <w:rsid w:val="00D159B5"/>
    <w:rsid w:val="00D15A1D"/>
    <w:rsid w:val="00D15A47"/>
    <w:rsid w:val="00D15A76"/>
    <w:rsid w:val="00D15A9B"/>
    <w:rsid w:val="00D15D60"/>
    <w:rsid w:val="00D15D8B"/>
    <w:rsid w:val="00D15D9E"/>
    <w:rsid w:val="00D15DAF"/>
    <w:rsid w:val="00D15DCA"/>
    <w:rsid w:val="00D15E30"/>
    <w:rsid w:val="00D15E7B"/>
    <w:rsid w:val="00D15EA9"/>
    <w:rsid w:val="00D15EC1"/>
    <w:rsid w:val="00D15ECB"/>
    <w:rsid w:val="00D15F3D"/>
    <w:rsid w:val="00D15F77"/>
    <w:rsid w:val="00D15FD3"/>
    <w:rsid w:val="00D1606A"/>
    <w:rsid w:val="00D16070"/>
    <w:rsid w:val="00D16093"/>
    <w:rsid w:val="00D160BE"/>
    <w:rsid w:val="00D16182"/>
    <w:rsid w:val="00D1628A"/>
    <w:rsid w:val="00D162A6"/>
    <w:rsid w:val="00D162E0"/>
    <w:rsid w:val="00D16303"/>
    <w:rsid w:val="00D16305"/>
    <w:rsid w:val="00D1634B"/>
    <w:rsid w:val="00D16420"/>
    <w:rsid w:val="00D16457"/>
    <w:rsid w:val="00D165BA"/>
    <w:rsid w:val="00D165EB"/>
    <w:rsid w:val="00D165F0"/>
    <w:rsid w:val="00D16631"/>
    <w:rsid w:val="00D1664E"/>
    <w:rsid w:val="00D16720"/>
    <w:rsid w:val="00D16761"/>
    <w:rsid w:val="00D16785"/>
    <w:rsid w:val="00D167C9"/>
    <w:rsid w:val="00D167F6"/>
    <w:rsid w:val="00D167FE"/>
    <w:rsid w:val="00D1681F"/>
    <w:rsid w:val="00D1685E"/>
    <w:rsid w:val="00D16969"/>
    <w:rsid w:val="00D1698A"/>
    <w:rsid w:val="00D169FA"/>
    <w:rsid w:val="00D16A0F"/>
    <w:rsid w:val="00D16A41"/>
    <w:rsid w:val="00D16AB7"/>
    <w:rsid w:val="00D16B02"/>
    <w:rsid w:val="00D16BB9"/>
    <w:rsid w:val="00D16BD0"/>
    <w:rsid w:val="00D16BFF"/>
    <w:rsid w:val="00D16C3C"/>
    <w:rsid w:val="00D16CA8"/>
    <w:rsid w:val="00D16CDE"/>
    <w:rsid w:val="00D16CDF"/>
    <w:rsid w:val="00D16D1B"/>
    <w:rsid w:val="00D16DA2"/>
    <w:rsid w:val="00D16DE7"/>
    <w:rsid w:val="00D16F29"/>
    <w:rsid w:val="00D16F59"/>
    <w:rsid w:val="00D16FAD"/>
    <w:rsid w:val="00D16FCA"/>
    <w:rsid w:val="00D1704B"/>
    <w:rsid w:val="00D17088"/>
    <w:rsid w:val="00D170E0"/>
    <w:rsid w:val="00D170FA"/>
    <w:rsid w:val="00D170FE"/>
    <w:rsid w:val="00D17102"/>
    <w:rsid w:val="00D17119"/>
    <w:rsid w:val="00D17139"/>
    <w:rsid w:val="00D17396"/>
    <w:rsid w:val="00D17423"/>
    <w:rsid w:val="00D1753C"/>
    <w:rsid w:val="00D1758D"/>
    <w:rsid w:val="00D1759F"/>
    <w:rsid w:val="00D175C8"/>
    <w:rsid w:val="00D175F9"/>
    <w:rsid w:val="00D17668"/>
    <w:rsid w:val="00D1767F"/>
    <w:rsid w:val="00D178A0"/>
    <w:rsid w:val="00D178CA"/>
    <w:rsid w:val="00D17927"/>
    <w:rsid w:val="00D17941"/>
    <w:rsid w:val="00D1794A"/>
    <w:rsid w:val="00D17A8C"/>
    <w:rsid w:val="00D17B11"/>
    <w:rsid w:val="00D17B73"/>
    <w:rsid w:val="00D17BB4"/>
    <w:rsid w:val="00D17BB6"/>
    <w:rsid w:val="00D17C5E"/>
    <w:rsid w:val="00D17CE2"/>
    <w:rsid w:val="00D17D75"/>
    <w:rsid w:val="00D17E74"/>
    <w:rsid w:val="00D17E9A"/>
    <w:rsid w:val="00D17F0B"/>
    <w:rsid w:val="00D17F49"/>
    <w:rsid w:val="00D17FBE"/>
    <w:rsid w:val="00D2003D"/>
    <w:rsid w:val="00D2008C"/>
    <w:rsid w:val="00D200C0"/>
    <w:rsid w:val="00D2016D"/>
    <w:rsid w:val="00D2036D"/>
    <w:rsid w:val="00D203D7"/>
    <w:rsid w:val="00D20404"/>
    <w:rsid w:val="00D2041F"/>
    <w:rsid w:val="00D20429"/>
    <w:rsid w:val="00D20459"/>
    <w:rsid w:val="00D204E8"/>
    <w:rsid w:val="00D205C6"/>
    <w:rsid w:val="00D20689"/>
    <w:rsid w:val="00D20692"/>
    <w:rsid w:val="00D2071C"/>
    <w:rsid w:val="00D2073C"/>
    <w:rsid w:val="00D2075C"/>
    <w:rsid w:val="00D20771"/>
    <w:rsid w:val="00D20874"/>
    <w:rsid w:val="00D2087F"/>
    <w:rsid w:val="00D20886"/>
    <w:rsid w:val="00D208BC"/>
    <w:rsid w:val="00D20912"/>
    <w:rsid w:val="00D20969"/>
    <w:rsid w:val="00D20A16"/>
    <w:rsid w:val="00D20A8D"/>
    <w:rsid w:val="00D20B52"/>
    <w:rsid w:val="00D20B6E"/>
    <w:rsid w:val="00D20BB5"/>
    <w:rsid w:val="00D20BE8"/>
    <w:rsid w:val="00D20BF0"/>
    <w:rsid w:val="00D20C24"/>
    <w:rsid w:val="00D20C38"/>
    <w:rsid w:val="00D20C87"/>
    <w:rsid w:val="00D20CBB"/>
    <w:rsid w:val="00D20D39"/>
    <w:rsid w:val="00D20DAF"/>
    <w:rsid w:val="00D20E60"/>
    <w:rsid w:val="00D20EBF"/>
    <w:rsid w:val="00D20F1C"/>
    <w:rsid w:val="00D20F9F"/>
    <w:rsid w:val="00D20FB1"/>
    <w:rsid w:val="00D21014"/>
    <w:rsid w:val="00D2102D"/>
    <w:rsid w:val="00D21154"/>
    <w:rsid w:val="00D211D5"/>
    <w:rsid w:val="00D211D8"/>
    <w:rsid w:val="00D21215"/>
    <w:rsid w:val="00D21225"/>
    <w:rsid w:val="00D21278"/>
    <w:rsid w:val="00D212AE"/>
    <w:rsid w:val="00D212CD"/>
    <w:rsid w:val="00D212D2"/>
    <w:rsid w:val="00D213E2"/>
    <w:rsid w:val="00D21465"/>
    <w:rsid w:val="00D21518"/>
    <w:rsid w:val="00D215EB"/>
    <w:rsid w:val="00D215F9"/>
    <w:rsid w:val="00D21664"/>
    <w:rsid w:val="00D21689"/>
    <w:rsid w:val="00D216C3"/>
    <w:rsid w:val="00D216F3"/>
    <w:rsid w:val="00D2170B"/>
    <w:rsid w:val="00D21784"/>
    <w:rsid w:val="00D217DA"/>
    <w:rsid w:val="00D21942"/>
    <w:rsid w:val="00D2195D"/>
    <w:rsid w:val="00D21A1E"/>
    <w:rsid w:val="00D21A3E"/>
    <w:rsid w:val="00D21A73"/>
    <w:rsid w:val="00D21A8D"/>
    <w:rsid w:val="00D21B02"/>
    <w:rsid w:val="00D21B6A"/>
    <w:rsid w:val="00D21BB2"/>
    <w:rsid w:val="00D21C46"/>
    <w:rsid w:val="00D21C95"/>
    <w:rsid w:val="00D21CAB"/>
    <w:rsid w:val="00D21CFB"/>
    <w:rsid w:val="00D21D2F"/>
    <w:rsid w:val="00D21D75"/>
    <w:rsid w:val="00D21D7A"/>
    <w:rsid w:val="00D21D98"/>
    <w:rsid w:val="00D21E0A"/>
    <w:rsid w:val="00D21F77"/>
    <w:rsid w:val="00D21F8A"/>
    <w:rsid w:val="00D21FD2"/>
    <w:rsid w:val="00D22044"/>
    <w:rsid w:val="00D22089"/>
    <w:rsid w:val="00D220AB"/>
    <w:rsid w:val="00D220B9"/>
    <w:rsid w:val="00D22119"/>
    <w:rsid w:val="00D2217F"/>
    <w:rsid w:val="00D221D2"/>
    <w:rsid w:val="00D222AE"/>
    <w:rsid w:val="00D22336"/>
    <w:rsid w:val="00D2234A"/>
    <w:rsid w:val="00D223FE"/>
    <w:rsid w:val="00D22480"/>
    <w:rsid w:val="00D22505"/>
    <w:rsid w:val="00D22585"/>
    <w:rsid w:val="00D22600"/>
    <w:rsid w:val="00D22603"/>
    <w:rsid w:val="00D22631"/>
    <w:rsid w:val="00D22640"/>
    <w:rsid w:val="00D22643"/>
    <w:rsid w:val="00D2270A"/>
    <w:rsid w:val="00D2275E"/>
    <w:rsid w:val="00D22776"/>
    <w:rsid w:val="00D2277C"/>
    <w:rsid w:val="00D2291F"/>
    <w:rsid w:val="00D22949"/>
    <w:rsid w:val="00D2298A"/>
    <w:rsid w:val="00D229B4"/>
    <w:rsid w:val="00D22A65"/>
    <w:rsid w:val="00D22AA5"/>
    <w:rsid w:val="00D22B2E"/>
    <w:rsid w:val="00D22B36"/>
    <w:rsid w:val="00D22C00"/>
    <w:rsid w:val="00D22C36"/>
    <w:rsid w:val="00D22CDB"/>
    <w:rsid w:val="00D22D19"/>
    <w:rsid w:val="00D22D5F"/>
    <w:rsid w:val="00D22DB6"/>
    <w:rsid w:val="00D22E1C"/>
    <w:rsid w:val="00D22E29"/>
    <w:rsid w:val="00D22E33"/>
    <w:rsid w:val="00D22E81"/>
    <w:rsid w:val="00D23038"/>
    <w:rsid w:val="00D23096"/>
    <w:rsid w:val="00D2309A"/>
    <w:rsid w:val="00D230C4"/>
    <w:rsid w:val="00D2313F"/>
    <w:rsid w:val="00D23160"/>
    <w:rsid w:val="00D2318C"/>
    <w:rsid w:val="00D23268"/>
    <w:rsid w:val="00D232E1"/>
    <w:rsid w:val="00D233AC"/>
    <w:rsid w:val="00D233EE"/>
    <w:rsid w:val="00D23589"/>
    <w:rsid w:val="00D235DB"/>
    <w:rsid w:val="00D23642"/>
    <w:rsid w:val="00D23676"/>
    <w:rsid w:val="00D23694"/>
    <w:rsid w:val="00D236EA"/>
    <w:rsid w:val="00D23766"/>
    <w:rsid w:val="00D237FA"/>
    <w:rsid w:val="00D2382D"/>
    <w:rsid w:val="00D2392B"/>
    <w:rsid w:val="00D23950"/>
    <w:rsid w:val="00D239A8"/>
    <w:rsid w:val="00D239BD"/>
    <w:rsid w:val="00D23A3D"/>
    <w:rsid w:val="00D23A68"/>
    <w:rsid w:val="00D23A73"/>
    <w:rsid w:val="00D23A7D"/>
    <w:rsid w:val="00D23AE2"/>
    <w:rsid w:val="00D23C13"/>
    <w:rsid w:val="00D23C1F"/>
    <w:rsid w:val="00D23C59"/>
    <w:rsid w:val="00D23CB0"/>
    <w:rsid w:val="00D23D0B"/>
    <w:rsid w:val="00D23DF7"/>
    <w:rsid w:val="00D23E11"/>
    <w:rsid w:val="00D23EC7"/>
    <w:rsid w:val="00D23EE2"/>
    <w:rsid w:val="00D23EF9"/>
    <w:rsid w:val="00D23F8B"/>
    <w:rsid w:val="00D23F98"/>
    <w:rsid w:val="00D23FCA"/>
    <w:rsid w:val="00D23FE8"/>
    <w:rsid w:val="00D2402A"/>
    <w:rsid w:val="00D24111"/>
    <w:rsid w:val="00D2416C"/>
    <w:rsid w:val="00D241A9"/>
    <w:rsid w:val="00D241BD"/>
    <w:rsid w:val="00D241D0"/>
    <w:rsid w:val="00D241EE"/>
    <w:rsid w:val="00D243AC"/>
    <w:rsid w:val="00D2440B"/>
    <w:rsid w:val="00D244E7"/>
    <w:rsid w:val="00D24539"/>
    <w:rsid w:val="00D2459B"/>
    <w:rsid w:val="00D24604"/>
    <w:rsid w:val="00D24613"/>
    <w:rsid w:val="00D2462E"/>
    <w:rsid w:val="00D24642"/>
    <w:rsid w:val="00D2464F"/>
    <w:rsid w:val="00D24667"/>
    <w:rsid w:val="00D246AA"/>
    <w:rsid w:val="00D24738"/>
    <w:rsid w:val="00D24838"/>
    <w:rsid w:val="00D24869"/>
    <w:rsid w:val="00D2487E"/>
    <w:rsid w:val="00D248B5"/>
    <w:rsid w:val="00D2498B"/>
    <w:rsid w:val="00D249CF"/>
    <w:rsid w:val="00D24A30"/>
    <w:rsid w:val="00D24A73"/>
    <w:rsid w:val="00D24B3A"/>
    <w:rsid w:val="00D24B7D"/>
    <w:rsid w:val="00D24B89"/>
    <w:rsid w:val="00D24B95"/>
    <w:rsid w:val="00D24C21"/>
    <w:rsid w:val="00D24C70"/>
    <w:rsid w:val="00D24CB7"/>
    <w:rsid w:val="00D24DA2"/>
    <w:rsid w:val="00D24F80"/>
    <w:rsid w:val="00D24FD2"/>
    <w:rsid w:val="00D25009"/>
    <w:rsid w:val="00D25091"/>
    <w:rsid w:val="00D25172"/>
    <w:rsid w:val="00D2518E"/>
    <w:rsid w:val="00D2519B"/>
    <w:rsid w:val="00D2529E"/>
    <w:rsid w:val="00D252E4"/>
    <w:rsid w:val="00D252E8"/>
    <w:rsid w:val="00D2532A"/>
    <w:rsid w:val="00D253DA"/>
    <w:rsid w:val="00D253E1"/>
    <w:rsid w:val="00D2540F"/>
    <w:rsid w:val="00D25416"/>
    <w:rsid w:val="00D2552E"/>
    <w:rsid w:val="00D25611"/>
    <w:rsid w:val="00D25624"/>
    <w:rsid w:val="00D256E5"/>
    <w:rsid w:val="00D2570F"/>
    <w:rsid w:val="00D2574F"/>
    <w:rsid w:val="00D2579B"/>
    <w:rsid w:val="00D257C3"/>
    <w:rsid w:val="00D257D3"/>
    <w:rsid w:val="00D257E6"/>
    <w:rsid w:val="00D2586E"/>
    <w:rsid w:val="00D25958"/>
    <w:rsid w:val="00D25A0F"/>
    <w:rsid w:val="00D25A2E"/>
    <w:rsid w:val="00D25A71"/>
    <w:rsid w:val="00D25A72"/>
    <w:rsid w:val="00D25A9F"/>
    <w:rsid w:val="00D25AB3"/>
    <w:rsid w:val="00D25ACD"/>
    <w:rsid w:val="00D25B6C"/>
    <w:rsid w:val="00D25BD3"/>
    <w:rsid w:val="00D25BD8"/>
    <w:rsid w:val="00D25CDE"/>
    <w:rsid w:val="00D25E40"/>
    <w:rsid w:val="00D25EAC"/>
    <w:rsid w:val="00D25EB2"/>
    <w:rsid w:val="00D260B3"/>
    <w:rsid w:val="00D26260"/>
    <w:rsid w:val="00D26320"/>
    <w:rsid w:val="00D2632C"/>
    <w:rsid w:val="00D2632D"/>
    <w:rsid w:val="00D26386"/>
    <w:rsid w:val="00D263F0"/>
    <w:rsid w:val="00D26457"/>
    <w:rsid w:val="00D26474"/>
    <w:rsid w:val="00D264E9"/>
    <w:rsid w:val="00D265EC"/>
    <w:rsid w:val="00D2661A"/>
    <w:rsid w:val="00D26673"/>
    <w:rsid w:val="00D266FA"/>
    <w:rsid w:val="00D267ED"/>
    <w:rsid w:val="00D2684D"/>
    <w:rsid w:val="00D2692E"/>
    <w:rsid w:val="00D269C1"/>
    <w:rsid w:val="00D26C09"/>
    <w:rsid w:val="00D26D27"/>
    <w:rsid w:val="00D26D59"/>
    <w:rsid w:val="00D26DBF"/>
    <w:rsid w:val="00D26E57"/>
    <w:rsid w:val="00D26F29"/>
    <w:rsid w:val="00D27010"/>
    <w:rsid w:val="00D2703F"/>
    <w:rsid w:val="00D2707E"/>
    <w:rsid w:val="00D270B9"/>
    <w:rsid w:val="00D270E5"/>
    <w:rsid w:val="00D270F4"/>
    <w:rsid w:val="00D2716B"/>
    <w:rsid w:val="00D271E6"/>
    <w:rsid w:val="00D2726D"/>
    <w:rsid w:val="00D272D6"/>
    <w:rsid w:val="00D2731A"/>
    <w:rsid w:val="00D273A0"/>
    <w:rsid w:val="00D273D7"/>
    <w:rsid w:val="00D2743B"/>
    <w:rsid w:val="00D27447"/>
    <w:rsid w:val="00D27495"/>
    <w:rsid w:val="00D274AB"/>
    <w:rsid w:val="00D274BA"/>
    <w:rsid w:val="00D274E7"/>
    <w:rsid w:val="00D27503"/>
    <w:rsid w:val="00D27639"/>
    <w:rsid w:val="00D27653"/>
    <w:rsid w:val="00D27660"/>
    <w:rsid w:val="00D27682"/>
    <w:rsid w:val="00D2775A"/>
    <w:rsid w:val="00D27832"/>
    <w:rsid w:val="00D27839"/>
    <w:rsid w:val="00D278FD"/>
    <w:rsid w:val="00D27904"/>
    <w:rsid w:val="00D27A62"/>
    <w:rsid w:val="00D27B4B"/>
    <w:rsid w:val="00D27BC5"/>
    <w:rsid w:val="00D27BDD"/>
    <w:rsid w:val="00D27D4C"/>
    <w:rsid w:val="00D27D7C"/>
    <w:rsid w:val="00D27DD8"/>
    <w:rsid w:val="00D27E44"/>
    <w:rsid w:val="00D27E56"/>
    <w:rsid w:val="00D27E6E"/>
    <w:rsid w:val="00D27EB3"/>
    <w:rsid w:val="00D27EBD"/>
    <w:rsid w:val="00D27F77"/>
    <w:rsid w:val="00D27F84"/>
    <w:rsid w:val="00D27FFA"/>
    <w:rsid w:val="00D30074"/>
    <w:rsid w:val="00D300AD"/>
    <w:rsid w:val="00D3012F"/>
    <w:rsid w:val="00D30231"/>
    <w:rsid w:val="00D3027E"/>
    <w:rsid w:val="00D303A7"/>
    <w:rsid w:val="00D303E2"/>
    <w:rsid w:val="00D30413"/>
    <w:rsid w:val="00D30427"/>
    <w:rsid w:val="00D30510"/>
    <w:rsid w:val="00D30579"/>
    <w:rsid w:val="00D305DB"/>
    <w:rsid w:val="00D30696"/>
    <w:rsid w:val="00D30775"/>
    <w:rsid w:val="00D307A2"/>
    <w:rsid w:val="00D307BB"/>
    <w:rsid w:val="00D307D9"/>
    <w:rsid w:val="00D30859"/>
    <w:rsid w:val="00D30918"/>
    <w:rsid w:val="00D30930"/>
    <w:rsid w:val="00D309F3"/>
    <w:rsid w:val="00D30AB6"/>
    <w:rsid w:val="00D30B1C"/>
    <w:rsid w:val="00D30B41"/>
    <w:rsid w:val="00D30B56"/>
    <w:rsid w:val="00D30B94"/>
    <w:rsid w:val="00D30BE6"/>
    <w:rsid w:val="00D30BE8"/>
    <w:rsid w:val="00D30C2D"/>
    <w:rsid w:val="00D30D4F"/>
    <w:rsid w:val="00D30DF0"/>
    <w:rsid w:val="00D30DF6"/>
    <w:rsid w:val="00D30E94"/>
    <w:rsid w:val="00D30E99"/>
    <w:rsid w:val="00D30EAF"/>
    <w:rsid w:val="00D30EF1"/>
    <w:rsid w:val="00D30F04"/>
    <w:rsid w:val="00D30F8B"/>
    <w:rsid w:val="00D30F94"/>
    <w:rsid w:val="00D30F98"/>
    <w:rsid w:val="00D30FA8"/>
    <w:rsid w:val="00D3102C"/>
    <w:rsid w:val="00D31046"/>
    <w:rsid w:val="00D310B8"/>
    <w:rsid w:val="00D31136"/>
    <w:rsid w:val="00D311C1"/>
    <w:rsid w:val="00D31233"/>
    <w:rsid w:val="00D31262"/>
    <w:rsid w:val="00D31266"/>
    <w:rsid w:val="00D3126A"/>
    <w:rsid w:val="00D3133C"/>
    <w:rsid w:val="00D31407"/>
    <w:rsid w:val="00D31577"/>
    <w:rsid w:val="00D3157F"/>
    <w:rsid w:val="00D315F1"/>
    <w:rsid w:val="00D315FC"/>
    <w:rsid w:val="00D316B5"/>
    <w:rsid w:val="00D316E4"/>
    <w:rsid w:val="00D317EF"/>
    <w:rsid w:val="00D3180A"/>
    <w:rsid w:val="00D3180E"/>
    <w:rsid w:val="00D3181E"/>
    <w:rsid w:val="00D31831"/>
    <w:rsid w:val="00D318E4"/>
    <w:rsid w:val="00D31904"/>
    <w:rsid w:val="00D31920"/>
    <w:rsid w:val="00D319B7"/>
    <w:rsid w:val="00D31A5C"/>
    <w:rsid w:val="00D31AB2"/>
    <w:rsid w:val="00D31AB3"/>
    <w:rsid w:val="00D31ACD"/>
    <w:rsid w:val="00D31B8B"/>
    <w:rsid w:val="00D31C6A"/>
    <w:rsid w:val="00D31CA9"/>
    <w:rsid w:val="00D31D27"/>
    <w:rsid w:val="00D31DE5"/>
    <w:rsid w:val="00D31E3B"/>
    <w:rsid w:val="00D31E84"/>
    <w:rsid w:val="00D31EED"/>
    <w:rsid w:val="00D31F22"/>
    <w:rsid w:val="00D31F61"/>
    <w:rsid w:val="00D31F88"/>
    <w:rsid w:val="00D31FCB"/>
    <w:rsid w:val="00D32144"/>
    <w:rsid w:val="00D32170"/>
    <w:rsid w:val="00D3218F"/>
    <w:rsid w:val="00D321D9"/>
    <w:rsid w:val="00D3227E"/>
    <w:rsid w:val="00D322F6"/>
    <w:rsid w:val="00D32326"/>
    <w:rsid w:val="00D32358"/>
    <w:rsid w:val="00D32469"/>
    <w:rsid w:val="00D32475"/>
    <w:rsid w:val="00D32506"/>
    <w:rsid w:val="00D32522"/>
    <w:rsid w:val="00D3260D"/>
    <w:rsid w:val="00D32617"/>
    <w:rsid w:val="00D32627"/>
    <w:rsid w:val="00D326A0"/>
    <w:rsid w:val="00D326B2"/>
    <w:rsid w:val="00D32708"/>
    <w:rsid w:val="00D32746"/>
    <w:rsid w:val="00D3280C"/>
    <w:rsid w:val="00D32864"/>
    <w:rsid w:val="00D3286D"/>
    <w:rsid w:val="00D328DD"/>
    <w:rsid w:val="00D32901"/>
    <w:rsid w:val="00D32922"/>
    <w:rsid w:val="00D32927"/>
    <w:rsid w:val="00D32B23"/>
    <w:rsid w:val="00D32C16"/>
    <w:rsid w:val="00D32C1E"/>
    <w:rsid w:val="00D32C62"/>
    <w:rsid w:val="00D32C6D"/>
    <w:rsid w:val="00D32C6F"/>
    <w:rsid w:val="00D32C8D"/>
    <w:rsid w:val="00D32D20"/>
    <w:rsid w:val="00D32D2D"/>
    <w:rsid w:val="00D32D60"/>
    <w:rsid w:val="00D32EAF"/>
    <w:rsid w:val="00D32F62"/>
    <w:rsid w:val="00D32F87"/>
    <w:rsid w:val="00D32F9C"/>
    <w:rsid w:val="00D32F9D"/>
    <w:rsid w:val="00D32FE0"/>
    <w:rsid w:val="00D3309A"/>
    <w:rsid w:val="00D330B2"/>
    <w:rsid w:val="00D330BA"/>
    <w:rsid w:val="00D330CD"/>
    <w:rsid w:val="00D330E5"/>
    <w:rsid w:val="00D33178"/>
    <w:rsid w:val="00D331B2"/>
    <w:rsid w:val="00D331D6"/>
    <w:rsid w:val="00D33203"/>
    <w:rsid w:val="00D3320A"/>
    <w:rsid w:val="00D3324E"/>
    <w:rsid w:val="00D3325F"/>
    <w:rsid w:val="00D332FB"/>
    <w:rsid w:val="00D33321"/>
    <w:rsid w:val="00D33359"/>
    <w:rsid w:val="00D3335F"/>
    <w:rsid w:val="00D33467"/>
    <w:rsid w:val="00D334B1"/>
    <w:rsid w:val="00D334DA"/>
    <w:rsid w:val="00D334DE"/>
    <w:rsid w:val="00D334F0"/>
    <w:rsid w:val="00D33520"/>
    <w:rsid w:val="00D33682"/>
    <w:rsid w:val="00D3379D"/>
    <w:rsid w:val="00D33843"/>
    <w:rsid w:val="00D33846"/>
    <w:rsid w:val="00D3384E"/>
    <w:rsid w:val="00D33997"/>
    <w:rsid w:val="00D339F8"/>
    <w:rsid w:val="00D33AA7"/>
    <w:rsid w:val="00D33AE9"/>
    <w:rsid w:val="00D33AFB"/>
    <w:rsid w:val="00D33B3A"/>
    <w:rsid w:val="00D33B3F"/>
    <w:rsid w:val="00D33B73"/>
    <w:rsid w:val="00D33BB0"/>
    <w:rsid w:val="00D33C80"/>
    <w:rsid w:val="00D33CB1"/>
    <w:rsid w:val="00D33CBD"/>
    <w:rsid w:val="00D33CDC"/>
    <w:rsid w:val="00D33D4F"/>
    <w:rsid w:val="00D33D6D"/>
    <w:rsid w:val="00D33E92"/>
    <w:rsid w:val="00D33EEC"/>
    <w:rsid w:val="00D33F0A"/>
    <w:rsid w:val="00D33F6E"/>
    <w:rsid w:val="00D34083"/>
    <w:rsid w:val="00D34086"/>
    <w:rsid w:val="00D34104"/>
    <w:rsid w:val="00D34147"/>
    <w:rsid w:val="00D3424F"/>
    <w:rsid w:val="00D342AB"/>
    <w:rsid w:val="00D342EF"/>
    <w:rsid w:val="00D34310"/>
    <w:rsid w:val="00D34525"/>
    <w:rsid w:val="00D345C7"/>
    <w:rsid w:val="00D34608"/>
    <w:rsid w:val="00D34639"/>
    <w:rsid w:val="00D34686"/>
    <w:rsid w:val="00D34709"/>
    <w:rsid w:val="00D3472B"/>
    <w:rsid w:val="00D34769"/>
    <w:rsid w:val="00D34796"/>
    <w:rsid w:val="00D347C5"/>
    <w:rsid w:val="00D34888"/>
    <w:rsid w:val="00D34896"/>
    <w:rsid w:val="00D34981"/>
    <w:rsid w:val="00D34989"/>
    <w:rsid w:val="00D34996"/>
    <w:rsid w:val="00D3499D"/>
    <w:rsid w:val="00D34A5B"/>
    <w:rsid w:val="00D34A93"/>
    <w:rsid w:val="00D34AB3"/>
    <w:rsid w:val="00D34AD8"/>
    <w:rsid w:val="00D34AE4"/>
    <w:rsid w:val="00D34AFC"/>
    <w:rsid w:val="00D34B69"/>
    <w:rsid w:val="00D34B91"/>
    <w:rsid w:val="00D34B97"/>
    <w:rsid w:val="00D34BC7"/>
    <w:rsid w:val="00D34C38"/>
    <w:rsid w:val="00D34C73"/>
    <w:rsid w:val="00D34C8E"/>
    <w:rsid w:val="00D34CF4"/>
    <w:rsid w:val="00D34D75"/>
    <w:rsid w:val="00D34F5C"/>
    <w:rsid w:val="00D34F72"/>
    <w:rsid w:val="00D34FCB"/>
    <w:rsid w:val="00D3504B"/>
    <w:rsid w:val="00D350BD"/>
    <w:rsid w:val="00D350F0"/>
    <w:rsid w:val="00D3510C"/>
    <w:rsid w:val="00D3519B"/>
    <w:rsid w:val="00D351C8"/>
    <w:rsid w:val="00D351CC"/>
    <w:rsid w:val="00D351E4"/>
    <w:rsid w:val="00D3521C"/>
    <w:rsid w:val="00D3521E"/>
    <w:rsid w:val="00D35230"/>
    <w:rsid w:val="00D35232"/>
    <w:rsid w:val="00D3525A"/>
    <w:rsid w:val="00D352E1"/>
    <w:rsid w:val="00D352F4"/>
    <w:rsid w:val="00D353A5"/>
    <w:rsid w:val="00D353A8"/>
    <w:rsid w:val="00D3549B"/>
    <w:rsid w:val="00D354FB"/>
    <w:rsid w:val="00D35553"/>
    <w:rsid w:val="00D355BB"/>
    <w:rsid w:val="00D355EA"/>
    <w:rsid w:val="00D3560D"/>
    <w:rsid w:val="00D356AF"/>
    <w:rsid w:val="00D3572C"/>
    <w:rsid w:val="00D35753"/>
    <w:rsid w:val="00D35819"/>
    <w:rsid w:val="00D35878"/>
    <w:rsid w:val="00D358B0"/>
    <w:rsid w:val="00D35A03"/>
    <w:rsid w:val="00D35AC1"/>
    <w:rsid w:val="00D35AF6"/>
    <w:rsid w:val="00D35B30"/>
    <w:rsid w:val="00D35B4F"/>
    <w:rsid w:val="00D35B74"/>
    <w:rsid w:val="00D35B99"/>
    <w:rsid w:val="00D35C04"/>
    <w:rsid w:val="00D35D0B"/>
    <w:rsid w:val="00D35DC3"/>
    <w:rsid w:val="00D35E35"/>
    <w:rsid w:val="00D35E59"/>
    <w:rsid w:val="00D35E6C"/>
    <w:rsid w:val="00D35F32"/>
    <w:rsid w:val="00D35F50"/>
    <w:rsid w:val="00D35F8C"/>
    <w:rsid w:val="00D35FC0"/>
    <w:rsid w:val="00D36035"/>
    <w:rsid w:val="00D362A9"/>
    <w:rsid w:val="00D36304"/>
    <w:rsid w:val="00D36364"/>
    <w:rsid w:val="00D36370"/>
    <w:rsid w:val="00D3638A"/>
    <w:rsid w:val="00D3642D"/>
    <w:rsid w:val="00D36471"/>
    <w:rsid w:val="00D36513"/>
    <w:rsid w:val="00D36555"/>
    <w:rsid w:val="00D36591"/>
    <w:rsid w:val="00D3670C"/>
    <w:rsid w:val="00D3671B"/>
    <w:rsid w:val="00D36740"/>
    <w:rsid w:val="00D368CD"/>
    <w:rsid w:val="00D369B4"/>
    <w:rsid w:val="00D36A52"/>
    <w:rsid w:val="00D36B37"/>
    <w:rsid w:val="00D36BDC"/>
    <w:rsid w:val="00D36C6C"/>
    <w:rsid w:val="00D36C90"/>
    <w:rsid w:val="00D36D22"/>
    <w:rsid w:val="00D36D67"/>
    <w:rsid w:val="00D36DC8"/>
    <w:rsid w:val="00D36E33"/>
    <w:rsid w:val="00D36EB8"/>
    <w:rsid w:val="00D36EC9"/>
    <w:rsid w:val="00D36F61"/>
    <w:rsid w:val="00D36F8E"/>
    <w:rsid w:val="00D36FCC"/>
    <w:rsid w:val="00D36FE9"/>
    <w:rsid w:val="00D37021"/>
    <w:rsid w:val="00D37071"/>
    <w:rsid w:val="00D3707C"/>
    <w:rsid w:val="00D370B5"/>
    <w:rsid w:val="00D37159"/>
    <w:rsid w:val="00D3717A"/>
    <w:rsid w:val="00D3718A"/>
    <w:rsid w:val="00D3732A"/>
    <w:rsid w:val="00D3732F"/>
    <w:rsid w:val="00D37494"/>
    <w:rsid w:val="00D374A6"/>
    <w:rsid w:val="00D374F8"/>
    <w:rsid w:val="00D37546"/>
    <w:rsid w:val="00D3755E"/>
    <w:rsid w:val="00D37597"/>
    <w:rsid w:val="00D375F3"/>
    <w:rsid w:val="00D3767D"/>
    <w:rsid w:val="00D37734"/>
    <w:rsid w:val="00D37786"/>
    <w:rsid w:val="00D377D3"/>
    <w:rsid w:val="00D37824"/>
    <w:rsid w:val="00D37867"/>
    <w:rsid w:val="00D378AC"/>
    <w:rsid w:val="00D37933"/>
    <w:rsid w:val="00D37ABC"/>
    <w:rsid w:val="00D37AF0"/>
    <w:rsid w:val="00D37B3D"/>
    <w:rsid w:val="00D37C31"/>
    <w:rsid w:val="00D37D2A"/>
    <w:rsid w:val="00D37D67"/>
    <w:rsid w:val="00D37E5A"/>
    <w:rsid w:val="00D37EE0"/>
    <w:rsid w:val="00D37F39"/>
    <w:rsid w:val="00D37F4D"/>
    <w:rsid w:val="00D37F60"/>
    <w:rsid w:val="00D37FF1"/>
    <w:rsid w:val="00D40032"/>
    <w:rsid w:val="00D40098"/>
    <w:rsid w:val="00D400C8"/>
    <w:rsid w:val="00D400EF"/>
    <w:rsid w:val="00D400FD"/>
    <w:rsid w:val="00D40144"/>
    <w:rsid w:val="00D401A9"/>
    <w:rsid w:val="00D401B5"/>
    <w:rsid w:val="00D402AD"/>
    <w:rsid w:val="00D402DB"/>
    <w:rsid w:val="00D402DC"/>
    <w:rsid w:val="00D4036B"/>
    <w:rsid w:val="00D40462"/>
    <w:rsid w:val="00D4048B"/>
    <w:rsid w:val="00D404A8"/>
    <w:rsid w:val="00D40575"/>
    <w:rsid w:val="00D40586"/>
    <w:rsid w:val="00D405C7"/>
    <w:rsid w:val="00D405FD"/>
    <w:rsid w:val="00D40616"/>
    <w:rsid w:val="00D40639"/>
    <w:rsid w:val="00D4064F"/>
    <w:rsid w:val="00D406A8"/>
    <w:rsid w:val="00D40835"/>
    <w:rsid w:val="00D4086E"/>
    <w:rsid w:val="00D408C4"/>
    <w:rsid w:val="00D40905"/>
    <w:rsid w:val="00D40985"/>
    <w:rsid w:val="00D40993"/>
    <w:rsid w:val="00D409D4"/>
    <w:rsid w:val="00D40A2F"/>
    <w:rsid w:val="00D40A3B"/>
    <w:rsid w:val="00D40A67"/>
    <w:rsid w:val="00D40A8E"/>
    <w:rsid w:val="00D40AFA"/>
    <w:rsid w:val="00D40BAD"/>
    <w:rsid w:val="00D40BF2"/>
    <w:rsid w:val="00D40C40"/>
    <w:rsid w:val="00D40C7A"/>
    <w:rsid w:val="00D40CC9"/>
    <w:rsid w:val="00D40D20"/>
    <w:rsid w:val="00D40D2C"/>
    <w:rsid w:val="00D40D76"/>
    <w:rsid w:val="00D40E00"/>
    <w:rsid w:val="00D40F44"/>
    <w:rsid w:val="00D40FB6"/>
    <w:rsid w:val="00D40FF7"/>
    <w:rsid w:val="00D4101E"/>
    <w:rsid w:val="00D41089"/>
    <w:rsid w:val="00D410F8"/>
    <w:rsid w:val="00D410FD"/>
    <w:rsid w:val="00D41111"/>
    <w:rsid w:val="00D41153"/>
    <w:rsid w:val="00D41189"/>
    <w:rsid w:val="00D411A3"/>
    <w:rsid w:val="00D4125F"/>
    <w:rsid w:val="00D41301"/>
    <w:rsid w:val="00D41338"/>
    <w:rsid w:val="00D41346"/>
    <w:rsid w:val="00D413B9"/>
    <w:rsid w:val="00D413FE"/>
    <w:rsid w:val="00D41448"/>
    <w:rsid w:val="00D415C7"/>
    <w:rsid w:val="00D415CB"/>
    <w:rsid w:val="00D416A8"/>
    <w:rsid w:val="00D416B9"/>
    <w:rsid w:val="00D41706"/>
    <w:rsid w:val="00D4170C"/>
    <w:rsid w:val="00D417D5"/>
    <w:rsid w:val="00D41808"/>
    <w:rsid w:val="00D41843"/>
    <w:rsid w:val="00D41853"/>
    <w:rsid w:val="00D41898"/>
    <w:rsid w:val="00D418A0"/>
    <w:rsid w:val="00D41908"/>
    <w:rsid w:val="00D41A0B"/>
    <w:rsid w:val="00D41A5C"/>
    <w:rsid w:val="00D41AC3"/>
    <w:rsid w:val="00D41B14"/>
    <w:rsid w:val="00D41B91"/>
    <w:rsid w:val="00D41BC1"/>
    <w:rsid w:val="00D41BE8"/>
    <w:rsid w:val="00D41C51"/>
    <w:rsid w:val="00D41E05"/>
    <w:rsid w:val="00D41E19"/>
    <w:rsid w:val="00D41E3B"/>
    <w:rsid w:val="00D41E47"/>
    <w:rsid w:val="00D41F61"/>
    <w:rsid w:val="00D41F85"/>
    <w:rsid w:val="00D42002"/>
    <w:rsid w:val="00D42069"/>
    <w:rsid w:val="00D420A3"/>
    <w:rsid w:val="00D42118"/>
    <w:rsid w:val="00D42149"/>
    <w:rsid w:val="00D421C5"/>
    <w:rsid w:val="00D421DC"/>
    <w:rsid w:val="00D4220D"/>
    <w:rsid w:val="00D4229D"/>
    <w:rsid w:val="00D4232D"/>
    <w:rsid w:val="00D42350"/>
    <w:rsid w:val="00D4245C"/>
    <w:rsid w:val="00D4248A"/>
    <w:rsid w:val="00D4255D"/>
    <w:rsid w:val="00D4256C"/>
    <w:rsid w:val="00D4259D"/>
    <w:rsid w:val="00D425B5"/>
    <w:rsid w:val="00D42610"/>
    <w:rsid w:val="00D426B8"/>
    <w:rsid w:val="00D42722"/>
    <w:rsid w:val="00D42762"/>
    <w:rsid w:val="00D4278A"/>
    <w:rsid w:val="00D42861"/>
    <w:rsid w:val="00D428EA"/>
    <w:rsid w:val="00D429B5"/>
    <w:rsid w:val="00D429B8"/>
    <w:rsid w:val="00D42AB0"/>
    <w:rsid w:val="00D42BB5"/>
    <w:rsid w:val="00D42C41"/>
    <w:rsid w:val="00D42CD2"/>
    <w:rsid w:val="00D42DA0"/>
    <w:rsid w:val="00D42E4D"/>
    <w:rsid w:val="00D42E4F"/>
    <w:rsid w:val="00D42E87"/>
    <w:rsid w:val="00D42EFF"/>
    <w:rsid w:val="00D42F23"/>
    <w:rsid w:val="00D42F5D"/>
    <w:rsid w:val="00D42FE8"/>
    <w:rsid w:val="00D42FFF"/>
    <w:rsid w:val="00D43014"/>
    <w:rsid w:val="00D43148"/>
    <w:rsid w:val="00D431A7"/>
    <w:rsid w:val="00D431AB"/>
    <w:rsid w:val="00D43296"/>
    <w:rsid w:val="00D433BB"/>
    <w:rsid w:val="00D433DD"/>
    <w:rsid w:val="00D433F4"/>
    <w:rsid w:val="00D43494"/>
    <w:rsid w:val="00D434C4"/>
    <w:rsid w:val="00D434CB"/>
    <w:rsid w:val="00D43514"/>
    <w:rsid w:val="00D4352C"/>
    <w:rsid w:val="00D435AE"/>
    <w:rsid w:val="00D43652"/>
    <w:rsid w:val="00D4367D"/>
    <w:rsid w:val="00D436B0"/>
    <w:rsid w:val="00D436E5"/>
    <w:rsid w:val="00D436ED"/>
    <w:rsid w:val="00D43722"/>
    <w:rsid w:val="00D43734"/>
    <w:rsid w:val="00D437B1"/>
    <w:rsid w:val="00D437E0"/>
    <w:rsid w:val="00D437E4"/>
    <w:rsid w:val="00D43829"/>
    <w:rsid w:val="00D43880"/>
    <w:rsid w:val="00D4388A"/>
    <w:rsid w:val="00D438AD"/>
    <w:rsid w:val="00D43965"/>
    <w:rsid w:val="00D439B0"/>
    <w:rsid w:val="00D439E3"/>
    <w:rsid w:val="00D43A69"/>
    <w:rsid w:val="00D43A84"/>
    <w:rsid w:val="00D43BD5"/>
    <w:rsid w:val="00D43CB2"/>
    <w:rsid w:val="00D43CD3"/>
    <w:rsid w:val="00D43D04"/>
    <w:rsid w:val="00D43D07"/>
    <w:rsid w:val="00D43D9A"/>
    <w:rsid w:val="00D43DB8"/>
    <w:rsid w:val="00D43DBA"/>
    <w:rsid w:val="00D43DD7"/>
    <w:rsid w:val="00D43E0F"/>
    <w:rsid w:val="00D43E64"/>
    <w:rsid w:val="00D43ECA"/>
    <w:rsid w:val="00D44008"/>
    <w:rsid w:val="00D440A7"/>
    <w:rsid w:val="00D440C9"/>
    <w:rsid w:val="00D440D1"/>
    <w:rsid w:val="00D440D3"/>
    <w:rsid w:val="00D44179"/>
    <w:rsid w:val="00D442CE"/>
    <w:rsid w:val="00D443A0"/>
    <w:rsid w:val="00D44633"/>
    <w:rsid w:val="00D4464B"/>
    <w:rsid w:val="00D4467B"/>
    <w:rsid w:val="00D4472D"/>
    <w:rsid w:val="00D447DA"/>
    <w:rsid w:val="00D44864"/>
    <w:rsid w:val="00D448BB"/>
    <w:rsid w:val="00D4494C"/>
    <w:rsid w:val="00D44994"/>
    <w:rsid w:val="00D449E7"/>
    <w:rsid w:val="00D44ADF"/>
    <w:rsid w:val="00D44AFD"/>
    <w:rsid w:val="00D44C15"/>
    <w:rsid w:val="00D44C68"/>
    <w:rsid w:val="00D44CAC"/>
    <w:rsid w:val="00D44CE4"/>
    <w:rsid w:val="00D44D2B"/>
    <w:rsid w:val="00D44D97"/>
    <w:rsid w:val="00D44D98"/>
    <w:rsid w:val="00D44DC9"/>
    <w:rsid w:val="00D44DD5"/>
    <w:rsid w:val="00D44DFE"/>
    <w:rsid w:val="00D44E55"/>
    <w:rsid w:val="00D44E66"/>
    <w:rsid w:val="00D44E98"/>
    <w:rsid w:val="00D44F21"/>
    <w:rsid w:val="00D45089"/>
    <w:rsid w:val="00D450C7"/>
    <w:rsid w:val="00D4512B"/>
    <w:rsid w:val="00D45137"/>
    <w:rsid w:val="00D4513B"/>
    <w:rsid w:val="00D45155"/>
    <w:rsid w:val="00D45191"/>
    <w:rsid w:val="00D451C4"/>
    <w:rsid w:val="00D451D8"/>
    <w:rsid w:val="00D45244"/>
    <w:rsid w:val="00D452C7"/>
    <w:rsid w:val="00D452F7"/>
    <w:rsid w:val="00D45313"/>
    <w:rsid w:val="00D45372"/>
    <w:rsid w:val="00D453BD"/>
    <w:rsid w:val="00D45438"/>
    <w:rsid w:val="00D4556C"/>
    <w:rsid w:val="00D45588"/>
    <w:rsid w:val="00D455FB"/>
    <w:rsid w:val="00D45608"/>
    <w:rsid w:val="00D4561D"/>
    <w:rsid w:val="00D4573C"/>
    <w:rsid w:val="00D4577B"/>
    <w:rsid w:val="00D45790"/>
    <w:rsid w:val="00D45905"/>
    <w:rsid w:val="00D45948"/>
    <w:rsid w:val="00D45951"/>
    <w:rsid w:val="00D45953"/>
    <w:rsid w:val="00D45966"/>
    <w:rsid w:val="00D459EE"/>
    <w:rsid w:val="00D45BD5"/>
    <w:rsid w:val="00D45C3B"/>
    <w:rsid w:val="00D45C98"/>
    <w:rsid w:val="00D45D98"/>
    <w:rsid w:val="00D45EC8"/>
    <w:rsid w:val="00D45F49"/>
    <w:rsid w:val="00D45F82"/>
    <w:rsid w:val="00D45F94"/>
    <w:rsid w:val="00D45FF7"/>
    <w:rsid w:val="00D46049"/>
    <w:rsid w:val="00D4609B"/>
    <w:rsid w:val="00D4617F"/>
    <w:rsid w:val="00D461A3"/>
    <w:rsid w:val="00D461E5"/>
    <w:rsid w:val="00D461FD"/>
    <w:rsid w:val="00D46245"/>
    <w:rsid w:val="00D46283"/>
    <w:rsid w:val="00D463BA"/>
    <w:rsid w:val="00D463C4"/>
    <w:rsid w:val="00D463CF"/>
    <w:rsid w:val="00D46480"/>
    <w:rsid w:val="00D464BA"/>
    <w:rsid w:val="00D464DD"/>
    <w:rsid w:val="00D464EE"/>
    <w:rsid w:val="00D4650C"/>
    <w:rsid w:val="00D46545"/>
    <w:rsid w:val="00D465E1"/>
    <w:rsid w:val="00D465F9"/>
    <w:rsid w:val="00D465FC"/>
    <w:rsid w:val="00D4662C"/>
    <w:rsid w:val="00D46730"/>
    <w:rsid w:val="00D46774"/>
    <w:rsid w:val="00D46800"/>
    <w:rsid w:val="00D4682F"/>
    <w:rsid w:val="00D46850"/>
    <w:rsid w:val="00D46967"/>
    <w:rsid w:val="00D4697B"/>
    <w:rsid w:val="00D469BE"/>
    <w:rsid w:val="00D46A07"/>
    <w:rsid w:val="00D46A3A"/>
    <w:rsid w:val="00D46A4E"/>
    <w:rsid w:val="00D46A6B"/>
    <w:rsid w:val="00D46BE0"/>
    <w:rsid w:val="00D46C20"/>
    <w:rsid w:val="00D46CBF"/>
    <w:rsid w:val="00D46E64"/>
    <w:rsid w:val="00D46EED"/>
    <w:rsid w:val="00D46EEE"/>
    <w:rsid w:val="00D46F4B"/>
    <w:rsid w:val="00D46F69"/>
    <w:rsid w:val="00D46F7D"/>
    <w:rsid w:val="00D46FC8"/>
    <w:rsid w:val="00D46FCE"/>
    <w:rsid w:val="00D47009"/>
    <w:rsid w:val="00D47096"/>
    <w:rsid w:val="00D4711E"/>
    <w:rsid w:val="00D4719F"/>
    <w:rsid w:val="00D471CF"/>
    <w:rsid w:val="00D471D8"/>
    <w:rsid w:val="00D47204"/>
    <w:rsid w:val="00D47229"/>
    <w:rsid w:val="00D4725C"/>
    <w:rsid w:val="00D472FE"/>
    <w:rsid w:val="00D47375"/>
    <w:rsid w:val="00D473E8"/>
    <w:rsid w:val="00D47498"/>
    <w:rsid w:val="00D47617"/>
    <w:rsid w:val="00D476B0"/>
    <w:rsid w:val="00D476B5"/>
    <w:rsid w:val="00D47736"/>
    <w:rsid w:val="00D47749"/>
    <w:rsid w:val="00D4779C"/>
    <w:rsid w:val="00D477E8"/>
    <w:rsid w:val="00D47874"/>
    <w:rsid w:val="00D4787A"/>
    <w:rsid w:val="00D47880"/>
    <w:rsid w:val="00D478AA"/>
    <w:rsid w:val="00D478E0"/>
    <w:rsid w:val="00D47929"/>
    <w:rsid w:val="00D47A94"/>
    <w:rsid w:val="00D47B1E"/>
    <w:rsid w:val="00D47BEC"/>
    <w:rsid w:val="00D47C74"/>
    <w:rsid w:val="00D47C9E"/>
    <w:rsid w:val="00D47CBF"/>
    <w:rsid w:val="00D47CD7"/>
    <w:rsid w:val="00D47D1A"/>
    <w:rsid w:val="00D47DB4"/>
    <w:rsid w:val="00D47E69"/>
    <w:rsid w:val="00D47F0B"/>
    <w:rsid w:val="00D47F4C"/>
    <w:rsid w:val="00D47F84"/>
    <w:rsid w:val="00D47FE0"/>
    <w:rsid w:val="00D50016"/>
    <w:rsid w:val="00D5001E"/>
    <w:rsid w:val="00D500CF"/>
    <w:rsid w:val="00D50167"/>
    <w:rsid w:val="00D50295"/>
    <w:rsid w:val="00D50358"/>
    <w:rsid w:val="00D50373"/>
    <w:rsid w:val="00D50396"/>
    <w:rsid w:val="00D503A8"/>
    <w:rsid w:val="00D503E3"/>
    <w:rsid w:val="00D50409"/>
    <w:rsid w:val="00D5052C"/>
    <w:rsid w:val="00D505FA"/>
    <w:rsid w:val="00D50619"/>
    <w:rsid w:val="00D50620"/>
    <w:rsid w:val="00D5065B"/>
    <w:rsid w:val="00D506C5"/>
    <w:rsid w:val="00D50778"/>
    <w:rsid w:val="00D507B0"/>
    <w:rsid w:val="00D508A0"/>
    <w:rsid w:val="00D50930"/>
    <w:rsid w:val="00D50931"/>
    <w:rsid w:val="00D509A0"/>
    <w:rsid w:val="00D509B8"/>
    <w:rsid w:val="00D509BA"/>
    <w:rsid w:val="00D509CC"/>
    <w:rsid w:val="00D50AD5"/>
    <w:rsid w:val="00D50B3D"/>
    <w:rsid w:val="00D50B6A"/>
    <w:rsid w:val="00D50BC3"/>
    <w:rsid w:val="00D50C39"/>
    <w:rsid w:val="00D50C7E"/>
    <w:rsid w:val="00D50C92"/>
    <w:rsid w:val="00D50CA1"/>
    <w:rsid w:val="00D50CA9"/>
    <w:rsid w:val="00D50D0D"/>
    <w:rsid w:val="00D50E4E"/>
    <w:rsid w:val="00D50EC6"/>
    <w:rsid w:val="00D50F7A"/>
    <w:rsid w:val="00D50F88"/>
    <w:rsid w:val="00D5102B"/>
    <w:rsid w:val="00D510D8"/>
    <w:rsid w:val="00D5116F"/>
    <w:rsid w:val="00D51198"/>
    <w:rsid w:val="00D5130F"/>
    <w:rsid w:val="00D5135E"/>
    <w:rsid w:val="00D5139B"/>
    <w:rsid w:val="00D513F6"/>
    <w:rsid w:val="00D5145A"/>
    <w:rsid w:val="00D515E2"/>
    <w:rsid w:val="00D51644"/>
    <w:rsid w:val="00D51669"/>
    <w:rsid w:val="00D5168A"/>
    <w:rsid w:val="00D516F7"/>
    <w:rsid w:val="00D5171F"/>
    <w:rsid w:val="00D51778"/>
    <w:rsid w:val="00D5177D"/>
    <w:rsid w:val="00D51835"/>
    <w:rsid w:val="00D5185B"/>
    <w:rsid w:val="00D51863"/>
    <w:rsid w:val="00D518A6"/>
    <w:rsid w:val="00D518B1"/>
    <w:rsid w:val="00D51917"/>
    <w:rsid w:val="00D51955"/>
    <w:rsid w:val="00D519ED"/>
    <w:rsid w:val="00D51A94"/>
    <w:rsid w:val="00D51AC6"/>
    <w:rsid w:val="00D51C12"/>
    <w:rsid w:val="00D51C7D"/>
    <w:rsid w:val="00D51CD5"/>
    <w:rsid w:val="00D51D08"/>
    <w:rsid w:val="00D51D49"/>
    <w:rsid w:val="00D51F81"/>
    <w:rsid w:val="00D5208F"/>
    <w:rsid w:val="00D520E7"/>
    <w:rsid w:val="00D521C4"/>
    <w:rsid w:val="00D52240"/>
    <w:rsid w:val="00D522AA"/>
    <w:rsid w:val="00D522D1"/>
    <w:rsid w:val="00D523B9"/>
    <w:rsid w:val="00D523C8"/>
    <w:rsid w:val="00D52431"/>
    <w:rsid w:val="00D52468"/>
    <w:rsid w:val="00D52505"/>
    <w:rsid w:val="00D52559"/>
    <w:rsid w:val="00D525AE"/>
    <w:rsid w:val="00D52605"/>
    <w:rsid w:val="00D5262F"/>
    <w:rsid w:val="00D52668"/>
    <w:rsid w:val="00D526BD"/>
    <w:rsid w:val="00D528E6"/>
    <w:rsid w:val="00D528F6"/>
    <w:rsid w:val="00D52932"/>
    <w:rsid w:val="00D52979"/>
    <w:rsid w:val="00D52A66"/>
    <w:rsid w:val="00D52A70"/>
    <w:rsid w:val="00D52A8F"/>
    <w:rsid w:val="00D52AC1"/>
    <w:rsid w:val="00D52B29"/>
    <w:rsid w:val="00D52B47"/>
    <w:rsid w:val="00D52BA4"/>
    <w:rsid w:val="00D52C09"/>
    <w:rsid w:val="00D52C8A"/>
    <w:rsid w:val="00D52CAD"/>
    <w:rsid w:val="00D52D28"/>
    <w:rsid w:val="00D52D92"/>
    <w:rsid w:val="00D52E02"/>
    <w:rsid w:val="00D52E24"/>
    <w:rsid w:val="00D52E36"/>
    <w:rsid w:val="00D52EA1"/>
    <w:rsid w:val="00D52EBE"/>
    <w:rsid w:val="00D52F1D"/>
    <w:rsid w:val="00D52F46"/>
    <w:rsid w:val="00D52F6C"/>
    <w:rsid w:val="00D52FC2"/>
    <w:rsid w:val="00D53013"/>
    <w:rsid w:val="00D53053"/>
    <w:rsid w:val="00D53067"/>
    <w:rsid w:val="00D5312E"/>
    <w:rsid w:val="00D531A1"/>
    <w:rsid w:val="00D531AF"/>
    <w:rsid w:val="00D53278"/>
    <w:rsid w:val="00D5343E"/>
    <w:rsid w:val="00D53460"/>
    <w:rsid w:val="00D53570"/>
    <w:rsid w:val="00D5359C"/>
    <w:rsid w:val="00D535BC"/>
    <w:rsid w:val="00D535D0"/>
    <w:rsid w:val="00D5362F"/>
    <w:rsid w:val="00D53715"/>
    <w:rsid w:val="00D53718"/>
    <w:rsid w:val="00D53887"/>
    <w:rsid w:val="00D538CB"/>
    <w:rsid w:val="00D5396D"/>
    <w:rsid w:val="00D5398A"/>
    <w:rsid w:val="00D539EC"/>
    <w:rsid w:val="00D53A0B"/>
    <w:rsid w:val="00D53AC3"/>
    <w:rsid w:val="00D53B3B"/>
    <w:rsid w:val="00D53B4B"/>
    <w:rsid w:val="00D53BB4"/>
    <w:rsid w:val="00D53C5E"/>
    <w:rsid w:val="00D53C6F"/>
    <w:rsid w:val="00D53CA0"/>
    <w:rsid w:val="00D53E97"/>
    <w:rsid w:val="00D53EFA"/>
    <w:rsid w:val="00D53F8A"/>
    <w:rsid w:val="00D53F9D"/>
    <w:rsid w:val="00D53FB9"/>
    <w:rsid w:val="00D54111"/>
    <w:rsid w:val="00D54173"/>
    <w:rsid w:val="00D541DD"/>
    <w:rsid w:val="00D54217"/>
    <w:rsid w:val="00D54224"/>
    <w:rsid w:val="00D54236"/>
    <w:rsid w:val="00D5425B"/>
    <w:rsid w:val="00D5426F"/>
    <w:rsid w:val="00D542BF"/>
    <w:rsid w:val="00D54385"/>
    <w:rsid w:val="00D5438C"/>
    <w:rsid w:val="00D5439F"/>
    <w:rsid w:val="00D543C3"/>
    <w:rsid w:val="00D544A3"/>
    <w:rsid w:val="00D544B6"/>
    <w:rsid w:val="00D54562"/>
    <w:rsid w:val="00D5456B"/>
    <w:rsid w:val="00D545A9"/>
    <w:rsid w:val="00D54613"/>
    <w:rsid w:val="00D5472B"/>
    <w:rsid w:val="00D5474D"/>
    <w:rsid w:val="00D5477F"/>
    <w:rsid w:val="00D547D8"/>
    <w:rsid w:val="00D54854"/>
    <w:rsid w:val="00D54874"/>
    <w:rsid w:val="00D548D8"/>
    <w:rsid w:val="00D54907"/>
    <w:rsid w:val="00D54927"/>
    <w:rsid w:val="00D54989"/>
    <w:rsid w:val="00D549BC"/>
    <w:rsid w:val="00D549FA"/>
    <w:rsid w:val="00D54A1A"/>
    <w:rsid w:val="00D54AF2"/>
    <w:rsid w:val="00D54B0E"/>
    <w:rsid w:val="00D54B5F"/>
    <w:rsid w:val="00D54B6C"/>
    <w:rsid w:val="00D54B6F"/>
    <w:rsid w:val="00D54BFB"/>
    <w:rsid w:val="00D54C59"/>
    <w:rsid w:val="00D54C68"/>
    <w:rsid w:val="00D54C89"/>
    <w:rsid w:val="00D54CBF"/>
    <w:rsid w:val="00D54D00"/>
    <w:rsid w:val="00D54D7E"/>
    <w:rsid w:val="00D54F0C"/>
    <w:rsid w:val="00D54F36"/>
    <w:rsid w:val="00D54F7C"/>
    <w:rsid w:val="00D54F92"/>
    <w:rsid w:val="00D54FDB"/>
    <w:rsid w:val="00D55029"/>
    <w:rsid w:val="00D55050"/>
    <w:rsid w:val="00D5507B"/>
    <w:rsid w:val="00D5507C"/>
    <w:rsid w:val="00D550BB"/>
    <w:rsid w:val="00D550E1"/>
    <w:rsid w:val="00D550FE"/>
    <w:rsid w:val="00D55111"/>
    <w:rsid w:val="00D55131"/>
    <w:rsid w:val="00D55150"/>
    <w:rsid w:val="00D551EB"/>
    <w:rsid w:val="00D552D6"/>
    <w:rsid w:val="00D55342"/>
    <w:rsid w:val="00D55349"/>
    <w:rsid w:val="00D55372"/>
    <w:rsid w:val="00D553BD"/>
    <w:rsid w:val="00D553F5"/>
    <w:rsid w:val="00D5546B"/>
    <w:rsid w:val="00D5546D"/>
    <w:rsid w:val="00D554B5"/>
    <w:rsid w:val="00D55553"/>
    <w:rsid w:val="00D55570"/>
    <w:rsid w:val="00D555B2"/>
    <w:rsid w:val="00D555B4"/>
    <w:rsid w:val="00D55603"/>
    <w:rsid w:val="00D5561C"/>
    <w:rsid w:val="00D55669"/>
    <w:rsid w:val="00D55701"/>
    <w:rsid w:val="00D55729"/>
    <w:rsid w:val="00D55775"/>
    <w:rsid w:val="00D557AA"/>
    <w:rsid w:val="00D557C7"/>
    <w:rsid w:val="00D557DF"/>
    <w:rsid w:val="00D5585B"/>
    <w:rsid w:val="00D558A4"/>
    <w:rsid w:val="00D558D6"/>
    <w:rsid w:val="00D5593A"/>
    <w:rsid w:val="00D559CA"/>
    <w:rsid w:val="00D55A5B"/>
    <w:rsid w:val="00D55B43"/>
    <w:rsid w:val="00D55B46"/>
    <w:rsid w:val="00D55B7A"/>
    <w:rsid w:val="00D55B9D"/>
    <w:rsid w:val="00D55C0E"/>
    <w:rsid w:val="00D55C38"/>
    <w:rsid w:val="00D55D47"/>
    <w:rsid w:val="00D55D72"/>
    <w:rsid w:val="00D55DFC"/>
    <w:rsid w:val="00D55E08"/>
    <w:rsid w:val="00D55F5D"/>
    <w:rsid w:val="00D55FF4"/>
    <w:rsid w:val="00D5601D"/>
    <w:rsid w:val="00D560A4"/>
    <w:rsid w:val="00D56125"/>
    <w:rsid w:val="00D56174"/>
    <w:rsid w:val="00D561AE"/>
    <w:rsid w:val="00D5620C"/>
    <w:rsid w:val="00D5620E"/>
    <w:rsid w:val="00D5625C"/>
    <w:rsid w:val="00D56271"/>
    <w:rsid w:val="00D562B4"/>
    <w:rsid w:val="00D5632B"/>
    <w:rsid w:val="00D56336"/>
    <w:rsid w:val="00D56387"/>
    <w:rsid w:val="00D563CA"/>
    <w:rsid w:val="00D563DE"/>
    <w:rsid w:val="00D5647D"/>
    <w:rsid w:val="00D5652B"/>
    <w:rsid w:val="00D5659C"/>
    <w:rsid w:val="00D565E7"/>
    <w:rsid w:val="00D565F8"/>
    <w:rsid w:val="00D56683"/>
    <w:rsid w:val="00D56698"/>
    <w:rsid w:val="00D566AC"/>
    <w:rsid w:val="00D5672F"/>
    <w:rsid w:val="00D56757"/>
    <w:rsid w:val="00D5675B"/>
    <w:rsid w:val="00D56785"/>
    <w:rsid w:val="00D567AA"/>
    <w:rsid w:val="00D567D2"/>
    <w:rsid w:val="00D5688F"/>
    <w:rsid w:val="00D568A2"/>
    <w:rsid w:val="00D5697F"/>
    <w:rsid w:val="00D569D0"/>
    <w:rsid w:val="00D56ABB"/>
    <w:rsid w:val="00D56ACE"/>
    <w:rsid w:val="00D56CA9"/>
    <w:rsid w:val="00D56CB0"/>
    <w:rsid w:val="00D56CC1"/>
    <w:rsid w:val="00D56D5D"/>
    <w:rsid w:val="00D56E03"/>
    <w:rsid w:val="00D56E55"/>
    <w:rsid w:val="00D56E8D"/>
    <w:rsid w:val="00D56F03"/>
    <w:rsid w:val="00D570C9"/>
    <w:rsid w:val="00D570DB"/>
    <w:rsid w:val="00D5711F"/>
    <w:rsid w:val="00D57171"/>
    <w:rsid w:val="00D5719B"/>
    <w:rsid w:val="00D571DE"/>
    <w:rsid w:val="00D57276"/>
    <w:rsid w:val="00D57282"/>
    <w:rsid w:val="00D57292"/>
    <w:rsid w:val="00D57325"/>
    <w:rsid w:val="00D5736B"/>
    <w:rsid w:val="00D57384"/>
    <w:rsid w:val="00D57392"/>
    <w:rsid w:val="00D575F4"/>
    <w:rsid w:val="00D5762B"/>
    <w:rsid w:val="00D5763C"/>
    <w:rsid w:val="00D57675"/>
    <w:rsid w:val="00D57933"/>
    <w:rsid w:val="00D57947"/>
    <w:rsid w:val="00D57987"/>
    <w:rsid w:val="00D57A52"/>
    <w:rsid w:val="00D57B02"/>
    <w:rsid w:val="00D57B84"/>
    <w:rsid w:val="00D57C15"/>
    <w:rsid w:val="00D57C8A"/>
    <w:rsid w:val="00D57CFD"/>
    <w:rsid w:val="00D57D01"/>
    <w:rsid w:val="00D57D11"/>
    <w:rsid w:val="00D57D55"/>
    <w:rsid w:val="00D57EC8"/>
    <w:rsid w:val="00D57EFA"/>
    <w:rsid w:val="00D57F6A"/>
    <w:rsid w:val="00D57F8A"/>
    <w:rsid w:val="00D57FC4"/>
    <w:rsid w:val="00D6000E"/>
    <w:rsid w:val="00D60084"/>
    <w:rsid w:val="00D600BB"/>
    <w:rsid w:val="00D600FF"/>
    <w:rsid w:val="00D601C3"/>
    <w:rsid w:val="00D60215"/>
    <w:rsid w:val="00D602DA"/>
    <w:rsid w:val="00D6037D"/>
    <w:rsid w:val="00D603AF"/>
    <w:rsid w:val="00D603BA"/>
    <w:rsid w:val="00D603DC"/>
    <w:rsid w:val="00D603E0"/>
    <w:rsid w:val="00D60435"/>
    <w:rsid w:val="00D6049E"/>
    <w:rsid w:val="00D604E1"/>
    <w:rsid w:val="00D60575"/>
    <w:rsid w:val="00D605FF"/>
    <w:rsid w:val="00D6061F"/>
    <w:rsid w:val="00D6067B"/>
    <w:rsid w:val="00D606B1"/>
    <w:rsid w:val="00D606BC"/>
    <w:rsid w:val="00D60746"/>
    <w:rsid w:val="00D6077A"/>
    <w:rsid w:val="00D6079D"/>
    <w:rsid w:val="00D607D5"/>
    <w:rsid w:val="00D60827"/>
    <w:rsid w:val="00D609CC"/>
    <w:rsid w:val="00D60A2E"/>
    <w:rsid w:val="00D60AD8"/>
    <w:rsid w:val="00D60CC2"/>
    <w:rsid w:val="00D60CEE"/>
    <w:rsid w:val="00D60D27"/>
    <w:rsid w:val="00D60D9F"/>
    <w:rsid w:val="00D60DAB"/>
    <w:rsid w:val="00D60E28"/>
    <w:rsid w:val="00D60E62"/>
    <w:rsid w:val="00D60E6B"/>
    <w:rsid w:val="00D60F67"/>
    <w:rsid w:val="00D60F8E"/>
    <w:rsid w:val="00D61004"/>
    <w:rsid w:val="00D61103"/>
    <w:rsid w:val="00D612DB"/>
    <w:rsid w:val="00D612FC"/>
    <w:rsid w:val="00D613B3"/>
    <w:rsid w:val="00D613B9"/>
    <w:rsid w:val="00D61482"/>
    <w:rsid w:val="00D614D8"/>
    <w:rsid w:val="00D61510"/>
    <w:rsid w:val="00D6153E"/>
    <w:rsid w:val="00D61550"/>
    <w:rsid w:val="00D61565"/>
    <w:rsid w:val="00D6163A"/>
    <w:rsid w:val="00D6166D"/>
    <w:rsid w:val="00D6167B"/>
    <w:rsid w:val="00D61689"/>
    <w:rsid w:val="00D61697"/>
    <w:rsid w:val="00D616E8"/>
    <w:rsid w:val="00D61774"/>
    <w:rsid w:val="00D617C3"/>
    <w:rsid w:val="00D61899"/>
    <w:rsid w:val="00D618E3"/>
    <w:rsid w:val="00D618EA"/>
    <w:rsid w:val="00D61946"/>
    <w:rsid w:val="00D6196C"/>
    <w:rsid w:val="00D61A05"/>
    <w:rsid w:val="00D61A9B"/>
    <w:rsid w:val="00D61AFB"/>
    <w:rsid w:val="00D61C09"/>
    <w:rsid w:val="00D61C75"/>
    <w:rsid w:val="00D61E0F"/>
    <w:rsid w:val="00D61EC0"/>
    <w:rsid w:val="00D61EF0"/>
    <w:rsid w:val="00D61F18"/>
    <w:rsid w:val="00D61F79"/>
    <w:rsid w:val="00D61FC1"/>
    <w:rsid w:val="00D62106"/>
    <w:rsid w:val="00D62151"/>
    <w:rsid w:val="00D62195"/>
    <w:rsid w:val="00D621A2"/>
    <w:rsid w:val="00D621DF"/>
    <w:rsid w:val="00D621EE"/>
    <w:rsid w:val="00D6225C"/>
    <w:rsid w:val="00D62270"/>
    <w:rsid w:val="00D622CC"/>
    <w:rsid w:val="00D622D0"/>
    <w:rsid w:val="00D6238C"/>
    <w:rsid w:val="00D623D5"/>
    <w:rsid w:val="00D62434"/>
    <w:rsid w:val="00D62486"/>
    <w:rsid w:val="00D624AB"/>
    <w:rsid w:val="00D624D3"/>
    <w:rsid w:val="00D6250C"/>
    <w:rsid w:val="00D62558"/>
    <w:rsid w:val="00D625AA"/>
    <w:rsid w:val="00D6261B"/>
    <w:rsid w:val="00D62627"/>
    <w:rsid w:val="00D62631"/>
    <w:rsid w:val="00D6266A"/>
    <w:rsid w:val="00D62692"/>
    <w:rsid w:val="00D626AF"/>
    <w:rsid w:val="00D626B8"/>
    <w:rsid w:val="00D626F7"/>
    <w:rsid w:val="00D62704"/>
    <w:rsid w:val="00D62713"/>
    <w:rsid w:val="00D62722"/>
    <w:rsid w:val="00D62741"/>
    <w:rsid w:val="00D62747"/>
    <w:rsid w:val="00D627E3"/>
    <w:rsid w:val="00D628F0"/>
    <w:rsid w:val="00D62914"/>
    <w:rsid w:val="00D6292F"/>
    <w:rsid w:val="00D6296F"/>
    <w:rsid w:val="00D62A17"/>
    <w:rsid w:val="00D62A3F"/>
    <w:rsid w:val="00D62AB6"/>
    <w:rsid w:val="00D62AD8"/>
    <w:rsid w:val="00D62B10"/>
    <w:rsid w:val="00D62BF7"/>
    <w:rsid w:val="00D62CF2"/>
    <w:rsid w:val="00D62D4B"/>
    <w:rsid w:val="00D62D5F"/>
    <w:rsid w:val="00D62DB1"/>
    <w:rsid w:val="00D62DF2"/>
    <w:rsid w:val="00D62E92"/>
    <w:rsid w:val="00D62F48"/>
    <w:rsid w:val="00D62FF1"/>
    <w:rsid w:val="00D63076"/>
    <w:rsid w:val="00D630DF"/>
    <w:rsid w:val="00D6311D"/>
    <w:rsid w:val="00D63191"/>
    <w:rsid w:val="00D63275"/>
    <w:rsid w:val="00D632C4"/>
    <w:rsid w:val="00D632D7"/>
    <w:rsid w:val="00D63351"/>
    <w:rsid w:val="00D6335A"/>
    <w:rsid w:val="00D6338B"/>
    <w:rsid w:val="00D633C1"/>
    <w:rsid w:val="00D634C8"/>
    <w:rsid w:val="00D63526"/>
    <w:rsid w:val="00D6353A"/>
    <w:rsid w:val="00D635B1"/>
    <w:rsid w:val="00D63664"/>
    <w:rsid w:val="00D63673"/>
    <w:rsid w:val="00D63787"/>
    <w:rsid w:val="00D637E0"/>
    <w:rsid w:val="00D6387C"/>
    <w:rsid w:val="00D638C4"/>
    <w:rsid w:val="00D638D7"/>
    <w:rsid w:val="00D6390F"/>
    <w:rsid w:val="00D639B5"/>
    <w:rsid w:val="00D639F7"/>
    <w:rsid w:val="00D639FD"/>
    <w:rsid w:val="00D63A96"/>
    <w:rsid w:val="00D63ABE"/>
    <w:rsid w:val="00D63BB5"/>
    <w:rsid w:val="00D63BBF"/>
    <w:rsid w:val="00D63BC7"/>
    <w:rsid w:val="00D63C1F"/>
    <w:rsid w:val="00D63C7C"/>
    <w:rsid w:val="00D63C81"/>
    <w:rsid w:val="00D63CBE"/>
    <w:rsid w:val="00D63CE6"/>
    <w:rsid w:val="00D63D7D"/>
    <w:rsid w:val="00D63E0E"/>
    <w:rsid w:val="00D63EE4"/>
    <w:rsid w:val="00D63F8A"/>
    <w:rsid w:val="00D63FBB"/>
    <w:rsid w:val="00D64049"/>
    <w:rsid w:val="00D64057"/>
    <w:rsid w:val="00D64091"/>
    <w:rsid w:val="00D64194"/>
    <w:rsid w:val="00D641A7"/>
    <w:rsid w:val="00D641BD"/>
    <w:rsid w:val="00D6426E"/>
    <w:rsid w:val="00D643B5"/>
    <w:rsid w:val="00D643BC"/>
    <w:rsid w:val="00D643FA"/>
    <w:rsid w:val="00D64484"/>
    <w:rsid w:val="00D64500"/>
    <w:rsid w:val="00D64504"/>
    <w:rsid w:val="00D6451F"/>
    <w:rsid w:val="00D645BC"/>
    <w:rsid w:val="00D64652"/>
    <w:rsid w:val="00D646B9"/>
    <w:rsid w:val="00D646FE"/>
    <w:rsid w:val="00D647FA"/>
    <w:rsid w:val="00D6481F"/>
    <w:rsid w:val="00D648B0"/>
    <w:rsid w:val="00D648CE"/>
    <w:rsid w:val="00D6494F"/>
    <w:rsid w:val="00D64997"/>
    <w:rsid w:val="00D649E8"/>
    <w:rsid w:val="00D64A06"/>
    <w:rsid w:val="00D64A48"/>
    <w:rsid w:val="00D64A61"/>
    <w:rsid w:val="00D64B0B"/>
    <w:rsid w:val="00D64B21"/>
    <w:rsid w:val="00D64BB4"/>
    <w:rsid w:val="00D64BF8"/>
    <w:rsid w:val="00D64C8F"/>
    <w:rsid w:val="00D64CB5"/>
    <w:rsid w:val="00D64CCF"/>
    <w:rsid w:val="00D64DF3"/>
    <w:rsid w:val="00D64E82"/>
    <w:rsid w:val="00D64E97"/>
    <w:rsid w:val="00D64EB5"/>
    <w:rsid w:val="00D64EB9"/>
    <w:rsid w:val="00D64EC2"/>
    <w:rsid w:val="00D64F71"/>
    <w:rsid w:val="00D64F77"/>
    <w:rsid w:val="00D64F8A"/>
    <w:rsid w:val="00D64FEE"/>
    <w:rsid w:val="00D65028"/>
    <w:rsid w:val="00D6503F"/>
    <w:rsid w:val="00D6508E"/>
    <w:rsid w:val="00D650FA"/>
    <w:rsid w:val="00D651BB"/>
    <w:rsid w:val="00D651F4"/>
    <w:rsid w:val="00D65266"/>
    <w:rsid w:val="00D652B7"/>
    <w:rsid w:val="00D652FF"/>
    <w:rsid w:val="00D65309"/>
    <w:rsid w:val="00D653E6"/>
    <w:rsid w:val="00D65401"/>
    <w:rsid w:val="00D654F7"/>
    <w:rsid w:val="00D65512"/>
    <w:rsid w:val="00D655A5"/>
    <w:rsid w:val="00D655F6"/>
    <w:rsid w:val="00D6565B"/>
    <w:rsid w:val="00D6569D"/>
    <w:rsid w:val="00D656D9"/>
    <w:rsid w:val="00D65734"/>
    <w:rsid w:val="00D658BF"/>
    <w:rsid w:val="00D65975"/>
    <w:rsid w:val="00D659CB"/>
    <w:rsid w:val="00D65A2A"/>
    <w:rsid w:val="00D65B12"/>
    <w:rsid w:val="00D65D05"/>
    <w:rsid w:val="00D65D6B"/>
    <w:rsid w:val="00D65E33"/>
    <w:rsid w:val="00D65EF2"/>
    <w:rsid w:val="00D65FE7"/>
    <w:rsid w:val="00D6601C"/>
    <w:rsid w:val="00D66134"/>
    <w:rsid w:val="00D662A7"/>
    <w:rsid w:val="00D662D9"/>
    <w:rsid w:val="00D6649C"/>
    <w:rsid w:val="00D664B9"/>
    <w:rsid w:val="00D664D9"/>
    <w:rsid w:val="00D6654F"/>
    <w:rsid w:val="00D665C6"/>
    <w:rsid w:val="00D665D7"/>
    <w:rsid w:val="00D665F5"/>
    <w:rsid w:val="00D66676"/>
    <w:rsid w:val="00D66733"/>
    <w:rsid w:val="00D66772"/>
    <w:rsid w:val="00D6689C"/>
    <w:rsid w:val="00D668D7"/>
    <w:rsid w:val="00D668FA"/>
    <w:rsid w:val="00D66994"/>
    <w:rsid w:val="00D66A4D"/>
    <w:rsid w:val="00D66A67"/>
    <w:rsid w:val="00D66A76"/>
    <w:rsid w:val="00D66BAE"/>
    <w:rsid w:val="00D66BB7"/>
    <w:rsid w:val="00D66CA4"/>
    <w:rsid w:val="00D66D21"/>
    <w:rsid w:val="00D66D4F"/>
    <w:rsid w:val="00D66D68"/>
    <w:rsid w:val="00D66D84"/>
    <w:rsid w:val="00D66E18"/>
    <w:rsid w:val="00D66EBA"/>
    <w:rsid w:val="00D66EF5"/>
    <w:rsid w:val="00D66F9B"/>
    <w:rsid w:val="00D66FAF"/>
    <w:rsid w:val="00D670C5"/>
    <w:rsid w:val="00D67119"/>
    <w:rsid w:val="00D67137"/>
    <w:rsid w:val="00D6719A"/>
    <w:rsid w:val="00D671F1"/>
    <w:rsid w:val="00D6722B"/>
    <w:rsid w:val="00D6726A"/>
    <w:rsid w:val="00D6728B"/>
    <w:rsid w:val="00D67335"/>
    <w:rsid w:val="00D67361"/>
    <w:rsid w:val="00D673CB"/>
    <w:rsid w:val="00D67451"/>
    <w:rsid w:val="00D6745E"/>
    <w:rsid w:val="00D6747C"/>
    <w:rsid w:val="00D674D3"/>
    <w:rsid w:val="00D674F7"/>
    <w:rsid w:val="00D67508"/>
    <w:rsid w:val="00D675E6"/>
    <w:rsid w:val="00D67625"/>
    <w:rsid w:val="00D676C2"/>
    <w:rsid w:val="00D67721"/>
    <w:rsid w:val="00D67785"/>
    <w:rsid w:val="00D677C9"/>
    <w:rsid w:val="00D6794A"/>
    <w:rsid w:val="00D6796F"/>
    <w:rsid w:val="00D679A0"/>
    <w:rsid w:val="00D679D9"/>
    <w:rsid w:val="00D67A2C"/>
    <w:rsid w:val="00D67A5C"/>
    <w:rsid w:val="00D67AF4"/>
    <w:rsid w:val="00D67B26"/>
    <w:rsid w:val="00D67B3C"/>
    <w:rsid w:val="00D67BC4"/>
    <w:rsid w:val="00D67C10"/>
    <w:rsid w:val="00D67C14"/>
    <w:rsid w:val="00D67C8B"/>
    <w:rsid w:val="00D67D44"/>
    <w:rsid w:val="00D67D4A"/>
    <w:rsid w:val="00D67E78"/>
    <w:rsid w:val="00D67F4F"/>
    <w:rsid w:val="00D67F75"/>
    <w:rsid w:val="00D67F88"/>
    <w:rsid w:val="00D67F95"/>
    <w:rsid w:val="00D67FC1"/>
    <w:rsid w:val="00D70008"/>
    <w:rsid w:val="00D700D4"/>
    <w:rsid w:val="00D701FF"/>
    <w:rsid w:val="00D70220"/>
    <w:rsid w:val="00D70275"/>
    <w:rsid w:val="00D7028B"/>
    <w:rsid w:val="00D70291"/>
    <w:rsid w:val="00D70293"/>
    <w:rsid w:val="00D703C5"/>
    <w:rsid w:val="00D703E3"/>
    <w:rsid w:val="00D703F6"/>
    <w:rsid w:val="00D7043D"/>
    <w:rsid w:val="00D704C9"/>
    <w:rsid w:val="00D704E6"/>
    <w:rsid w:val="00D70637"/>
    <w:rsid w:val="00D70680"/>
    <w:rsid w:val="00D70718"/>
    <w:rsid w:val="00D70725"/>
    <w:rsid w:val="00D70746"/>
    <w:rsid w:val="00D707A0"/>
    <w:rsid w:val="00D7080F"/>
    <w:rsid w:val="00D709AB"/>
    <w:rsid w:val="00D70A67"/>
    <w:rsid w:val="00D70A94"/>
    <w:rsid w:val="00D70ABD"/>
    <w:rsid w:val="00D70AF2"/>
    <w:rsid w:val="00D70AF7"/>
    <w:rsid w:val="00D70B17"/>
    <w:rsid w:val="00D70B94"/>
    <w:rsid w:val="00D70BB2"/>
    <w:rsid w:val="00D70BF8"/>
    <w:rsid w:val="00D70C2F"/>
    <w:rsid w:val="00D70C5D"/>
    <w:rsid w:val="00D70C85"/>
    <w:rsid w:val="00D70CEF"/>
    <w:rsid w:val="00D70D16"/>
    <w:rsid w:val="00D70D4F"/>
    <w:rsid w:val="00D70EF3"/>
    <w:rsid w:val="00D70F11"/>
    <w:rsid w:val="00D70F56"/>
    <w:rsid w:val="00D71078"/>
    <w:rsid w:val="00D710E2"/>
    <w:rsid w:val="00D710F2"/>
    <w:rsid w:val="00D71238"/>
    <w:rsid w:val="00D712FD"/>
    <w:rsid w:val="00D71351"/>
    <w:rsid w:val="00D713E1"/>
    <w:rsid w:val="00D71519"/>
    <w:rsid w:val="00D7162E"/>
    <w:rsid w:val="00D71693"/>
    <w:rsid w:val="00D716AF"/>
    <w:rsid w:val="00D716C3"/>
    <w:rsid w:val="00D71750"/>
    <w:rsid w:val="00D7176D"/>
    <w:rsid w:val="00D71786"/>
    <w:rsid w:val="00D717CF"/>
    <w:rsid w:val="00D717D5"/>
    <w:rsid w:val="00D7182B"/>
    <w:rsid w:val="00D71992"/>
    <w:rsid w:val="00D71996"/>
    <w:rsid w:val="00D71A1E"/>
    <w:rsid w:val="00D71AAD"/>
    <w:rsid w:val="00D71B18"/>
    <w:rsid w:val="00D71B7A"/>
    <w:rsid w:val="00D71BA7"/>
    <w:rsid w:val="00D71BA8"/>
    <w:rsid w:val="00D71BC7"/>
    <w:rsid w:val="00D71BF6"/>
    <w:rsid w:val="00D71C5B"/>
    <w:rsid w:val="00D71C73"/>
    <w:rsid w:val="00D71C9F"/>
    <w:rsid w:val="00D71CBF"/>
    <w:rsid w:val="00D71CD3"/>
    <w:rsid w:val="00D71CF6"/>
    <w:rsid w:val="00D71D99"/>
    <w:rsid w:val="00D71E07"/>
    <w:rsid w:val="00D71EB6"/>
    <w:rsid w:val="00D71F75"/>
    <w:rsid w:val="00D71F9F"/>
    <w:rsid w:val="00D72006"/>
    <w:rsid w:val="00D72071"/>
    <w:rsid w:val="00D7209E"/>
    <w:rsid w:val="00D7212E"/>
    <w:rsid w:val="00D72155"/>
    <w:rsid w:val="00D7216B"/>
    <w:rsid w:val="00D72291"/>
    <w:rsid w:val="00D722DE"/>
    <w:rsid w:val="00D72394"/>
    <w:rsid w:val="00D725D3"/>
    <w:rsid w:val="00D725E1"/>
    <w:rsid w:val="00D726B7"/>
    <w:rsid w:val="00D726F9"/>
    <w:rsid w:val="00D72749"/>
    <w:rsid w:val="00D7274A"/>
    <w:rsid w:val="00D72750"/>
    <w:rsid w:val="00D7277D"/>
    <w:rsid w:val="00D727A5"/>
    <w:rsid w:val="00D727F9"/>
    <w:rsid w:val="00D728EE"/>
    <w:rsid w:val="00D728FA"/>
    <w:rsid w:val="00D729CE"/>
    <w:rsid w:val="00D72A45"/>
    <w:rsid w:val="00D72A48"/>
    <w:rsid w:val="00D72A6B"/>
    <w:rsid w:val="00D72A75"/>
    <w:rsid w:val="00D72BE6"/>
    <w:rsid w:val="00D72DB2"/>
    <w:rsid w:val="00D72E13"/>
    <w:rsid w:val="00D72E32"/>
    <w:rsid w:val="00D72E3A"/>
    <w:rsid w:val="00D72EA1"/>
    <w:rsid w:val="00D72EDA"/>
    <w:rsid w:val="00D72EEA"/>
    <w:rsid w:val="00D72F3C"/>
    <w:rsid w:val="00D72F77"/>
    <w:rsid w:val="00D72F9B"/>
    <w:rsid w:val="00D72FF2"/>
    <w:rsid w:val="00D73042"/>
    <w:rsid w:val="00D730E5"/>
    <w:rsid w:val="00D730F6"/>
    <w:rsid w:val="00D73107"/>
    <w:rsid w:val="00D731F1"/>
    <w:rsid w:val="00D731FC"/>
    <w:rsid w:val="00D7322E"/>
    <w:rsid w:val="00D7329B"/>
    <w:rsid w:val="00D73328"/>
    <w:rsid w:val="00D73349"/>
    <w:rsid w:val="00D733E0"/>
    <w:rsid w:val="00D7347F"/>
    <w:rsid w:val="00D73663"/>
    <w:rsid w:val="00D73693"/>
    <w:rsid w:val="00D7370F"/>
    <w:rsid w:val="00D737AE"/>
    <w:rsid w:val="00D737B0"/>
    <w:rsid w:val="00D737D1"/>
    <w:rsid w:val="00D73813"/>
    <w:rsid w:val="00D73844"/>
    <w:rsid w:val="00D73849"/>
    <w:rsid w:val="00D7389A"/>
    <w:rsid w:val="00D73920"/>
    <w:rsid w:val="00D73963"/>
    <w:rsid w:val="00D73A14"/>
    <w:rsid w:val="00D73A6A"/>
    <w:rsid w:val="00D73A74"/>
    <w:rsid w:val="00D73AB2"/>
    <w:rsid w:val="00D73B36"/>
    <w:rsid w:val="00D73B4F"/>
    <w:rsid w:val="00D73B92"/>
    <w:rsid w:val="00D73C42"/>
    <w:rsid w:val="00D73C46"/>
    <w:rsid w:val="00D73C56"/>
    <w:rsid w:val="00D73C74"/>
    <w:rsid w:val="00D73CA0"/>
    <w:rsid w:val="00D73CD3"/>
    <w:rsid w:val="00D73D35"/>
    <w:rsid w:val="00D73D82"/>
    <w:rsid w:val="00D73E50"/>
    <w:rsid w:val="00D73EB1"/>
    <w:rsid w:val="00D73EDC"/>
    <w:rsid w:val="00D73F6C"/>
    <w:rsid w:val="00D73FC0"/>
    <w:rsid w:val="00D740BD"/>
    <w:rsid w:val="00D74150"/>
    <w:rsid w:val="00D7418A"/>
    <w:rsid w:val="00D741D5"/>
    <w:rsid w:val="00D74276"/>
    <w:rsid w:val="00D74371"/>
    <w:rsid w:val="00D7438F"/>
    <w:rsid w:val="00D743B7"/>
    <w:rsid w:val="00D74499"/>
    <w:rsid w:val="00D7449E"/>
    <w:rsid w:val="00D744EB"/>
    <w:rsid w:val="00D74571"/>
    <w:rsid w:val="00D7463F"/>
    <w:rsid w:val="00D746CF"/>
    <w:rsid w:val="00D746E6"/>
    <w:rsid w:val="00D74790"/>
    <w:rsid w:val="00D7484D"/>
    <w:rsid w:val="00D7489F"/>
    <w:rsid w:val="00D748DD"/>
    <w:rsid w:val="00D748F2"/>
    <w:rsid w:val="00D7493C"/>
    <w:rsid w:val="00D74980"/>
    <w:rsid w:val="00D749CF"/>
    <w:rsid w:val="00D749D8"/>
    <w:rsid w:val="00D749DF"/>
    <w:rsid w:val="00D749F3"/>
    <w:rsid w:val="00D74A0A"/>
    <w:rsid w:val="00D74A6F"/>
    <w:rsid w:val="00D74B3A"/>
    <w:rsid w:val="00D74CC6"/>
    <w:rsid w:val="00D74D9C"/>
    <w:rsid w:val="00D74E1A"/>
    <w:rsid w:val="00D74E60"/>
    <w:rsid w:val="00D74E63"/>
    <w:rsid w:val="00D74E76"/>
    <w:rsid w:val="00D74E83"/>
    <w:rsid w:val="00D74F09"/>
    <w:rsid w:val="00D74F28"/>
    <w:rsid w:val="00D74FA8"/>
    <w:rsid w:val="00D74FDD"/>
    <w:rsid w:val="00D74FFC"/>
    <w:rsid w:val="00D75019"/>
    <w:rsid w:val="00D7513B"/>
    <w:rsid w:val="00D751E3"/>
    <w:rsid w:val="00D752C8"/>
    <w:rsid w:val="00D7534C"/>
    <w:rsid w:val="00D7540D"/>
    <w:rsid w:val="00D75430"/>
    <w:rsid w:val="00D75433"/>
    <w:rsid w:val="00D7547D"/>
    <w:rsid w:val="00D7558C"/>
    <w:rsid w:val="00D755B8"/>
    <w:rsid w:val="00D755F5"/>
    <w:rsid w:val="00D75617"/>
    <w:rsid w:val="00D756DB"/>
    <w:rsid w:val="00D75777"/>
    <w:rsid w:val="00D7578A"/>
    <w:rsid w:val="00D757E4"/>
    <w:rsid w:val="00D757FF"/>
    <w:rsid w:val="00D75895"/>
    <w:rsid w:val="00D75973"/>
    <w:rsid w:val="00D75A09"/>
    <w:rsid w:val="00D75A27"/>
    <w:rsid w:val="00D75ABE"/>
    <w:rsid w:val="00D75ADD"/>
    <w:rsid w:val="00D75B3B"/>
    <w:rsid w:val="00D75BC7"/>
    <w:rsid w:val="00D75C32"/>
    <w:rsid w:val="00D75D79"/>
    <w:rsid w:val="00D75D94"/>
    <w:rsid w:val="00D75E38"/>
    <w:rsid w:val="00D75E55"/>
    <w:rsid w:val="00D75EE2"/>
    <w:rsid w:val="00D75F68"/>
    <w:rsid w:val="00D75FFD"/>
    <w:rsid w:val="00D76020"/>
    <w:rsid w:val="00D76089"/>
    <w:rsid w:val="00D760B9"/>
    <w:rsid w:val="00D7614A"/>
    <w:rsid w:val="00D7616F"/>
    <w:rsid w:val="00D762E6"/>
    <w:rsid w:val="00D7637F"/>
    <w:rsid w:val="00D76396"/>
    <w:rsid w:val="00D763C9"/>
    <w:rsid w:val="00D76402"/>
    <w:rsid w:val="00D76455"/>
    <w:rsid w:val="00D7655F"/>
    <w:rsid w:val="00D765A0"/>
    <w:rsid w:val="00D765D5"/>
    <w:rsid w:val="00D76647"/>
    <w:rsid w:val="00D76653"/>
    <w:rsid w:val="00D7665F"/>
    <w:rsid w:val="00D766A4"/>
    <w:rsid w:val="00D766FE"/>
    <w:rsid w:val="00D76807"/>
    <w:rsid w:val="00D7681B"/>
    <w:rsid w:val="00D768B7"/>
    <w:rsid w:val="00D768C1"/>
    <w:rsid w:val="00D768E7"/>
    <w:rsid w:val="00D76914"/>
    <w:rsid w:val="00D76956"/>
    <w:rsid w:val="00D7697B"/>
    <w:rsid w:val="00D76A34"/>
    <w:rsid w:val="00D76A4D"/>
    <w:rsid w:val="00D76A86"/>
    <w:rsid w:val="00D76A93"/>
    <w:rsid w:val="00D76AAB"/>
    <w:rsid w:val="00D76B2F"/>
    <w:rsid w:val="00D76B55"/>
    <w:rsid w:val="00D76BB5"/>
    <w:rsid w:val="00D76BD0"/>
    <w:rsid w:val="00D76C32"/>
    <w:rsid w:val="00D76D2D"/>
    <w:rsid w:val="00D76D53"/>
    <w:rsid w:val="00D76DD7"/>
    <w:rsid w:val="00D76DF3"/>
    <w:rsid w:val="00D76F87"/>
    <w:rsid w:val="00D7700D"/>
    <w:rsid w:val="00D7706F"/>
    <w:rsid w:val="00D770A2"/>
    <w:rsid w:val="00D77198"/>
    <w:rsid w:val="00D771A0"/>
    <w:rsid w:val="00D77274"/>
    <w:rsid w:val="00D77305"/>
    <w:rsid w:val="00D7738E"/>
    <w:rsid w:val="00D77393"/>
    <w:rsid w:val="00D77478"/>
    <w:rsid w:val="00D774AA"/>
    <w:rsid w:val="00D77562"/>
    <w:rsid w:val="00D775B8"/>
    <w:rsid w:val="00D775BA"/>
    <w:rsid w:val="00D77620"/>
    <w:rsid w:val="00D77711"/>
    <w:rsid w:val="00D77715"/>
    <w:rsid w:val="00D777C2"/>
    <w:rsid w:val="00D777C9"/>
    <w:rsid w:val="00D77847"/>
    <w:rsid w:val="00D7784C"/>
    <w:rsid w:val="00D778D0"/>
    <w:rsid w:val="00D7793C"/>
    <w:rsid w:val="00D77984"/>
    <w:rsid w:val="00D77A35"/>
    <w:rsid w:val="00D77A68"/>
    <w:rsid w:val="00D77AB6"/>
    <w:rsid w:val="00D77B92"/>
    <w:rsid w:val="00D77BA0"/>
    <w:rsid w:val="00D77C34"/>
    <w:rsid w:val="00D77D65"/>
    <w:rsid w:val="00D77DD0"/>
    <w:rsid w:val="00D77F23"/>
    <w:rsid w:val="00D77F9F"/>
    <w:rsid w:val="00D77FF2"/>
    <w:rsid w:val="00D80158"/>
    <w:rsid w:val="00D80172"/>
    <w:rsid w:val="00D801F7"/>
    <w:rsid w:val="00D801FF"/>
    <w:rsid w:val="00D8024D"/>
    <w:rsid w:val="00D802AE"/>
    <w:rsid w:val="00D802DE"/>
    <w:rsid w:val="00D8033B"/>
    <w:rsid w:val="00D803DA"/>
    <w:rsid w:val="00D80400"/>
    <w:rsid w:val="00D80409"/>
    <w:rsid w:val="00D8042B"/>
    <w:rsid w:val="00D80449"/>
    <w:rsid w:val="00D80465"/>
    <w:rsid w:val="00D8046C"/>
    <w:rsid w:val="00D804D3"/>
    <w:rsid w:val="00D8050F"/>
    <w:rsid w:val="00D80521"/>
    <w:rsid w:val="00D80602"/>
    <w:rsid w:val="00D8061F"/>
    <w:rsid w:val="00D8069E"/>
    <w:rsid w:val="00D80706"/>
    <w:rsid w:val="00D8072C"/>
    <w:rsid w:val="00D80742"/>
    <w:rsid w:val="00D80781"/>
    <w:rsid w:val="00D807AA"/>
    <w:rsid w:val="00D807CF"/>
    <w:rsid w:val="00D807F8"/>
    <w:rsid w:val="00D80803"/>
    <w:rsid w:val="00D80879"/>
    <w:rsid w:val="00D8087F"/>
    <w:rsid w:val="00D80893"/>
    <w:rsid w:val="00D808EE"/>
    <w:rsid w:val="00D8097E"/>
    <w:rsid w:val="00D809FD"/>
    <w:rsid w:val="00D80A3D"/>
    <w:rsid w:val="00D80AA1"/>
    <w:rsid w:val="00D80AEB"/>
    <w:rsid w:val="00D80B0E"/>
    <w:rsid w:val="00D80B94"/>
    <w:rsid w:val="00D80BAF"/>
    <w:rsid w:val="00D80CD5"/>
    <w:rsid w:val="00D80CD6"/>
    <w:rsid w:val="00D80D00"/>
    <w:rsid w:val="00D80D01"/>
    <w:rsid w:val="00D80D13"/>
    <w:rsid w:val="00D80D14"/>
    <w:rsid w:val="00D80D4F"/>
    <w:rsid w:val="00D80D7C"/>
    <w:rsid w:val="00D80E1A"/>
    <w:rsid w:val="00D80E73"/>
    <w:rsid w:val="00D80EB1"/>
    <w:rsid w:val="00D80ECB"/>
    <w:rsid w:val="00D80F89"/>
    <w:rsid w:val="00D81072"/>
    <w:rsid w:val="00D8111A"/>
    <w:rsid w:val="00D8112A"/>
    <w:rsid w:val="00D81159"/>
    <w:rsid w:val="00D8128D"/>
    <w:rsid w:val="00D812AB"/>
    <w:rsid w:val="00D812FD"/>
    <w:rsid w:val="00D81307"/>
    <w:rsid w:val="00D813A6"/>
    <w:rsid w:val="00D813CB"/>
    <w:rsid w:val="00D813D6"/>
    <w:rsid w:val="00D81444"/>
    <w:rsid w:val="00D81531"/>
    <w:rsid w:val="00D8156E"/>
    <w:rsid w:val="00D8158F"/>
    <w:rsid w:val="00D815C5"/>
    <w:rsid w:val="00D8160D"/>
    <w:rsid w:val="00D81619"/>
    <w:rsid w:val="00D81670"/>
    <w:rsid w:val="00D81684"/>
    <w:rsid w:val="00D816D7"/>
    <w:rsid w:val="00D81702"/>
    <w:rsid w:val="00D81707"/>
    <w:rsid w:val="00D8175C"/>
    <w:rsid w:val="00D817D4"/>
    <w:rsid w:val="00D81817"/>
    <w:rsid w:val="00D81867"/>
    <w:rsid w:val="00D819BA"/>
    <w:rsid w:val="00D81A5D"/>
    <w:rsid w:val="00D81AD8"/>
    <w:rsid w:val="00D81B63"/>
    <w:rsid w:val="00D81B7A"/>
    <w:rsid w:val="00D81C50"/>
    <w:rsid w:val="00D81C97"/>
    <w:rsid w:val="00D81C9C"/>
    <w:rsid w:val="00D81CAF"/>
    <w:rsid w:val="00D81D68"/>
    <w:rsid w:val="00D81D6B"/>
    <w:rsid w:val="00D81DE4"/>
    <w:rsid w:val="00D81E40"/>
    <w:rsid w:val="00D81E41"/>
    <w:rsid w:val="00D81E49"/>
    <w:rsid w:val="00D81E6A"/>
    <w:rsid w:val="00D81EA4"/>
    <w:rsid w:val="00D81ECC"/>
    <w:rsid w:val="00D81F30"/>
    <w:rsid w:val="00D81F9A"/>
    <w:rsid w:val="00D81FA7"/>
    <w:rsid w:val="00D82002"/>
    <w:rsid w:val="00D8200A"/>
    <w:rsid w:val="00D82019"/>
    <w:rsid w:val="00D82031"/>
    <w:rsid w:val="00D82073"/>
    <w:rsid w:val="00D820DB"/>
    <w:rsid w:val="00D8212C"/>
    <w:rsid w:val="00D82192"/>
    <w:rsid w:val="00D821C2"/>
    <w:rsid w:val="00D821FE"/>
    <w:rsid w:val="00D822D9"/>
    <w:rsid w:val="00D8230F"/>
    <w:rsid w:val="00D82407"/>
    <w:rsid w:val="00D82418"/>
    <w:rsid w:val="00D8243D"/>
    <w:rsid w:val="00D825A0"/>
    <w:rsid w:val="00D8264B"/>
    <w:rsid w:val="00D82670"/>
    <w:rsid w:val="00D826E3"/>
    <w:rsid w:val="00D82701"/>
    <w:rsid w:val="00D82763"/>
    <w:rsid w:val="00D8281E"/>
    <w:rsid w:val="00D828E1"/>
    <w:rsid w:val="00D828E3"/>
    <w:rsid w:val="00D828F5"/>
    <w:rsid w:val="00D82986"/>
    <w:rsid w:val="00D829EC"/>
    <w:rsid w:val="00D82A94"/>
    <w:rsid w:val="00D82A9D"/>
    <w:rsid w:val="00D82AEA"/>
    <w:rsid w:val="00D82B0E"/>
    <w:rsid w:val="00D82B51"/>
    <w:rsid w:val="00D82B8C"/>
    <w:rsid w:val="00D82BAC"/>
    <w:rsid w:val="00D82BCD"/>
    <w:rsid w:val="00D82C03"/>
    <w:rsid w:val="00D82C7A"/>
    <w:rsid w:val="00D82D53"/>
    <w:rsid w:val="00D82F34"/>
    <w:rsid w:val="00D82F44"/>
    <w:rsid w:val="00D83042"/>
    <w:rsid w:val="00D83066"/>
    <w:rsid w:val="00D8312E"/>
    <w:rsid w:val="00D83241"/>
    <w:rsid w:val="00D83254"/>
    <w:rsid w:val="00D8325C"/>
    <w:rsid w:val="00D8329C"/>
    <w:rsid w:val="00D832C7"/>
    <w:rsid w:val="00D832EE"/>
    <w:rsid w:val="00D83336"/>
    <w:rsid w:val="00D8333E"/>
    <w:rsid w:val="00D833E3"/>
    <w:rsid w:val="00D833E7"/>
    <w:rsid w:val="00D83425"/>
    <w:rsid w:val="00D8345B"/>
    <w:rsid w:val="00D83472"/>
    <w:rsid w:val="00D8350E"/>
    <w:rsid w:val="00D835D0"/>
    <w:rsid w:val="00D83796"/>
    <w:rsid w:val="00D83810"/>
    <w:rsid w:val="00D839CC"/>
    <w:rsid w:val="00D83A64"/>
    <w:rsid w:val="00D83AC0"/>
    <w:rsid w:val="00D83B6E"/>
    <w:rsid w:val="00D83C64"/>
    <w:rsid w:val="00D83C73"/>
    <w:rsid w:val="00D83CD5"/>
    <w:rsid w:val="00D83CDE"/>
    <w:rsid w:val="00D83E8F"/>
    <w:rsid w:val="00D83F6E"/>
    <w:rsid w:val="00D83F94"/>
    <w:rsid w:val="00D83FCB"/>
    <w:rsid w:val="00D84009"/>
    <w:rsid w:val="00D8402D"/>
    <w:rsid w:val="00D84058"/>
    <w:rsid w:val="00D84095"/>
    <w:rsid w:val="00D840A4"/>
    <w:rsid w:val="00D840DD"/>
    <w:rsid w:val="00D84133"/>
    <w:rsid w:val="00D84171"/>
    <w:rsid w:val="00D841EA"/>
    <w:rsid w:val="00D841F0"/>
    <w:rsid w:val="00D841FF"/>
    <w:rsid w:val="00D84273"/>
    <w:rsid w:val="00D84280"/>
    <w:rsid w:val="00D842AB"/>
    <w:rsid w:val="00D844C2"/>
    <w:rsid w:val="00D844FC"/>
    <w:rsid w:val="00D845A9"/>
    <w:rsid w:val="00D84613"/>
    <w:rsid w:val="00D8466F"/>
    <w:rsid w:val="00D846B1"/>
    <w:rsid w:val="00D84747"/>
    <w:rsid w:val="00D8477F"/>
    <w:rsid w:val="00D847AC"/>
    <w:rsid w:val="00D847D0"/>
    <w:rsid w:val="00D84860"/>
    <w:rsid w:val="00D84A6E"/>
    <w:rsid w:val="00D84A96"/>
    <w:rsid w:val="00D84A9C"/>
    <w:rsid w:val="00D84AD3"/>
    <w:rsid w:val="00D84B12"/>
    <w:rsid w:val="00D84B28"/>
    <w:rsid w:val="00D84B91"/>
    <w:rsid w:val="00D84BEB"/>
    <w:rsid w:val="00D84C0B"/>
    <w:rsid w:val="00D84C88"/>
    <w:rsid w:val="00D84CB5"/>
    <w:rsid w:val="00D84D12"/>
    <w:rsid w:val="00D84DE4"/>
    <w:rsid w:val="00D84DE9"/>
    <w:rsid w:val="00D84E55"/>
    <w:rsid w:val="00D84EE3"/>
    <w:rsid w:val="00D84F59"/>
    <w:rsid w:val="00D84F5E"/>
    <w:rsid w:val="00D84F62"/>
    <w:rsid w:val="00D84FDF"/>
    <w:rsid w:val="00D8505C"/>
    <w:rsid w:val="00D85076"/>
    <w:rsid w:val="00D850B9"/>
    <w:rsid w:val="00D85124"/>
    <w:rsid w:val="00D8514E"/>
    <w:rsid w:val="00D8518B"/>
    <w:rsid w:val="00D8519F"/>
    <w:rsid w:val="00D852A1"/>
    <w:rsid w:val="00D852C2"/>
    <w:rsid w:val="00D85301"/>
    <w:rsid w:val="00D8531B"/>
    <w:rsid w:val="00D85356"/>
    <w:rsid w:val="00D85371"/>
    <w:rsid w:val="00D853CE"/>
    <w:rsid w:val="00D8543E"/>
    <w:rsid w:val="00D85506"/>
    <w:rsid w:val="00D85526"/>
    <w:rsid w:val="00D85560"/>
    <w:rsid w:val="00D85651"/>
    <w:rsid w:val="00D8566F"/>
    <w:rsid w:val="00D856FD"/>
    <w:rsid w:val="00D85742"/>
    <w:rsid w:val="00D85750"/>
    <w:rsid w:val="00D857B3"/>
    <w:rsid w:val="00D857C0"/>
    <w:rsid w:val="00D8580A"/>
    <w:rsid w:val="00D8583C"/>
    <w:rsid w:val="00D858D5"/>
    <w:rsid w:val="00D85938"/>
    <w:rsid w:val="00D85985"/>
    <w:rsid w:val="00D85A25"/>
    <w:rsid w:val="00D85B35"/>
    <w:rsid w:val="00D85B7C"/>
    <w:rsid w:val="00D85BC3"/>
    <w:rsid w:val="00D85C12"/>
    <w:rsid w:val="00D85C5E"/>
    <w:rsid w:val="00D85C89"/>
    <w:rsid w:val="00D85D63"/>
    <w:rsid w:val="00D85D76"/>
    <w:rsid w:val="00D85E27"/>
    <w:rsid w:val="00D85E9B"/>
    <w:rsid w:val="00D85E9E"/>
    <w:rsid w:val="00D85EB8"/>
    <w:rsid w:val="00D85F33"/>
    <w:rsid w:val="00D85F91"/>
    <w:rsid w:val="00D85FD3"/>
    <w:rsid w:val="00D8600D"/>
    <w:rsid w:val="00D86010"/>
    <w:rsid w:val="00D860DA"/>
    <w:rsid w:val="00D8612C"/>
    <w:rsid w:val="00D86155"/>
    <w:rsid w:val="00D861A3"/>
    <w:rsid w:val="00D861BD"/>
    <w:rsid w:val="00D86298"/>
    <w:rsid w:val="00D8639C"/>
    <w:rsid w:val="00D863A1"/>
    <w:rsid w:val="00D86468"/>
    <w:rsid w:val="00D8646B"/>
    <w:rsid w:val="00D864B1"/>
    <w:rsid w:val="00D86597"/>
    <w:rsid w:val="00D8659E"/>
    <w:rsid w:val="00D8660E"/>
    <w:rsid w:val="00D86621"/>
    <w:rsid w:val="00D866C9"/>
    <w:rsid w:val="00D86770"/>
    <w:rsid w:val="00D8677B"/>
    <w:rsid w:val="00D8680E"/>
    <w:rsid w:val="00D86895"/>
    <w:rsid w:val="00D868A7"/>
    <w:rsid w:val="00D868DD"/>
    <w:rsid w:val="00D868EF"/>
    <w:rsid w:val="00D86A2A"/>
    <w:rsid w:val="00D86AB7"/>
    <w:rsid w:val="00D86AF8"/>
    <w:rsid w:val="00D86B43"/>
    <w:rsid w:val="00D86BD1"/>
    <w:rsid w:val="00D86C85"/>
    <w:rsid w:val="00D86CAD"/>
    <w:rsid w:val="00D86CBB"/>
    <w:rsid w:val="00D86D55"/>
    <w:rsid w:val="00D86D61"/>
    <w:rsid w:val="00D86DD2"/>
    <w:rsid w:val="00D86DF4"/>
    <w:rsid w:val="00D86DFA"/>
    <w:rsid w:val="00D86E45"/>
    <w:rsid w:val="00D86EB6"/>
    <w:rsid w:val="00D86EBD"/>
    <w:rsid w:val="00D86EE4"/>
    <w:rsid w:val="00D86F8C"/>
    <w:rsid w:val="00D86FA7"/>
    <w:rsid w:val="00D86FFE"/>
    <w:rsid w:val="00D8708A"/>
    <w:rsid w:val="00D870F2"/>
    <w:rsid w:val="00D8716F"/>
    <w:rsid w:val="00D87218"/>
    <w:rsid w:val="00D8723A"/>
    <w:rsid w:val="00D8725C"/>
    <w:rsid w:val="00D87283"/>
    <w:rsid w:val="00D872C5"/>
    <w:rsid w:val="00D87303"/>
    <w:rsid w:val="00D87312"/>
    <w:rsid w:val="00D87357"/>
    <w:rsid w:val="00D87384"/>
    <w:rsid w:val="00D874F7"/>
    <w:rsid w:val="00D8751B"/>
    <w:rsid w:val="00D87527"/>
    <w:rsid w:val="00D8755B"/>
    <w:rsid w:val="00D87568"/>
    <w:rsid w:val="00D8757E"/>
    <w:rsid w:val="00D8763D"/>
    <w:rsid w:val="00D876F1"/>
    <w:rsid w:val="00D8772E"/>
    <w:rsid w:val="00D87778"/>
    <w:rsid w:val="00D877B8"/>
    <w:rsid w:val="00D877D5"/>
    <w:rsid w:val="00D877E3"/>
    <w:rsid w:val="00D87815"/>
    <w:rsid w:val="00D87887"/>
    <w:rsid w:val="00D878A0"/>
    <w:rsid w:val="00D878AD"/>
    <w:rsid w:val="00D878FB"/>
    <w:rsid w:val="00D8795A"/>
    <w:rsid w:val="00D8798F"/>
    <w:rsid w:val="00D879B5"/>
    <w:rsid w:val="00D87A37"/>
    <w:rsid w:val="00D87A3B"/>
    <w:rsid w:val="00D87A9E"/>
    <w:rsid w:val="00D87B0B"/>
    <w:rsid w:val="00D87B45"/>
    <w:rsid w:val="00D87BFA"/>
    <w:rsid w:val="00D87C18"/>
    <w:rsid w:val="00D87C2D"/>
    <w:rsid w:val="00D87CC0"/>
    <w:rsid w:val="00D87D9F"/>
    <w:rsid w:val="00D87DD9"/>
    <w:rsid w:val="00D87E07"/>
    <w:rsid w:val="00D87E1C"/>
    <w:rsid w:val="00D87EFB"/>
    <w:rsid w:val="00D87F16"/>
    <w:rsid w:val="00D87F67"/>
    <w:rsid w:val="00D9001C"/>
    <w:rsid w:val="00D9003C"/>
    <w:rsid w:val="00D900EB"/>
    <w:rsid w:val="00D90110"/>
    <w:rsid w:val="00D90166"/>
    <w:rsid w:val="00D9016B"/>
    <w:rsid w:val="00D90186"/>
    <w:rsid w:val="00D901A7"/>
    <w:rsid w:val="00D901E9"/>
    <w:rsid w:val="00D90233"/>
    <w:rsid w:val="00D9025E"/>
    <w:rsid w:val="00D90266"/>
    <w:rsid w:val="00D902A5"/>
    <w:rsid w:val="00D903BC"/>
    <w:rsid w:val="00D90435"/>
    <w:rsid w:val="00D90441"/>
    <w:rsid w:val="00D904C1"/>
    <w:rsid w:val="00D904E5"/>
    <w:rsid w:val="00D9056C"/>
    <w:rsid w:val="00D9059F"/>
    <w:rsid w:val="00D90799"/>
    <w:rsid w:val="00D907ED"/>
    <w:rsid w:val="00D9082C"/>
    <w:rsid w:val="00D90830"/>
    <w:rsid w:val="00D909B7"/>
    <w:rsid w:val="00D909BC"/>
    <w:rsid w:val="00D909D0"/>
    <w:rsid w:val="00D909EB"/>
    <w:rsid w:val="00D90A05"/>
    <w:rsid w:val="00D90AE6"/>
    <w:rsid w:val="00D90B0A"/>
    <w:rsid w:val="00D90C54"/>
    <w:rsid w:val="00D90D10"/>
    <w:rsid w:val="00D90DC3"/>
    <w:rsid w:val="00D90E42"/>
    <w:rsid w:val="00D90E50"/>
    <w:rsid w:val="00D90E7A"/>
    <w:rsid w:val="00D90E8D"/>
    <w:rsid w:val="00D90F1D"/>
    <w:rsid w:val="00D90F27"/>
    <w:rsid w:val="00D90F76"/>
    <w:rsid w:val="00D90F7F"/>
    <w:rsid w:val="00D90FA4"/>
    <w:rsid w:val="00D91007"/>
    <w:rsid w:val="00D91019"/>
    <w:rsid w:val="00D9101D"/>
    <w:rsid w:val="00D910A5"/>
    <w:rsid w:val="00D910C8"/>
    <w:rsid w:val="00D91191"/>
    <w:rsid w:val="00D911AD"/>
    <w:rsid w:val="00D911AF"/>
    <w:rsid w:val="00D91205"/>
    <w:rsid w:val="00D91259"/>
    <w:rsid w:val="00D912DD"/>
    <w:rsid w:val="00D913D4"/>
    <w:rsid w:val="00D91416"/>
    <w:rsid w:val="00D9145B"/>
    <w:rsid w:val="00D9146E"/>
    <w:rsid w:val="00D91470"/>
    <w:rsid w:val="00D915D0"/>
    <w:rsid w:val="00D91676"/>
    <w:rsid w:val="00D91698"/>
    <w:rsid w:val="00D916C0"/>
    <w:rsid w:val="00D91718"/>
    <w:rsid w:val="00D91725"/>
    <w:rsid w:val="00D9174B"/>
    <w:rsid w:val="00D9175B"/>
    <w:rsid w:val="00D91770"/>
    <w:rsid w:val="00D917FF"/>
    <w:rsid w:val="00D91868"/>
    <w:rsid w:val="00D91881"/>
    <w:rsid w:val="00D91946"/>
    <w:rsid w:val="00D9196D"/>
    <w:rsid w:val="00D919DF"/>
    <w:rsid w:val="00D919FA"/>
    <w:rsid w:val="00D91A33"/>
    <w:rsid w:val="00D91AD8"/>
    <w:rsid w:val="00D91B07"/>
    <w:rsid w:val="00D91B31"/>
    <w:rsid w:val="00D91B3F"/>
    <w:rsid w:val="00D91C34"/>
    <w:rsid w:val="00D91C94"/>
    <w:rsid w:val="00D91CF4"/>
    <w:rsid w:val="00D91CFA"/>
    <w:rsid w:val="00D91D1A"/>
    <w:rsid w:val="00D91D1E"/>
    <w:rsid w:val="00D91D74"/>
    <w:rsid w:val="00D91DB2"/>
    <w:rsid w:val="00D91EA2"/>
    <w:rsid w:val="00D91ED6"/>
    <w:rsid w:val="00D91EF7"/>
    <w:rsid w:val="00D91F66"/>
    <w:rsid w:val="00D91FBB"/>
    <w:rsid w:val="00D91FE7"/>
    <w:rsid w:val="00D91FEB"/>
    <w:rsid w:val="00D92030"/>
    <w:rsid w:val="00D92052"/>
    <w:rsid w:val="00D9215C"/>
    <w:rsid w:val="00D9229B"/>
    <w:rsid w:val="00D922BF"/>
    <w:rsid w:val="00D92343"/>
    <w:rsid w:val="00D92356"/>
    <w:rsid w:val="00D923C4"/>
    <w:rsid w:val="00D923C9"/>
    <w:rsid w:val="00D92428"/>
    <w:rsid w:val="00D92560"/>
    <w:rsid w:val="00D92597"/>
    <w:rsid w:val="00D925F9"/>
    <w:rsid w:val="00D92610"/>
    <w:rsid w:val="00D92674"/>
    <w:rsid w:val="00D926FE"/>
    <w:rsid w:val="00D9280F"/>
    <w:rsid w:val="00D92870"/>
    <w:rsid w:val="00D928A8"/>
    <w:rsid w:val="00D92942"/>
    <w:rsid w:val="00D929FC"/>
    <w:rsid w:val="00D92A1B"/>
    <w:rsid w:val="00D92A34"/>
    <w:rsid w:val="00D92A80"/>
    <w:rsid w:val="00D92A91"/>
    <w:rsid w:val="00D92A9E"/>
    <w:rsid w:val="00D92B04"/>
    <w:rsid w:val="00D92BD2"/>
    <w:rsid w:val="00D92BF4"/>
    <w:rsid w:val="00D92BFB"/>
    <w:rsid w:val="00D92C43"/>
    <w:rsid w:val="00D92C74"/>
    <w:rsid w:val="00D92D6A"/>
    <w:rsid w:val="00D92D80"/>
    <w:rsid w:val="00D92F60"/>
    <w:rsid w:val="00D92F80"/>
    <w:rsid w:val="00D93065"/>
    <w:rsid w:val="00D930EA"/>
    <w:rsid w:val="00D93110"/>
    <w:rsid w:val="00D9312D"/>
    <w:rsid w:val="00D932B2"/>
    <w:rsid w:val="00D93313"/>
    <w:rsid w:val="00D933BE"/>
    <w:rsid w:val="00D93451"/>
    <w:rsid w:val="00D93484"/>
    <w:rsid w:val="00D934E8"/>
    <w:rsid w:val="00D9355A"/>
    <w:rsid w:val="00D935F8"/>
    <w:rsid w:val="00D9361F"/>
    <w:rsid w:val="00D93631"/>
    <w:rsid w:val="00D936EB"/>
    <w:rsid w:val="00D93732"/>
    <w:rsid w:val="00D9381B"/>
    <w:rsid w:val="00D93835"/>
    <w:rsid w:val="00D9384D"/>
    <w:rsid w:val="00D93885"/>
    <w:rsid w:val="00D938BA"/>
    <w:rsid w:val="00D938C7"/>
    <w:rsid w:val="00D938FA"/>
    <w:rsid w:val="00D93995"/>
    <w:rsid w:val="00D939AC"/>
    <w:rsid w:val="00D939D2"/>
    <w:rsid w:val="00D93A5A"/>
    <w:rsid w:val="00D93AF2"/>
    <w:rsid w:val="00D93B01"/>
    <w:rsid w:val="00D93B6A"/>
    <w:rsid w:val="00D93B6C"/>
    <w:rsid w:val="00D93C2A"/>
    <w:rsid w:val="00D93C62"/>
    <w:rsid w:val="00D93CA0"/>
    <w:rsid w:val="00D93DC3"/>
    <w:rsid w:val="00D93DF7"/>
    <w:rsid w:val="00D93E05"/>
    <w:rsid w:val="00D93E5F"/>
    <w:rsid w:val="00D93EAA"/>
    <w:rsid w:val="00D93EAB"/>
    <w:rsid w:val="00D93EBC"/>
    <w:rsid w:val="00D93F20"/>
    <w:rsid w:val="00D9405E"/>
    <w:rsid w:val="00D940B7"/>
    <w:rsid w:val="00D940FF"/>
    <w:rsid w:val="00D9414C"/>
    <w:rsid w:val="00D941BC"/>
    <w:rsid w:val="00D943F1"/>
    <w:rsid w:val="00D94411"/>
    <w:rsid w:val="00D9441E"/>
    <w:rsid w:val="00D94479"/>
    <w:rsid w:val="00D9449B"/>
    <w:rsid w:val="00D944D2"/>
    <w:rsid w:val="00D944D7"/>
    <w:rsid w:val="00D9450D"/>
    <w:rsid w:val="00D9455A"/>
    <w:rsid w:val="00D9456C"/>
    <w:rsid w:val="00D9456D"/>
    <w:rsid w:val="00D945A3"/>
    <w:rsid w:val="00D94616"/>
    <w:rsid w:val="00D94640"/>
    <w:rsid w:val="00D9469E"/>
    <w:rsid w:val="00D946D5"/>
    <w:rsid w:val="00D9473B"/>
    <w:rsid w:val="00D9477B"/>
    <w:rsid w:val="00D94805"/>
    <w:rsid w:val="00D94808"/>
    <w:rsid w:val="00D948D4"/>
    <w:rsid w:val="00D948F4"/>
    <w:rsid w:val="00D9498F"/>
    <w:rsid w:val="00D94A25"/>
    <w:rsid w:val="00D94A8C"/>
    <w:rsid w:val="00D94A96"/>
    <w:rsid w:val="00D94AC6"/>
    <w:rsid w:val="00D94B0F"/>
    <w:rsid w:val="00D94B19"/>
    <w:rsid w:val="00D94B2C"/>
    <w:rsid w:val="00D94BAD"/>
    <w:rsid w:val="00D94BDC"/>
    <w:rsid w:val="00D94BF1"/>
    <w:rsid w:val="00D94C26"/>
    <w:rsid w:val="00D94C94"/>
    <w:rsid w:val="00D94CF4"/>
    <w:rsid w:val="00D94D63"/>
    <w:rsid w:val="00D94D6B"/>
    <w:rsid w:val="00D94DD4"/>
    <w:rsid w:val="00D94E22"/>
    <w:rsid w:val="00D94E8B"/>
    <w:rsid w:val="00D94EA3"/>
    <w:rsid w:val="00D94EDA"/>
    <w:rsid w:val="00D94F00"/>
    <w:rsid w:val="00D94F7C"/>
    <w:rsid w:val="00D94FE7"/>
    <w:rsid w:val="00D950D7"/>
    <w:rsid w:val="00D950F3"/>
    <w:rsid w:val="00D95133"/>
    <w:rsid w:val="00D9514A"/>
    <w:rsid w:val="00D951B1"/>
    <w:rsid w:val="00D95291"/>
    <w:rsid w:val="00D9539D"/>
    <w:rsid w:val="00D9542D"/>
    <w:rsid w:val="00D9543B"/>
    <w:rsid w:val="00D954C9"/>
    <w:rsid w:val="00D954D2"/>
    <w:rsid w:val="00D95528"/>
    <w:rsid w:val="00D95549"/>
    <w:rsid w:val="00D9554F"/>
    <w:rsid w:val="00D9559D"/>
    <w:rsid w:val="00D955A8"/>
    <w:rsid w:val="00D955F4"/>
    <w:rsid w:val="00D9560F"/>
    <w:rsid w:val="00D95676"/>
    <w:rsid w:val="00D956AC"/>
    <w:rsid w:val="00D956FD"/>
    <w:rsid w:val="00D9576F"/>
    <w:rsid w:val="00D95834"/>
    <w:rsid w:val="00D95840"/>
    <w:rsid w:val="00D95890"/>
    <w:rsid w:val="00D958C8"/>
    <w:rsid w:val="00D958D8"/>
    <w:rsid w:val="00D9594A"/>
    <w:rsid w:val="00D95967"/>
    <w:rsid w:val="00D959D5"/>
    <w:rsid w:val="00D95A60"/>
    <w:rsid w:val="00D95B24"/>
    <w:rsid w:val="00D95BB1"/>
    <w:rsid w:val="00D95C2D"/>
    <w:rsid w:val="00D95C40"/>
    <w:rsid w:val="00D95CBD"/>
    <w:rsid w:val="00D95CC5"/>
    <w:rsid w:val="00D95CE7"/>
    <w:rsid w:val="00D95D01"/>
    <w:rsid w:val="00D95D1F"/>
    <w:rsid w:val="00D95D55"/>
    <w:rsid w:val="00D95D8A"/>
    <w:rsid w:val="00D95DA5"/>
    <w:rsid w:val="00D95DB0"/>
    <w:rsid w:val="00D95DDF"/>
    <w:rsid w:val="00D95DEB"/>
    <w:rsid w:val="00D95E3F"/>
    <w:rsid w:val="00D95E45"/>
    <w:rsid w:val="00D95E63"/>
    <w:rsid w:val="00D95EA3"/>
    <w:rsid w:val="00D95F7B"/>
    <w:rsid w:val="00D95F93"/>
    <w:rsid w:val="00D95F9B"/>
    <w:rsid w:val="00D95FD3"/>
    <w:rsid w:val="00D9605E"/>
    <w:rsid w:val="00D96070"/>
    <w:rsid w:val="00D96083"/>
    <w:rsid w:val="00D96196"/>
    <w:rsid w:val="00D961BC"/>
    <w:rsid w:val="00D96204"/>
    <w:rsid w:val="00D96255"/>
    <w:rsid w:val="00D96257"/>
    <w:rsid w:val="00D96267"/>
    <w:rsid w:val="00D962DC"/>
    <w:rsid w:val="00D9634E"/>
    <w:rsid w:val="00D964B4"/>
    <w:rsid w:val="00D964C6"/>
    <w:rsid w:val="00D965EC"/>
    <w:rsid w:val="00D96663"/>
    <w:rsid w:val="00D966DA"/>
    <w:rsid w:val="00D96818"/>
    <w:rsid w:val="00D96867"/>
    <w:rsid w:val="00D9696F"/>
    <w:rsid w:val="00D9698B"/>
    <w:rsid w:val="00D969B8"/>
    <w:rsid w:val="00D96B68"/>
    <w:rsid w:val="00D96BDE"/>
    <w:rsid w:val="00D96BE0"/>
    <w:rsid w:val="00D96C04"/>
    <w:rsid w:val="00D96C38"/>
    <w:rsid w:val="00D96D14"/>
    <w:rsid w:val="00D96D40"/>
    <w:rsid w:val="00D96DCF"/>
    <w:rsid w:val="00D96E09"/>
    <w:rsid w:val="00D96E19"/>
    <w:rsid w:val="00D96E9F"/>
    <w:rsid w:val="00D96EA2"/>
    <w:rsid w:val="00D96F0C"/>
    <w:rsid w:val="00D96F89"/>
    <w:rsid w:val="00D96F8F"/>
    <w:rsid w:val="00D97023"/>
    <w:rsid w:val="00D97038"/>
    <w:rsid w:val="00D971A9"/>
    <w:rsid w:val="00D97225"/>
    <w:rsid w:val="00D97259"/>
    <w:rsid w:val="00D97361"/>
    <w:rsid w:val="00D97395"/>
    <w:rsid w:val="00D973A9"/>
    <w:rsid w:val="00D973D6"/>
    <w:rsid w:val="00D973E9"/>
    <w:rsid w:val="00D97414"/>
    <w:rsid w:val="00D97439"/>
    <w:rsid w:val="00D9746F"/>
    <w:rsid w:val="00D97479"/>
    <w:rsid w:val="00D974B5"/>
    <w:rsid w:val="00D974B6"/>
    <w:rsid w:val="00D9752A"/>
    <w:rsid w:val="00D9763F"/>
    <w:rsid w:val="00D9767D"/>
    <w:rsid w:val="00D97708"/>
    <w:rsid w:val="00D97818"/>
    <w:rsid w:val="00D978D4"/>
    <w:rsid w:val="00D978D7"/>
    <w:rsid w:val="00D97911"/>
    <w:rsid w:val="00D97955"/>
    <w:rsid w:val="00D9795E"/>
    <w:rsid w:val="00D979EE"/>
    <w:rsid w:val="00D97A4A"/>
    <w:rsid w:val="00D97AF2"/>
    <w:rsid w:val="00D97AF8"/>
    <w:rsid w:val="00D97B83"/>
    <w:rsid w:val="00D97BD8"/>
    <w:rsid w:val="00D97BF9"/>
    <w:rsid w:val="00D97C1E"/>
    <w:rsid w:val="00D97CA1"/>
    <w:rsid w:val="00D97CAA"/>
    <w:rsid w:val="00D97CD0"/>
    <w:rsid w:val="00D97CEF"/>
    <w:rsid w:val="00D97CF5"/>
    <w:rsid w:val="00D97D18"/>
    <w:rsid w:val="00D97D52"/>
    <w:rsid w:val="00D97D7B"/>
    <w:rsid w:val="00D97ED6"/>
    <w:rsid w:val="00D97EEA"/>
    <w:rsid w:val="00D97F09"/>
    <w:rsid w:val="00D97FA0"/>
    <w:rsid w:val="00D97FCF"/>
    <w:rsid w:val="00D97FE0"/>
    <w:rsid w:val="00DA0001"/>
    <w:rsid w:val="00DA005C"/>
    <w:rsid w:val="00DA006C"/>
    <w:rsid w:val="00DA0074"/>
    <w:rsid w:val="00DA0086"/>
    <w:rsid w:val="00DA00BF"/>
    <w:rsid w:val="00DA0106"/>
    <w:rsid w:val="00DA018F"/>
    <w:rsid w:val="00DA01B5"/>
    <w:rsid w:val="00DA0260"/>
    <w:rsid w:val="00DA0264"/>
    <w:rsid w:val="00DA026E"/>
    <w:rsid w:val="00DA0349"/>
    <w:rsid w:val="00DA036B"/>
    <w:rsid w:val="00DA0413"/>
    <w:rsid w:val="00DA04D2"/>
    <w:rsid w:val="00DA04EA"/>
    <w:rsid w:val="00DA04F8"/>
    <w:rsid w:val="00DA0507"/>
    <w:rsid w:val="00DA051A"/>
    <w:rsid w:val="00DA055D"/>
    <w:rsid w:val="00DA059A"/>
    <w:rsid w:val="00DA05E3"/>
    <w:rsid w:val="00DA05FB"/>
    <w:rsid w:val="00DA0619"/>
    <w:rsid w:val="00DA0645"/>
    <w:rsid w:val="00DA0662"/>
    <w:rsid w:val="00DA06D3"/>
    <w:rsid w:val="00DA079A"/>
    <w:rsid w:val="00DA07AD"/>
    <w:rsid w:val="00DA07C9"/>
    <w:rsid w:val="00DA07EE"/>
    <w:rsid w:val="00DA0969"/>
    <w:rsid w:val="00DA0973"/>
    <w:rsid w:val="00DA09F4"/>
    <w:rsid w:val="00DA0B94"/>
    <w:rsid w:val="00DA0BCC"/>
    <w:rsid w:val="00DA0C05"/>
    <w:rsid w:val="00DA0D04"/>
    <w:rsid w:val="00DA0D14"/>
    <w:rsid w:val="00DA0D62"/>
    <w:rsid w:val="00DA0D97"/>
    <w:rsid w:val="00DA0E1C"/>
    <w:rsid w:val="00DA0E92"/>
    <w:rsid w:val="00DA0EEB"/>
    <w:rsid w:val="00DA0EF3"/>
    <w:rsid w:val="00DA0F97"/>
    <w:rsid w:val="00DA10A2"/>
    <w:rsid w:val="00DA10AC"/>
    <w:rsid w:val="00DA1116"/>
    <w:rsid w:val="00DA117E"/>
    <w:rsid w:val="00DA11CB"/>
    <w:rsid w:val="00DA1205"/>
    <w:rsid w:val="00DA126F"/>
    <w:rsid w:val="00DA1325"/>
    <w:rsid w:val="00DA1334"/>
    <w:rsid w:val="00DA13A0"/>
    <w:rsid w:val="00DA144E"/>
    <w:rsid w:val="00DA1473"/>
    <w:rsid w:val="00DA1481"/>
    <w:rsid w:val="00DA14B0"/>
    <w:rsid w:val="00DA14D9"/>
    <w:rsid w:val="00DA14DF"/>
    <w:rsid w:val="00DA14EA"/>
    <w:rsid w:val="00DA1582"/>
    <w:rsid w:val="00DA1593"/>
    <w:rsid w:val="00DA1637"/>
    <w:rsid w:val="00DA1651"/>
    <w:rsid w:val="00DA1677"/>
    <w:rsid w:val="00DA16A0"/>
    <w:rsid w:val="00DA1725"/>
    <w:rsid w:val="00DA1743"/>
    <w:rsid w:val="00DA1744"/>
    <w:rsid w:val="00DA17EC"/>
    <w:rsid w:val="00DA1862"/>
    <w:rsid w:val="00DA188A"/>
    <w:rsid w:val="00DA18D0"/>
    <w:rsid w:val="00DA191E"/>
    <w:rsid w:val="00DA19C3"/>
    <w:rsid w:val="00DA1B04"/>
    <w:rsid w:val="00DA1B33"/>
    <w:rsid w:val="00DA1B9B"/>
    <w:rsid w:val="00DA1B9D"/>
    <w:rsid w:val="00DA1BAB"/>
    <w:rsid w:val="00DA1D33"/>
    <w:rsid w:val="00DA1DCC"/>
    <w:rsid w:val="00DA1E2F"/>
    <w:rsid w:val="00DA1EAF"/>
    <w:rsid w:val="00DA1EEE"/>
    <w:rsid w:val="00DA1F05"/>
    <w:rsid w:val="00DA1F44"/>
    <w:rsid w:val="00DA1F6C"/>
    <w:rsid w:val="00DA1F6F"/>
    <w:rsid w:val="00DA1F95"/>
    <w:rsid w:val="00DA1FE6"/>
    <w:rsid w:val="00DA1FF7"/>
    <w:rsid w:val="00DA206F"/>
    <w:rsid w:val="00DA2167"/>
    <w:rsid w:val="00DA2169"/>
    <w:rsid w:val="00DA2173"/>
    <w:rsid w:val="00DA2183"/>
    <w:rsid w:val="00DA2199"/>
    <w:rsid w:val="00DA21B8"/>
    <w:rsid w:val="00DA2293"/>
    <w:rsid w:val="00DA2359"/>
    <w:rsid w:val="00DA2391"/>
    <w:rsid w:val="00DA25BA"/>
    <w:rsid w:val="00DA26BF"/>
    <w:rsid w:val="00DA271D"/>
    <w:rsid w:val="00DA2739"/>
    <w:rsid w:val="00DA27D0"/>
    <w:rsid w:val="00DA27F2"/>
    <w:rsid w:val="00DA292D"/>
    <w:rsid w:val="00DA2973"/>
    <w:rsid w:val="00DA2980"/>
    <w:rsid w:val="00DA2A0A"/>
    <w:rsid w:val="00DA2A14"/>
    <w:rsid w:val="00DA2A5F"/>
    <w:rsid w:val="00DA2A73"/>
    <w:rsid w:val="00DA2ABB"/>
    <w:rsid w:val="00DA2AC8"/>
    <w:rsid w:val="00DA2AED"/>
    <w:rsid w:val="00DA2BAB"/>
    <w:rsid w:val="00DA2BF9"/>
    <w:rsid w:val="00DA2C81"/>
    <w:rsid w:val="00DA2D47"/>
    <w:rsid w:val="00DA2D53"/>
    <w:rsid w:val="00DA2EB1"/>
    <w:rsid w:val="00DA2F0E"/>
    <w:rsid w:val="00DA3039"/>
    <w:rsid w:val="00DA3099"/>
    <w:rsid w:val="00DA3117"/>
    <w:rsid w:val="00DA3190"/>
    <w:rsid w:val="00DA3268"/>
    <w:rsid w:val="00DA32CD"/>
    <w:rsid w:val="00DA33CE"/>
    <w:rsid w:val="00DA33DB"/>
    <w:rsid w:val="00DA3494"/>
    <w:rsid w:val="00DA367C"/>
    <w:rsid w:val="00DA36D2"/>
    <w:rsid w:val="00DA37D8"/>
    <w:rsid w:val="00DA37E8"/>
    <w:rsid w:val="00DA3805"/>
    <w:rsid w:val="00DA384E"/>
    <w:rsid w:val="00DA3965"/>
    <w:rsid w:val="00DA39A2"/>
    <w:rsid w:val="00DA39A8"/>
    <w:rsid w:val="00DA3A91"/>
    <w:rsid w:val="00DA3B28"/>
    <w:rsid w:val="00DA3B55"/>
    <w:rsid w:val="00DA3B6A"/>
    <w:rsid w:val="00DA3BD3"/>
    <w:rsid w:val="00DA3BF5"/>
    <w:rsid w:val="00DA3D0E"/>
    <w:rsid w:val="00DA3E22"/>
    <w:rsid w:val="00DA3EB3"/>
    <w:rsid w:val="00DA3EC6"/>
    <w:rsid w:val="00DA3EF2"/>
    <w:rsid w:val="00DA3F1A"/>
    <w:rsid w:val="00DA3F74"/>
    <w:rsid w:val="00DA3F9C"/>
    <w:rsid w:val="00DA3FCB"/>
    <w:rsid w:val="00DA3FDB"/>
    <w:rsid w:val="00DA405D"/>
    <w:rsid w:val="00DA410A"/>
    <w:rsid w:val="00DA4172"/>
    <w:rsid w:val="00DA419C"/>
    <w:rsid w:val="00DA4218"/>
    <w:rsid w:val="00DA4292"/>
    <w:rsid w:val="00DA42B4"/>
    <w:rsid w:val="00DA430A"/>
    <w:rsid w:val="00DA4331"/>
    <w:rsid w:val="00DA4334"/>
    <w:rsid w:val="00DA438A"/>
    <w:rsid w:val="00DA43BD"/>
    <w:rsid w:val="00DA4445"/>
    <w:rsid w:val="00DA444A"/>
    <w:rsid w:val="00DA4688"/>
    <w:rsid w:val="00DA476D"/>
    <w:rsid w:val="00DA47BF"/>
    <w:rsid w:val="00DA4843"/>
    <w:rsid w:val="00DA4A6C"/>
    <w:rsid w:val="00DA4AA9"/>
    <w:rsid w:val="00DA4B10"/>
    <w:rsid w:val="00DA4B22"/>
    <w:rsid w:val="00DA4B51"/>
    <w:rsid w:val="00DA4B6F"/>
    <w:rsid w:val="00DA4B85"/>
    <w:rsid w:val="00DA4BB7"/>
    <w:rsid w:val="00DA4C0E"/>
    <w:rsid w:val="00DA4C60"/>
    <w:rsid w:val="00DA4CCB"/>
    <w:rsid w:val="00DA4D5C"/>
    <w:rsid w:val="00DA4D8A"/>
    <w:rsid w:val="00DA4E4A"/>
    <w:rsid w:val="00DA4E5B"/>
    <w:rsid w:val="00DA4F32"/>
    <w:rsid w:val="00DA4F4E"/>
    <w:rsid w:val="00DA4F69"/>
    <w:rsid w:val="00DA4FE4"/>
    <w:rsid w:val="00DA4FFD"/>
    <w:rsid w:val="00DA5021"/>
    <w:rsid w:val="00DA509B"/>
    <w:rsid w:val="00DA5158"/>
    <w:rsid w:val="00DA5162"/>
    <w:rsid w:val="00DA516B"/>
    <w:rsid w:val="00DA51D2"/>
    <w:rsid w:val="00DA5207"/>
    <w:rsid w:val="00DA5219"/>
    <w:rsid w:val="00DA5269"/>
    <w:rsid w:val="00DA5334"/>
    <w:rsid w:val="00DA53D7"/>
    <w:rsid w:val="00DA5431"/>
    <w:rsid w:val="00DA54DC"/>
    <w:rsid w:val="00DA54E7"/>
    <w:rsid w:val="00DA552F"/>
    <w:rsid w:val="00DA5538"/>
    <w:rsid w:val="00DA554C"/>
    <w:rsid w:val="00DA5597"/>
    <w:rsid w:val="00DA55C3"/>
    <w:rsid w:val="00DA56B5"/>
    <w:rsid w:val="00DA57C8"/>
    <w:rsid w:val="00DA5828"/>
    <w:rsid w:val="00DA582A"/>
    <w:rsid w:val="00DA587B"/>
    <w:rsid w:val="00DA58A5"/>
    <w:rsid w:val="00DA5928"/>
    <w:rsid w:val="00DA5A34"/>
    <w:rsid w:val="00DA5ADC"/>
    <w:rsid w:val="00DA5B45"/>
    <w:rsid w:val="00DA5B5F"/>
    <w:rsid w:val="00DA5BD5"/>
    <w:rsid w:val="00DA5C51"/>
    <w:rsid w:val="00DA5CF1"/>
    <w:rsid w:val="00DA5D65"/>
    <w:rsid w:val="00DA5D72"/>
    <w:rsid w:val="00DA5DCC"/>
    <w:rsid w:val="00DA5DE2"/>
    <w:rsid w:val="00DA5E6B"/>
    <w:rsid w:val="00DA5F23"/>
    <w:rsid w:val="00DA5F6D"/>
    <w:rsid w:val="00DA5FE7"/>
    <w:rsid w:val="00DA600E"/>
    <w:rsid w:val="00DA601C"/>
    <w:rsid w:val="00DA607D"/>
    <w:rsid w:val="00DA6161"/>
    <w:rsid w:val="00DA616D"/>
    <w:rsid w:val="00DA6250"/>
    <w:rsid w:val="00DA62D4"/>
    <w:rsid w:val="00DA62E0"/>
    <w:rsid w:val="00DA63CB"/>
    <w:rsid w:val="00DA6415"/>
    <w:rsid w:val="00DA643E"/>
    <w:rsid w:val="00DA645A"/>
    <w:rsid w:val="00DA6530"/>
    <w:rsid w:val="00DA6558"/>
    <w:rsid w:val="00DA655A"/>
    <w:rsid w:val="00DA6561"/>
    <w:rsid w:val="00DA658F"/>
    <w:rsid w:val="00DA662C"/>
    <w:rsid w:val="00DA6662"/>
    <w:rsid w:val="00DA668B"/>
    <w:rsid w:val="00DA6745"/>
    <w:rsid w:val="00DA67A5"/>
    <w:rsid w:val="00DA67BD"/>
    <w:rsid w:val="00DA67E0"/>
    <w:rsid w:val="00DA68E7"/>
    <w:rsid w:val="00DA68ED"/>
    <w:rsid w:val="00DA690F"/>
    <w:rsid w:val="00DA69CE"/>
    <w:rsid w:val="00DA69FB"/>
    <w:rsid w:val="00DA6A42"/>
    <w:rsid w:val="00DA6A62"/>
    <w:rsid w:val="00DA6A67"/>
    <w:rsid w:val="00DA6AAB"/>
    <w:rsid w:val="00DA6AB6"/>
    <w:rsid w:val="00DA6AD7"/>
    <w:rsid w:val="00DA6AE5"/>
    <w:rsid w:val="00DA6B48"/>
    <w:rsid w:val="00DA6B6D"/>
    <w:rsid w:val="00DA6C53"/>
    <w:rsid w:val="00DA6CD8"/>
    <w:rsid w:val="00DA6CF8"/>
    <w:rsid w:val="00DA6D03"/>
    <w:rsid w:val="00DA6DCF"/>
    <w:rsid w:val="00DA6E86"/>
    <w:rsid w:val="00DA6EF4"/>
    <w:rsid w:val="00DA6F6C"/>
    <w:rsid w:val="00DA6F6F"/>
    <w:rsid w:val="00DA6F7B"/>
    <w:rsid w:val="00DA6FC7"/>
    <w:rsid w:val="00DA6FCA"/>
    <w:rsid w:val="00DA6FED"/>
    <w:rsid w:val="00DA702C"/>
    <w:rsid w:val="00DA70F2"/>
    <w:rsid w:val="00DA711B"/>
    <w:rsid w:val="00DA713E"/>
    <w:rsid w:val="00DA719A"/>
    <w:rsid w:val="00DA71F9"/>
    <w:rsid w:val="00DA724B"/>
    <w:rsid w:val="00DA7272"/>
    <w:rsid w:val="00DA7304"/>
    <w:rsid w:val="00DA7339"/>
    <w:rsid w:val="00DA7452"/>
    <w:rsid w:val="00DA7511"/>
    <w:rsid w:val="00DA756F"/>
    <w:rsid w:val="00DA7573"/>
    <w:rsid w:val="00DA757D"/>
    <w:rsid w:val="00DA7640"/>
    <w:rsid w:val="00DA76A0"/>
    <w:rsid w:val="00DA76E4"/>
    <w:rsid w:val="00DA7854"/>
    <w:rsid w:val="00DA7A82"/>
    <w:rsid w:val="00DA7B71"/>
    <w:rsid w:val="00DA7BD0"/>
    <w:rsid w:val="00DA7BD7"/>
    <w:rsid w:val="00DA7C6F"/>
    <w:rsid w:val="00DA7C8E"/>
    <w:rsid w:val="00DA7CC8"/>
    <w:rsid w:val="00DA7D49"/>
    <w:rsid w:val="00DA7E2E"/>
    <w:rsid w:val="00DA7FB5"/>
    <w:rsid w:val="00DB0164"/>
    <w:rsid w:val="00DB01B4"/>
    <w:rsid w:val="00DB01B5"/>
    <w:rsid w:val="00DB01D4"/>
    <w:rsid w:val="00DB0384"/>
    <w:rsid w:val="00DB04B5"/>
    <w:rsid w:val="00DB04B7"/>
    <w:rsid w:val="00DB057D"/>
    <w:rsid w:val="00DB0624"/>
    <w:rsid w:val="00DB06C4"/>
    <w:rsid w:val="00DB06E4"/>
    <w:rsid w:val="00DB0716"/>
    <w:rsid w:val="00DB0766"/>
    <w:rsid w:val="00DB076D"/>
    <w:rsid w:val="00DB077D"/>
    <w:rsid w:val="00DB07F2"/>
    <w:rsid w:val="00DB0826"/>
    <w:rsid w:val="00DB083F"/>
    <w:rsid w:val="00DB089C"/>
    <w:rsid w:val="00DB08D0"/>
    <w:rsid w:val="00DB0901"/>
    <w:rsid w:val="00DB0945"/>
    <w:rsid w:val="00DB094A"/>
    <w:rsid w:val="00DB0957"/>
    <w:rsid w:val="00DB0A36"/>
    <w:rsid w:val="00DB0AA0"/>
    <w:rsid w:val="00DB0AA8"/>
    <w:rsid w:val="00DB0ABB"/>
    <w:rsid w:val="00DB0AD6"/>
    <w:rsid w:val="00DB0B71"/>
    <w:rsid w:val="00DB0C14"/>
    <w:rsid w:val="00DB0C4D"/>
    <w:rsid w:val="00DB0D28"/>
    <w:rsid w:val="00DB0D5C"/>
    <w:rsid w:val="00DB0E19"/>
    <w:rsid w:val="00DB0E70"/>
    <w:rsid w:val="00DB0EF0"/>
    <w:rsid w:val="00DB0F27"/>
    <w:rsid w:val="00DB1006"/>
    <w:rsid w:val="00DB1026"/>
    <w:rsid w:val="00DB1126"/>
    <w:rsid w:val="00DB1129"/>
    <w:rsid w:val="00DB115A"/>
    <w:rsid w:val="00DB1163"/>
    <w:rsid w:val="00DB118E"/>
    <w:rsid w:val="00DB1276"/>
    <w:rsid w:val="00DB12AA"/>
    <w:rsid w:val="00DB133E"/>
    <w:rsid w:val="00DB13C0"/>
    <w:rsid w:val="00DB13CB"/>
    <w:rsid w:val="00DB142E"/>
    <w:rsid w:val="00DB1450"/>
    <w:rsid w:val="00DB14C1"/>
    <w:rsid w:val="00DB14C9"/>
    <w:rsid w:val="00DB1520"/>
    <w:rsid w:val="00DB1555"/>
    <w:rsid w:val="00DB1640"/>
    <w:rsid w:val="00DB1656"/>
    <w:rsid w:val="00DB1705"/>
    <w:rsid w:val="00DB1732"/>
    <w:rsid w:val="00DB177E"/>
    <w:rsid w:val="00DB1786"/>
    <w:rsid w:val="00DB18AA"/>
    <w:rsid w:val="00DB1983"/>
    <w:rsid w:val="00DB1A35"/>
    <w:rsid w:val="00DB1A3D"/>
    <w:rsid w:val="00DB1A68"/>
    <w:rsid w:val="00DB1AEC"/>
    <w:rsid w:val="00DB1B81"/>
    <w:rsid w:val="00DB1CEA"/>
    <w:rsid w:val="00DB1D31"/>
    <w:rsid w:val="00DB1DC6"/>
    <w:rsid w:val="00DB1E4D"/>
    <w:rsid w:val="00DB1EAB"/>
    <w:rsid w:val="00DB202D"/>
    <w:rsid w:val="00DB2039"/>
    <w:rsid w:val="00DB2048"/>
    <w:rsid w:val="00DB2059"/>
    <w:rsid w:val="00DB20E2"/>
    <w:rsid w:val="00DB2118"/>
    <w:rsid w:val="00DB2193"/>
    <w:rsid w:val="00DB2204"/>
    <w:rsid w:val="00DB2208"/>
    <w:rsid w:val="00DB220A"/>
    <w:rsid w:val="00DB2228"/>
    <w:rsid w:val="00DB2233"/>
    <w:rsid w:val="00DB242D"/>
    <w:rsid w:val="00DB246F"/>
    <w:rsid w:val="00DB24A0"/>
    <w:rsid w:val="00DB24B5"/>
    <w:rsid w:val="00DB24F8"/>
    <w:rsid w:val="00DB25D4"/>
    <w:rsid w:val="00DB25D8"/>
    <w:rsid w:val="00DB2661"/>
    <w:rsid w:val="00DB269B"/>
    <w:rsid w:val="00DB27E6"/>
    <w:rsid w:val="00DB27F7"/>
    <w:rsid w:val="00DB28C2"/>
    <w:rsid w:val="00DB28D4"/>
    <w:rsid w:val="00DB28F9"/>
    <w:rsid w:val="00DB2B95"/>
    <w:rsid w:val="00DB2BA1"/>
    <w:rsid w:val="00DB2C2A"/>
    <w:rsid w:val="00DB2C57"/>
    <w:rsid w:val="00DB2C5D"/>
    <w:rsid w:val="00DB2CB1"/>
    <w:rsid w:val="00DB2CC9"/>
    <w:rsid w:val="00DB2D14"/>
    <w:rsid w:val="00DB2D6B"/>
    <w:rsid w:val="00DB2DED"/>
    <w:rsid w:val="00DB2E18"/>
    <w:rsid w:val="00DB2E58"/>
    <w:rsid w:val="00DB2E91"/>
    <w:rsid w:val="00DB2F52"/>
    <w:rsid w:val="00DB305E"/>
    <w:rsid w:val="00DB306C"/>
    <w:rsid w:val="00DB3086"/>
    <w:rsid w:val="00DB3089"/>
    <w:rsid w:val="00DB308F"/>
    <w:rsid w:val="00DB30E3"/>
    <w:rsid w:val="00DB3166"/>
    <w:rsid w:val="00DB3232"/>
    <w:rsid w:val="00DB3277"/>
    <w:rsid w:val="00DB3311"/>
    <w:rsid w:val="00DB332F"/>
    <w:rsid w:val="00DB338D"/>
    <w:rsid w:val="00DB33BB"/>
    <w:rsid w:val="00DB33F6"/>
    <w:rsid w:val="00DB341F"/>
    <w:rsid w:val="00DB34AD"/>
    <w:rsid w:val="00DB34F0"/>
    <w:rsid w:val="00DB351F"/>
    <w:rsid w:val="00DB3523"/>
    <w:rsid w:val="00DB3531"/>
    <w:rsid w:val="00DB355C"/>
    <w:rsid w:val="00DB3603"/>
    <w:rsid w:val="00DB362F"/>
    <w:rsid w:val="00DB3655"/>
    <w:rsid w:val="00DB36D6"/>
    <w:rsid w:val="00DB3705"/>
    <w:rsid w:val="00DB378B"/>
    <w:rsid w:val="00DB37CB"/>
    <w:rsid w:val="00DB381B"/>
    <w:rsid w:val="00DB38ED"/>
    <w:rsid w:val="00DB3942"/>
    <w:rsid w:val="00DB3A3D"/>
    <w:rsid w:val="00DB3A9F"/>
    <w:rsid w:val="00DB3AAE"/>
    <w:rsid w:val="00DB3B06"/>
    <w:rsid w:val="00DB3BC4"/>
    <w:rsid w:val="00DB3BE1"/>
    <w:rsid w:val="00DB3C45"/>
    <w:rsid w:val="00DB3CA9"/>
    <w:rsid w:val="00DB3CCC"/>
    <w:rsid w:val="00DB3CFE"/>
    <w:rsid w:val="00DB3D49"/>
    <w:rsid w:val="00DB3D7D"/>
    <w:rsid w:val="00DB3D80"/>
    <w:rsid w:val="00DB3DD1"/>
    <w:rsid w:val="00DB3E3E"/>
    <w:rsid w:val="00DB3E5D"/>
    <w:rsid w:val="00DB3E9D"/>
    <w:rsid w:val="00DB3EEF"/>
    <w:rsid w:val="00DB3EF6"/>
    <w:rsid w:val="00DB3F4A"/>
    <w:rsid w:val="00DB400B"/>
    <w:rsid w:val="00DB404D"/>
    <w:rsid w:val="00DB40CF"/>
    <w:rsid w:val="00DB40D3"/>
    <w:rsid w:val="00DB4190"/>
    <w:rsid w:val="00DB4234"/>
    <w:rsid w:val="00DB430B"/>
    <w:rsid w:val="00DB4336"/>
    <w:rsid w:val="00DB434B"/>
    <w:rsid w:val="00DB4374"/>
    <w:rsid w:val="00DB43C9"/>
    <w:rsid w:val="00DB43FC"/>
    <w:rsid w:val="00DB44D1"/>
    <w:rsid w:val="00DB450B"/>
    <w:rsid w:val="00DB4513"/>
    <w:rsid w:val="00DB4603"/>
    <w:rsid w:val="00DB460B"/>
    <w:rsid w:val="00DB464E"/>
    <w:rsid w:val="00DB4652"/>
    <w:rsid w:val="00DB4698"/>
    <w:rsid w:val="00DB46F6"/>
    <w:rsid w:val="00DB473E"/>
    <w:rsid w:val="00DB479E"/>
    <w:rsid w:val="00DB47F4"/>
    <w:rsid w:val="00DB47F7"/>
    <w:rsid w:val="00DB492B"/>
    <w:rsid w:val="00DB4978"/>
    <w:rsid w:val="00DB4A0C"/>
    <w:rsid w:val="00DB4A48"/>
    <w:rsid w:val="00DB4A68"/>
    <w:rsid w:val="00DB4AA2"/>
    <w:rsid w:val="00DB4AB3"/>
    <w:rsid w:val="00DB4B36"/>
    <w:rsid w:val="00DB4B60"/>
    <w:rsid w:val="00DB4BAB"/>
    <w:rsid w:val="00DB4C0C"/>
    <w:rsid w:val="00DB4D12"/>
    <w:rsid w:val="00DB4D32"/>
    <w:rsid w:val="00DB4D64"/>
    <w:rsid w:val="00DB4E42"/>
    <w:rsid w:val="00DB4EFE"/>
    <w:rsid w:val="00DB4F9E"/>
    <w:rsid w:val="00DB4FDC"/>
    <w:rsid w:val="00DB4FF7"/>
    <w:rsid w:val="00DB5013"/>
    <w:rsid w:val="00DB5057"/>
    <w:rsid w:val="00DB5070"/>
    <w:rsid w:val="00DB5076"/>
    <w:rsid w:val="00DB5087"/>
    <w:rsid w:val="00DB50C7"/>
    <w:rsid w:val="00DB50DF"/>
    <w:rsid w:val="00DB5114"/>
    <w:rsid w:val="00DB5128"/>
    <w:rsid w:val="00DB51EA"/>
    <w:rsid w:val="00DB53B4"/>
    <w:rsid w:val="00DB5559"/>
    <w:rsid w:val="00DB556D"/>
    <w:rsid w:val="00DB557A"/>
    <w:rsid w:val="00DB5698"/>
    <w:rsid w:val="00DB577C"/>
    <w:rsid w:val="00DB578C"/>
    <w:rsid w:val="00DB5797"/>
    <w:rsid w:val="00DB5818"/>
    <w:rsid w:val="00DB583A"/>
    <w:rsid w:val="00DB589F"/>
    <w:rsid w:val="00DB58BF"/>
    <w:rsid w:val="00DB5937"/>
    <w:rsid w:val="00DB596C"/>
    <w:rsid w:val="00DB5997"/>
    <w:rsid w:val="00DB5A80"/>
    <w:rsid w:val="00DB5A94"/>
    <w:rsid w:val="00DB5AB5"/>
    <w:rsid w:val="00DB5B48"/>
    <w:rsid w:val="00DB5B82"/>
    <w:rsid w:val="00DB5CB1"/>
    <w:rsid w:val="00DB5CD2"/>
    <w:rsid w:val="00DB5CF3"/>
    <w:rsid w:val="00DB5D6E"/>
    <w:rsid w:val="00DB5D6F"/>
    <w:rsid w:val="00DB5DA3"/>
    <w:rsid w:val="00DB5DE7"/>
    <w:rsid w:val="00DB5DE9"/>
    <w:rsid w:val="00DB5E2C"/>
    <w:rsid w:val="00DB5E99"/>
    <w:rsid w:val="00DB5EAD"/>
    <w:rsid w:val="00DB5F3B"/>
    <w:rsid w:val="00DB5FE5"/>
    <w:rsid w:val="00DB6000"/>
    <w:rsid w:val="00DB6096"/>
    <w:rsid w:val="00DB6179"/>
    <w:rsid w:val="00DB61A3"/>
    <w:rsid w:val="00DB6247"/>
    <w:rsid w:val="00DB62C3"/>
    <w:rsid w:val="00DB63D5"/>
    <w:rsid w:val="00DB63E3"/>
    <w:rsid w:val="00DB6406"/>
    <w:rsid w:val="00DB642C"/>
    <w:rsid w:val="00DB648D"/>
    <w:rsid w:val="00DB6563"/>
    <w:rsid w:val="00DB65D4"/>
    <w:rsid w:val="00DB65DA"/>
    <w:rsid w:val="00DB6648"/>
    <w:rsid w:val="00DB6674"/>
    <w:rsid w:val="00DB672E"/>
    <w:rsid w:val="00DB67B7"/>
    <w:rsid w:val="00DB6858"/>
    <w:rsid w:val="00DB68B8"/>
    <w:rsid w:val="00DB68BF"/>
    <w:rsid w:val="00DB68D7"/>
    <w:rsid w:val="00DB6907"/>
    <w:rsid w:val="00DB6990"/>
    <w:rsid w:val="00DB6A14"/>
    <w:rsid w:val="00DB6A5E"/>
    <w:rsid w:val="00DB6A82"/>
    <w:rsid w:val="00DB6A9E"/>
    <w:rsid w:val="00DB6B0F"/>
    <w:rsid w:val="00DB6B2B"/>
    <w:rsid w:val="00DB6B70"/>
    <w:rsid w:val="00DB6C04"/>
    <w:rsid w:val="00DB6C15"/>
    <w:rsid w:val="00DB6C75"/>
    <w:rsid w:val="00DB6CDA"/>
    <w:rsid w:val="00DB6D08"/>
    <w:rsid w:val="00DB6D36"/>
    <w:rsid w:val="00DB6D48"/>
    <w:rsid w:val="00DB6DC9"/>
    <w:rsid w:val="00DB6DCD"/>
    <w:rsid w:val="00DB6E6A"/>
    <w:rsid w:val="00DB6E97"/>
    <w:rsid w:val="00DB6EF3"/>
    <w:rsid w:val="00DB6F71"/>
    <w:rsid w:val="00DB6F94"/>
    <w:rsid w:val="00DB700B"/>
    <w:rsid w:val="00DB7050"/>
    <w:rsid w:val="00DB7118"/>
    <w:rsid w:val="00DB7148"/>
    <w:rsid w:val="00DB7180"/>
    <w:rsid w:val="00DB718B"/>
    <w:rsid w:val="00DB724B"/>
    <w:rsid w:val="00DB7282"/>
    <w:rsid w:val="00DB72F6"/>
    <w:rsid w:val="00DB73BD"/>
    <w:rsid w:val="00DB747E"/>
    <w:rsid w:val="00DB750F"/>
    <w:rsid w:val="00DB75E1"/>
    <w:rsid w:val="00DB7676"/>
    <w:rsid w:val="00DB77F7"/>
    <w:rsid w:val="00DB781F"/>
    <w:rsid w:val="00DB785E"/>
    <w:rsid w:val="00DB79C6"/>
    <w:rsid w:val="00DB7A5F"/>
    <w:rsid w:val="00DB7A90"/>
    <w:rsid w:val="00DB7B34"/>
    <w:rsid w:val="00DB7B98"/>
    <w:rsid w:val="00DB7C09"/>
    <w:rsid w:val="00DB7C25"/>
    <w:rsid w:val="00DB7C89"/>
    <w:rsid w:val="00DB7CE5"/>
    <w:rsid w:val="00DB7CF9"/>
    <w:rsid w:val="00DB7F02"/>
    <w:rsid w:val="00DB7FB0"/>
    <w:rsid w:val="00DC0051"/>
    <w:rsid w:val="00DC008D"/>
    <w:rsid w:val="00DC00D3"/>
    <w:rsid w:val="00DC00DA"/>
    <w:rsid w:val="00DC010A"/>
    <w:rsid w:val="00DC011A"/>
    <w:rsid w:val="00DC0126"/>
    <w:rsid w:val="00DC02A2"/>
    <w:rsid w:val="00DC0301"/>
    <w:rsid w:val="00DC0339"/>
    <w:rsid w:val="00DC0384"/>
    <w:rsid w:val="00DC0390"/>
    <w:rsid w:val="00DC0433"/>
    <w:rsid w:val="00DC05BE"/>
    <w:rsid w:val="00DC05CC"/>
    <w:rsid w:val="00DC061A"/>
    <w:rsid w:val="00DC0690"/>
    <w:rsid w:val="00DC06AC"/>
    <w:rsid w:val="00DC0786"/>
    <w:rsid w:val="00DC087F"/>
    <w:rsid w:val="00DC08FE"/>
    <w:rsid w:val="00DC097F"/>
    <w:rsid w:val="00DC0997"/>
    <w:rsid w:val="00DC09B4"/>
    <w:rsid w:val="00DC0A10"/>
    <w:rsid w:val="00DC0B8F"/>
    <w:rsid w:val="00DC0BC5"/>
    <w:rsid w:val="00DC0C1C"/>
    <w:rsid w:val="00DC0C65"/>
    <w:rsid w:val="00DC0D4E"/>
    <w:rsid w:val="00DC0DB0"/>
    <w:rsid w:val="00DC0DE1"/>
    <w:rsid w:val="00DC0E5C"/>
    <w:rsid w:val="00DC0E88"/>
    <w:rsid w:val="00DC0F14"/>
    <w:rsid w:val="00DC0F30"/>
    <w:rsid w:val="00DC0F45"/>
    <w:rsid w:val="00DC102D"/>
    <w:rsid w:val="00DC1093"/>
    <w:rsid w:val="00DC10B6"/>
    <w:rsid w:val="00DC1133"/>
    <w:rsid w:val="00DC1244"/>
    <w:rsid w:val="00DC12F8"/>
    <w:rsid w:val="00DC1367"/>
    <w:rsid w:val="00DC136B"/>
    <w:rsid w:val="00DC138D"/>
    <w:rsid w:val="00DC1432"/>
    <w:rsid w:val="00DC14AD"/>
    <w:rsid w:val="00DC14B8"/>
    <w:rsid w:val="00DC1533"/>
    <w:rsid w:val="00DC15AC"/>
    <w:rsid w:val="00DC15D3"/>
    <w:rsid w:val="00DC167A"/>
    <w:rsid w:val="00DC16A1"/>
    <w:rsid w:val="00DC1720"/>
    <w:rsid w:val="00DC1766"/>
    <w:rsid w:val="00DC179C"/>
    <w:rsid w:val="00DC17D1"/>
    <w:rsid w:val="00DC1864"/>
    <w:rsid w:val="00DC1873"/>
    <w:rsid w:val="00DC1885"/>
    <w:rsid w:val="00DC1895"/>
    <w:rsid w:val="00DC1961"/>
    <w:rsid w:val="00DC19E1"/>
    <w:rsid w:val="00DC1ACE"/>
    <w:rsid w:val="00DC1B0B"/>
    <w:rsid w:val="00DC1B26"/>
    <w:rsid w:val="00DC1B8B"/>
    <w:rsid w:val="00DC1C4E"/>
    <w:rsid w:val="00DC1C7A"/>
    <w:rsid w:val="00DC1CE6"/>
    <w:rsid w:val="00DC1D3E"/>
    <w:rsid w:val="00DC1D98"/>
    <w:rsid w:val="00DC1D9F"/>
    <w:rsid w:val="00DC1E03"/>
    <w:rsid w:val="00DC1E0C"/>
    <w:rsid w:val="00DC1F70"/>
    <w:rsid w:val="00DC1F71"/>
    <w:rsid w:val="00DC1FA4"/>
    <w:rsid w:val="00DC205D"/>
    <w:rsid w:val="00DC20F4"/>
    <w:rsid w:val="00DC2138"/>
    <w:rsid w:val="00DC224E"/>
    <w:rsid w:val="00DC2253"/>
    <w:rsid w:val="00DC2268"/>
    <w:rsid w:val="00DC2277"/>
    <w:rsid w:val="00DC229B"/>
    <w:rsid w:val="00DC2343"/>
    <w:rsid w:val="00DC23E1"/>
    <w:rsid w:val="00DC243D"/>
    <w:rsid w:val="00DC2493"/>
    <w:rsid w:val="00DC251A"/>
    <w:rsid w:val="00DC2534"/>
    <w:rsid w:val="00DC254F"/>
    <w:rsid w:val="00DC255C"/>
    <w:rsid w:val="00DC2564"/>
    <w:rsid w:val="00DC2587"/>
    <w:rsid w:val="00DC259E"/>
    <w:rsid w:val="00DC2683"/>
    <w:rsid w:val="00DC26CC"/>
    <w:rsid w:val="00DC26F5"/>
    <w:rsid w:val="00DC2769"/>
    <w:rsid w:val="00DC27D0"/>
    <w:rsid w:val="00DC27EB"/>
    <w:rsid w:val="00DC2838"/>
    <w:rsid w:val="00DC28A2"/>
    <w:rsid w:val="00DC28EC"/>
    <w:rsid w:val="00DC295F"/>
    <w:rsid w:val="00DC2994"/>
    <w:rsid w:val="00DC29CF"/>
    <w:rsid w:val="00DC29EB"/>
    <w:rsid w:val="00DC2A24"/>
    <w:rsid w:val="00DC2A45"/>
    <w:rsid w:val="00DC2A7F"/>
    <w:rsid w:val="00DC2B16"/>
    <w:rsid w:val="00DC2B59"/>
    <w:rsid w:val="00DC2BA0"/>
    <w:rsid w:val="00DC2BC7"/>
    <w:rsid w:val="00DC2C1F"/>
    <w:rsid w:val="00DC2C85"/>
    <w:rsid w:val="00DC2D38"/>
    <w:rsid w:val="00DC2D3F"/>
    <w:rsid w:val="00DC2D62"/>
    <w:rsid w:val="00DC2E0A"/>
    <w:rsid w:val="00DC2E12"/>
    <w:rsid w:val="00DC2EB3"/>
    <w:rsid w:val="00DC2ECB"/>
    <w:rsid w:val="00DC2F2B"/>
    <w:rsid w:val="00DC2F32"/>
    <w:rsid w:val="00DC2F40"/>
    <w:rsid w:val="00DC2F83"/>
    <w:rsid w:val="00DC303B"/>
    <w:rsid w:val="00DC30A7"/>
    <w:rsid w:val="00DC30B9"/>
    <w:rsid w:val="00DC30BE"/>
    <w:rsid w:val="00DC312B"/>
    <w:rsid w:val="00DC31BA"/>
    <w:rsid w:val="00DC3221"/>
    <w:rsid w:val="00DC326C"/>
    <w:rsid w:val="00DC329B"/>
    <w:rsid w:val="00DC32C0"/>
    <w:rsid w:val="00DC332B"/>
    <w:rsid w:val="00DC3342"/>
    <w:rsid w:val="00DC33C8"/>
    <w:rsid w:val="00DC3430"/>
    <w:rsid w:val="00DC344D"/>
    <w:rsid w:val="00DC346D"/>
    <w:rsid w:val="00DC36E3"/>
    <w:rsid w:val="00DC36FB"/>
    <w:rsid w:val="00DC371A"/>
    <w:rsid w:val="00DC3761"/>
    <w:rsid w:val="00DC3798"/>
    <w:rsid w:val="00DC37BA"/>
    <w:rsid w:val="00DC37D1"/>
    <w:rsid w:val="00DC38A6"/>
    <w:rsid w:val="00DC38E5"/>
    <w:rsid w:val="00DC38F3"/>
    <w:rsid w:val="00DC397E"/>
    <w:rsid w:val="00DC39C0"/>
    <w:rsid w:val="00DC3B28"/>
    <w:rsid w:val="00DC3B56"/>
    <w:rsid w:val="00DC3B63"/>
    <w:rsid w:val="00DC3BC6"/>
    <w:rsid w:val="00DC3BE7"/>
    <w:rsid w:val="00DC3BED"/>
    <w:rsid w:val="00DC3C08"/>
    <w:rsid w:val="00DC3C28"/>
    <w:rsid w:val="00DC3C8F"/>
    <w:rsid w:val="00DC3F06"/>
    <w:rsid w:val="00DC3F20"/>
    <w:rsid w:val="00DC3F63"/>
    <w:rsid w:val="00DC3FA1"/>
    <w:rsid w:val="00DC3FBC"/>
    <w:rsid w:val="00DC4046"/>
    <w:rsid w:val="00DC40D4"/>
    <w:rsid w:val="00DC413A"/>
    <w:rsid w:val="00DC4206"/>
    <w:rsid w:val="00DC42A0"/>
    <w:rsid w:val="00DC42E2"/>
    <w:rsid w:val="00DC430A"/>
    <w:rsid w:val="00DC4334"/>
    <w:rsid w:val="00DC437C"/>
    <w:rsid w:val="00DC4393"/>
    <w:rsid w:val="00DC43AE"/>
    <w:rsid w:val="00DC43DD"/>
    <w:rsid w:val="00DC43F3"/>
    <w:rsid w:val="00DC447C"/>
    <w:rsid w:val="00DC44A3"/>
    <w:rsid w:val="00DC44DB"/>
    <w:rsid w:val="00DC4558"/>
    <w:rsid w:val="00DC45C2"/>
    <w:rsid w:val="00DC45E5"/>
    <w:rsid w:val="00DC4613"/>
    <w:rsid w:val="00DC465D"/>
    <w:rsid w:val="00DC4693"/>
    <w:rsid w:val="00DC46A4"/>
    <w:rsid w:val="00DC4716"/>
    <w:rsid w:val="00DC4767"/>
    <w:rsid w:val="00DC4844"/>
    <w:rsid w:val="00DC4845"/>
    <w:rsid w:val="00DC4866"/>
    <w:rsid w:val="00DC48D6"/>
    <w:rsid w:val="00DC48E5"/>
    <w:rsid w:val="00DC4910"/>
    <w:rsid w:val="00DC49F3"/>
    <w:rsid w:val="00DC4A9B"/>
    <w:rsid w:val="00DC4B0A"/>
    <w:rsid w:val="00DC4B65"/>
    <w:rsid w:val="00DC4C19"/>
    <w:rsid w:val="00DC4C6E"/>
    <w:rsid w:val="00DC4C7E"/>
    <w:rsid w:val="00DC4D5B"/>
    <w:rsid w:val="00DC4DA3"/>
    <w:rsid w:val="00DC4F30"/>
    <w:rsid w:val="00DC4FDF"/>
    <w:rsid w:val="00DC5037"/>
    <w:rsid w:val="00DC51C3"/>
    <w:rsid w:val="00DC525A"/>
    <w:rsid w:val="00DC5317"/>
    <w:rsid w:val="00DC5344"/>
    <w:rsid w:val="00DC5469"/>
    <w:rsid w:val="00DC54C3"/>
    <w:rsid w:val="00DC5537"/>
    <w:rsid w:val="00DC5616"/>
    <w:rsid w:val="00DC5691"/>
    <w:rsid w:val="00DC570B"/>
    <w:rsid w:val="00DC577B"/>
    <w:rsid w:val="00DC577C"/>
    <w:rsid w:val="00DC583E"/>
    <w:rsid w:val="00DC586C"/>
    <w:rsid w:val="00DC596A"/>
    <w:rsid w:val="00DC59D0"/>
    <w:rsid w:val="00DC5A61"/>
    <w:rsid w:val="00DC5B0A"/>
    <w:rsid w:val="00DC5B37"/>
    <w:rsid w:val="00DC5B61"/>
    <w:rsid w:val="00DC5B8C"/>
    <w:rsid w:val="00DC5BF0"/>
    <w:rsid w:val="00DC5BF4"/>
    <w:rsid w:val="00DC5CFA"/>
    <w:rsid w:val="00DC5D80"/>
    <w:rsid w:val="00DC5DF8"/>
    <w:rsid w:val="00DC5E10"/>
    <w:rsid w:val="00DC5EDF"/>
    <w:rsid w:val="00DC5EE4"/>
    <w:rsid w:val="00DC5F96"/>
    <w:rsid w:val="00DC6018"/>
    <w:rsid w:val="00DC60A5"/>
    <w:rsid w:val="00DC60AB"/>
    <w:rsid w:val="00DC60BC"/>
    <w:rsid w:val="00DC6107"/>
    <w:rsid w:val="00DC610A"/>
    <w:rsid w:val="00DC6151"/>
    <w:rsid w:val="00DC6176"/>
    <w:rsid w:val="00DC6265"/>
    <w:rsid w:val="00DC6269"/>
    <w:rsid w:val="00DC6343"/>
    <w:rsid w:val="00DC636C"/>
    <w:rsid w:val="00DC63BB"/>
    <w:rsid w:val="00DC63D4"/>
    <w:rsid w:val="00DC63E7"/>
    <w:rsid w:val="00DC647C"/>
    <w:rsid w:val="00DC64DD"/>
    <w:rsid w:val="00DC656C"/>
    <w:rsid w:val="00DC6578"/>
    <w:rsid w:val="00DC6677"/>
    <w:rsid w:val="00DC66B2"/>
    <w:rsid w:val="00DC6742"/>
    <w:rsid w:val="00DC6751"/>
    <w:rsid w:val="00DC6764"/>
    <w:rsid w:val="00DC67BC"/>
    <w:rsid w:val="00DC67C2"/>
    <w:rsid w:val="00DC6843"/>
    <w:rsid w:val="00DC68A6"/>
    <w:rsid w:val="00DC6910"/>
    <w:rsid w:val="00DC6917"/>
    <w:rsid w:val="00DC693C"/>
    <w:rsid w:val="00DC6987"/>
    <w:rsid w:val="00DC69FE"/>
    <w:rsid w:val="00DC6A3F"/>
    <w:rsid w:val="00DC6A59"/>
    <w:rsid w:val="00DC6A82"/>
    <w:rsid w:val="00DC6B4A"/>
    <w:rsid w:val="00DC6B53"/>
    <w:rsid w:val="00DC6BF5"/>
    <w:rsid w:val="00DC6C81"/>
    <w:rsid w:val="00DC6CCF"/>
    <w:rsid w:val="00DC6CD8"/>
    <w:rsid w:val="00DC6D5D"/>
    <w:rsid w:val="00DC6D7C"/>
    <w:rsid w:val="00DC6DD1"/>
    <w:rsid w:val="00DC6E1F"/>
    <w:rsid w:val="00DC6E3E"/>
    <w:rsid w:val="00DC6EB2"/>
    <w:rsid w:val="00DC6F0B"/>
    <w:rsid w:val="00DC6FFE"/>
    <w:rsid w:val="00DC7042"/>
    <w:rsid w:val="00DC7071"/>
    <w:rsid w:val="00DC70BC"/>
    <w:rsid w:val="00DC70F9"/>
    <w:rsid w:val="00DC71AC"/>
    <w:rsid w:val="00DC71EB"/>
    <w:rsid w:val="00DC723F"/>
    <w:rsid w:val="00DC72BD"/>
    <w:rsid w:val="00DC72F8"/>
    <w:rsid w:val="00DC738B"/>
    <w:rsid w:val="00DC73C3"/>
    <w:rsid w:val="00DC740A"/>
    <w:rsid w:val="00DC7412"/>
    <w:rsid w:val="00DC7417"/>
    <w:rsid w:val="00DC7434"/>
    <w:rsid w:val="00DC7447"/>
    <w:rsid w:val="00DC7507"/>
    <w:rsid w:val="00DC7561"/>
    <w:rsid w:val="00DC75F3"/>
    <w:rsid w:val="00DC760E"/>
    <w:rsid w:val="00DC7721"/>
    <w:rsid w:val="00DC7780"/>
    <w:rsid w:val="00DC77D2"/>
    <w:rsid w:val="00DC7811"/>
    <w:rsid w:val="00DC785E"/>
    <w:rsid w:val="00DC786C"/>
    <w:rsid w:val="00DC78C8"/>
    <w:rsid w:val="00DC7922"/>
    <w:rsid w:val="00DC7936"/>
    <w:rsid w:val="00DC7966"/>
    <w:rsid w:val="00DC798D"/>
    <w:rsid w:val="00DC7AB4"/>
    <w:rsid w:val="00DC7AEE"/>
    <w:rsid w:val="00DC7C01"/>
    <w:rsid w:val="00DC7C7C"/>
    <w:rsid w:val="00DC7CD4"/>
    <w:rsid w:val="00DC7DE1"/>
    <w:rsid w:val="00DC7E3A"/>
    <w:rsid w:val="00DC7EA4"/>
    <w:rsid w:val="00DC7F55"/>
    <w:rsid w:val="00DC7F68"/>
    <w:rsid w:val="00DC7FEA"/>
    <w:rsid w:val="00DD0024"/>
    <w:rsid w:val="00DD00AF"/>
    <w:rsid w:val="00DD01CB"/>
    <w:rsid w:val="00DD01FD"/>
    <w:rsid w:val="00DD0245"/>
    <w:rsid w:val="00DD02E8"/>
    <w:rsid w:val="00DD032F"/>
    <w:rsid w:val="00DD0362"/>
    <w:rsid w:val="00DD036B"/>
    <w:rsid w:val="00DD03F7"/>
    <w:rsid w:val="00DD0434"/>
    <w:rsid w:val="00DD04B5"/>
    <w:rsid w:val="00DD054C"/>
    <w:rsid w:val="00DD0562"/>
    <w:rsid w:val="00DD056A"/>
    <w:rsid w:val="00DD0578"/>
    <w:rsid w:val="00DD0638"/>
    <w:rsid w:val="00DD065F"/>
    <w:rsid w:val="00DD066E"/>
    <w:rsid w:val="00DD072A"/>
    <w:rsid w:val="00DD0745"/>
    <w:rsid w:val="00DD07A3"/>
    <w:rsid w:val="00DD0800"/>
    <w:rsid w:val="00DD093F"/>
    <w:rsid w:val="00DD0943"/>
    <w:rsid w:val="00DD099A"/>
    <w:rsid w:val="00DD09AA"/>
    <w:rsid w:val="00DD0A4B"/>
    <w:rsid w:val="00DD0A4E"/>
    <w:rsid w:val="00DD0AA0"/>
    <w:rsid w:val="00DD0BC5"/>
    <w:rsid w:val="00DD0BC8"/>
    <w:rsid w:val="00DD0C00"/>
    <w:rsid w:val="00DD0C95"/>
    <w:rsid w:val="00DD0D2E"/>
    <w:rsid w:val="00DD0D5A"/>
    <w:rsid w:val="00DD0D6D"/>
    <w:rsid w:val="00DD0D6E"/>
    <w:rsid w:val="00DD0D99"/>
    <w:rsid w:val="00DD0D9D"/>
    <w:rsid w:val="00DD0E02"/>
    <w:rsid w:val="00DD0F71"/>
    <w:rsid w:val="00DD0FCA"/>
    <w:rsid w:val="00DD100E"/>
    <w:rsid w:val="00DD1045"/>
    <w:rsid w:val="00DD1055"/>
    <w:rsid w:val="00DD1071"/>
    <w:rsid w:val="00DD1079"/>
    <w:rsid w:val="00DD108F"/>
    <w:rsid w:val="00DD10B8"/>
    <w:rsid w:val="00DD10C5"/>
    <w:rsid w:val="00DD10FE"/>
    <w:rsid w:val="00DD11C1"/>
    <w:rsid w:val="00DD125D"/>
    <w:rsid w:val="00DD126B"/>
    <w:rsid w:val="00DD12A5"/>
    <w:rsid w:val="00DD149A"/>
    <w:rsid w:val="00DD14E2"/>
    <w:rsid w:val="00DD1537"/>
    <w:rsid w:val="00DD1544"/>
    <w:rsid w:val="00DD16B2"/>
    <w:rsid w:val="00DD16B3"/>
    <w:rsid w:val="00DD1737"/>
    <w:rsid w:val="00DD1758"/>
    <w:rsid w:val="00DD1832"/>
    <w:rsid w:val="00DD1881"/>
    <w:rsid w:val="00DD191A"/>
    <w:rsid w:val="00DD1922"/>
    <w:rsid w:val="00DD197E"/>
    <w:rsid w:val="00DD19C9"/>
    <w:rsid w:val="00DD1A0F"/>
    <w:rsid w:val="00DD1A7F"/>
    <w:rsid w:val="00DD1ACB"/>
    <w:rsid w:val="00DD1BC3"/>
    <w:rsid w:val="00DD1CC3"/>
    <w:rsid w:val="00DD1D05"/>
    <w:rsid w:val="00DD1D0B"/>
    <w:rsid w:val="00DD1D32"/>
    <w:rsid w:val="00DD1D70"/>
    <w:rsid w:val="00DD1DA7"/>
    <w:rsid w:val="00DD1DAD"/>
    <w:rsid w:val="00DD1DD0"/>
    <w:rsid w:val="00DD1E26"/>
    <w:rsid w:val="00DD1E35"/>
    <w:rsid w:val="00DD1EBF"/>
    <w:rsid w:val="00DD1F61"/>
    <w:rsid w:val="00DD1F7F"/>
    <w:rsid w:val="00DD1F88"/>
    <w:rsid w:val="00DD1FF2"/>
    <w:rsid w:val="00DD2020"/>
    <w:rsid w:val="00DD204D"/>
    <w:rsid w:val="00DD205C"/>
    <w:rsid w:val="00DD20E0"/>
    <w:rsid w:val="00DD20E7"/>
    <w:rsid w:val="00DD227B"/>
    <w:rsid w:val="00DD22BC"/>
    <w:rsid w:val="00DD22D0"/>
    <w:rsid w:val="00DD23EA"/>
    <w:rsid w:val="00DD2467"/>
    <w:rsid w:val="00DD24DC"/>
    <w:rsid w:val="00DD254E"/>
    <w:rsid w:val="00DD2572"/>
    <w:rsid w:val="00DD25CE"/>
    <w:rsid w:val="00DD2629"/>
    <w:rsid w:val="00DD264C"/>
    <w:rsid w:val="00DD26CE"/>
    <w:rsid w:val="00DD26FA"/>
    <w:rsid w:val="00DD2848"/>
    <w:rsid w:val="00DD287E"/>
    <w:rsid w:val="00DD28F9"/>
    <w:rsid w:val="00DD290E"/>
    <w:rsid w:val="00DD2924"/>
    <w:rsid w:val="00DD296E"/>
    <w:rsid w:val="00DD2A97"/>
    <w:rsid w:val="00DD2AC4"/>
    <w:rsid w:val="00DD2ADC"/>
    <w:rsid w:val="00DD2ADD"/>
    <w:rsid w:val="00DD2B11"/>
    <w:rsid w:val="00DD2BD4"/>
    <w:rsid w:val="00DD2C17"/>
    <w:rsid w:val="00DD2C36"/>
    <w:rsid w:val="00DD2C4B"/>
    <w:rsid w:val="00DD2CE7"/>
    <w:rsid w:val="00DD2D1E"/>
    <w:rsid w:val="00DD2D26"/>
    <w:rsid w:val="00DD2DB0"/>
    <w:rsid w:val="00DD2DE8"/>
    <w:rsid w:val="00DD2F7D"/>
    <w:rsid w:val="00DD2FA8"/>
    <w:rsid w:val="00DD3007"/>
    <w:rsid w:val="00DD3186"/>
    <w:rsid w:val="00DD31CB"/>
    <w:rsid w:val="00DD32AF"/>
    <w:rsid w:val="00DD331F"/>
    <w:rsid w:val="00DD332B"/>
    <w:rsid w:val="00DD3384"/>
    <w:rsid w:val="00DD338F"/>
    <w:rsid w:val="00DD342E"/>
    <w:rsid w:val="00DD345E"/>
    <w:rsid w:val="00DD3462"/>
    <w:rsid w:val="00DD3471"/>
    <w:rsid w:val="00DD3485"/>
    <w:rsid w:val="00DD34E5"/>
    <w:rsid w:val="00DD352B"/>
    <w:rsid w:val="00DD3551"/>
    <w:rsid w:val="00DD35A9"/>
    <w:rsid w:val="00DD36E4"/>
    <w:rsid w:val="00DD3706"/>
    <w:rsid w:val="00DD3714"/>
    <w:rsid w:val="00DD371E"/>
    <w:rsid w:val="00DD3736"/>
    <w:rsid w:val="00DD37B8"/>
    <w:rsid w:val="00DD3818"/>
    <w:rsid w:val="00DD384A"/>
    <w:rsid w:val="00DD3882"/>
    <w:rsid w:val="00DD38A1"/>
    <w:rsid w:val="00DD38CC"/>
    <w:rsid w:val="00DD38D6"/>
    <w:rsid w:val="00DD38EB"/>
    <w:rsid w:val="00DD38F9"/>
    <w:rsid w:val="00DD39D6"/>
    <w:rsid w:val="00DD39F8"/>
    <w:rsid w:val="00DD39FE"/>
    <w:rsid w:val="00DD3AD3"/>
    <w:rsid w:val="00DD3B1F"/>
    <w:rsid w:val="00DD3B51"/>
    <w:rsid w:val="00DD3B67"/>
    <w:rsid w:val="00DD3B87"/>
    <w:rsid w:val="00DD3BA8"/>
    <w:rsid w:val="00DD3BC1"/>
    <w:rsid w:val="00DD3BCC"/>
    <w:rsid w:val="00DD3BF6"/>
    <w:rsid w:val="00DD3CE7"/>
    <w:rsid w:val="00DD3D9F"/>
    <w:rsid w:val="00DD3E46"/>
    <w:rsid w:val="00DD3E73"/>
    <w:rsid w:val="00DD3EAE"/>
    <w:rsid w:val="00DD3EE1"/>
    <w:rsid w:val="00DD3EF8"/>
    <w:rsid w:val="00DD3F13"/>
    <w:rsid w:val="00DD3F81"/>
    <w:rsid w:val="00DD3FB5"/>
    <w:rsid w:val="00DD4000"/>
    <w:rsid w:val="00DD4009"/>
    <w:rsid w:val="00DD401E"/>
    <w:rsid w:val="00DD4122"/>
    <w:rsid w:val="00DD4152"/>
    <w:rsid w:val="00DD4199"/>
    <w:rsid w:val="00DD41DF"/>
    <w:rsid w:val="00DD4205"/>
    <w:rsid w:val="00DD42FB"/>
    <w:rsid w:val="00DD4367"/>
    <w:rsid w:val="00DD44C1"/>
    <w:rsid w:val="00DD454C"/>
    <w:rsid w:val="00DD45BA"/>
    <w:rsid w:val="00DD45CF"/>
    <w:rsid w:val="00DD463C"/>
    <w:rsid w:val="00DD4646"/>
    <w:rsid w:val="00DD4652"/>
    <w:rsid w:val="00DD46A6"/>
    <w:rsid w:val="00DD46CE"/>
    <w:rsid w:val="00DD46F0"/>
    <w:rsid w:val="00DD46FF"/>
    <w:rsid w:val="00DD4768"/>
    <w:rsid w:val="00DD4793"/>
    <w:rsid w:val="00DD481B"/>
    <w:rsid w:val="00DD4835"/>
    <w:rsid w:val="00DD4851"/>
    <w:rsid w:val="00DD49C6"/>
    <w:rsid w:val="00DD49D2"/>
    <w:rsid w:val="00DD49ED"/>
    <w:rsid w:val="00DD4A0B"/>
    <w:rsid w:val="00DD4A33"/>
    <w:rsid w:val="00DD4A58"/>
    <w:rsid w:val="00DD4AD2"/>
    <w:rsid w:val="00DD4AE1"/>
    <w:rsid w:val="00DD4AF9"/>
    <w:rsid w:val="00DD4B4A"/>
    <w:rsid w:val="00DD4B83"/>
    <w:rsid w:val="00DD4BA9"/>
    <w:rsid w:val="00DD4BBC"/>
    <w:rsid w:val="00DD4C79"/>
    <w:rsid w:val="00DD4CC4"/>
    <w:rsid w:val="00DD4D3C"/>
    <w:rsid w:val="00DD4D69"/>
    <w:rsid w:val="00DD4E88"/>
    <w:rsid w:val="00DD4EA5"/>
    <w:rsid w:val="00DD4EAF"/>
    <w:rsid w:val="00DD4EBF"/>
    <w:rsid w:val="00DD4EE7"/>
    <w:rsid w:val="00DD4F18"/>
    <w:rsid w:val="00DD4F25"/>
    <w:rsid w:val="00DD4F2C"/>
    <w:rsid w:val="00DD4FAF"/>
    <w:rsid w:val="00DD503F"/>
    <w:rsid w:val="00DD504F"/>
    <w:rsid w:val="00DD51AB"/>
    <w:rsid w:val="00DD51F8"/>
    <w:rsid w:val="00DD5258"/>
    <w:rsid w:val="00DD525D"/>
    <w:rsid w:val="00DD5273"/>
    <w:rsid w:val="00DD5287"/>
    <w:rsid w:val="00DD534C"/>
    <w:rsid w:val="00DD538E"/>
    <w:rsid w:val="00DD53C4"/>
    <w:rsid w:val="00DD53D4"/>
    <w:rsid w:val="00DD5400"/>
    <w:rsid w:val="00DD54E2"/>
    <w:rsid w:val="00DD5510"/>
    <w:rsid w:val="00DD5569"/>
    <w:rsid w:val="00DD5588"/>
    <w:rsid w:val="00DD5672"/>
    <w:rsid w:val="00DD571C"/>
    <w:rsid w:val="00DD57C4"/>
    <w:rsid w:val="00DD57DD"/>
    <w:rsid w:val="00DD5891"/>
    <w:rsid w:val="00DD58A7"/>
    <w:rsid w:val="00DD58B4"/>
    <w:rsid w:val="00DD5930"/>
    <w:rsid w:val="00DD5A96"/>
    <w:rsid w:val="00DD5ABA"/>
    <w:rsid w:val="00DD5B33"/>
    <w:rsid w:val="00DD5B86"/>
    <w:rsid w:val="00DD5B99"/>
    <w:rsid w:val="00DD5BCF"/>
    <w:rsid w:val="00DD5BF2"/>
    <w:rsid w:val="00DD5C22"/>
    <w:rsid w:val="00DD5C3B"/>
    <w:rsid w:val="00DD5DE7"/>
    <w:rsid w:val="00DD5E06"/>
    <w:rsid w:val="00DD5EA1"/>
    <w:rsid w:val="00DD5F56"/>
    <w:rsid w:val="00DD5F85"/>
    <w:rsid w:val="00DD5FE1"/>
    <w:rsid w:val="00DD607C"/>
    <w:rsid w:val="00DD61B0"/>
    <w:rsid w:val="00DD62A7"/>
    <w:rsid w:val="00DD62BC"/>
    <w:rsid w:val="00DD6306"/>
    <w:rsid w:val="00DD63BB"/>
    <w:rsid w:val="00DD64D7"/>
    <w:rsid w:val="00DD64FB"/>
    <w:rsid w:val="00DD65EB"/>
    <w:rsid w:val="00DD6689"/>
    <w:rsid w:val="00DD66F4"/>
    <w:rsid w:val="00DD674A"/>
    <w:rsid w:val="00DD681E"/>
    <w:rsid w:val="00DD6873"/>
    <w:rsid w:val="00DD68CA"/>
    <w:rsid w:val="00DD68F5"/>
    <w:rsid w:val="00DD68FB"/>
    <w:rsid w:val="00DD690A"/>
    <w:rsid w:val="00DD6956"/>
    <w:rsid w:val="00DD695A"/>
    <w:rsid w:val="00DD69F0"/>
    <w:rsid w:val="00DD6A8D"/>
    <w:rsid w:val="00DD6AB8"/>
    <w:rsid w:val="00DD6B3A"/>
    <w:rsid w:val="00DD6BE1"/>
    <w:rsid w:val="00DD6BF2"/>
    <w:rsid w:val="00DD6C10"/>
    <w:rsid w:val="00DD6D10"/>
    <w:rsid w:val="00DD6D80"/>
    <w:rsid w:val="00DD6D90"/>
    <w:rsid w:val="00DD6E64"/>
    <w:rsid w:val="00DD6F04"/>
    <w:rsid w:val="00DD6F52"/>
    <w:rsid w:val="00DD6F75"/>
    <w:rsid w:val="00DD6F81"/>
    <w:rsid w:val="00DD6F85"/>
    <w:rsid w:val="00DD6FB8"/>
    <w:rsid w:val="00DD6FF6"/>
    <w:rsid w:val="00DD7048"/>
    <w:rsid w:val="00DD70DE"/>
    <w:rsid w:val="00DD70FC"/>
    <w:rsid w:val="00DD71FF"/>
    <w:rsid w:val="00DD72B0"/>
    <w:rsid w:val="00DD7319"/>
    <w:rsid w:val="00DD732B"/>
    <w:rsid w:val="00DD7382"/>
    <w:rsid w:val="00DD7416"/>
    <w:rsid w:val="00DD74BC"/>
    <w:rsid w:val="00DD7518"/>
    <w:rsid w:val="00DD755B"/>
    <w:rsid w:val="00DD755C"/>
    <w:rsid w:val="00DD75DC"/>
    <w:rsid w:val="00DD7681"/>
    <w:rsid w:val="00DD7691"/>
    <w:rsid w:val="00DD7768"/>
    <w:rsid w:val="00DD77C6"/>
    <w:rsid w:val="00DD77EE"/>
    <w:rsid w:val="00DD78D9"/>
    <w:rsid w:val="00DD7900"/>
    <w:rsid w:val="00DD7A1B"/>
    <w:rsid w:val="00DD7A94"/>
    <w:rsid w:val="00DD7B3F"/>
    <w:rsid w:val="00DD7B5E"/>
    <w:rsid w:val="00DD7B67"/>
    <w:rsid w:val="00DD7B87"/>
    <w:rsid w:val="00DD7BA2"/>
    <w:rsid w:val="00DD7C20"/>
    <w:rsid w:val="00DD7D6C"/>
    <w:rsid w:val="00DD7E30"/>
    <w:rsid w:val="00DD7E66"/>
    <w:rsid w:val="00DD7E70"/>
    <w:rsid w:val="00DD7EDC"/>
    <w:rsid w:val="00DD7FDE"/>
    <w:rsid w:val="00DE0169"/>
    <w:rsid w:val="00DE018D"/>
    <w:rsid w:val="00DE01A0"/>
    <w:rsid w:val="00DE021F"/>
    <w:rsid w:val="00DE02AD"/>
    <w:rsid w:val="00DE02C0"/>
    <w:rsid w:val="00DE02C6"/>
    <w:rsid w:val="00DE038E"/>
    <w:rsid w:val="00DE03B3"/>
    <w:rsid w:val="00DE03B7"/>
    <w:rsid w:val="00DE03FF"/>
    <w:rsid w:val="00DE0418"/>
    <w:rsid w:val="00DE047E"/>
    <w:rsid w:val="00DE04DC"/>
    <w:rsid w:val="00DE0526"/>
    <w:rsid w:val="00DE053A"/>
    <w:rsid w:val="00DE0544"/>
    <w:rsid w:val="00DE05AC"/>
    <w:rsid w:val="00DE0613"/>
    <w:rsid w:val="00DE062A"/>
    <w:rsid w:val="00DE065A"/>
    <w:rsid w:val="00DE067F"/>
    <w:rsid w:val="00DE06C8"/>
    <w:rsid w:val="00DE0798"/>
    <w:rsid w:val="00DE079C"/>
    <w:rsid w:val="00DE07E0"/>
    <w:rsid w:val="00DE083A"/>
    <w:rsid w:val="00DE0871"/>
    <w:rsid w:val="00DE087C"/>
    <w:rsid w:val="00DE08FB"/>
    <w:rsid w:val="00DE0919"/>
    <w:rsid w:val="00DE0954"/>
    <w:rsid w:val="00DE0973"/>
    <w:rsid w:val="00DE09D5"/>
    <w:rsid w:val="00DE0AB9"/>
    <w:rsid w:val="00DE0AC6"/>
    <w:rsid w:val="00DE0B3F"/>
    <w:rsid w:val="00DE0B7B"/>
    <w:rsid w:val="00DE0C0E"/>
    <w:rsid w:val="00DE0C16"/>
    <w:rsid w:val="00DE0C53"/>
    <w:rsid w:val="00DE0C9B"/>
    <w:rsid w:val="00DE0CA2"/>
    <w:rsid w:val="00DE0D15"/>
    <w:rsid w:val="00DE0DB0"/>
    <w:rsid w:val="00DE0EC9"/>
    <w:rsid w:val="00DE0EDB"/>
    <w:rsid w:val="00DE105E"/>
    <w:rsid w:val="00DE1077"/>
    <w:rsid w:val="00DE10FC"/>
    <w:rsid w:val="00DE115D"/>
    <w:rsid w:val="00DE11B9"/>
    <w:rsid w:val="00DE11C3"/>
    <w:rsid w:val="00DE1238"/>
    <w:rsid w:val="00DE126A"/>
    <w:rsid w:val="00DE1281"/>
    <w:rsid w:val="00DE1346"/>
    <w:rsid w:val="00DE13BE"/>
    <w:rsid w:val="00DE1445"/>
    <w:rsid w:val="00DE144B"/>
    <w:rsid w:val="00DE14CF"/>
    <w:rsid w:val="00DE152E"/>
    <w:rsid w:val="00DE154C"/>
    <w:rsid w:val="00DE1585"/>
    <w:rsid w:val="00DE1662"/>
    <w:rsid w:val="00DE173D"/>
    <w:rsid w:val="00DE1782"/>
    <w:rsid w:val="00DE17BF"/>
    <w:rsid w:val="00DE17C3"/>
    <w:rsid w:val="00DE19F2"/>
    <w:rsid w:val="00DE1A6E"/>
    <w:rsid w:val="00DE1AA2"/>
    <w:rsid w:val="00DE1B59"/>
    <w:rsid w:val="00DE1B67"/>
    <w:rsid w:val="00DE1BA2"/>
    <w:rsid w:val="00DE1BEC"/>
    <w:rsid w:val="00DE1C8C"/>
    <w:rsid w:val="00DE1DB1"/>
    <w:rsid w:val="00DE1DC8"/>
    <w:rsid w:val="00DE1E65"/>
    <w:rsid w:val="00DE1E7A"/>
    <w:rsid w:val="00DE1E7F"/>
    <w:rsid w:val="00DE1EA6"/>
    <w:rsid w:val="00DE1EDF"/>
    <w:rsid w:val="00DE1F0D"/>
    <w:rsid w:val="00DE2049"/>
    <w:rsid w:val="00DE20AA"/>
    <w:rsid w:val="00DE20D9"/>
    <w:rsid w:val="00DE20E1"/>
    <w:rsid w:val="00DE2192"/>
    <w:rsid w:val="00DE21E2"/>
    <w:rsid w:val="00DE22A3"/>
    <w:rsid w:val="00DE22C2"/>
    <w:rsid w:val="00DE23D1"/>
    <w:rsid w:val="00DE248E"/>
    <w:rsid w:val="00DE2560"/>
    <w:rsid w:val="00DE262F"/>
    <w:rsid w:val="00DE267E"/>
    <w:rsid w:val="00DE278A"/>
    <w:rsid w:val="00DE27E3"/>
    <w:rsid w:val="00DE27FF"/>
    <w:rsid w:val="00DE28B4"/>
    <w:rsid w:val="00DE28D0"/>
    <w:rsid w:val="00DE2948"/>
    <w:rsid w:val="00DE2950"/>
    <w:rsid w:val="00DE2A32"/>
    <w:rsid w:val="00DE2A6B"/>
    <w:rsid w:val="00DE2AAA"/>
    <w:rsid w:val="00DE2AB1"/>
    <w:rsid w:val="00DE2ABA"/>
    <w:rsid w:val="00DE2B47"/>
    <w:rsid w:val="00DE2BCC"/>
    <w:rsid w:val="00DE2C43"/>
    <w:rsid w:val="00DE2C7C"/>
    <w:rsid w:val="00DE2CAF"/>
    <w:rsid w:val="00DE2D30"/>
    <w:rsid w:val="00DE2D38"/>
    <w:rsid w:val="00DE2E33"/>
    <w:rsid w:val="00DE2E82"/>
    <w:rsid w:val="00DE2F4B"/>
    <w:rsid w:val="00DE30A6"/>
    <w:rsid w:val="00DE310F"/>
    <w:rsid w:val="00DE31B8"/>
    <w:rsid w:val="00DE31CF"/>
    <w:rsid w:val="00DE3265"/>
    <w:rsid w:val="00DE3286"/>
    <w:rsid w:val="00DE32CB"/>
    <w:rsid w:val="00DE3300"/>
    <w:rsid w:val="00DE332C"/>
    <w:rsid w:val="00DE3374"/>
    <w:rsid w:val="00DE33FF"/>
    <w:rsid w:val="00DE346D"/>
    <w:rsid w:val="00DE347E"/>
    <w:rsid w:val="00DE348A"/>
    <w:rsid w:val="00DE348F"/>
    <w:rsid w:val="00DE34BC"/>
    <w:rsid w:val="00DE3524"/>
    <w:rsid w:val="00DE358B"/>
    <w:rsid w:val="00DE35B3"/>
    <w:rsid w:val="00DE35DC"/>
    <w:rsid w:val="00DE3609"/>
    <w:rsid w:val="00DE360E"/>
    <w:rsid w:val="00DE3620"/>
    <w:rsid w:val="00DE3755"/>
    <w:rsid w:val="00DE390F"/>
    <w:rsid w:val="00DE3926"/>
    <w:rsid w:val="00DE3954"/>
    <w:rsid w:val="00DE3998"/>
    <w:rsid w:val="00DE399B"/>
    <w:rsid w:val="00DE39D3"/>
    <w:rsid w:val="00DE39DA"/>
    <w:rsid w:val="00DE39E3"/>
    <w:rsid w:val="00DE3A0D"/>
    <w:rsid w:val="00DE3A1E"/>
    <w:rsid w:val="00DE3A77"/>
    <w:rsid w:val="00DE3AE0"/>
    <w:rsid w:val="00DE3B09"/>
    <w:rsid w:val="00DE3B1C"/>
    <w:rsid w:val="00DE3B8C"/>
    <w:rsid w:val="00DE3C3E"/>
    <w:rsid w:val="00DE3C5E"/>
    <w:rsid w:val="00DE3CA1"/>
    <w:rsid w:val="00DE3D11"/>
    <w:rsid w:val="00DE3E29"/>
    <w:rsid w:val="00DE3E9E"/>
    <w:rsid w:val="00DE3F8F"/>
    <w:rsid w:val="00DE3FE0"/>
    <w:rsid w:val="00DE407E"/>
    <w:rsid w:val="00DE40AF"/>
    <w:rsid w:val="00DE40D6"/>
    <w:rsid w:val="00DE40F0"/>
    <w:rsid w:val="00DE4154"/>
    <w:rsid w:val="00DE4155"/>
    <w:rsid w:val="00DE4179"/>
    <w:rsid w:val="00DE4266"/>
    <w:rsid w:val="00DE429F"/>
    <w:rsid w:val="00DE4311"/>
    <w:rsid w:val="00DE432D"/>
    <w:rsid w:val="00DE4347"/>
    <w:rsid w:val="00DE43FE"/>
    <w:rsid w:val="00DE44C2"/>
    <w:rsid w:val="00DE4527"/>
    <w:rsid w:val="00DE45EE"/>
    <w:rsid w:val="00DE470E"/>
    <w:rsid w:val="00DE47EB"/>
    <w:rsid w:val="00DE4863"/>
    <w:rsid w:val="00DE48B6"/>
    <w:rsid w:val="00DE490C"/>
    <w:rsid w:val="00DE4917"/>
    <w:rsid w:val="00DE493D"/>
    <w:rsid w:val="00DE494A"/>
    <w:rsid w:val="00DE4974"/>
    <w:rsid w:val="00DE4979"/>
    <w:rsid w:val="00DE4983"/>
    <w:rsid w:val="00DE4AAC"/>
    <w:rsid w:val="00DE4AD6"/>
    <w:rsid w:val="00DE4B0A"/>
    <w:rsid w:val="00DE4B99"/>
    <w:rsid w:val="00DE4BC9"/>
    <w:rsid w:val="00DE4C09"/>
    <w:rsid w:val="00DE4C4E"/>
    <w:rsid w:val="00DE4C5B"/>
    <w:rsid w:val="00DE4E15"/>
    <w:rsid w:val="00DE4EE9"/>
    <w:rsid w:val="00DE4FBE"/>
    <w:rsid w:val="00DE4FD2"/>
    <w:rsid w:val="00DE5023"/>
    <w:rsid w:val="00DE50C6"/>
    <w:rsid w:val="00DE50CD"/>
    <w:rsid w:val="00DE5116"/>
    <w:rsid w:val="00DE5158"/>
    <w:rsid w:val="00DE51B0"/>
    <w:rsid w:val="00DE51D3"/>
    <w:rsid w:val="00DE51E4"/>
    <w:rsid w:val="00DE52D4"/>
    <w:rsid w:val="00DE532B"/>
    <w:rsid w:val="00DE5363"/>
    <w:rsid w:val="00DE53A1"/>
    <w:rsid w:val="00DE53FB"/>
    <w:rsid w:val="00DE541E"/>
    <w:rsid w:val="00DE553D"/>
    <w:rsid w:val="00DE5575"/>
    <w:rsid w:val="00DE55C2"/>
    <w:rsid w:val="00DE55D1"/>
    <w:rsid w:val="00DE5674"/>
    <w:rsid w:val="00DE5682"/>
    <w:rsid w:val="00DE56B6"/>
    <w:rsid w:val="00DE5759"/>
    <w:rsid w:val="00DE578F"/>
    <w:rsid w:val="00DE57AB"/>
    <w:rsid w:val="00DE57E4"/>
    <w:rsid w:val="00DE57E5"/>
    <w:rsid w:val="00DE5842"/>
    <w:rsid w:val="00DE584E"/>
    <w:rsid w:val="00DE58E9"/>
    <w:rsid w:val="00DE58FF"/>
    <w:rsid w:val="00DE5924"/>
    <w:rsid w:val="00DE59BB"/>
    <w:rsid w:val="00DE5A37"/>
    <w:rsid w:val="00DE5A7B"/>
    <w:rsid w:val="00DE5B51"/>
    <w:rsid w:val="00DE5B65"/>
    <w:rsid w:val="00DE5BC8"/>
    <w:rsid w:val="00DE5C4C"/>
    <w:rsid w:val="00DE5CC4"/>
    <w:rsid w:val="00DE5DB2"/>
    <w:rsid w:val="00DE5DCA"/>
    <w:rsid w:val="00DE5DE7"/>
    <w:rsid w:val="00DE5E11"/>
    <w:rsid w:val="00DE5E33"/>
    <w:rsid w:val="00DE5E55"/>
    <w:rsid w:val="00DE5E68"/>
    <w:rsid w:val="00DE5E72"/>
    <w:rsid w:val="00DE5EE2"/>
    <w:rsid w:val="00DE5F54"/>
    <w:rsid w:val="00DE5F64"/>
    <w:rsid w:val="00DE5F8F"/>
    <w:rsid w:val="00DE5F95"/>
    <w:rsid w:val="00DE5FF8"/>
    <w:rsid w:val="00DE5FFD"/>
    <w:rsid w:val="00DE60FF"/>
    <w:rsid w:val="00DE6129"/>
    <w:rsid w:val="00DE61B2"/>
    <w:rsid w:val="00DE61C6"/>
    <w:rsid w:val="00DE631D"/>
    <w:rsid w:val="00DE6321"/>
    <w:rsid w:val="00DE632E"/>
    <w:rsid w:val="00DE6366"/>
    <w:rsid w:val="00DE63C1"/>
    <w:rsid w:val="00DE63EB"/>
    <w:rsid w:val="00DE640D"/>
    <w:rsid w:val="00DE6465"/>
    <w:rsid w:val="00DE6493"/>
    <w:rsid w:val="00DE64AB"/>
    <w:rsid w:val="00DE64D5"/>
    <w:rsid w:val="00DE6501"/>
    <w:rsid w:val="00DE654A"/>
    <w:rsid w:val="00DE6561"/>
    <w:rsid w:val="00DE661B"/>
    <w:rsid w:val="00DE6625"/>
    <w:rsid w:val="00DE6647"/>
    <w:rsid w:val="00DE665D"/>
    <w:rsid w:val="00DE6669"/>
    <w:rsid w:val="00DE6706"/>
    <w:rsid w:val="00DE670D"/>
    <w:rsid w:val="00DE6753"/>
    <w:rsid w:val="00DE67CC"/>
    <w:rsid w:val="00DE6811"/>
    <w:rsid w:val="00DE6817"/>
    <w:rsid w:val="00DE6870"/>
    <w:rsid w:val="00DE6990"/>
    <w:rsid w:val="00DE69A4"/>
    <w:rsid w:val="00DE69EC"/>
    <w:rsid w:val="00DE69F8"/>
    <w:rsid w:val="00DE6A30"/>
    <w:rsid w:val="00DE6A4A"/>
    <w:rsid w:val="00DE6A50"/>
    <w:rsid w:val="00DE6A86"/>
    <w:rsid w:val="00DE6A87"/>
    <w:rsid w:val="00DE6A93"/>
    <w:rsid w:val="00DE6AA9"/>
    <w:rsid w:val="00DE6B0C"/>
    <w:rsid w:val="00DE6B3B"/>
    <w:rsid w:val="00DE6B55"/>
    <w:rsid w:val="00DE6BC8"/>
    <w:rsid w:val="00DE6BD2"/>
    <w:rsid w:val="00DE6D5A"/>
    <w:rsid w:val="00DE6DBC"/>
    <w:rsid w:val="00DE6E1C"/>
    <w:rsid w:val="00DE6E88"/>
    <w:rsid w:val="00DE6F08"/>
    <w:rsid w:val="00DE6F31"/>
    <w:rsid w:val="00DE6F56"/>
    <w:rsid w:val="00DE6F99"/>
    <w:rsid w:val="00DE6F9C"/>
    <w:rsid w:val="00DE7021"/>
    <w:rsid w:val="00DE705D"/>
    <w:rsid w:val="00DE7066"/>
    <w:rsid w:val="00DE7295"/>
    <w:rsid w:val="00DE72CF"/>
    <w:rsid w:val="00DE7314"/>
    <w:rsid w:val="00DE7452"/>
    <w:rsid w:val="00DE753B"/>
    <w:rsid w:val="00DE75DB"/>
    <w:rsid w:val="00DE7622"/>
    <w:rsid w:val="00DE76A0"/>
    <w:rsid w:val="00DE7730"/>
    <w:rsid w:val="00DE775D"/>
    <w:rsid w:val="00DE7765"/>
    <w:rsid w:val="00DE776A"/>
    <w:rsid w:val="00DE7796"/>
    <w:rsid w:val="00DE77CA"/>
    <w:rsid w:val="00DE77CC"/>
    <w:rsid w:val="00DE7807"/>
    <w:rsid w:val="00DE7842"/>
    <w:rsid w:val="00DE78CA"/>
    <w:rsid w:val="00DE796F"/>
    <w:rsid w:val="00DE79DC"/>
    <w:rsid w:val="00DE7A09"/>
    <w:rsid w:val="00DE7A4A"/>
    <w:rsid w:val="00DE7B88"/>
    <w:rsid w:val="00DE7DD3"/>
    <w:rsid w:val="00DE7E0E"/>
    <w:rsid w:val="00DE7E18"/>
    <w:rsid w:val="00DE7EB3"/>
    <w:rsid w:val="00DE7F3E"/>
    <w:rsid w:val="00DE7FB7"/>
    <w:rsid w:val="00DE7FF3"/>
    <w:rsid w:val="00DF0006"/>
    <w:rsid w:val="00DF002C"/>
    <w:rsid w:val="00DF0031"/>
    <w:rsid w:val="00DF003A"/>
    <w:rsid w:val="00DF003C"/>
    <w:rsid w:val="00DF0066"/>
    <w:rsid w:val="00DF00E9"/>
    <w:rsid w:val="00DF018F"/>
    <w:rsid w:val="00DF0276"/>
    <w:rsid w:val="00DF03DB"/>
    <w:rsid w:val="00DF0427"/>
    <w:rsid w:val="00DF043C"/>
    <w:rsid w:val="00DF04D5"/>
    <w:rsid w:val="00DF052E"/>
    <w:rsid w:val="00DF0554"/>
    <w:rsid w:val="00DF0577"/>
    <w:rsid w:val="00DF05CB"/>
    <w:rsid w:val="00DF063A"/>
    <w:rsid w:val="00DF06EA"/>
    <w:rsid w:val="00DF06ED"/>
    <w:rsid w:val="00DF06FB"/>
    <w:rsid w:val="00DF0741"/>
    <w:rsid w:val="00DF07A2"/>
    <w:rsid w:val="00DF07DE"/>
    <w:rsid w:val="00DF07FC"/>
    <w:rsid w:val="00DF0812"/>
    <w:rsid w:val="00DF0818"/>
    <w:rsid w:val="00DF08BF"/>
    <w:rsid w:val="00DF0904"/>
    <w:rsid w:val="00DF0954"/>
    <w:rsid w:val="00DF0A98"/>
    <w:rsid w:val="00DF0AC3"/>
    <w:rsid w:val="00DF0B48"/>
    <w:rsid w:val="00DF0C87"/>
    <w:rsid w:val="00DF0CC8"/>
    <w:rsid w:val="00DF0CDE"/>
    <w:rsid w:val="00DF0D64"/>
    <w:rsid w:val="00DF0D66"/>
    <w:rsid w:val="00DF0DB5"/>
    <w:rsid w:val="00DF0DCB"/>
    <w:rsid w:val="00DF0ECB"/>
    <w:rsid w:val="00DF0ED6"/>
    <w:rsid w:val="00DF0F27"/>
    <w:rsid w:val="00DF0F74"/>
    <w:rsid w:val="00DF1035"/>
    <w:rsid w:val="00DF1042"/>
    <w:rsid w:val="00DF10C7"/>
    <w:rsid w:val="00DF113D"/>
    <w:rsid w:val="00DF11B8"/>
    <w:rsid w:val="00DF126B"/>
    <w:rsid w:val="00DF1287"/>
    <w:rsid w:val="00DF1319"/>
    <w:rsid w:val="00DF157C"/>
    <w:rsid w:val="00DF15BA"/>
    <w:rsid w:val="00DF161A"/>
    <w:rsid w:val="00DF161C"/>
    <w:rsid w:val="00DF1632"/>
    <w:rsid w:val="00DF1669"/>
    <w:rsid w:val="00DF1874"/>
    <w:rsid w:val="00DF18DA"/>
    <w:rsid w:val="00DF18FA"/>
    <w:rsid w:val="00DF1908"/>
    <w:rsid w:val="00DF1913"/>
    <w:rsid w:val="00DF19ED"/>
    <w:rsid w:val="00DF1A0B"/>
    <w:rsid w:val="00DF1AB2"/>
    <w:rsid w:val="00DF1B76"/>
    <w:rsid w:val="00DF1C17"/>
    <w:rsid w:val="00DF1C9C"/>
    <w:rsid w:val="00DF1D4B"/>
    <w:rsid w:val="00DF1D7A"/>
    <w:rsid w:val="00DF1DD9"/>
    <w:rsid w:val="00DF1DE1"/>
    <w:rsid w:val="00DF1DFF"/>
    <w:rsid w:val="00DF1E3D"/>
    <w:rsid w:val="00DF1EC4"/>
    <w:rsid w:val="00DF1FDD"/>
    <w:rsid w:val="00DF2055"/>
    <w:rsid w:val="00DF20FF"/>
    <w:rsid w:val="00DF2122"/>
    <w:rsid w:val="00DF21EA"/>
    <w:rsid w:val="00DF220F"/>
    <w:rsid w:val="00DF22DE"/>
    <w:rsid w:val="00DF2461"/>
    <w:rsid w:val="00DF24CA"/>
    <w:rsid w:val="00DF24CB"/>
    <w:rsid w:val="00DF2570"/>
    <w:rsid w:val="00DF2580"/>
    <w:rsid w:val="00DF261B"/>
    <w:rsid w:val="00DF2637"/>
    <w:rsid w:val="00DF265A"/>
    <w:rsid w:val="00DF2691"/>
    <w:rsid w:val="00DF274A"/>
    <w:rsid w:val="00DF27C2"/>
    <w:rsid w:val="00DF27EB"/>
    <w:rsid w:val="00DF2927"/>
    <w:rsid w:val="00DF2997"/>
    <w:rsid w:val="00DF2A7A"/>
    <w:rsid w:val="00DF2AAE"/>
    <w:rsid w:val="00DF2AC9"/>
    <w:rsid w:val="00DF2B1E"/>
    <w:rsid w:val="00DF2B20"/>
    <w:rsid w:val="00DF2B50"/>
    <w:rsid w:val="00DF2BBD"/>
    <w:rsid w:val="00DF2C18"/>
    <w:rsid w:val="00DF2C67"/>
    <w:rsid w:val="00DF2C81"/>
    <w:rsid w:val="00DF2DC2"/>
    <w:rsid w:val="00DF2F2C"/>
    <w:rsid w:val="00DF2F3A"/>
    <w:rsid w:val="00DF2FD4"/>
    <w:rsid w:val="00DF3100"/>
    <w:rsid w:val="00DF3160"/>
    <w:rsid w:val="00DF3196"/>
    <w:rsid w:val="00DF31E2"/>
    <w:rsid w:val="00DF3253"/>
    <w:rsid w:val="00DF3437"/>
    <w:rsid w:val="00DF3472"/>
    <w:rsid w:val="00DF34FF"/>
    <w:rsid w:val="00DF3547"/>
    <w:rsid w:val="00DF362E"/>
    <w:rsid w:val="00DF36EE"/>
    <w:rsid w:val="00DF36FA"/>
    <w:rsid w:val="00DF3700"/>
    <w:rsid w:val="00DF3727"/>
    <w:rsid w:val="00DF3742"/>
    <w:rsid w:val="00DF3799"/>
    <w:rsid w:val="00DF380A"/>
    <w:rsid w:val="00DF3829"/>
    <w:rsid w:val="00DF3A36"/>
    <w:rsid w:val="00DF3A86"/>
    <w:rsid w:val="00DF3AE4"/>
    <w:rsid w:val="00DF3B32"/>
    <w:rsid w:val="00DF3B56"/>
    <w:rsid w:val="00DF3B71"/>
    <w:rsid w:val="00DF3BAC"/>
    <w:rsid w:val="00DF3C1C"/>
    <w:rsid w:val="00DF3D42"/>
    <w:rsid w:val="00DF3D7E"/>
    <w:rsid w:val="00DF3DD1"/>
    <w:rsid w:val="00DF3E0A"/>
    <w:rsid w:val="00DF3E6C"/>
    <w:rsid w:val="00DF3EEE"/>
    <w:rsid w:val="00DF3F32"/>
    <w:rsid w:val="00DF3F39"/>
    <w:rsid w:val="00DF3F44"/>
    <w:rsid w:val="00DF3F4C"/>
    <w:rsid w:val="00DF3FA6"/>
    <w:rsid w:val="00DF3FA9"/>
    <w:rsid w:val="00DF4021"/>
    <w:rsid w:val="00DF40A9"/>
    <w:rsid w:val="00DF40CB"/>
    <w:rsid w:val="00DF412D"/>
    <w:rsid w:val="00DF4161"/>
    <w:rsid w:val="00DF41FB"/>
    <w:rsid w:val="00DF4260"/>
    <w:rsid w:val="00DF4273"/>
    <w:rsid w:val="00DF42B1"/>
    <w:rsid w:val="00DF437D"/>
    <w:rsid w:val="00DF43C6"/>
    <w:rsid w:val="00DF44A3"/>
    <w:rsid w:val="00DF44A7"/>
    <w:rsid w:val="00DF44DE"/>
    <w:rsid w:val="00DF452D"/>
    <w:rsid w:val="00DF4530"/>
    <w:rsid w:val="00DF45D2"/>
    <w:rsid w:val="00DF4678"/>
    <w:rsid w:val="00DF46BB"/>
    <w:rsid w:val="00DF46DD"/>
    <w:rsid w:val="00DF4720"/>
    <w:rsid w:val="00DF472A"/>
    <w:rsid w:val="00DF473A"/>
    <w:rsid w:val="00DF4751"/>
    <w:rsid w:val="00DF4776"/>
    <w:rsid w:val="00DF47F8"/>
    <w:rsid w:val="00DF4942"/>
    <w:rsid w:val="00DF497E"/>
    <w:rsid w:val="00DF4986"/>
    <w:rsid w:val="00DF498B"/>
    <w:rsid w:val="00DF49F3"/>
    <w:rsid w:val="00DF4A3A"/>
    <w:rsid w:val="00DF4A59"/>
    <w:rsid w:val="00DF4A5E"/>
    <w:rsid w:val="00DF4B0A"/>
    <w:rsid w:val="00DF4B52"/>
    <w:rsid w:val="00DF4B57"/>
    <w:rsid w:val="00DF4BC2"/>
    <w:rsid w:val="00DF4BD4"/>
    <w:rsid w:val="00DF4C24"/>
    <w:rsid w:val="00DF4C5A"/>
    <w:rsid w:val="00DF4DA2"/>
    <w:rsid w:val="00DF4DBB"/>
    <w:rsid w:val="00DF4EDE"/>
    <w:rsid w:val="00DF4F3C"/>
    <w:rsid w:val="00DF4F86"/>
    <w:rsid w:val="00DF4F8B"/>
    <w:rsid w:val="00DF500B"/>
    <w:rsid w:val="00DF50DF"/>
    <w:rsid w:val="00DF5159"/>
    <w:rsid w:val="00DF5161"/>
    <w:rsid w:val="00DF5187"/>
    <w:rsid w:val="00DF51C6"/>
    <w:rsid w:val="00DF51D5"/>
    <w:rsid w:val="00DF51D8"/>
    <w:rsid w:val="00DF524A"/>
    <w:rsid w:val="00DF5282"/>
    <w:rsid w:val="00DF52E2"/>
    <w:rsid w:val="00DF53B5"/>
    <w:rsid w:val="00DF5408"/>
    <w:rsid w:val="00DF5488"/>
    <w:rsid w:val="00DF54CC"/>
    <w:rsid w:val="00DF55A4"/>
    <w:rsid w:val="00DF55B2"/>
    <w:rsid w:val="00DF560E"/>
    <w:rsid w:val="00DF565B"/>
    <w:rsid w:val="00DF5671"/>
    <w:rsid w:val="00DF56EB"/>
    <w:rsid w:val="00DF5700"/>
    <w:rsid w:val="00DF571B"/>
    <w:rsid w:val="00DF5742"/>
    <w:rsid w:val="00DF5795"/>
    <w:rsid w:val="00DF5803"/>
    <w:rsid w:val="00DF5855"/>
    <w:rsid w:val="00DF5862"/>
    <w:rsid w:val="00DF58E0"/>
    <w:rsid w:val="00DF59A3"/>
    <w:rsid w:val="00DF59E2"/>
    <w:rsid w:val="00DF5A30"/>
    <w:rsid w:val="00DF5A37"/>
    <w:rsid w:val="00DF5A42"/>
    <w:rsid w:val="00DF5A60"/>
    <w:rsid w:val="00DF5A9D"/>
    <w:rsid w:val="00DF5AA7"/>
    <w:rsid w:val="00DF5AC1"/>
    <w:rsid w:val="00DF5B65"/>
    <w:rsid w:val="00DF5B72"/>
    <w:rsid w:val="00DF5BA1"/>
    <w:rsid w:val="00DF5C2C"/>
    <w:rsid w:val="00DF5C34"/>
    <w:rsid w:val="00DF5C5F"/>
    <w:rsid w:val="00DF5C65"/>
    <w:rsid w:val="00DF5D06"/>
    <w:rsid w:val="00DF5D16"/>
    <w:rsid w:val="00DF5D44"/>
    <w:rsid w:val="00DF5D9A"/>
    <w:rsid w:val="00DF5E10"/>
    <w:rsid w:val="00DF5EAB"/>
    <w:rsid w:val="00DF5EBB"/>
    <w:rsid w:val="00DF5F1A"/>
    <w:rsid w:val="00DF5F25"/>
    <w:rsid w:val="00DF5F5D"/>
    <w:rsid w:val="00DF5FE5"/>
    <w:rsid w:val="00DF6095"/>
    <w:rsid w:val="00DF61A5"/>
    <w:rsid w:val="00DF6363"/>
    <w:rsid w:val="00DF6374"/>
    <w:rsid w:val="00DF63D8"/>
    <w:rsid w:val="00DF63E5"/>
    <w:rsid w:val="00DF643A"/>
    <w:rsid w:val="00DF6440"/>
    <w:rsid w:val="00DF6445"/>
    <w:rsid w:val="00DF644A"/>
    <w:rsid w:val="00DF64A1"/>
    <w:rsid w:val="00DF64B5"/>
    <w:rsid w:val="00DF64E0"/>
    <w:rsid w:val="00DF6537"/>
    <w:rsid w:val="00DF659A"/>
    <w:rsid w:val="00DF65B9"/>
    <w:rsid w:val="00DF65C6"/>
    <w:rsid w:val="00DF65D8"/>
    <w:rsid w:val="00DF66F7"/>
    <w:rsid w:val="00DF6729"/>
    <w:rsid w:val="00DF6774"/>
    <w:rsid w:val="00DF67B9"/>
    <w:rsid w:val="00DF6867"/>
    <w:rsid w:val="00DF6899"/>
    <w:rsid w:val="00DF68BD"/>
    <w:rsid w:val="00DF68C3"/>
    <w:rsid w:val="00DF697B"/>
    <w:rsid w:val="00DF6AF2"/>
    <w:rsid w:val="00DF6AF5"/>
    <w:rsid w:val="00DF6B00"/>
    <w:rsid w:val="00DF6B14"/>
    <w:rsid w:val="00DF6BEE"/>
    <w:rsid w:val="00DF6C0D"/>
    <w:rsid w:val="00DF6EAA"/>
    <w:rsid w:val="00DF6EEB"/>
    <w:rsid w:val="00DF6F61"/>
    <w:rsid w:val="00DF6F7A"/>
    <w:rsid w:val="00DF7059"/>
    <w:rsid w:val="00DF70F5"/>
    <w:rsid w:val="00DF7188"/>
    <w:rsid w:val="00DF722A"/>
    <w:rsid w:val="00DF72A3"/>
    <w:rsid w:val="00DF73C2"/>
    <w:rsid w:val="00DF73F4"/>
    <w:rsid w:val="00DF7428"/>
    <w:rsid w:val="00DF743E"/>
    <w:rsid w:val="00DF744F"/>
    <w:rsid w:val="00DF7473"/>
    <w:rsid w:val="00DF74AE"/>
    <w:rsid w:val="00DF74BD"/>
    <w:rsid w:val="00DF7543"/>
    <w:rsid w:val="00DF7579"/>
    <w:rsid w:val="00DF7588"/>
    <w:rsid w:val="00DF75BD"/>
    <w:rsid w:val="00DF7608"/>
    <w:rsid w:val="00DF7637"/>
    <w:rsid w:val="00DF7695"/>
    <w:rsid w:val="00DF7739"/>
    <w:rsid w:val="00DF7869"/>
    <w:rsid w:val="00DF78C5"/>
    <w:rsid w:val="00DF78D5"/>
    <w:rsid w:val="00DF7949"/>
    <w:rsid w:val="00DF79E9"/>
    <w:rsid w:val="00DF79FB"/>
    <w:rsid w:val="00DF79FF"/>
    <w:rsid w:val="00DF7AB3"/>
    <w:rsid w:val="00DF7BC1"/>
    <w:rsid w:val="00DF7C2D"/>
    <w:rsid w:val="00DF7C50"/>
    <w:rsid w:val="00DF7C7A"/>
    <w:rsid w:val="00DF7CFC"/>
    <w:rsid w:val="00DF7D17"/>
    <w:rsid w:val="00DF7E2D"/>
    <w:rsid w:val="00DF7E8F"/>
    <w:rsid w:val="00DF7EA8"/>
    <w:rsid w:val="00DF7EBC"/>
    <w:rsid w:val="00DF7EC9"/>
    <w:rsid w:val="00DF7F35"/>
    <w:rsid w:val="00E00048"/>
    <w:rsid w:val="00E00052"/>
    <w:rsid w:val="00E00074"/>
    <w:rsid w:val="00E00079"/>
    <w:rsid w:val="00E00147"/>
    <w:rsid w:val="00E00157"/>
    <w:rsid w:val="00E00164"/>
    <w:rsid w:val="00E001BA"/>
    <w:rsid w:val="00E001C6"/>
    <w:rsid w:val="00E0022E"/>
    <w:rsid w:val="00E0025B"/>
    <w:rsid w:val="00E002B7"/>
    <w:rsid w:val="00E002BB"/>
    <w:rsid w:val="00E002E8"/>
    <w:rsid w:val="00E00347"/>
    <w:rsid w:val="00E003BF"/>
    <w:rsid w:val="00E003DA"/>
    <w:rsid w:val="00E00406"/>
    <w:rsid w:val="00E00457"/>
    <w:rsid w:val="00E00476"/>
    <w:rsid w:val="00E00588"/>
    <w:rsid w:val="00E00661"/>
    <w:rsid w:val="00E00683"/>
    <w:rsid w:val="00E00759"/>
    <w:rsid w:val="00E008C5"/>
    <w:rsid w:val="00E00991"/>
    <w:rsid w:val="00E009B0"/>
    <w:rsid w:val="00E009D6"/>
    <w:rsid w:val="00E009E2"/>
    <w:rsid w:val="00E00AE2"/>
    <w:rsid w:val="00E00B45"/>
    <w:rsid w:val="00E00B7C"/>
    <w:rsid w:val="00E00BA0"/>
    <w:rsid w:val="00E00BDB"/>
    <w:rsid w:val="00E00DA3"/>
    <w:rsid w:val="00E00DCC"/>
    <w:rsid w:val="00E00E5F"/>
    <w:rsid w:val="00E00EE2"/>
    <w:rsid w:val="00E00F62"/>
    <w:rsid w:val="00E00FBB"/>
    <w:rsid w:val="00E00FC6"/>
    <w:rsid w:val="00E00FC8"/>
    <w:rsid w:val="00E00FCE"/>
    <w:rsid w:val="00E00FF3"/>
    <w:rsid w:val="00E010A3"/>
    <w:rsid w:val="00E01133"/>
    <w:rsid w:val="00E0115B"/>
    <w:rsid w:val="00E011F1"/>
    <w:rsid w:val="00E0120D"/>
    <w:rsid w:val="00E0123F"/>
    <w:rsid w:val="00E012F0"/>
    <w:rsid w:val="00E016BF"/>
    <w:rsid w:val="00E01705"/>
    <w:rsid w:val="00E01719"/>
    <w:rsid w:val="00E0176D"/>
    <w:rsid w:val="00E017B2"/>
    <w:rsid w:val="00E017D5"/>
    <w:rsid w:val="00E01832"/>
    <w:rsid w:val="00E01847"/>
    <w:rsid w:val="00E018A0"/>
    <w:rsid w:val="00E0190C"/>
    <w:rsid w:val="00E0194E"/>
    <w:rsid w:val="00E0199D"/>
    <w:rsid w:val="00E019B8"/>
    <w:rsid w:val="00E019FB"/>
    <w:rsid w:val="00E01A53"/>
    <w:rsid w:val="00E01B2C"/>
    <w:rsid w:val="00E01B65"/>
    <w:rsid w:val="00E01B84"/>
    <w:rsid w:val="00E01C77"/>
    <w:rsid w:val="00E01E0F"/>
    <w:rsid w:val="00E01E34"/>
    <w:rsid w:val="00E0204B"/>
    <w:rsid w:val="00E0207A"/>
    <w:rsid w:val="00E020B3"/>
    <w:rsid w:val="00E020D6"/>
    <w:rsid w:val="00E0215C"/>
    <w:rsid w:val="00E0219C"/>
    <w:rsid w:val="00E0223F"/>
    <w:rsid w:val="00E02294"/>
    <w:rsid w:val="00E022CF"/>
    <w:rsid w:val="00E022D7"/>
    <w:rsid w:val="00E02331"/>
    <w:rsid w:val="00E02335"/>
    <w:rsid w:val="00E0236B"/>
    <w:rsid w:val="00E02398"/>
    <w:rsid w:val="00E0248E"/>
    <w:rsid w:val="00E0252D"/>
    <w:rsid w:val="00E025B4"/>
    <w:rsid w:val="00E025DA"/>
    <w:rsid w:val="00E025E2"/>
    <w:rsid w:val="00E02677"/>
    <w:rsid w:val="00E026C2"/>
    <w:rsid w:val="00E027D5"/>
    <w:rsid w:val="00E0280D"/>
    <w:rsid w:val="00E02842"/>
    <w:rsid w:val="00E0289D"/>
    <w:rsid w:val="00E028A3"/>
    <w:rsid w:val="00E028E0"/>
    <w:rsid w:val="00E029AC"/>
    <w:rsid w:val="00E02A52"/>
    <w:rsid w:val="00E02AD2"/>
    <w:rsid w:val="00E02B43"/>
    <w:rsid w:val="00E02B79"/>
    <w:rsid w:val="00E02B89"/>
    <w:rsid w:val="00E02C07"/>
    <w:rsid w:val="00E02C0C"/>
    <w:rsid w:val="00E02C21"/>
    <w:rsid w:val="00E02CB9"/>
    <w:rsid w:val="00E02E34"/>
    <w:rsid w:val="00E02EF4"/>
    <w:rsid w:val="00E02F19"/>
    <w:rsid w:val="00E02F6E"/>
    <w:rsid w:val="00E02FB0"/>
    <w:rsid w:val="00E0302A"/>
    <w:rsid w:val="00E0303C"/>
    <w:rsid w:val="00E030AA"/>
    <w:rsid w:val="00E03128"/>
    <w:rsid w:val="00E0317E"/>
    <w:rsid w:val="00E03184"/>
    <w:rsid w:val="00E031F9"/>
    <w:rsid w:val="00E0322F"/>
    <w:rsid w:val="00E03283"/>
    <w:rsid w:val="00E032EB"/>
    <w:rsid w:val="00E033CA"/>
    <w:rsid w:val="00E033D5"/>
    <w:rsid w:val="00E03499"/>
    <w:rsid w:val="00E03514"/>
    <w:rsid w:val="00E0353A"/>
    <w:rsid w:val="00E035AA"/>
    <w:rsid w:val="00E035E9"/>
    <w:rsid w:val="00E03604"/>
    <w:rsid w:val="00E0367A"/>
    <w:rsid w:val="00E037E3"/>
    <w:rsid w:val="00E038D1"/>
    <w:rsid w:val="00E03959"/>
    <w:rsid w:val="00E03964"/>
    <w:rsid w:val="00E03977"/>
    <w:rsid w:val="00E039CE"/>
    <w:rsid w:val="00E039E7"/>
    <w:rsid w:val="00E03A33"/>
    <w:rsid w:val="00E03A9D"/>
    <w:rsid w:val="00E03ACF"/>
    <w:rsid w:val="00E03B00"/>
    <w:rsid w:val="00E03B5A"/>
    <w:rsid w:val="00E03BB1"/>
    <w:rsid w:val="00E03BC5"/>
    <w:rsid w:val="00E03D09"/>
    <w:rsid w:val="00E03D37"/>
    <w:rsid w:val="00E03D3B"/>
    <w:rsid w:val="00E03D75"/>
    <w:rsid w:val="00E03D8F"/>
    <w:rsid w:val="00E03DF3"/>
    <w:rsid w:val="00E03E3D"/>
    <w:rsid w:val="00E03EF9"/>
    <w:rsid w:val="00E03EFC"/>
    <w:rsid w:val="00E03F4E"/>
    <w:rsid w:val="00E03F55"/>
    <w:rsid w:val="00E03F70"/>
    <w:rsid w:val="00E03F8D"/>
    <w:rsid w:val="00E03FE6"/>
    <w:rsid w:val="00E040A2"/>
    <w:rsid w:val="00E0413E"/>
    <w:rsid w:val="00E04146"/>
    <w:rsid w:val="00E041BF"/>
    <w:rsid w:val="00E041CD"/>
    <w:rsid w:val="00E04223"/>
    <w:rsid w:val="00E04256"/>
    <w:rsid w:val="00E042C5"/>
    <w:rsid w:val="00E04319"/>
    <w:rsid w:val="00E0431B"/>
    <w:rsid w:val="00E0436D"/>
    <w:rsid w:val="00E0436F"/>
    <w:rsid w:val="00E0438D"/>
    <w:rsid w:val="00E0444C"/>
    <w:rsid w:val="00E04464"/>
    <w:rsid w:val="00E0454F"/>
    <w:rsid w:val="00E04584"/>
    <w:rsid w:val="00E0465D"/>
    <w:rsid w:val="00E04729"/>
    <w:rsid w:val="00E047A3"/>
    <w:rsid w:val="00E047AA"/>
    <w:rsid w:val="00E047D9"/>
    <w:rsid w:val="00E0488F"/>
    <w:rsid w:val="00E04940"/>
    <w:rsid w:val="00E04969"/>
    <w:rsid w:val="00E0498C"/>
    <w:rsid w:val="00E049C0"/>
    <w:rsid w:val="00E049F5"/>
    <w:rsid w:val="00E04A39"/>
    <w:rsid w:val="00E04A82"/>
    <w:rsid w:val="00E04A98"/>
    <w:rsid w:val="00E04AE1"/>
    <w:rsid w:val="00E04B2A"/>
    <w:rsid w:val="00E04B56"/>
    <w:rsid w:val="00E04B6A"/>
    <w:rsid w:val="00E04B6C"/>
    <w:rsid w:val="00E04B6F"/>
    <w:rsid w:val="00E04C74"/>
    <w:rsid w:val="00E04CC2"/>
    <w:rsid w:val="00E04CD7"/>
    <w:rsid w:val="00E04D17"/>
    <w:rsid w:val="00E04D20"/>
    <w:rsid w:val="00E04D71"/>
    <w:rsid w:val="00E04DA7"/>
    <w:rsid w:val="00E04DB2"/>
    <w:rsid w:val="00E04E45"/>
    <w:rsid w:val="00E04EAE"/>
    <w:rsid w:val="00E04EF3"/>
    <w:rsid w:val="00E04FCB"/>
    <w:rsid w:val="00E05059"/>
    <w:rsid w:val="00E05083"/>
    <w:rsid w:val="00E050A2"/>
    <w:rsid w:val="00E05149"/>
    <w:rsid w:val="00E051AB"/>
    <w:rsid w:val="00E05251"/>
    <w:rsid w:val="00E05279"/>
    <w:rsid w:val="00E0527E"/>
    <w:rsid w:val="00E052C1"/>
    <w:rsid w:val="00E052FE"/>
    <w:rsid w:val="00E0530C"/>
    <w:rsid w:val="00E0547E"/>
    <w:rsid w:val="00E054CE"/>
    <w:rsid w:val="00E0551B"/>
    <w:rsid w:val="00E055D2"/>
    <w:rsid w:val="00E055E0"/>
    <w:rsid w:val="00E0567B"/>
    <w:rsid w:val="00E05710"/>
    <w:rsid w:val="00E05715"/>
    <w:rsid w:val="00E0571B"/>
    <w:rsid w:val="00E05759"/>
    <w:rsid w:val="00E05841"/>
    <w:rsid w:val="00E05868"/>
    <w:rsid w:val="00E058E6"/>
    <w:rsid w:val="00E05902"/>
    <w:rsid w:val="00E05916"/>
    <w:rsid w:val="00E05985"/>
    <w:rsid w:val="00E059A8"/>
    <w:rsid w:val="00E05A74"/>
    <w:rsid w:val="00E05AC1"/>
    <w:rsid w:val="00E05B82"/>
    <w:rsid w:val="00E05B90"/>
    <w:rsid w:val="00E05C01"/>
    <w:rsid w:val="00E05C32"/>
    <w:rsid w:val="00E05D11"/>
    <w:rsid w:val="00E05D3D"/>
    <w:rsid w:val="00E05DAC"/>
    <w:rsid w:val="00E05DB0"/>
    <w:rsid w:val="00E05DB3"/>
    <w:rsid w:val="00E05DFF"/>
    <w:rsid w:val="00E05E10"/>
    <w:rsid w:val="00E06000"/>
    <w:rsid w:val="00E06111"/>
    <w:rsid w:val="00E06213"/>
    <w:rsid w:val="00E06215"/>
    <w:rsid w:val="00E06293"/>
    <w:rsid w:val="00E06318"/>
    <w:rsid w:val="00E063E7"/>
    <w:rsid w:val="00E06432"/>
    <w:rsid w:val="00E0644A"/>
    <w:rsid w:val="00E06478"/>
    <w:rsid w:val="00E0647B"/>
    <w:rsid w:val="00E0648D"/>
    <w:rsid w:val="00E064D1"/>
    <w:rsid w:val="00E06579"/>
    <w:rsid w:val="00E0659D"/>
    <w:rsid w:val="00E065A9"/>
    <w:rsid w:val="00E065B8"/>
    <w:rsid w:val="00E065E0"/>
    <w:rsid w:val="00E06638"/>
    <w:rsid w:val="00E066A1"/>
    <w:rsid w:val="00E06707"/>
    <w:rsid w:val="00E0678F"/>
    <w:rsid w:val="00E0679D"/>
    <w:rsid w:val="00E068C1"/>
    <w:rsid w:val="00E06945"/>
    <w:rsid w:val="00E06991"/>
    <w:rsid w:val="00E069F0"/>
    <w:rsid w:val="00E06A17"/>
    <w:rsid w:val="00E06BE1"/>
    <w:rsid w:val="00E06CCE"/>
    <w:rsid w:val="00E06CFF"/>
    <w:rsid w:val="00E06D3B"/>
    <w:rsid w:val="00E06D44"/>
    <w:rsid w:val="00E06D61"/>
    <w:rsid w:val="00E06D72"/>
    <w:rsid w:val="00E06E2D"/>
    <w:rsid w:val="00E06E67"/>
    <w:rsid w:val="00E06F25"/>
    <w:rsid w:val="00E07007"/>
    <w:rsid w:val="00E07010"/>
    <w:rsid w:val="00E0701B"/>
    <w:rsid w:val="00E07044"/>
    <w:rsid w:val="00E07071"/>
    <w:rsid w:val="00E0707F"/>
    <w:rsid w:val="00E070CB"/>
    <w:rsid w:val="00E07105"/>
    <w:rsid w:val="00E071AF"/>
    <w:rsid w:val="00E071B4"/>
    <w:rsid w:val="00E071DD"/>
    <w:rsid w:val="00E07208"/>
    <w:rsid w:val="00E07299"/>
    <w:rsid w:val="00E07336"/>
    <w:rsid w:val="00E07388"/>
    <w:rsid w:val="00E073D2"/>
    <w:rsid w:val="00E07405"/>
    <w:rsid w:val="00E07429"/>
    <w:rsid w:val="00E075DD"/>
    <w:rsid w:val="00E075F3"/>
    <w:rsid w:val="00E076C2"/>
    <w:rsid w:val="00E07772"/>
    <w:rsid w:val="00E077C3"/>
    <w:rsid w:val="00E07823"/>
    <w:rsid w:val="00E0797A"/>
    <w:rsid w:val="00E07A4C"/>
    <w:rsid w:val="00E07A93"/>
    <w:rsid w:val="00E07AC9"/>
    <w:rsid w:val="00E07AE6"/>
    <w:rsid w:val="00E07AEB"/>
    <w:rsid w:val="00E07AF9"/>
    <w:rsid w:val="00E07BC2"/>
    <w:rsid w:val="00E07BC9"/>
    <w:rsid w:val="00E07CA9"/>
    <w:rsid w:val="00E07D1E"/>
    <w:rsid w:val="00E07D73"/>
    <w:rsid w:val="00E07DD0"/>
    <w:rsid w:val="00E07DD3"/>
    <w:rsid w:val="00E07E00"/>
    <w:rsid w:val="00E07E6A"/>
    <w:rsid w:val="00E07EFC"/>
    <w:rsid w:val="00E07EFD"/>
    <w:rsid w:val="00E07F59"/>
    <w:rsid w:val="00E07F78"/>
    <w:rsid w:val="00E07FE1"/>
    <w:rsid w:val="00E10018"/>
    <w:rsid w:val="00E1001D"/>
    <w:rsid w:val="00E10114"/>
    <w:rsid w:val="00E101AC"/>
    <w:rsid w:val="00E101D0"/>
    <w:rsid w:val="00E101DB"/>
    <w:rsid w:val="00E10231"/>
    <w:rsid w:val="00E103F4"/>
    <w:rsid w:val="00E10416"/>
    <w:rsid w:val="00E1041E"/>
    <w:rsid w:val="00E1048C"/>
    <w:rsid w:val="00E10534"/>
    <w:rsid w:val="00E105D1"/>
    <w:rsid w:val="00E105E9"/>
    <w:rsid w:val="00E105FB"/>
    <w:rsid w:val="00E105FE"/>
    <w:rsid w:val="00E106CF"/>
    <w:rsid w:val="00E10831"/>
    <w:rsid w:val="00E10844"/>
    <w:rsid w:val="00E10877"/>
    <w:rsid w:val="00E1089D"/>
    <w:rsid w:val="00E108B7"/>
    <w:rsid w:val="00E10909"/>
    <w:rsid w:val="00E10913"/>
    <w:rsid w:val="00E10931"/>
    <w:rsid w:val="00E10A70"/>
    <w:rsid w:val="00E10AC0"/>
    <w:rsid w:val="00E10AF4"/>
    <w:rsid w:val="00E10B40"/>
    <w:rsid w:val="00E10BE4"/>
    <w:rsid w:val="00E10BEF"/>
    <w:rsid w:val="00E10C08"/>
    <w:rsid w:val="00E10C74"/>
    <w:rsid w:val="00E10C78"/>
    <w:rsid w:val="00E10CED"/>
    <w:rsid w:val="00E10CFE"/>
    <w:rsid w:val="00E10D2F"/>
    <w:rsid w:val="00E10D93"/>
    <w:rsid w:val="00E10DA5"/>
    <w:rsid w:val="00E10DDD"/>
    <w:rsid w:val="00E10E39"/>
    <w:rsid w:val="00E10E6D"/>
    <w:rsid w:val="00E10F03"/>
    <w:rsid w:val="00E10F86"/>
    <w:rsid w:val="00E10FA4"/>
    <w:rsid w:val="00E11015"/>
    <w:rsid w:val="00E1117A"/>
    <w:rsid w:val="00E111AB"/>
    <w:rsid w:val="00E111C6"/>
    <w:rsid w:val="00E11216"/>
    <w:rsid w:val="00E11263"/>
    <w:rsid w:val="00E11296"/>
    <w:rsid w:val="00E11359"/>
    <w:rsid w:val="00E1138D"/>
    <w:rsid w:val="00E11390"/>
    <w:rsid w:val="00E11474"/>
    <w:rsid w:val="00E114C3"/>
    <w:rsid w:val="00E114F5"/>
    <w:rsid w:val="00E11584"/>
    <w:rsid w:val="00E115B3"/>
    <w:rsid w:val="00E115BE"/>
    <w:rsid w:val="00E115E8"/>
    <w:rsid w:val="00E11613"/>
    <w:rsid w:val="00E11634"/>
    <w:rsid w:val="00E116A7"/>
    <w:rsid w:val="00E11716"/>
    <w:rsid w:val="00E11753"/>
    <w:rsid w:val="00E1178D"/>
    <w:rsid w:val="00E11845"/>
    <w:rsid w:val="00E1188E"/>
    <w:rsid w:val="00E118D0"/>
    <w:rsid w:val="00E118FB"/>
    <w:rsid w:val="00E11907"/>
    <w:rsid w:val="00E1190E"/>
    <w:rsid w:val="00E119CA"/>
    <w:rsid w:val="00E119FF"/>
    <w:rsid w:val="00E11A91"/>
    <w:rsid w:val="00E11AF8"/>
    <w:rsid w:val="00E11B09"/>
    <w:rsid w:val="00E11B7D"/>
    <w:rsid w:val="00E11C56"/>
    <w:rsid w:val="00E11C6E"/>
    <w:rsid w:val="00E11C7B"/>
    <w:rsid w:val="00E11CA8"/>
    <w:rsid w:val="00E11D1B"/>
    <w:rsid w:val="00E11D6C"/>
    <w:rsid w:val="00E11D82"/>
    <w:rsid w:val="00E11D85"/>
    <w:rsid w:val="00E11E81"/>
    <w:rsid w:val="00E11F02"/>
    <w:rsid w:val="00E11F37"/>
    <w:rsid w:val="00E11F50"/>
    <w:rsid w:val="00E11FBD"/>
    <w:rsid w:val="00E1201C"/>
    <w:rsid w:val="00E12036"/>
    <w:rsid w:val="00E12075"/>
    <w:rsid w:val="00E12148"/>
    <w:rsid w:val="00E1219E"/>
    <w:rsid w:val="00E121A2"/>
    <w:rsid w:val="00E121A5"/>
    <w:rsid w:val="00E121E8"/>
    <w:rsid w:val="00E121FA"/>
    <w:rsid w:val="00E122E7"/>
    <w:rsid w:val="00E123CD"/>
    <w:rsid w:val="00E1246A"/>
    <w:rsid w:val="00E12472"/>
    <w:rsid w:val="00E12489"/>
    <w:rsid w:val="00E124B6"/>
    <w:rsid w:val="00E124E1"/>
    <w:rsid w:val="00E12536"/>
    <w:rsid w:val="00E12548"/>
    <w:rsid w:val="00E125CD"/>
    <w:rsid w:val="00E125E4"/>
    <w:rsid w:val="00E126BE"/>
    <w:rsid w:val="00E12729"/>
    <w:rsid w:val="00E1273A"/>
    <w:rsid w:val="00E1274B"/>
    <w:rsid w:val="00E1282D"/>
    <w:rsid w:val="00E1288A"/>
    <w:rsid w:val="00E128B9"/>
    <w:rsid w:val="00E128E2"/>
    <w:rsid w:val="00E128F1"/>
    <w:rsid w:val="00E129D6"/>
    <w:rsid w:val="00E129DA"/>
    <w:rsid w:val="00E12ACD"/>
    <w:rsid w:val="00E12AED"/>
    <w:rsid w:val="00E12AFC"/>
    <w:rsid w:val="00E12B31"/>
    <w:rsid w:val="00E12BE7"/>
    <w:rsid w:val="00E12C0C"/>
    <w:rsid w:val="00E12C94"/>
    <w:rsid w:val="00E12D2F"/>
    <w:rsid w:val="00E12D6A"/>
    <w:rsid w:val="00E12DA7"/>
    <w:rsid w:val="00E12DE9"/>
    <w:rsid w:val="00E12FE3"/>
    <w:rsid w:val="00E1302B"/>
    <w:rsid w:val="00E1302C"/>
    <w:rsid w:val="00E130EC"/>
    <w:rsid w:val="00E1310F"/>
    <w:rsid w:val="00E13195"/>
    <w:rsid w:val="00E13248"/>
    <w:rsid w:val="00E1336F"/>
    <w:rsid w:val="00E1340C"/>
    <w:rsid w:val="00E1354C"/>
    <w:rsid w:val="00E135BE"/>
    <w:rsid w:val="00E13661"/>
    <w:rsid w:val="00E1367B"/>
    <w:rsid w:val="00E136A0"/>
    <w:rsid w:val="00E136BB"/>
    <w:rsid w:val="00E136E8"/>
    <w:rsid w:val="00E13755"/>
    <w:rsid w:val="00E13799"/>
    <w:rsid w:val="00E1379E"/>
    <w:rsid w:val="00E137E0"/>
    <w:rsid w:val="00E13821"/>
    <w:rsid w:val="00E138A6"/>
    <w:rsid w:val="00E13940"/>
    <w:rsid w:val="00E13943"/>
    <w:rsid w:val="00E13A2B"/>
    <w:rsid w:val="00E13ADB"/>
    <w:rsid w:val="00E13B01"/>
    <w:rsid w:val="00E13B97"/>
    <w:rsid w:val="00E13BE0"/>
    <w:rsid w:val="00E13C00"/>
    <w:rsid w:val="00E13CA7"/>
    <w:rsid w:val="00E13D2C"/>
    <w:rsid w:val="00E13E48"/>
    <w:rsid w:val="00E13E5C"/>
    <w:rsid w:val="00E13E91"/>
    <w:rsid w:val="00E13EC6"/>
    <w:rsid w:val="00E13F0D"/>
    <w:rsid w:val="00E13F1B"/>
    <w:rsid w:val="00E13F75"/>
    <w:rsid w:val="00E14046"/>
    <w:rsid w:val="00E140CA"/>
    <w:rsid w:val="00E140CE"/>
    <w:rsid w:val="00E1410D"/>
    <w:rsid w:val="00E1416A"/>
    <w:rsid w:val="00E1429E"/>
    <w:rsid w:val="00E14300"/>
    <w:rsid w:val="00E14309"/>
    <w:rsid w:val="00E14361"/>
    <w:rsid w:val="00E1438E"/>
    <w:rsid w:val="00E14402"/>
    <w:rsid w:val="00E1442A"/>
    <w:rsid w:val="00E14467"/>
    <w:rsid w:val="00E1455A"/>
    <w:rsid w:val="00E14563"/>
    <w:rsid w:val="00E14575"/>
    <w:rsid w:val="00E14586"/>
    <w:rsid w:val="00E14594"/>
    <w:rsid w:val="00E145F5"/>
    <w:rsid w:val="00E14658"/>
    <w:rsid w:val="00E14731"/>
    <w:rsid w:val="00E147F9"/>
    <w:rsid w:val="00E1481F"/>
    <w:rsid w:val="00E14852"/>
    <w:rsid w:val="00E148AB"/>
    <w:rsid w:val="00E14951"/>
    <w:rsid w:val="00E14A7C"/>
    <w:rsid w:val="00E14AEC"/>
    <w:rsid w:val="00E14B92"/>
    <w:rsid w:val="00E14BD4"/>
    <w:rsid w:val="00E14D2B"/>
    <w:rsid w:val="00E14D4F"/>
    <w:rsid w:val="00E14D70"/>
    <w:rsid w:val="00E14DCA"/>
    <w:rsid w:val="00E14E76"/>
    <w:rsid w:val="00E14F28"/>
    <w:rsid w:val="00E14F4C"/>
    <w:rsid w:val="00E14FAD"/>
    <w:rsid w:val="00E14FB3"/>
    <w:rsid w:val="00E15081"/>
    <w:rsid w:val="00E1510B"/>
    <w:rsid w:val="00E15233"/>
    <w:rsid w:val="00E15253"/>
    <w:rsid w:val="00E152FC"/>
    <w:rsid w:val="00E15307"/>
    <w:rsid w:val="00E15331"/>
    <w:rsid w:val="00E1537E"/>
    <w:rsid w:val="00E1541E"/>
    <w:rsid w:val="00E1542F"/>
    <w:rsid w:val="00E15437"/>
    <w:rsid w:val="00E154EF"/>
    <w:rsid w:val="00E1550A"/>
    <w:rsid w:val="00E15556"/>
    <w:rsid w:val="00E1558A"/>
    <w:rsid w:val="00E1559D"/>
    <w:rsid w:val="00E155CC"/>
    <w:rsid w:val="00E1564A"/>
    <w:rsid w:val="00E15677"/>
    <w:rsid w:val="00E15718"/>
    <w:rsid w:val="00E1579C"/>
    <w:rsid w:val="00E157BC"/>
    <w:rsid w:val="00E157C3"/>
    <w:rsid w:val="00E15912"/>
    <w:rsid w:val="00E1593C"/>
    <w:rsid w:val="00E15A00"/>
    <w:rsid w:val="00E15A6B"/>
    <w:rsid w:val="00E15A98"/>
    <w:rsid w:val="00E15C31"/>
    <w:rsid w:val="00E15CDA"/>
    <w:rsid w:val="00E15D47"/>
    <w:rsid w:val="00E15D7F"/>
    <w:rsid w:val="00E15DA6"/>
    <w:rsid w:val="00E15E1B"/>
    <w:rsid w:val="00E15F89"/>
    <w:rsid w:val="00E15FCC"/>
    <w:rsid w:val="00E15FDA"/>
    <w:rsid w:val="00E1614F"/>
    <w:rsid w:val="00E16238"/>
    <w:rsid w:val="00E16268"/>
    <w:rsid w:val="00E16287"/>
    <w:rsid w:val="00E1637C"/>
    <w:rsid w:val="00E1639B"/>
    <w:rsid w:val="00E16429"/>
    <w:rsid w:val="00E1649E"/>
    <w:rsid w:val="00E16588"/>
    <w:rsid w:val="00E16595"/>
    <w:rsid w:val="00E165EA"/>
    <w:rsid w:val="00E1662C"/>
    <w:rsid w:val="00E16652"/>
    <w:rsid w:val="00E166FF"/>
    <w:rsid w:val="00E16798"/>
    <w:rsid w:val="00E167D0"/>
    <w:rsid w:val="00E16811"/>
    <w:rsid w:val="00E16845"/>
    <w:rsid w:val="00E16958"/>
    <w:rsid w:val="00E169EB"/>
    <w:rsid w:val="00E16A0C"/>
    <w:rsid w:val="00E16A49"/>
    <w:rsid w:val="00E16A9D"/>
    <w:rsid w:val="00E16AA2"/>
    <w:rsid w:val="00E16AFF"/>
    <w:rsid w:val="00E16B0D"/>
    <w:rsid w:val="00E16B2B"/>
    <w:rsid w:val="00E16B86"/>
    <w:rsid w:val="00E16B99"/>
    <w:rsid w:val="00E16BCE"/>
    <w:rsid w:val="00E16BEB"/>
    <w:rsid w:val="00E16BF6"/>
    <w:rsid w:val="00E16C97"/>
    <w:rsid w:val="00E16D27"/>
    <w:rsid w:val="00E16D43"/>
    <w:rsid w:val="00E16D72"/>
    <w:rsid w:val="00E16E3D"/>
    <w:rsid w:val="00E16E80"/>
    <w:rsid w:val="00E16E88"/>
    <w:rsid w:val="00E16F61"/>
    <w:rsid w:val="00E16F97"/>
    <w:rsid w:val="00E1702F"/>
    <w:rsid w:val="00E1705B"/>
    <w:rsid w:val="00E170E7"/>
    <w:rsid w:val="00E1716C"/>
    <w:rsid w:val="00E17170"/>
    <w:rsid w:val="00E17172"/>
    <w:rsid w:val="00E17176"/>
    <w:rsid w:val="00E17194"/>
    <w:rsid w:val="00E171F5"/>
    <w:rsid w:val="00E17237"/>
    <w:rsid w:val="00E172B3"/>
    <w:rsid w:val="00E1733D"/>
    <w:rsid w:val="00E1735C"/>
    <w:rsid w:val="00E173C9"/>
    <w:rsid w:val="00E17428"/>
    <w:rsid w:val="00E1747B"/>
    <w:rsid w:val="00E1752B"/>
    <w:rsid w:val="00E17530"/>
    <w:rsid w:val="00E17775"/>
    <w:rsid w:val="00E17783"/>
    <w:rsid w:val="00E17788"/>
    <w:rsid w:val="00E177C9"/>
    <w:rsid w:val="00E177F2"/>
    <w:rsid w:val="00E17884"/>
    <w:rsid w:val="00E178FA"/>
    <w:rsid w:val="00E17930"/>
    <w:rsid w:val="00E17A38"/>
    <w:rsid w:val="00E17AC6"/>
    <w:rsid w:val="00E17B08"/>
    <w:rsid w:val="00E17B30"/>
    <w:rsid w:val="00E17B65"/>
    <w:rsid w:val="00E17B8E"/>
    <w:rsid w:val="00E17BB3"/>
    <w:rsid w:val="00E17C85"/>
    <w:rsid w:val="00E17CB3"/>
    <w:rsid w:val="00E17D18"/>
    <w:rsid w:val="00E17E7C"/>
    <w:rsid w:val="00E17F20"/>
    <w:rsid w:val="00E17F2A"/>
    <w:rsid w:val="00E17F93"/>
    <w:rsid w:val="00E17FD7"/>
    <w:rsid w:val="00E2007F"/>
    <w:rsid w:val="00E20114"/>
    <w:rsid w:val="00E2011A"/>
    <w:rsid w:val="00E202BA"/>
    <w:rsid w:val="00E20313"/>
    <w:rsid w:val="00E2031E"/>
    <w:rsid w:val="00E2033E"/>
    <w:rsid w:val="00E20364"/>
    <w:rsid w:val="00E2038A"/>
    <w:rsid w:val="00E204F6"/>
    <w:rsid w:val="00E205D4"/>
    <w:rsid w:val="00E2067B"/>
    <w:rsid w:val="00E2067D"/>
    <w:rsid w:val="00E2077E"/>
    <w:rsid w:val="00E207C0"/>
    <w:rsid w:val="00E2081D"/>
    <w:rsid w:val="00E20872"/>
    <w:rsid w:val="00E208E5"/>
    <w:rsid w:val="00E2090C"/>
    <w:rsid w:val="00E209A9"/>
    <w:rsid w:val="00E209C2"/>
    <w:rsid w:val="00E209CB"/>
    <w:rsid w:val="00E20A11"/>
    <w:rsid w:val="00E20A3D"/>
    <w:rsid w:val="00E20AEE"/>
    <w:rsid w:val="00E20B2C"/>
    <w:rsid w:val="00E20BAF"/>
    <w:rsid w:val="00E20C2D"/>
    <w:rsid w:val="00E20C76"/>
    <w:rsid w:val="00E20D31"/>
    <w:rsid w:val="00E20D33"/>
    <w:rsid w:val="00E20DEB"/>
    <w:rsid w:val="00E20E81"/>
    <w:rsid w:val="00E20EC8"/>
    <w:rsid w:val="00E20EDB"/>
    <w:rsid w:val="00E20F39"/>
    <w:rsid w:val="00E20F72"/>
    <w:rsid w:val="00E20FA5"/>
    <w:rsid w:val="00E20FEB"/>
    <w:rsid w:val="00E210B7"/>
    <w:rsid w:val="00E2118C"/>
    <w:rsid w:val="00E21319"/>
    <w:rsid w:val="00E213EF"/>
    <w:rsid w:val="00E21409"/>
    <w:rsid w:val="00E21431"/>
    <w:rsid w:val="00E214A9"/>
    <w:rsid w:val="00E214D5"/>
    <w:rsid w:val="00E214FB"/>
    <w:rsid w:val="00E215BE"/>
    <w:rsid w:val="00E215F9"/>
    <w:rsid w:val="00E21633"/>
    <w:rsid w:val="00E2163B"/>
    <w:rsid w:val="00E2172D"/>
    <w:rsid w:val="00E2173A"/>
    <w:rsid w:val="00E2179E"/>
    <w:rsid w:val="00E217B3"/>
    <w:rsid w:val="00E217D1"/>
    <w:rsid w:val="00E21852"/>
    <w:rsid w:val="00E219BF"/>
    <w:rsid w:val="00E219CB"/>
    <w:rsid w:val="00E21A1E"/>
    <w:rsid w:val="00E21A3A"/>
    <w:rsid w:val="00E21A7E"/>
    <w:rsid w:val="00E21B53"/>
    <w:rsid w:val="00E21B7D"/>
    <w:rsid w:val="00E21BA6"/>
    <w:rsid w:val="00E21C70"/>
    <w:rsid w:val="00E21CB5"/>
    <w:rsid w:val="00E21D09"/>
    <w:rsid w:val="00E21D4D"/>
    <w:rsid w:val="00E21D79"/>
    <w:rsid w:val="00E21DDB"/>
    <w:rsid w:val="00E21E40"/>
    <w:rsid w:val="00E21E62"/>
    <w:rsid w:val="00E21E6E"/>
    <w:rsid w:val="00E21F25"/>
    <w:rsid w:val="00E21F3A"/>
    <w:rsid w:val="00E21F9C"/>
    <w:rsid w:val="00E21FC8"/>
    <w:rsid w:val="00E22001"/>
    <w:rsid w:val="00E2200C"/>
    <w:rsid w:val="00E2205F"/>
    <w:rsid w:val="00E220BD"/>
    <w:rsid w:val="00E220CF"/>
    <w:rsid w:val="00E22174"/>
    <w:rsid w:val="00E2218E"/>
    <w:rsid w:val="00E22222"/>
    <w:rsid w:val="00E2222C"/>
    <w:rsid w:val="00E2225D"/>
    <w:rsid w:val="00E222AC"/>
    <w:rsid w:val="00E22345"/>
    <w:rsid w:val="00E2234A"/>
    <w:rsid w:val="00E22373"/>
    <w:rsid w:val="00E223BD"/>
    <w:rsid w:val="00E2247B"/>
    <w:rsid w:val="00E22538"/>
    <w:rsid w:val="00E2256F"/>
    <w:rsid w:val="00E22596"/>
    <w:rsid w:val="00E225A4"/>
    <w:rsid w:val="00E22826"/>
    <w:rsid w:val="00E2297E"/>
    <w:rsid w:val="00E22998"/>
    <w:rsid w:val="00E229B7"/>
    <w:rsid w:val="00E22A92"/>
    <w:rsid w:val="00E22AEF"/>
    <w:rsid w:val="00E22B57"/>
    <w:rsid w:val="00E22B5D"/>
    <w:rsid w:val="00E22B76"/>
    <w:rsid w:val="00E22B8E"/>
    <w:rsid w:val="00E22C33"/>
    <w:rsid w:val="00E22C68"/>
    <w:rsid w:val="00E22CA6"/>
    <w:rsid w:val="00E22CF1"/>
    <w:rsid w:val="00E22CFC"/>
    <w:rsid w:val="00E22DDD"/>
    <w:rsid w:val="00E22E40"/>
    <w:rsid w:val="00E22E6D"/>
    <w:rsid w:val="00E22EAA"/>
    <w:rsid w:val="00E22FA5"/>
    <w:rsid w:val="00E22FCC"/>
    <w:rsid w:val="00E22FEB"/>
    <w:rsid w:val="00E23018"/>
    <w:rsid w:val="00E2305C"/>
    <w:rsid w:val="00E230BA"/>
    <w:rsid w:val="00E230F6"/>
    <w:rsid w:val="00E2310C"/>
    <w:rsid w:val="00E23160"/>
    <w:rsid w:val="00E23184"/>
    <w:rsid w:val="00E231B2"/>
    <w:rsid w:val="00E231D2"/>
    <w:rsid w:val="00E232DB"/>
    <w:rsid w:val="00E232FA"/>
    <w:rsid w:val="00E23305"/>
    <w:rsid w:val="00E2344E"/>
    <w:rsid w:val="00E23482"/>
    <w:rsid w:val="00E234DC"/>
    <w:rsid w:val="00E234EC"/>
    <w:rsid w:val="00E23510"/>
    <w:rsid w:val="00E23560"/>
    <w:rsid w:val="00E23581"/>
    <w:rsid w:val="00E23641"/>
    <w:rsid w:val="00E236FE"/>
    <w:rsid w:val="00E2371B"/>
    <w:rsid w:val="00E23769"/>
    <w:rsid w:val="00E237DC"/>
    <w:rsid w:val="00E23814"/>
    <w:rsid w:val="00E2383D"/>
    <w:rsid w:val="00E238A1"/>
    <w:rsid w:val="00E23934"/>
    <w:rsid w:val="00E23982"/>
    <w:rsid w:val="00E23A60"/>
    <w:rsid w:val="00E23A6A"/>
    <w:rsid w:val="00E23A80"/>
    <w:rsid w:val="00E23A94"/>
    <w:rsid w:val="00E23ADC"/>
    <w:rsid w:val="00E23B94"/>
    <w:rsid w:val="00E23C03"/>
    <w:rsid w:val="00E23C6B"/>
    <w:rsid w:val="00E23CA2"/>
    <w:rsid w:val="00E23CEB"/>
    <w:rsid w:val="00E23D27"/>
    <w:rsid w:val="00E23D41"/>
    <w:rsid w:val="00E23EF8"/>
    <w:rsid w:val="00E23EFB"/>
    <w:rsid w:val="00E23FA8"/>
    <w:rsid w:val="00E23FCE"/>
    <w:rsid w:val="00E23FEF"/>
    <w:rsid w:val="00E24064"/>
    <w:rsid w:val="00E240B9"/>
    <w:rsid w:val="00E240C8"/>
    <w:rsid w:val="00E2414B"/>
    <w:rsid w:val="00E241A3"/>
    <w:rsid w:val="00E241C1"/>
    <w:rsid w:val="00E24250"/>
    <w:rsid w:val="00E24376"/>
    <w:rsid w:val="00E243B2"/>
    <w:rsid w:val="00E2458E"/>
    <w:rsid w:val="00E245F1"/>
    <w:rsid w:val="00E246A3"/>
    <w:rsid w:val="00E246CE"/>
    <w:rsid w:val="00E24727"/>
    <w:rsid w:val="00E2472A"/>
    <w:rsid w:val="00E247FE"/>
    <w:rsid w:val="00E24805"/>
    <w:rsid w:val="00E24880"/>
    <w:rsid w:val="00E248BC"/>
    <w:rsid w:val="00E248CB"/>
    <w:rsid w:val="00E248DD"/>
    <w:rsid w:val="00E2490B"/>
    <w:rsid w:val="00E249B6"/>
    <w:rsid w:val="00E249CC"/>
    <w:rsid w:val="00E24A33"/>
    <w:rsid w:val="00E24A7A"/>
    <w:rsid w:val="00E24AB5"/>
    <w:rsid w:val="00E24B09"/>
    <w:rsid w:val="00E24B42"/>
    <w:rsid w:val="00E24BAC"/>
    <w:rsid w:val="00E24BE4"/>
    <w:rsid w:val="00E24C59"/>
    <w:rsid w:val="00E24C8D"/>
    <w:rsid w:val="00E24CCB"/>
    <w:rsid w:val="00E24D6C"/>
    <w:rsid w:val="00E24D78"/>
    <w:rsid w:val="00E24E94"/>
    <w:rsid w:val="00E24EDF"/>
    <w:rsid w:val="00E24F2F"/>
    <w:rsid w:val="00E25049"/>
    <w:rsid w:val="00E250D0"/>
    <w:rsid w:val="00E251A6"/>
    <w:rsid w:val="00E251AA"/>
    <w:rsid w:val="00E251B0"/>
    <w:rsid w:val="00E251C1"/>
    <w:rsid w:val="00E2524E"/>
    <w:rsid w:val="00E25282"/>
    <w:rsid w:val="00E25298"/>
    <w:rsid w:val="00E252FF"/>
    <w:rsid w:val="00E25346"/>
    <w:rsid w:val="00E2535E"/>
    <w:rsid w:val="00E25365"/>
    <w:rsid w:val="00E25434"/>
    <w:rsid w:val="00E25464"/>
    <w:rsid w:val="00E2548A"/>
    <w:rsid w:val="00E25497"/>
    <w:rsid w:val="00E254EF"/>
    <w:rsid w:val="00E25529"/>
    <w:rsid w:val="00E2558A"/>
    <w:rsid w:val="00E255FB"/>
    <w:rsid w:val="00E25681"/>
    <w:rsid w:val="00E256AA"/>
    <w:rsid w:val="00E25807"/>
    <w:rsid w:val="00E25913"/>
    <w:rsid w:val="00E2596E"/>
    <w:rsid w:val="00E25978"/>
    <w:rsid w:val="00E25A26"/>
    <w:rsid w:val="00E25B47"/>
    <w:rsid w:val="00E25B50"/>
    <w:rsid w:val="00E25B93"/>
    <w:rsid w:val="00E25B96"/>
    <w:rsid w:val="00E25BCF"/>
    <w:rsid w:val="00E25BFC"/>
    <w:rsid w:val="00E25C7A"/>
    <w:rsid w:val="00E25CCA"/>
    <w:rsid w:val="00E25D12"/>
    <w:rsid w:val="00E25D49"/>
    <w:rsid w:val="00E25D63"/>
    <w:rsid w:val="00E25DA1"/>
    <w:rsid w:val="00E26083"/>
    <w:rsid w:val="00E260AD"/>
    <w:rsid w:val="00E260C9"/>
    <w:rsid w:val="00E260F3"/>
    <w:rsid w:val="00E26192"/>
    <w:rsid w:val="00E261DD"/>
    <w:rsid w:val="00E26218"/>
    <w:rsid w:val="00E26224"/>
    <w:rsid w:val="00E26274"/>
    <w:rsid w:val="00E26286"/>
    <w:rsid w:val="00E2630B"/>
    <w:rsid w:val="00E26320"/>
    <w:rsid w:val="00E263C7"/>
    <w:rsid w:val="00E26419"/>
    <w:rsid w:val="00E26449"/>
    <w:rsid w:val="00E2644D"/>
    <w:rsid w:val="00E26474"/>
    <w:rsid w:val="00E26532"/>
    <w:rsid w:val="00E2653B"/>
    <w:rsid w:val="00E26587"/>
    <w:rsid w:val="00E2667C"/>
    <w:rsid w:val="00E266C8"/>
    <w:rsid w:val="00E26983"/>
    <w:rsid w:val="00E269E3"/>
    <w:rsid w:val="00E26A51"/>
    <w:rsid w:val="00E26A63"/>
    <w:rsid w:val="00E26A83"/>
    <w:rsid w:val="00E26AC6"/>
    <w:rsid w:val="00E26B01"/>
    <w:rsid w:val="00E26BAD"/>
    <w:rsid w:val="00E26BB1"/>
    <w:rsid w:val="00E26D0A"/>
    <w:rsid w:val="00E26D27"/>
    <w:rsid w:val="00E26DAB"/>
    <w:rsid w:val="00E26DAF"/>
    <w:rsid w:val="00E26DCF"/>
    <w:rsid w:val="00E26E02"/>
    <w:rsid w:val="00E26E56"/>
    <w:rsid w:val="00E26E5B"/>
    <w:rsid w:val="00E26E80"/>
    <w:rsid w:val="00E26E93"/>
    <w:rsid w:val="00E26F1A"/>
    <w:rsid w:val="00E27051"/>
    <w:rsid w:val="00E2709F"/>
    <w:rsid w:val="00E27215"/>
    <w:rsid w:val="00E2729E"/>
    <w:rsid w:val="00E272C3"/>
    <w:rsid w:val="00E27303"/>
    <w:rsid w:val="00E2739A"/>
    <w:rsid w:val="00E27431"/>
    <w:rsid w:val="00E27440"/>
    <w:rsid w:val="00E27491"/>
    <w:rsid w:val="00E27581"/>
    <w:rsid w:val="00E27606"/>
    <w:rsid w:val="00E27683"/>
    <w:rsid w:val="00E276A8"/>
    <w:rsid w:val="00E277E6"/>
    <w:rsid w:val="00E2780B"/>
    <w:rsid w:val="00E27892"/>
    <w:rsid w:val="00E278F6"/>
    <w:rsid w:val="00E278FF"/>
    <w:rsid w:val="00E27914"/>
    <w:rsid w:val="00E27A2D"/>
    <w:rsid w:val="00E27A4E"/>
    <w:rsid w:val="00E27A5B"/>
    <w:rsid w:val="00E27AA6"/>
    <w:rsid w:val="00E27AB1"/>
    <w:rsid w:val="00E27AB3"/>
    <w:rsid w:val="00E27AC1"/>
    <w:rsid w:val="00E27AEC"/>
    <w:rsid w:val="00E27B00"/>
    <w:rsid w:val="00E27B5B"/>
    <w:rsid w:val="00E27BC3"/>
    <w:rsid w:val="00E27BDC"/>
    <w:rsid w:val="00E27C01"/>
    <w:rsid w:val="00E27C47"/>
    <w:rsid w:val="00E27DB1"/>
    <w:rsid w:val="00E27DFF"/>
    <w:rsid w:val="00E27E0B"/>
    <w:rsid w:val="00E27E9E"/>
    <w:rsid w:val="00E27EAA"/>
    <w:rsid w:val="00E27EC4"/>
    <w:rsid w:val="00E27EEE"/>
    <w:rsid w:val="00E27F42"/>
    <w:rsid w:val="00E300F4"/>
    <w:rsid w:val="00E3016B"/>
    <w:rsid w:val="00E3017A"/>
    <w:rsid w:val="00E301CC"/>
    <w:rsid w:val="00E3022B"/>
    <w:rsid w:val="00E30279"/>
    <w:rsid w:val="00E302C8"/>
    <w:rsid w:val="00E302EA"/>
    <w:rsid w:val="00E30379"/>
    <w:rsid w:val="00E30381"/>
    <w:rsid w:val="00E303B0"/>
    <w:rsid w:val="00E3045A"/>
    <w:rsid w:val="00E304D8"/>
    <w:rsid w:val="00E304EF"/>
    <w:rsid w:val="00E3055E"/>
    <w:rsid w:val="00E305AF"/>
    <w:rsid w:val="00E305D4"/>
    <w:rsid w:val="00E30655"/>
    <w:rsid w:val="00E30718"/>
    <w:rsid w:val="00E30734"/>
    <w:rsid w:val="00E307B3"/>
    <w:rsid w:val="00E307F0"/>
    <w:rsid w:val="00E307FB"/>
    <w:rsid w:val="00E30808"/>
    <w:rsid w:val="00E3087F"/>
    <w:rsid w:val="00E30914"/>
    <w:rsid w:val="00E3091A"/>
    <w:rsid w:val="00E3091E"/>
    <w:rsid w:val="00E30976"/>
    <w:rsid w:val="00E309A8"/>
    <w:rsid w:val="00E309F2"/>
    <w:rsid w:val="00E30A23"/>
    <w:rsid w:val="00E30A37"/>
    <w:rsid w:val="00E30A64"/>
    <w:rsid w:val="00E30AE6"/>
    <w:rsid w:val="00E30AF6"/>
    <w:rsid w:val="00E30B7E"/>
    <w:rsid w:val="00E30BB6"/>
    <w:rsid w:val="00E30C20"/>
    <w:rsid w:val="00E30C50"/>
    <w:rsid w:val="00E30C7C"/>
    <w:rsid w:val="00E30CAD"/>
    <w:rsid w:val="00E30CFA"/>
    <w:rsid w:val="00E30D40"/>
    <w:rsid w:val="00E30D59"/>
    <w:rsid w:val="00E30D9E"/>
    <w:rsid w:val="00E30E13"/>
    <w:rsid w:val="00E30EAB"/>
    <w:rsid w:val="00E30EB0"/>
    <w:rsid w:val="00E30F0D"/>
    <w:rsid w:val="00E30F40"/>
    <w:rsid w:val="00E30F49"/>
    <w:rsid w:val="00E30F6F"/>
    <w:rsid w:val="00E30F81"/>
    <w:rsid w:val="00E30F97"/>
    <w:rsid w:val="00E30FE9"/>
    <w:rsid w:val="00E310B7"/>
    <w:rsid w:val="00E310E2"/>
    <w:rsid w:val="00E31108"/>
    <w:rsid w:val="00E3112E"/>
    <w:rsid w:val="00E31191"/>
    <w:rsid w:val="00E31254"/>
    <w:rsid w:val="00E31314"/>
    <w:rsid w:val="00E3141C"/>
    <w:rsid w:val="00E31432"/>
    <w:rsid w:val="00E31457"/>
    <w:rsid w:val="00E31488"/>
    <w:rsid w:val="00E314C1"/>
    <w:rsid w:val="00E3154C"/>
    <w:rsid w:val="00E31563"/>
    <w:rsid w:val="00E31580"/>
    <w:rsid w:val="00E31582"/>
    <w:rsid w:val="00E3172C"/>
    <w:rsid w:val="00E3174A"/>
    <w:rsid w:val="00E31792"/>
    <w:rsid w:val="00E31886"/>
    <w:rsid w:val="00E31910"/>
    <w:rsid w:val="00E3195C"/>
    <w:rsid w:val="00E31A3C"/>
    <w:rsid w:val="00E31A91"/>
    <w:rsid w:val="00E31ACA"/>
    <w:rsid w:val="00E31B09"/>
    <w:rsid w:val="00E31B8F"/>
    <w:rsid w:val="00E31BAA"/>
    <w:rsid w:val="00E31D4C"/>
    <w:rsid w:val="00E31DAF"/>
    <w:rsid w:val="00E31E90"/>
    <w:rsid w:val="00E31F9B"/>
    <w:rsid w:val="00E31FB7"/>
    <w:rsid w:val="00E32089"/>
    <w:rsid w:val="00E3208B"/>
    <w:rsid w:val="00E32121"/>
    <w:rsid w:val="00E32125"/>
    <w:rsid w:val="00E3220A"/>
    <w:rsid w:val="00E322AE"/>
    <w:rsid w:val="00E32348"/>
    <w:rsid w:val="00E324CA"/>
    <w:rsid w:val="00E325A2"/>
    <w:rsid w:val="00E326BE"/>
    <w:rsid w:val="00E326D2"/>
    <w:rsid w:val="00E326DC"/>
    <w:rsid w:val="00E3272B"/>
    <w:rsid w:val="00E32776"/>
    <w:rsid w:val="00E327A8"/>
    <w:rsid w:val="00E327DC"/>
    <w:rsid w:val="00E328E8"/>
    <w:rsid w:val="00E32941"/>
    <w:rsid w:val="00E3299F"/>
    <w:rsid w:val="00E329E5"/>
    <w:rsid w:val="00E329E9"/>
    <w:rsid w:val="00E32AA8"/>
    <w:rsid w:val="00E32B38"/>
    <w:rsid w:val="00E32BD5"/>
    <w:rsid w:val="00E32C6A"/>
    <w:rsid w:val="00E32C74"/>
    <w:rsid w:val="00E32CEE"/>
    <w:rsid w:val="00E32D41"/>
    <w:rsid w:val="00E32D48"/>
    <w:rsid w:val="00E32D6F"/>
    <w:rsid w:val="00E32D76"/>
    <w:rsid w:val="00E32D9F"/>
    <w:rsid w:val="00E32E02"/>
    <w:rsid w:val="00E32E14"/>
    <w:rsid w:val="00E32FE9"/>
    <w:rsid w:val="00E32FFE"/>
    <w:rsid w:val="00E3304B"/>
    <w:rsid w:val="00E330A6"/>
    <w:rsid w:val="00E3313C"/>
    <w:rsid w:val="00E33159"/>
    <w:rsid w:val="00E331E5"/>
    <w:rsid w:val="00E332D5"/>
    <w:rsid w:val="00E33398"/>
    <w:rsid w:val="00E334F4"/>
    <w:rsid w:val="00E335E4"/>
    <w:rsid w:val="00E3360A"/>
    <w:rsid w:val="00E336A3"/>
    <w:rsid w:val="00E337A6"/>
    <w:rsid w:val="00E3384E"/>
    <w:rsid w:val="00E338C3"/>
    <w:rsid w:val="00E3390C"/>
    <w:rsid w:val="00E33945"/>
    <w:rsid w:val="00E33A0D"/>
    <w:rsid w:val="00E33ABA"/>
    <w:rsid w:val="00E33B0C"/>
    <w:rsid w:val="00E33B49"/>
    <w:rsid w:val="00E33BA5"/>
    <w:rsid w:val="00E33BA6"/>
    <w:rsid w:val="00E33BFD"/>
    <w:rsid w:val="00E33CB0"/>
    <w:rsid w:val="00E33E3B"/>
    <w:rsid w:val="00E33EB1"/>
    <w:rsid w:val="00E34018"/>
    <w:rsid w:val="00E34025"/>
    <w:rsid w:val="00E34059"/>
    <w:rsid w:val="00E34117"/>
    <w:rsid w:val="00E34153"/>
    <w:rsid w:val="00E34203"/>
    <w:rsid w:val="00E3432D"/>
    <w:rsid w:val="00E34363"/>
    <w:rsid w:val="00E3436C"/>
    <w:rsid w:val="00E343A3"/>
    <w:rsid w:val="00E343FE"/>
    <w:rsid w:val="00E34437"/>
    <w:rsid w:val="00E3448E"/>
    <w:rsid w:val="00E344CD"/>
    <w:rsid w:val="00E34522"/>
    <w:rsid w:val="00E3459B"/>
    <w:rsid w:val="00E345AC"/>
    <w:rsid w:val="00E345EA"/>
    <w:rsid w:val="00E345FA"/>
    <w:rsid w:val="00E3478B"/>
    <w:rsid w:val="00E3481E"/>
    <w:rsid w:val="00E3484E"/>
    <w:rsid w:val="00E348F6"/>
    <w:rsid w:val="00E348FA"/>
    <w:rsid w:val="00E34918"/>
    <w:rsid w:val="00E34965"/>
    <w:rsid w:val="00E34997"/>
    <w:rsid w:val="00E349C2"/>
    <w:rsid w:val="00E34A25"/>
    <w:rsid w:val="00E34A6B"/>
    <w:rsid w:val="00E34AAE"/>
    <w:rsid w:val="00E34BBA"/>
    <w:rsid w:val="00E34BC4"/>
    <w:rsid w:val="00E34CFE"/>
    <w:rsid w:val="00E34D29"/>
    <w:rsid w:val="00E34D96"/>
    <w:rsid w:val="00E34DB6"/>
    <w:rsid w:val="00E34E1B"/>
    <w:rsid w:val="00E34F84"/>
    <w:rsid w:val="00E34F8A"/>
    <w:rsid w:val="00E35076"/>
    <w:rsid w:val="00E3510B"/>
    <w:rsid w:val="00E351D2"/>
    <w:rsid w:val="00E3523D"/>
    <w:rsid w:val="00E3526B"/>
    <w:rsid w:val="00E352AF"/>
    <w:rsid w:val="00E352DA"/>
    <w:rsid w:val="00E35363"/>
    <w:rsid w:val="00E35391"/>
    <w:rsid w:val="00E353C8"/>
    <w:rsid w:val="00E35442"/>
    <w:rsid w:val="00E3553C"/>
    <w:rsid w:val="00E35566"/>
    <w:rsid w:val="00E3573C"/>
    <w:rsid w:val="00E35773"/>
    <w:rsid w:val="00E3588E"/>
    <w:rsid w:val="00E358A3"/>
    <w:rsid w:val="00E358F7"/>
    <w:rsid w:val="00E359BB"/>
    <w:rsid w:val="00E35A04"/>
    <w:rsid w:val="00E35A57"/>
    <w:rsid w:val="00E35A9B"/>
    <w:rsid w:val="00E35AE1"/>
    <w:rsid w:val="00E35AF5"/>
    <w:rsid w:val="00E35B6F"/>
    <w:rsid w:val="00E35C18"/>
    <w:rsid w:val="00E35C1B"/>
    <w:rsid w:val="00E35C23"/>
    <w:rsid w:val="00E35C31"/>
    <w:rsid w:val="00E35C9B"/>
    <w:rsid w:val="00E35CBD"/>
    <w:rsid w:val="00E35D4A"/>
    <w:rsid w:val="00E35D72"/>
    <w:rsid w:val="00E35DA8"/>
    <w:rsid w:val="00E35DEE"/>
    <w:rsid w:val="00E35E10"/>
    <w:rsid w:val="00E35F1C"/>
    <w:rsid w:val="00E35F5F"/>
    <w:rsid w:val="00E36163"/>
    <w:rsid w:val="00E36173"/>
    <w:rsid w:val="00E361C4"/>
    <w:rsid w:val="00E3621D"/>
    <w:rsid w:val="00E36233"/>
    <w:rsid w:val="00E36327"/>
    <w:rsid w:val="00E36351"/>
    <w:rsid w:val="00E36393"/>
    <w:rsid w:val="00E363A8"/>
    <w:rsid w:val="00E3644B"/>
    <w:rsid w:val="00E36533"/>
    <w:rsid w:val="00E36563"/>
    <w:rsid w:val="00E365F4"/>
    <w:rsid w:val="00E3662E"/>
    <w:rsid w:val="00E36638"/>
    <w:rsid w:val="00E36642"/>
    <w:rsid w:val="00E3664A"/>
    <w:rsid w:val="00E36661"/>
    <w:rsid w:val="00E366F3"/>
    <w:rsid w:val="00E36717"/>
    <w:rsid w:val="00E36746"/>
    <w:rsid w:val="00E36766"/>
    <w:rsid w:val="00E36821"/>
    <w:rsid w:val="00E36822"/>
    <w:rsid w:val="00E3684F"/>
    <w:rsid w:val="00E36918"/>
    <w:rsid w:val="00E3694E"/>
    <w:rsid w:val="00E36963"/>
    <w:rsid w:val="00E36A4E"/>
    <w:rsid w:val="00E36A76"/>
    <w:rsid w:val="00E36A90"/>
    <w:rsid w:val="00E36B76"/>
    <w:rsid w:val="00E36BF5"/>
    <w:rsid w:val="00E36C86"/>
    <w:rsid w:val="00E36C9F"/>
    <w:rsid w:val="00E36D48"/>
    <w:rsid w:val="00E36D98"/>
    <w:rsid w:val="00E36DDD"/>
    <w:rsid w:val="00E36DF2"/>
    <w:rsid w:val="00E36EC1"/>
    <w:rsid w:val="00E36EC8"/>
    <w:rsid w:val="00E36F0D"/>
    <w:rsid w:val="00E36F31"/>
    <w:rsid w:val="00E36F83"/>
    <w:rsid w:val="00E36FB8"/>
    <w:rsid w:val="00E3705B"/>
    <w:rsid w:val="00E37086"/>
    <w:rsid w:val="00E3709A"/>
    <w:rsid w:val="00E370C2"/>
    <w:rsid w:val="00E370DA"/>
    <w:rsid w:val="00E370ED"/>
    <w:rsid w:val="00E371D4"/>
    <w:rsid w:val="00E371E2"/>
    <w:rsid w:val="00E3726F"/>
    <w:rsid w:val="00E372B6"/>
    <w:rsid w:val="00E3738E"/>
    <w:rsid w:val="00E3738F"/>
    <w:rsid w:val="00E37442"/>
    <w:rsid w:val="00E37547"/>
    <w:rsid w:val="00E37564"/>
    <w:rsid w:val="00E375A6"/>
    <w:rsid w:val="00E375EF"/>
    <w:rsid w:val="00E3773D"/>
    <w:rsid w:val="00E377AD"/>
    <w:rsid w:val="00E3782A"/>
    <w:rsid w:val="00E37852"/>
    <w:rsid w:val="00E378C0"/>
    <w:rsid w:val="00E379A3"/>
    <w:rsid w:val="00E379A5"/>
    <w:rsid w:val="00E379C9"/>
    <w:rsid w:val="00E37A09"/>
    <w:rsid w:val="00E37A9B"/>
    <w:rsid w:val="00E37BB1"/>
    <w:rsid w:val="00E37C4D"/>
    <w:rsid w:val="00E37C5C"/>
    <w:rsid w:val="00E37C7C"/>
    <w:rsid w:val="00E37C90"/>
    <w:rsid w:val="00E37D0A"/>
    <w:rsid w:val="00E37D57"/>
    <w:rsid w:val="00E37E17"/>
    <w:rsid w:val="00E37E6D"/>
    <w:rsid w:val="00E37E7B"/>
    <w:rsid w:val="00E37EC0"/>
    <w:rsid w:val="00E37FB1"/>
    <w:rsid w:val="00E37FD1"/>
    <w:rsid w:val="00E4005D"/>
    <w:rsid w:val="00E4009D"/>
    <w:rsid w:val="00E400A9"/>
    <w:rsid w:val="00E4011A"/>
    <w:rsid w:val="00E4011E"/>
    <w:rsid w:val="00E4013B"/>
    <w:rsid w:val="00E40163"/>
    <w:rsid w:val="00E40173"/>
    <w:rsid w:val="00E401B1"/>
    <w:rsid w:val="00E401BA"/>
    <w:rsid w:val="00E4022C"/>
    <w:rsid w:val="00E4023F"/>
    <w:rsid w:val="00E40272"/>
    <w:rsid w:val="00E4027E"/>
    <w:rsid w:val="00E403A6"/>
    <w:rsid w:val="00E40415"/>
    <w:rsid w:val="00E40435"/>
    <w:rsid w:val="00E404DA"/>
    <w:rsid w:val="00E404DC"/>
    <w:rsid w:val="00E40695"/>
    <w:rsid w:val="00E4073E"/>
    <w:rsid w:val="00E408D8"/>
    <w:rsid w:val="00E4092E"/>
    <w:rsid w:val="00E4098A"/>
    <w:rsid w:val="00E40A80"/>
    <w:rsid w:val="00E40AC1"/>
    <w:rsid w:val="00E40AF0"/>
    <w:rsid w:val="00E40B02"/>
    <w:rsid w:val="00E40B37"/>
    <w:rsid w:val="00E40B51"/>
    <w:rsid w:val="00E40C30"/>
    <w:rsid w:val="00E40C6F"/>
    <w:rsid w:val="00E40CA7"/>
    <w:rsid w:val="00E40D4F"/>
    <w:rsid w:val="00E40D55"/>
    <w:rsid w:val="00E40DA2"/>
    <w:rsid w:val="00E40E55"/>
    <w:rsid w:val="00E40EB5"/>
    <w:rsid w:val="00E40ED1"/>
    <w:rsid w:val="00E40F23"/>
    <w:rsid w:val="00E40FE3"/>
    <w:rsid w:val="00E40FEB"/>
    <w:rsid w:val="00E410AF"/>
    <w:rsid w:val="00E410BF"/>
    <w:rsid w:val="00E4120C"/>
    <w:rsid w:val="00E41258"/>
    <w:rsid w:val="00E41278"/>
    <w:rsid w:val="00E412C6"/>
    <w:rsid w:val="00E41325"/>
    <w:rsid w:val="00E41339"/>
    <w:rsid w:val="00E41355"/>
    <w:rsid w:val="00E41435"/>
    <w:rsid w:val="00E41480"/>
    <w:rsid w:val="00E414FA"/>
    <w:rsid w:val="00E414FF"/>
    <w:rsid w:val="00E41561"/>
    <w:rsid w:val="00E415E6"/>
    <w:rsid w:val="00E415F8"/>
    <w:rsid w:val="00E41619"/>
    <w:rsid w:val="00E416BB"/>
    <w:rsid w:val="00E416C3"/>
    <w:rsid w:val="00E416D0"/>
    <w:rsid w:val="00E416E0"/>
    <w:rsid w:val="00E4175B"/>
    <w:rsid w:val="00E4179C"/>
    <w:rsid w:val="00E4181C"/>
    <w:rsid w:val="00E41898"/>
    <w:rsid w:val="00E418C3"/>
    <w:rsid w:val="00E419F8"/>
    <w:rsid w:val="00E41A4F"/>
    <w:rsid w:val="00E41AF1"/>
    <w:rsid w:val="00E41BD8"/>
    <w:rsid w:val="00E41C84"/>
    <w:rsid w:val="00E41CDB"/>
    <w:rsid w:val="00E41D15"/>
    <w:rsid w:val="00E41D56"/>
    <w:rsid w:val="00E41D5C"/>
    <w:rsid w:val="00E41D64"/>
    <w:rsid w:val="00E41D90"/>
    <w:rsid w:val="00E41DCA"/>
    <w:rsid w:val="00E41E13"/>
    <w:rsid w:val="00E41E14"/>
    <w:rsid w:val="00E41E43"/>
    <w:rsid w:val="00E41E4A"/>
    <w:rsid w:val="00E41E99"/>
    <w:rsid w:val="00E41E9B"/>
    <w:rsid w:val="00E41ED7"/>
    <w:rsid w:val="00E41FAC"/>
    <w:rsid w:val="00E42095"/>
    <w:rsid w:val="00E4209C"/>
    <w:rsid w:val="00E42114"/>
    <w:rsid w:val="00E42178"/>
    <w:rsid w:val="00E4222F"/>
    <w:rsid w:val="00E4230E"/>
    <w:rsid w:val="00E42330"/>
    <w:rsid w:val="00E4234E"/>
    <w:rsid w:val="00E42368"/>
    <w:rsid w:val="00E4236E"/>
    <w:rsid w:val="00E423EE"/>
    <w:rsid w:val="00E424E8"/>
    <w:rsid w:val="00E42549"/>
    <w:rsid w:val="00E42659"/>
    <w:rsid w:val="00E42665"/>
    <w:rsid w:val="00E426B0"/>
    <w:rsid w:val="00E426C1"/>
    <w:rsid w:val="00E42733"/>
    <w:rsid w:val="00E4274C"/>
    <w:rsid w:val="00E42764"/>
    <w:rsid w:val="00E427CF"/>
    <w:rsid w:val="00E4280B"/>
    <w:rsid w:val="00E42850"/>
    <w:rsid w:val="00E42870"/>
    <w:rsid w:val="00E42915"/>
    <w:rsid w:val="00E42933"/>
    <w:rsid w:val="00E429B7"/>
    <w:rsid w:val="00E429FE"/>
    <w:rsid w:val="00E42A4D"/>
    <w:rsid w:val="00E42AF4"/>
    <w:rsid w:val="00E42BB1"/>
    <w:rsid w:val="00E42C16"/>
    <w:rsid w:val="00E42C8B"/>
    <w:rsid w:val="00E42CB9"/>
    <w:rsid w:val="00E42CFE"/>
    <w:rsid w:val="00E42D9C"/>
    <w:rsid w:val="00E42DE4"/>
    <w:rsid w:val="00E42DF0"/>
    <w:rsid w:val="00E42E72"/>
    <w:rsid w:val="00E42FD5"/>
    <w:rsid w:val="00E42FEC"/>
    <w:rsid w:val="00E42FEF"/>
    <w:rsid w:val="00E4302B"/>
    <w:rsid w:val="00E43056"/>
    <w:rsid w:val="00E43160"/>
    <w:rsid w:val="00E4316B"/>
    <w:rsid w:val="00E4317D"/>
    <w:rsid w:val="00E43245"/>
    <w:rsid w:val="00E43256"/>
    <w:rsid w:val="00E432DE"/>
    <w:rsid w:val="00E4334E"/>
    <w:rsid w:val="00E433B2"/>
    <w:rsid w:val="00E433EF"/>
    <w:rsid w:val="00E43512"/>
    <w:rsid w:val="00E4354A"/>
    <w:rsid w:val="00E4357B"/>
    <w:rsid w:val="00E43670"/>
    <w:rsid w:val="00E436E5"/>
    <w:rsid w:val="00E43756"/>
    <w:rsid w:val="00E43762"/>
    <w:rsid w:val="00E43778"/>
    <w:rsid w:val="00E43798"/>
    <w:rsid w:val="00E437BC"/>
    <w:rsid w:val="00E43810"/>
    <w:rsid w:val="00E43832"/>
    <w:rsid w:val="00E438B5"/>
    <w:rsid w:val="00E43A08"/>
    <w:rsid w:val="00E43A0E"/>
    <w:rsid w:val="00E43A4D"/>
    <w:rsid w:val="00E43A5B"/>
    <w:rsid w:val="00E43ABD"/>
    <w:rsid w:val="00E43B13"/>
    <w:rsid w:val="00E43B15"/>
    <w:rsid w:val="00E43B8C"/>
    <w:rsid w:val="00E43D8D"/>
    <w:rsid w:val="00E43EEC"/>
    <w:rsid w:val="00E43FFC"/>
    <w:rsid w:val="00E44002"/>
    <w:rsid w:val="00E4402C"/>
    <w:rsid w:val="00E44057"/>
    <w:rsid w:val="00E4406D"/>
    <w:rsid w:val="00E440B2"/>
    <w:rsid w:val="00E4412A"/>
    <w:rsid w:val="00E4413F"/>
    <w:rsid w:val="00E44162"/>
    <w:rsid w:val="00E44182"/>
    <w:rsid w:val="00E44209"/>
    <w:rsid w:val="00E4423C"/>
    <w:rsid w:val="00E442A0"/>
    <w:rsid w:val="00E442D3"/>
    <w:rsid w:val="00E442DB"/>
    <w:rsid w:val="00E442FE"/>
    <w:rsid w:val="00E4432E"/>
    <w:rsid w:val="00E4438F"/>
    <w:rsid w:val="00E4439A"/>
    <w:rsid w:val="00E443A8"/>
    <w:rsid w:val="00E44437"/>
    <w:rsid w:val="00E44438"/>
    <w:rsid w:val="00E444B2"/>
    <w:rsid w:val="00E444E3"/>
    <w:rsid w:val="00E44583"/>
    <w:rsid w:val="00E44586"/>
    <w:rsid w:val="00E445C9"/>
    <w:rsid w:val="00E445E5"/>
    <w:rsid w:val="00E4468C"/>
    <w:rsid w:val="00E446B3"/>
    <w:rsid w:val="00E4471F"/>
    <w:rsid w:val="00E44795"/>
    <w:rsid w:val="00E44799"/>
    <w:rsid w:val="00E447DF"/>
    <w:rsid w:val="00E44844"/>
    <w:rsid w:val="00E44862"/>
    <w:rsid w:val="00E4488F"/>
    <w:rsid w:val="00E448F9"/>
    <w:rsid w:val="00E4490D"/>
    <w:rsid w:val="00E449B8"/>
    <w:rsid w:val="00E44A38"/>
    <w:rsid w:val="00E44B29"/>
    <w:rsid w:val="00E44B2C"/>
    <w:rsid w:val="00E44B45"/>
    <w:rsid w:val="00E44B49"/>
    <w:rsid w:val="00E44C05"/>
    <w:rsid w:val="00E44C82"/>
    <w:rsid w:val="00E44D84"/>
    <w:rsid w:val="00E44E6B"/>
    <w:rsid w:val="00E44FC9"/>
    <w:rsid w:val="00E44FF4"/>
    <w:rsid w:val="00E45183"/>
    <w:rsid w:val="00E451DE"/>
    <w:rsid w:val="00E4523B"/>
    <w:rsid w:val="00E452BC"/>
    <w:rsid w:val="00E453EB"/>
    <w:rsid w:val="00E45522"/>
    <w:rsid w:val="00E45625"/>
    <w:rsid w:val="00E4568C"/>
    <w:rsid w:val="00E456CD"/>
    <w:rsid w:val="00E4578D"/>
    <w:rsid w:val="00E457B2"/>
    <w:rsid w:val="00E457E8"/>
    <w:rsid w:val="00E45889"/>
    <w:rsid w:val="00E4591C"/>
    <w:rsid w:val="00E459D9"/>
    <w:rsid w:val="00E45A2E"/>
    <w:rsid w:val="00E45A4F"/>
    <w:rsid w:val="00E45B3D"/>
    <w:rsid w:val="00E45B79"/>
    <w:rsid w:val="00E45BE1"/>
    <w:rsid w:val="00E45C1D"/>
    <w:rsid w:val="00E45C90"/>
    <w:rsid w:val="00E45CB7"/>
    <w:rsid w:val="00E45CD2"/>
    <w:rsid w:val="00E45CF3"/>
    <w:rsid w:val="00E45D55"/>
    <w:rsid w:val="00E45D61"/>
    <w:rsid w:val="00E45D72"/>
    <w:rsid w:val="00E45D73"/>
    <w:rsid w:val="00E45DB0"/>
    <w:rsid w:val="00E45E31"/>
    <w:rsid w:val="00E45E43"/>
    <w:rsid w:val="00E45E60"/>
    <w:rsid w:val="00E45E85"/>
    <w:rsid w:val="00E45EE8"/>
    <w:rsid w:val="00E45F28"/>
    <w:rsid w:val="00E46146"/>
    <w:rsid w:val="00E461A5"/>
    <w:rsid w:val="00E461EF"/>
    <w:rsid w:val="00E462AF"/>
    <w:rsid w:val="00E462C9"/>
    <w:rsid w:val="00E462CC"/>
    <w:rsid w:val="00E462E5"/>
    <w:rsid w:val="00E463AB"/>
    <w:rsid w:val="00E463ED"/>
    <w:rsid w:val="00E4643D"/>
    <w:rsid w:val="00E464D7"/>
    <w:rsid w:val="00E465A6"/>
    <w:rsid w:val="00E46672"/>
    <w:rsid w:val="00E4668A"/>
    <w:rsid w:val="00E466C1"/>
    <w:rsid w:val="00E46707"/>
    <w:rsid w:val="00E46724"/>
    <w:rsid w:val="00E46799"/>
    <w:rsid w:val="00E4683A"/>
    <w:rsid w:val="00E4683F"/>
    <w:rsid w:val="00E4684F"/>
    <w:rsid w:val="00E46894"/>
    <w:rsid w:val="00E46972"/>
    <w:rsid w:val="00E4699B"/>
    <w:rsid w:val="00E469CA"/>
    <w:rsid w:val="00E46A31"/>
    <w:rsid w:val="00E46AE1"/>
    <w:rsid w:val="00E46B00"/>
    <w:rsid w:val="00E46B1B"/>
    <w:rsid w:val="00E46B4F"/>
    <w:rsid w:val="00E46B94"/>
    <w:rsid w:val="00E46BE5"/>
    <w:rsid w:val="00E46BF5"/>
    <w:rsid w:val="00E46C87"/>
    <w:rsid w:val="00E46CC7"/>
    <w:rsid w:val="00E46CF5"/>
    <w:rsid w:val="00E46D04"/>
    <w:rsid w:val="00E46D0B"/>
    <w:rsid w:val="00E46D79"/>
    <w:rsid w:val="00E46E1E"/>
    <w:rsid w:val="00E46E46"/>
    <w:rsid w:val="00E46FC3"/>
    <w:rsid w:val="00E46FC8"/>
    <w:rsid w:val="00E4705C"/>
    <w:rsid w:val="00E470D7"/>
    <w:rsid w:val="00E4711C"/>
    <w:rsid w:val="00E4713D"/>
    <w:rsid w:val="00E4714E"/>
    <w:rsid w:val="00E47229"/>
    <w:rsid w:val="00E4735F"/>
    <w:rsid w:val="00E4736D"/>
    <w:rsid w:val="00E47376"/>
    <w:rsid w:val="00E474AB"/>
    <w:rsid w:val="00E474C6"/>
    <w:rsid w:val="00E475A4"/>
    <w:rsid w:val="00E476AD"/>
    <w:rsid w:val="00E47714"/>
    <w:rsid w:val="00E477AE"/>
    <w:rsid w:val="00E478A4"/>
    <w:rsid w:val="00E479C2"/>
    <w:rsid w:val="00E479E8"/>
    <w:rsid w:val="00E47A1D"/>
    <w:rsid w:val="00E47A33"/>
    <w:rsid w:val="00E47A5E"/>
    <w:rsid w:val="00E47AE2"/>
    <w:rsid w:val="00E47B27"/>
    <w:rsid w:val="00E47C33"/>
    <w:rsid w:val="00E47C4D"/>
    <w:rsid w:val="00E47C76"/>
    <w:rsid w:val="00E47CA4"/>
    <w:rsid w:val="00E47CE2"/>
    <w:rsid w:val="00E47D48"/>
    <w:rsid w:val="00E47D57"/>
    <w:rsid w:val="00E47DB6"/>
    <w:rsid w:val="00E47E0E"/>
    <w:rsid w:val="00E47E2E"/>
    <w:rsid w:val="00E47E97"/>
    <w:rsid w:val="00E47F13"/>
    <w:rsid w:val="00E47F17"/>
    <w:rsid w:val="00E47F58"/>
    <w:rsid w:val="00E47F66"/>
    <w:rsid w:val="00E47FC6"/>
    <w:rsid w:val="00E50092"/>
    <w:rsid w:val="00E50097"/>
    <w:rsid w:val="00E500BB"/>
    <w:rsid w:val="00E500E0"/>
    <w:rsid w:val="00E50118"/>
    <w:rsid w:val="00E50150"/>
    <w:rsid w:val="00E5015C"/>
    <w:rsid w:val="00E50273"/>
    <w:rsid w:val="00E5027A"/>
    <w:rsid w:val="00E502AE"/>
    <w:rsid w:val="00E502D6"/>
    <w:rsid w:val="00E50388"/>
    <w:rsid w:val="00E503F6"/>
    <w:rsid w:val="00E5040D"/>
    <w:rsid w:val="00E50425"/>
    <w:rsid w:val="00E50451"/>
    <w:rsid w:val="00E5049B"/>
    <w:rsid w:val="00E504C7"/>
    <w:rsid w:val="00E5054D"/>
    <w:rsid w:val="00E505F6"/>
    <w:rsid w:val="00E50621"/>
    <w:rsid w:val="00E506B0"/>
    <w:rsid w:val="00E506DD"/>
    <w:rsid w:val="00E507AC"/>
    <w:rsid w:val="00E50827"/>
    <w:rsid w:val="00E50835"/>
    <w:rsid w:val="00E508C1"/>
    <w:rsid w:val="00E50970"/>
    <w:rsid w:val="00E509A6"/>
    <w:rsid w:val="00E509C2"/>
    <w:rsid w:val="00E50A5C"/>
    <w:rsid w:val="00E50A6A"/>
    <w:rsid w:val="00E50AB7"/>
    <w:rsid w:val="00E50AFD"/>
    <w:rsid w:val="00E50C0D"/>
    <w:rsid w:val="00E50C2E"/>
    <w:rsid w:val="00E50CCD"/>
    <w:rsid w:val="00E50D55"/>
    <w:rsid w:val="00E50D5A"/>
    <w:rsid w:val="00E50D81"/>
    <w:rsid w:val="00E50DFF"/>
    <w:rsid w:val="00E50EE0"/>
    <w:rsid w:val="00E50EE5"/>
    <w:rsid w:val="00E50F01"/>
    <w:rsid w:val="00E50F34"/>
    <w:rsid w:val="00E51042"/>
    <w:rsid w:val="00E51049"/>
    <w:rsid w:val="00E510A3"/>
    <w:rsid w:val="00E51132"/>
    <w:rsid w:val="00E51180"/>
    <w:rsid w:val="00E511DA"/>
    <w:rsid w:val="00E511E3"/>
    <w:rsid w:val="00E51212"/>
    <w:rsid w:val="00E512CB"/>
    <w:rsid w:val="00E51344"/>
    <w:rsid w:val="00E5134F"/>
    <w:rsid w:val="00E513B4"/>
    <w:rsid w:val="00E5141A"/>
    <w:rsid w:val="00E5145E"/>
    <w:rsid w:val="00E5146A"/>
    <w:rsid w:val="00E514A8"/>
    <w:rsid w:val="00E514AF"/>
    <w:rsid w:val="00E51515"/>
    <w:rsid w:val="00E51698"/>
    <w:rsid w:val="00E516D6"/>
    <w:rsid w:val="00E5188C"/>
    <w:rsid w:val="00E5188E"/>
    <w:rsid w:val="00E518D2"/>
    <w:rsid w:val="00E518FD"/>
    <w:rsid w:val="00E5190C"/>
    <w:rsid w:val="00E51916"/>
    <w:rsid w:val="00E51958"/>
    <w:rsid w:val="00E51962"/>
    <w:rsid w:val="00E51963"/>
    <w:rsid w:val="00E51996"/>
    <w:rsid w:val="00E51A21"/>
    <w:rsid w:val="00E51AF4"/>
    <w:rsid w:val="00E51AFD"/>
    <w:rsid w:val="00E51BA4"/>
    <w:rsid w:val="00E51BC7"/>
    <w:rsid w:val="00E51BD4"/>
    <w:rsid w:val="00E51C27"/>
    <w:rsid w:val="00E51C3F"/>
    <w:rsid w:val="00E51C4C"/>
    <w:rsid w:val="00E51CB9"/>
    <w:rsid w:val="00E51CF9"/>
    <w:rsid w:val="00E51D2F"/>
    <w:rsid w:val="00E51D45"/>
    <w:rsid w:val="00E51DF8"/>
    <w:rsid w:val="00E51E42"/>
    <w:rsid w:val="00E51EC2"/>
    <w:rsid w:val="00E51EFA"/>
    <w:rsid w:val="00E51F26"/>
    <w:rsid w:val="00E51F3B"/>
    <w:rsid w:val="00E51F61"/>
    <w:rsid w:val="00E5200C"/>
    <w:rsid w:val="00E52066"/>
    <w:rsid w:val="00E52083"/>
    <w:rsid w:val="00E52093"/>
    <w:rsid w:val="00E520CC"/>
    <w:rsid w:val="00E52124"/>
    <w:rsid w:val="00E5212B"/>
    <w:rsid w:val="00E52143"/>
    <w:rsid w:val="00E52161"/>
    <w:rsid w:val="00E5220E"/>
    <w:rsid w:val="00E52251"/>
    <w:rsid w:val="00E52339"/>
    <w:rsid w:val="00E52352"/>
    <w:rsid w:val="00E52364"/>
    <w:rsid w:val="00E52391"/>
    <w:rsid w:val="00E523A5"/>
    <w:rsid w:val="00E5240D"/>
    <w:rsid w:val="00E52452"/>
    <w:rsid w:val="00E524E7"/>
    <w:rsid w:val="00E524F7"/>
    <w:rsid w:val="00E525BB"/>
    <w:rsid w:val="00E52600"/>
    <w:rsid w:val="00E5277A"/>
    <w:rsid w:val="00E52934"/>
    <w:rsid w:val="00E52966"/>
    <w:rsid w:val="00E529C1"/>
    <w:rsid w:val="00E529C6"/>
    <w:rsid w:val="00E52ADA"/>
    <w:rsid w:val="00E52BC2"/>
    <w:rsid w:val="00E52BF0"/>
    <w:rsid w:val="00E52C23"/>
    <w:rsid w:val="00E52CC3"/>
    <w:rsid w:val="00E52CD3"/>
    <w:rsid w:val="00E52D31"/>
    <w:rsid w:val="00E52D9C"/>
    <w:rsid w:val="00E52E7A"/>
    <w:rsid w:val="00E52F01"/>
    <w:rsid w:val="00E52F54"/>
    <w:rsid w:val="00E52F6C"/>
    <w:rsid w:val="00E52F93"/>
    <w:rsid w:val="00E5300F"/>
    <w:rsid w:val="00E5306E"/>
    <w:rsid w:val="00E530FB"/>
    <w:rsid w:val="00E53163"/>
    <w:rsid w:val="00E53166"/>
    <w:rsid w:val="00E53202"/>
    <w:rsid w:val="00E53252"/>
    <w:rsid w:val="00E53288"/>
    <w:rsid w:val="00E53363"/>
    <w:rsid w:val="00E53380"/>
    <w:rsid w:val="00E533DD"/>
    <w:rsid w:val="00E53424"/>
    <w:rsid w:val="00E5344C"/>
    <w:rsid w:val="00E534CB"/>
    <w:rsid w:val="00E53559"/>
    <w:rsid w:val="00E535D1"/>
    <w:rsid w:val="00E5365E"/>
    <w:rsid w:val="00E53705"/>
    <w:rsid w:val="00E53748"/>
    <w:rsid w:val="00E5377C"/>
    <w:rsid w:val="00E5378B"/>
    <w:rsid w:val="00E537E2"/>
    <w:rsid w:val="00E537EF"/>
    <w:rsid w:val="00E53885"/>
    <w:rsid w:val="00E538F9"/>
    <w:rsid w:val="00E5390E"/>
    <w:rsid w:val="00E539EE"/>
    <w:rsid w:val="00E539F0"/>
    <w:rsid w:val="00E53A02"/>
    <w:rsid w:val="00E53A60"/>
    <w:rsid w:val="00E53A68"/>
    <w:rsid w:val="00E53A6B"/>
    <w:rsid w:val="00E53A9A"/>
    <w:rsid w:val="00E53B57"/>
    <w:rsid w:val="00E53B64"/>
    <w:rsid w:val="00E53BB4"/>
    <w:rsid w:val="00E53BB9"/>
    <w:rsid w:val="00E53BF4"/>
    <w:rsid w:val="00E53CB2"/>
    <w:rsid w:val="00E53CD2"/>
    <w:rsid w:val="00E53D24"/>
    <w:rsid w:val="00E53D6F"/>
    <w:rsid w:val="00E53E40"/>
    <w:rsid w:val="00E53E5C"/>
    <w:rsid w:val="00E53E83"/>
    <w:rsid w:val="00E53EA4"/>
    <w:rsid w:val="00E53ED7"/>
    <w:rsid w:val="00E53EE8"/>
    <w:rsid w:val="00E53F7E"/>
    <w:rsid w:val="00E53FC1"/>
    <w:rsid w:val="00E5400A"/>
    <w:rsid w:val="00E54071"/>
    <w:rsid w:val="00E540C5"/>
    <w:rsid w:val="00E54133"/>
    <w:rsid w:val="00E54134"/>
    <w:rsid w:val="00E5417D"/>
    <w:rsid w:val="00E54257"/>
    <w:rsid w:val="00E54262"/>
    <w:rsid w:val="00E5429A"/>
    <w:rsid w:val="00E542A5"/>
    <w:rsid w:val="00E5434A"/>
    <w:rsid w:val="00E544F1"/>
    <w:rsid w:val="00E54504"/>
    <w:rsid w:val="00E54541"/>
    <w:rsid w:val="00E54564"/>
    <w:rsid w:val="00E54707"/>
    <w:rsid w:val="00E54849"/>
    <w:rsid w:val="00E549DD"/>
    <w:rsid w:val="00E549E1"/>
    <w:rsid w:val="00E54A1C"/>
    <w:rsid w:val="00E54A24"/>
    <w:rsid w:val="00E54A6D"/>
    <w:rsid w:val="00E54AF3"/>
    <w:rsid w:val="00E54B09"/>
    <w:rsid w:val="00E54B18"/>
    <w:rsid w:val="00E54B39"/>
    <w:rsid w:val="00E54B4E"/>
    <w:rsid w:val="00E54C49"/>
    <w:rsid w:val="00E54D75"/>
    <w:rsid w:val="00E54DCF"/>
    <w:rsid w:val="00E54E4A"/>
    <w:rsid w:val="00E54E7A"/>
    <w:rsid w:val="00E54E7F"/>
    <w:rsid w:val="00E54F07"/>
    <w:rsid w:val="00E54F9B"/>
    <w:rsid w:val="00E54FD6"/>
    <w:rsid w:val="00E55015"/>
    <w:rsid w:val="00E5503D"/>
    <w:rsid w:val="00E55134"/>
    <w:rsid w:val="00E5514C"/>
    <w:rsid w:val="00E5518B"/>
    <w:rsid w:val="00E551F1"/>
    <w:rsid w:val="00E55264"/>
    <w:rsid w:val="00E552CE"/>
    <w:rsid w:val="00E552F0"/>
    <w:rsid w:val="00E552FE"/>
    <w:rsid w:val="00E553A5"/>
    <w:rsid w:val="00E553CE"/>
    <w:rsid w:val="00E553F8"/>
    <w:rsid w:val="00E55454"/>
    <w:rsid w:val="00E554AC"/>
    <w:rsid w:val="00E554FF"/>
    <w:rsid w:val="00E5551A"/>
    <w:rsid w:val="00E5551D"/>
    <w:rsid w:val="00E5556C"/>
    <w:rsid w:val="00E555C3"/>
    <w:rsid w:val="00E55605"/>
    <w:rsid w:val="00E55699"/>
    <w:rsid w:val="00E556D7"/>
    <w:rsid w:val="00E55741"/>
    <w:rsid w:val="00E55787"/>
    <w:rsid w:val="00E5582B"/>
    <w:rsid w:val="00E55858"/>
    <w:rsid w:val="00E558AB"/>
    <w:rsid w:val="00E558E2"/>
    <w:rsid w:val="00E559B9"/>
    <w:rsid w:val="00E559D4"/>
    <w:rsid w:val="00E55A4A"/>
    <w:rsid w:val="00E55A51"/>
    <w:rsid w:val="00E55A73"/>
    <w:rsid w:val="00E55A78"/>
    <w:rsid w:val="00E55AB3"/>
    <w:rsid w:val="00E55AE7"/>
    <w:rsid w:val="00E55AF5"/>
    <w:rsid w:val="00E55B43"/>
    <w:rsid w:val="00E55BA1"/>
    <w:rsid w:val="00E55BA7"/>
    <w:rsid w:val="00E55CFE"/>
    <w:rsid w:val="00E55D2B"/>
    <w:rsid w:val="00E55D36"/>
    <w:rsid w:val="00E55EBA"/>
    <w:rsid w:val="00E55F6D"/>
    <w:rsid w:val="00E5607E"/>
    <w:rsid w:val="00E56082"/>
    <w:rsid w:val="00E56091"/>
    <w:rsid w:val="00E560A0"/>
    <w:rsid w:val="00E5614D"/>
    <w:rsid w:val="00E561D7"/>
    <w:rsid w:val="00E561E0"/>
    <w:rsid w:val="00E56227"/>
    <w:rsid w:val="00E56234"/>
    <w:rsid w:val="00E56255"/>
    <w:rsid w:val="00E562E9"/>
    <w:rsid w:val="00E56367"/>
    <w:rsid w:val="00E56430"/>
    <w:rsid w:val="00E564BB"/>
    <w:rsid w:val="00E565A2"/>
    <w:rsid w:val="00E5666D"/>
    <w:rsid w:val="00E5667E"/>
    <w:rsid w:val="00E566AC"/>
    <w:rsid w:val="00E56764"/>
    <w:rsid w:val="00E5676F"/>
    <w:rsid w:val="00E56806"/>
    <w:rsid w:val="00E56854"/>
    <w:rsid w:val="00E5688F"/>
    <w:rsid w:val="00E568D6"/>
    <w:rsid w:val="00E568F2"/>
    <w:rsid w:val="00E5694D"/>
    <w:rsid w:val="00E569FD"/>
    <w:rsid w:val="00E56B16"/>
    <w:rsid w:val="00E56B51"/>
    <w:rsid w:val="00E56B7A"/>
    <w:rsid w:val="00E56B8B"/>
    <w:rsid w:val="00E56BE0"/>
    <w:rsid w:val="00E56C4C"/>
    <w:rsid w:val="00E56C8C"/>
    <w:rsid w:val="00E56CA5"/>
    <w:rsid w:val="00E56CF3"/>
    <w:rsid w:val="00E56D97"/>
    <w:rsid w:val="00E56D9B"/>
    <w:rsid w:val="00E56E89"/>
    <w:rsid w:val="00E56F90"/>
    <w:rsid w:val="00E56FB8"/>
    <w:rsid w:val="00E56FC4"/>
    <w:rsid w:val="00E57008"/>
    <w:rsid w:val="00E57037"/>
    <w:rsid w:val="00E57087"/>
    <w:rsid w:val="00E570C5"/>
    <w:rsid w:val="00E5711B"/>
    <w:rsid w:val="00E57174"/>
    <w:rsid w:val="00E57189"/>
    <w:rsid w:val="00E5723B"/>
    <w:rsid w:val="00E572A6"/>
    <w:rsid w:val="00E57344"/>
    <w:rsid w:val="00E573F6"/>
    <w:rsid w:val="00E573FE"/>
    <w:rsid w:val="00E57556"/>
    <w:rsid w:val="00E575A6"/>
    <w:rsid w:val="00E57617"/>
    <w:rsid w:val="00E5766F"/>
    <w:rsid w:val="00E576E6"/>
    <w:rsid w:val="00E577EA"/>
    <w:rsid w:val="00E577EC"/>
    <w:rsid w:val="00E57820"/>
    <w:rsid w:val="00E57851"/>
    <w:rsid w:val="00E57910"/>
    <w:rsid w:val="00E579F6"/>
    <w:rsid w:val="00E57A17"/>
    <w:rsid w:val="00E57AE1"/>
    <w:rsid w:val="00E57BCB"/>
    <w:rsid w:val="00E57C02"/>
    <w:rsid w:val="00E57C66"/>
    <w:rsid w:val="00E57C77"/>
    <w:rsid w:val="00E57D11"/>
    <w:rsid w:val="00E57D46"/>
    <w:rsid w:val="00E57D51"/>
    <w:rsid w:val="00E57E37"/>
    <w:rsid w:val="00E57F0B"/>
    <w:rsid w:val="00E57F88"/>
    <w:rsid w:val="00E57FC4"/>
    <w:rsid w:val="00E57FCE"/>
    <w:rsid w:val="00E57FDA"/>
    <w:rsid w:val="00E6003E"/>
    <w:rsid w:val="00E6004B"/>
    <w:rsid w:val="00E600BA"/>
    <w:rsid w:val="00E6010A"/>
    <w:rsid w:val="00E601F7"/>
    <w:rsid w:val="00E6020A"/>
    <w:rsid w:val="00E60288"/>
    <w:rsid w:val="00E602CE"/>
    <w:rsid w:val="00E6036D"/>
    <w:rsid w:val="00E6037C"/>
    <w:rsid w:val="00E6039E"/>
    <w:rsid w:val="00E603B2"/>
    <w:rsid w:val="00E60452"/>
    <w:rsid w:val="00E60471"/>
    <w:rsid w:val="00E6048B"/>
    <w:rsid w:val="00E60550"/>
    <w:rsid w:val="00E60573"/>
    <w:rsid w:val="00E6058A"/>
    <w:rsid w:val="00E60608"/>
    <w:rsid w:val="00E606FE"/>
    <w:rsid w:val="00E6070C"/>
    <w:rsid w:val="00E60775"/>
    <w:rsid w:val="00E608AB"/>
    <w:rsid w:val="00E608DF"/>
    <w:rsid w:val="00E60920"/>
    <w:rsid w:val="00E60956"/>
    <w:rsid w:val="00E6097D"/>
    <w:rsid w:val="00E609AD"/>
    <w:rsid w:val="00E60B6B"/>
    <w:rsid w:val="00E60C56"/>
    <w:rsid w:val="00E60C6F"/>
    <w:rsid w:val="00E60C7E"/>
    <w:rsid w:val="00E60C9B"/>
    <w:rsid w:val="00E60CF5"/>
    <w:rsid w:val="00E60D7E"/>
    <w:rsid w:val="00E60E1E"/>
    <w:rsid w:val="00E60E2E"/>
    <w:rsid w:val="00E60E47"/>
    <w:rsid w:val="00E60E9E"/>
    <w:rsid w:val="00E60F15"/>
    <w:rsid w:val="00E60F41"/>
    <w:rsid w:val="00E60F71"/>
    <w:rsid w:val="00E60F77"/>
    <w:rsid w:val="00E60FB5"/>
    <w:rsid w:val="00E61023"/>
    <w:rsid w:val="00E610DB"/>
    <w:rsid w:val="00E61189"/>
    <w:rsid w:val="00E611B1"/>
    <w:rsid w:val="00E6122C"/>
    <w:rsid w:val="00E61252"/>
    <w:rsid w:val="00E612BC"/>
    <w:rsid w:val="00E6131E"/>
    <w:rsid w:val="00E613D4"/>
    <w:rsid w:val="00E61415"/>
    <w:rsid w:val="00E614BF"/>
    <w:rsid w:val="00E614E5"/>
    <w:rsid w:val="00E6154A"/>
    <w:rsid w:val="00E61576"/>
    <w:rsid w:val="00E6158A"/>
    <w:rsid w:val="00E615C0"/>
    <w:rsid w:val="00E615EE"/>
    <w:rsid w:val="00E61603"/>
    <w:rsid w:val="00E61686"/>
    <w:rsid w:val="00E61690"/>
    <w:rsid w:val="00E616C9"/>
    <w:rsid w:val="00E616EF"/>
    <w:rsid w:val="00E6176C"/>
    <w:rsid w:val="00E617CE"/>
    <w:rsid w:val="00E617D2"/>
    <w:rsid w:val="00E61809"/>
    <w:rsid w:val="00E61899"/>
    <w:rsid w:val="00E61945"/>
    <w:rsid w:val="00E619DB"/>
    <w:rsid w:val="00E61A7C"/>
    <w:rsid w:val="00E61AE3"/>
    <w:rsid w:val="00E61B11"/>
    <w:rsid w:val="00E61B24"/>
    <w:rsid w:val="00E61B32"/>
    <w:rsid w:val="00E61BA3"/>
    <w:rsid w:val="00E61BAA"/>
    <w:rsid w:val="00E61BFA"/>
    <w:rsid w:val="00E61C9B"/>
    <w:rsid w:val="00E61C9F"/>
    <w:rsid w:val="00E61CE4"/>
    <w:rsid w:val="00E61D0B"/>
    <w:rsid w:val="00E61D18"/>
    <w:rsid w:val="00E61D38"/>
    <w:rsid w:val="00E61DA4"/>
    <w:rsid w:val="00E61E3A"/>
    <w:rsid w:val="00E61E62"/>
    <w:rsid w:val="00E61F18"/>
    <w:rsid w:val="00E61FD5"/>
    <w:rsid w:val="00E61FEB"/>
    <w:rsid w:val="00E61FF5"/>
    <w:rsid w:val="00E62095"/>
    <w:rsid w:val="00E62105"/>
    <w:rsid w:val="00E621A1"/>
    <w:rsid w:val="00E621F8"/>
    <w:rsid w:val="00E621F9"/>
    <w:rsid w:val="00E621FD"/>
    <w:rsid w:val="00E6228A"/>
    <w:rsid w:val="00E62340"/>
    <w:rsid w:val="00E62386"/>
    <w:rsid w:val="00E6252E"/>
    <w:rsid w:val="00E6254F"/>
    <w:rsid w:val="00E6257E"/>
    <w:rsid w:val="00E62640"/>
    <w:rsid w:val="00E62689"/>
    <w:rsid w:val="00E62698"/>
    <w:rsid w:val="00E626C1"/>
    <w:rsid w:val="00E6279B"/>
    <w:rsid w:val="00E6284C"/>
    <w:rsid w:val="00E628BD"/>
    <w:rsid w:val="00E628FE"/>
    <w:rsid w:val="00E629EE"/>
    <w:rsid w:val="00E62A1B"/>
    <w:rsid w:val="00E62A2C"/>
    <w:rsid w:val="00E62A4D"/>
    <w:rsid w:val="00E62A5B"/>
    <w:rsid w:val="00E62AAB"/>
    <w:rsid w:val="00E62BA3"/>
    <w:rsid w:val="00E62BC2"/>
    <w:rsid w:val="00E62BFB"/>
    <w:rsid w:val="00E62D75"/>
    <w:rsid w:val="00E62E44"/>
    <w:rsid w:val="00E62E80"/>
    <w:rsid w:val="00E62F4A"/>
    <w:rsid w:val="00E62F61"/>
    <w:rsid w:val="00E62F99"/>
    <w:rsid w:val="00E62FF2"/>
    <w:rsid w:val="00E6301D"/>
    <w:rsid w:val="00E6303D"/>
    <w:rsid w:val="00E630C2"/>
    <w:rsid w:val="00E63116"/>
    <w:rsid w:val="00E63150"/>
    <w:rsid w:val="00E631A4"/>
    <w:rsid w:val="00E631AB"/>
    <w:rsid w:val="00E63283"/>
    <w:rsid w:val="00E632A2"/>
    <w:rsid w:val="00E632C5"/>
    <w:rsid w:val="00E63401"/>
    <w:rsid w:val="00E6345E"/>
    <w:rsid w:val="00E63464"/>
    <w:rsid w:val="00E6348E"/>
    <w:rsid w:val="00E634AA"/>
    <w:rsid w:val="00E635AD"/>
    <w:rsid w:val="00E635B2"/>
    <w:rsid w:val="00E635F7"/>
    <w:rsid w:val="00E63627"/>
    <w:rsid w:val="00E63688"/>
    <w:rsid w:val="00E636B3"/>
    <w:rsid w:val="00E6374C"/>
    <w:rsid w:val="00E6375C"/>
    <w:rsid w:val="00E637A0"/>
    <w:rsid w:val="00E63802"/>
    <w:rsid w:val="00E63813"/>
    <w:rsid w:val="00E6381D"/>
    <w:rsid w:val="00E63858"/>
    <w:rsid w:val="00E6386E"/>
    <w:rsid w:val="00E638C8"/>
    <w:rsid w:val="00E63915"/>
    <w:rsid w:val="00E63923"/>
    <w:rsid w:val="00E63947"/>
    <w:rsid w:val="00E63982"/>
    <w:rsid w:val="00E6398A"/>
    <w:rsid w:val="00E639B4"/>
    <w:rsid w:val="00E63A35"/>
    <w:rsid w:val="00E63B39"/>
    <w:rsid w:val="00E63B8C"/>
    <w:rsid w:val="00E63C05"/>
    <w:rsid w:val="00E63CB4"/>
    <w:rsid w:val="00E63D84"/>
    <w:rsid w:val="00E63DD2"/>
    <w:rsid w:val="00E63DD5"/>
    <w:rsid w:val="00E63E05"/>
    <w:rsid w:val="00E63F21"/>
    <w:rsid w:val="00E63F37"/>
    <w:rsid w:val="00E63FA0"/>
    <w:rsid w:val="00E63FE0"/>
    <w:rsid w:val="00E64053"/>
    <w:rsid w:val="00E64058"/>
    <w:rsid w:val="00E6409B"/>
    <w:rsid w:val="00E640D1"/>
    <w:rsid w:val="00E640D3"/>
    <w:rsid w:val="00E64125"/>
    <w:rsid w:val="00E64150"/>
    <w:rsid w:val="00E641D0"/>
    <w:rsid w:val="00E64255"/>
    <w:rsid w:val="00E64268"/>
    <w:rsid w:val="00E6429A"/>
    <w:rsid w:val="00E64333"/>
    <w:rsid w:val="00E6445F"/>
    <w:rsid w:val="00E6449D"/>
    <w:rsid w:val="00E644B1"/>
    <w:rsid w:val="00E644B6"/>
    <w:rsid w:val="00E644EA"/>
    <w:rsid w:val="00E6456C"/>
    <w:rsid w:val="00E645BB"/>
    <w:rsid w:val="00E646AD"/>
    <w:rsid w:val="00E647EE"/>
    <w:rsid w:val="00E64832"/>
    <w:rsid w:val="00E6483F"/>
    <w:rsid w:val="00E648DD"/>
    <w:rsid w:val="00E64922"/>
    <w:rsid w:val="00E64934"/>
    <w:rsid w:val="00E64942"/>
    <w:rsid w:val="00E649D7"/>
    <w:rsid w:val="00E649F8"/>
    <w:rsid w:val="00E64A1A"/>
    <w:rsid w:val="00E64A3D"/>
    <w:rsid w:val="00E64A92"/>
    <w:rsid w:val="00E64B00"/>
    <w:rsid w:val="00E64B12"/>
    <w:rsid w:val="00E64B8A"/>
    <w:rsid w:val="00E64B8E"/>
    <w:rsid w:val="00E64C0B"/>
    <w:rsid w:val="00E64C11"/>
    <w:rsid w:val="00E64C52"/>
    <w:rsid w:val="00E64C9B"/>
    <w:rsid w:val="00E64CE8"/>
    <w:rsid w:val="00E64D55"/>
    <w:rsid w:val="00E64D65"/>
    <w:rsid w:val="00E64F07"/>
    <w:rsid w:val="00E64F0B"/>
    <w:rsid w:val="00E64F88"/>
    <w:rsid w:val="00E64FA1"/>
    <w:rsid w:val="00E64FD5"/>
    <w:rsid w:val="00E6501A"/>
    <w:rsid w:val="00E6502F"/>
    <w:rsid w:val="00E6507E"/>
    <w:rsid w:val="00E6508C"/>
    <w:rsid w:val="00E65091"/>
    <w:rsid w:val="00E650A3"/>
    <w:rsid w:val="00E65124"/>
    <w:rsid w:val="00E65188"/>
    <w:rsid w:val="00E65199"/>
    <w:rsid w:val="00E652F5"/>
    <w:rsid w:val="00E6531C"/>
    <w:rsid w:val="00E65326"/>
    <w:rsid w:val="00E65359"/>
    <w:rsid w:val="00E6536E"/>
    <w:rsid w:val="00E6538E"/>
    <w:rsid w:val="00E653B0"/>
    <w:rsid w:val="00E653BF"/>
    <w:rsid w:val="00E654AD"/>
    <w:rsid w:val="00E65514"/>
    <w:rsid w:val="00E6551C"/>
    <w:rsid w:val="00E655A8"/>
    <w:rsid w:val="00E655C2"/>
    <w:rsid w:val="00E65624"/>
    <w:rsid w:val="00E6563C"/>
    <w:rsid w:val="00E6563D"/>
    <w:rsid w:val="00E65643"/>
    <w:rsid w:val="00E6565D"/>
    <w:rsid w:val="00E65663"/>
    <w:rsid w:val="00E656B4"/>
    <w:rsid w:val="00E656C6"/>
    <w:rsid w:val="00E656FC"/>
    <w:rsid w:val="00E6571F"/>
    <w:rsid w:val="00E65764"/>
    <w:rsid w:val="00E657D9"/>
    <w:rsid w:val="00E6584B"/>
    <w:rsid w:val="00E6586B"/>
    <w:rsid w:val="00E65898"/>
    <w:rsid w:val="00E658DC"/>
    <w:rsid w:val="00E65A62"/>
    <w:rsid w:val="00E65B5F"/>
    <w:rsid w:val="00E65B72"/>
    <w:rsid w:val="00E65C23"/>
    <w:rsid w:val="00E65C86"/>
    <w:rsid w:val="00E65CA7"/>
    <w:rsid w:val="00E65DD7"/>
    <w:rsid w:val="00E65DED"/>
    <w:rsid w:val="00E65EF1"/>
    <w:rsid w:val="00E65F16"/>
    <w:rsid w:val="00E65F62"/>
    <w:rsid w:val="00E66049"/>
    <w:rsid w:val="00E6604B"/>
    <w:rsid w:val="00E660A5"/>
    <w:rsid w:val="00E66140"/>
    <w:rsid w:val="00E6616B"/>
    <w:rsid w:val="00E66170"/>
    <w:rsid w:val="00E661DB"/>
    <w:rsid w:val="00E661ED"/>
    <w:rsid w:val="00E661F3"/>
    <w:rsid w:val="00E662DE"/>
    <w:rsid w:val="00E663FB"/>
    <w:rsid w:val="00E66407"/>
    <w:rsid w:val="00E66495"/>
    <w:rsid w:val="00E664DC"/>
    <w:rsid w:val="00E664E0"/>
    <w:rsid w:val="00E664F3"/>
    <w:rsid w:val="00E6654B"/>
    <w:rsid w:val="00E66571"/>
    <w:rsid w:val="00E66599"/>
    <w:rsid w:val="00E665B3"/>
    <w:rsid w:val="00E665D4"/>
    <w:rsid w:val="00E665DF"/>
    <w:rsid w:val="00E665ED"/>
    <w:rsid w:val="00E66636"/>
    <w:rsid w:val="00E6666E"/>
    <w:rsid w:val="00E66679"/>
    <w:rsid w:val="00E6667D"/>
    <w:rsid w:val="00E66703"/>
    <w:rsid w:val="00E6670A"/>
    <w:rsid w:val="00E6671A"/>
    <w:rsid w:val="00E667CA"/>
    <w:rsid w:val="00E66828"/>
    <w:rsid w:val="00E66865"/>
    <w:rsid w:val="00E6689D"/>
    <w:rsid w:val="00E66939"/>
    <w:rsid w:val="00E669F5"/>
    <w:rsid w:val="00E66A44"/>
    <w:rsid w:val="00E66C26"/>
    <w:rsid w:val="00E66C85"/>
    <w:rsid w:val="00E66CEB"/>
    <w:rsid w:val="00E66CED"/>
    <w:rsid w:val="00E66D0A"/>
    <w:rsid w:val="00E66D17"/>
    <w:rsid w:val="00E66E49"/>
    <w:rsid w:val="00E66E6B"/>
    <w:rsid w:val="00E66EB4"/>
    <w:rsid w:val="00E66EBB"/>
    <w:rsid w:val="00E66ECD"/>
    <w:rsid w:val="00E66F1D"/>
    <w:rsid w:val="00E66F5C"/>
    <w:rsid w:val="00E66F9E"/>
    <w:rsid w:val="00E67001"/>
    <w:rsid w:val="00E67121"/>
    <w:rsid w:val="00E67158"/>
    <w:rsid w:val="00E6715A"/>
    <w:rsid w:val="00E671DC"/>
    <w:rsid w:val="00E671EE"/>
    <w:rsid w:val="00E67285"/>
    <w:rsid w:val="00E672D3"/>
    <w:rsid w:val="00E672FE"/>
    <w:rsid w:val="00E67320"/>
    <w:rsid w:val="00E67335"/>
    <w:rsid w:val="00E6737D"/>
    <w:rsid w:val="00E67389"/>
    <w:rsid w:val="00E6740D"/>
    <w:rsid w:val="00E674A2"/>
    <w:rsid w:val="00E674B6"/>
    <w:rsid w:val="00E674CD"/>
    <w:rsid w:val="00E674FB"/>
    <w:rsid w:val="00E67531"/>
    <w:rsid w:val="00E67556"/>
    <w:rsid w:val="00E67563"/>
    <w:rsid w:val="00E67688"/>
    <w:rsid w:val="00E676A8"/>
    <w:rsid w:val="00E67729"/>
    <w:rsid w:val="00E677D8"/>
    <w:rsid w:val="00E67878"/>
    <w:rsid w:val="00E678D1"/>
    <w:rsid w:val="00E6796A"/>
    <w:rsid w:val="00E679B1"/>
    <w:rsid w:val="00E679DA"/>
    <w:rsid w:val="00E67A34"/>
    <w:rsid w:val="00E67AAC"/>
    <w:rsid w:val="00E67AFD"/>
    <w:rsid w:val="00E67B02"/>
    <w:rsid w:val="00E67B0E"/>
    <w:rsid w:val="00E67B17"/>
    <w:rsid w:val="00E67B5E"/>
    <w:rsid w:val="00E67B9F"/>
    <w:rsid w:val="00E67BDB"/>
    <w:rsid w:val="00E67C6E"/>
    <w:rsid w:val="00E67CEB"/>
    <w:rsid w:val="00E67D02"/>
    <w:rsid w:val="00E67D33"/>
    <w:rsid w:val="00E67D3D"/>
    <w:rsid w:val="00E67DAB"/>
    <w:rsid w:val="00E67DAC"/>
    <w:rsid w:val="00E67DFF"/>
    <w:rsid w:val="00E67E23"/>
    <w:rsid w:val="00E67E7E"/>
    <w:rsid w:val="00E67EBF"/>
    <w:rsid w:val="00E67FB9"/>
    <w:rsid w:val="00E67FF4"/>
    <w:rsid w:val="00E70058"/>
    <w:rsid w:val="00E700AE"/>
    <w:rsid w:val="00E700CD"/>
    <w:rsid w:val="00E7011B"/>
    <w:rsid w:val="00E7019F"/>
    <w:rsid w:val="00E701A3"/>
    <w:rsid w:val="00E70204"/>
    <w:rsid w:val="00E7020F"/>
    <w:rsid w:val="00E702C1"/>
    <w:rsid w:val="00E7034E"/>
    <w:rsid w:val="00E70394"/>
    <w:rsid w:val="00E703C1"/>
    <w:rsid w:val="00E70443"/>
    <w:rsid w:val="00E70445"/>
    <w:rsid w:val="00E704A9"/>
    <w:rsid w:val="00E704DC"/>
    <w:rsid w:val="00E704F7"/>
    <w:rsid w:val="00E705A6"/>
    <w:rsid w:val="00E705CC"/>
    <w:rsid w:val="00E705D9"/>
    <w:rsid w:val="00E70724"/>
    <w:rsid w:val="00E707B5"/>
    <w:rsid w:val="00E70882"/>
    <w:rsid w:val="00E7088F"/>
    <w:rsid w:val="00E708E0"/>
    <w:rsid w:val="00E70957"/>
    <w:rsid w:val="00E70A6A"/>
    <w:rsid w:val="00E70A94"/>
    <w:rsid w:val="00E70AAC"/>
    <w:rsid w:val="00E70B5C"/>
    <w:rsid w:val="00E70BEF"/>
    <w:rsid w:val="00E70C23"/>
    <w:rsid w:val="00E70C74"/>
    <w:rsid w:val="00E70CEA"/>
    <w:rsid w:val="00E70D4C"/>
    <w:rsid w:val="00E70D50"/>
    <w:rsid w:val="00E70D87"/>
    <w:rsid w:val="00E70EE9"/>
    <w:rsid w:val="00E70FA2"/>
    <w:rsid w:val="00E70FEA"/>
    <w:rsid w:val="00E7102E"/>
    <w:rsid w:val="00E710B9"/>
    <w:rsid w:val="00E710F4"/>
    <w:rsid w:val="00E71101"/>
    <w:rsid w:val="00E71116"/>
    <w:rsid w:val="00E71128"/>
    <w:rsid w:val="00E71160"/>
    <w:rsid w:val="00E711D0"/>
    <w:rsid w:val="00E712EA"/>
    <w:rsid w:val="00E71358"/>
    <w:rsid w:val="00E713BC"/>
    <w:rsid w:val="00E713F1"/>
    <w:rsid w:val="00E71424"/>
    <w:rsid w:val="00E71450"/>
    <w:rsid w:val="00E71464"/>
    <w:rsid w:val="00E71474"/>
    <w:rsid w:val="00E71486"/>
    <w:rsid w:val="00E71578"/>
    <w:rsid w:val="00E715BC"/>
    <w:rsid w:val="00E7168D"/>
    <w:rsid w:val="00E716D0"/>
    <w:rsid w:val="00E71763"/>
    <w:rsid w:val="00E717CA"/>
    <w:rsid w:val="00E71871"/>
    <w:rsid w:val="00E718B0"/>
    <w:rsid w:val="00E718EC"/>
    <w:rsid w:val="00E719A1"/>
    <w:rsid w:val="00E719E3"/>
    <w:rsid w:val="00E71B32"/>
    <w:rsid w:val="00E71B82"/>
    <w:rsid w:val="00E71BDA"/>
    <w:rsid w:val="00E71BEA"/>
    <w:rsid w:val="00E71C0E"/>
    <w:rsid w:val="00E71C0F"/>
    <w:rsid w:val="00E71C91"/>
    <w:rsid w:val="00E71CD4"/>
    <w:rsid w:val="00E71CE0"/>
    <w:rsid w:val="00E71EB0"/>
    <w:rsid w:val="00E71EE1"/>
    <w:rsid w:val="00E71F7B"/>
    <w:rsid w:val="00E71F94"/>
    <w:rsid w:val="00E720E7"/>
    <w:rsid w:val="00E720ED"/>
    <w:rsid w:val="00E7211E"/>
    <w:rsid w:val="00E72150"/>
    <w:rsid w:val="00E72211"/>
    <w:rsid w:val="00E72236"/>
    <w:rsid w:val="00E7224E"/>
    <w:rsid w:val="00E72348"/>
    <w:rsid w:val="00E72362"/>
    <w:rsid w:val="00E72436"/>
    <w:rsid w:val="00E7243E"/>
    <w:rsid w:val="00E72473"/>
    <w:rsid w:val="00E724AB"/>
    <w:rsid w:val="00E7253B"/>
    <w:rsid w:val="00E725A3"/>
    <w:rsid w:val="00E725F5"/>
    <w:rsid w:val="00E72616"/>
    <w:rsid w:val="00E726A0"/>
    <w:rsid w:val="00E726FE"/>
    <w:rsid w:val="00E72715"/>
    <w:rsid w:val="00E7273E"/>
    <w:rsid w:val="00E727A5"/>
    <w:rsid w:val="00E727F5"/>
    <w:rsid w:val="00E72844"/>
    <w:rsid w:val="00E72871"/>
    <w:rsid w:val="00E728BB"/>
    <w:rsid w:val="00E728DA"/>
    <w:rsid w:val="00E72992"/>
    <w:rsid w:val="00E729D9"/>
    <w:rsid w:val="00E72A7B"/>
    <w:rsid w:val="00E72B52"/>
    <w:rsid w:val="00E72B87"/>
    <w:rsid w:val="00E72C4C"/>
    <w:rsid w:val="00E72C88"/>
    <w:rsid w:val="00E72CCB"/>
    <w:rsid w:val="00E72CCF"/>
    <w:rsid w:val="00E72D29"/>
    <w:rsid w:val="00E72DA0"/>
    <w:rsid w:val="00E72F18"/>
    <w:rsid w:val="00E7307A"/>
    <w:rsid w:val="00E730EF"/>
    <w:rsid w:val="00E73158"/>
    <w:rsid w:val="00E73187"/>
    <w:rsid w:val="00E731CD"/>
    <w:rsid w:val="00E73201"/>
    <w:rsid w:val="00E732AA"/>
    <w:rsid w:val="00E732FD"/>
    <w:rsid w:val="00E73338"/>
    <w:rsid w:val="00E7341E"/>
    <w:rsid w:val="00E7345E"/>
    <w:rsid w:val="00E73530"/>
    <w:rsid w:val="00E73584"/>
    <w:rsid w:val="00E7358A"/>
    <w:rsid w:val="00E7362B"/>
    <w:rsid w:val="00E7367C"/>
    <w:rsid w:val="00E73691"/>
    <w:rsid w:val="00E736EA"/>
    <w:rsid w:val="00E73727"/>
    <w:rsid w:val="00E737CA"/>
    <w:rsid w:val="00E737CB"/>
    <w:rsid w:val="00E7381B"/>
    <w:rsid w:val="00E73844"/>
    <w:rsid w:val="00E73860"/>
    <w:rsid w:val="00E7386D"/>
    <w:rsid w:val="00E7388C"/>
    <w:rsid w:val="00E7388E"/>
    <w:rsid w:val="00E73898"/>
    <w:rsid w:val="00E73949"/>
    <w:rsid w:val="00E73965"/>
    <w:rsid w:val="00E739EC"/>
    <w:rsid w:val="00E739ED"/>
    <w:rsid w:val="00E73AC2"/>
    <w:rsid w:val="00E73B12"/>
    <w:rsid w:val="00E73B30"/>
    <w:rsid w:val="00E73B97"/>
    <w:rsid w:val="00E73C02"/>
    <w:rsid w:val="00E73C09"/>
    <w:rsid w:val="00E73C22"/>
    <w:rsid w:val="00E73C2A"/>
    <w:rsid w:val="00E73C85"/>
    <w:rsid w:val="00E73CA8"/>
    <w:rsid w:val="00E73D0E"/>
    <w:rsid w:val="00E73D74"/>
    <w:rsid w:val="00E73D90"/>
    <w:rsid w:val="00E73DAE"/>
    <w:rsid w:val="00E73DDE"/>
    <w:rsid w:val="00E73E14"/>
    <w:rsid w:val="00E73E57"/>
    <w:rsid w:val="00E73E5C"/>
    <w:rsid w:val="00E73EB3"/>
    <w:rsid w:val="00E73F2B"/>
    <w:rsid w:val="00E73F69"/>
    <w:rsid w:val="00E73F73"/>
    <w:rsid w:val="00E74021"/>
    <w:rsid w:val="00E740DE"/>
    <w:rsid w:val="00E740F9"/>
    <w:rsid w:val="00E74120"/>
    <w:rsid w:val="00E7419C"/>
    <w:rsid w:val="00E741BB"/>
    <w:rsid w:val="00E741F3"/>
    <w:rsid w:val="00E7429A"/>
    <w:rsid w:val="00E743DB"/>
    <w:rsid w:val="00E743ED"/>
    <w:rsid w:val="00E744B1"/>
    <w:rsid w:val="00E744E9"/>
    <w:rsid w:val="00E745CD"/>
    <w:rsid w:val="00E74605"/>
    <w:rsid w:val="00E74613"/>
    <w:rsid w:val="00E74678"/>
    <w:rsid w:val="00E7469D"/>
    <w:rsid w:val="00E746EE"/>
    <w:rsid w:val="00E74790"/>
    <w:rsid w:val="00E747F9"/>
    <w:rsid w:val="00E74879"/>
    <w:rsid w:val="00E7489A"/>
    <w:rsid w:val="00E748CC"/>
    <w:rsid w:val="00E74907"/>
    <w:rsid w:val="00E7497A"/>
    <w:rsid w:val="00E749CA"/>
    <w:rsid w:val="00E749DC"/>
    <w:rsid w:val="00E74A35"/>
    <w:rsid w:val="00E74A72"/>
    <w:rsid w:val="00E74AE8"/>
    <w:rsid w:val="00E74B3F"/>
    <w:rsid w:val="00E74BC2"/>
    <w:rsid w:val="00E74CA3"/>
    <w:rsid w:val="00E74CA9"/>
    <w:rsid w:val="00E74CF1"/>
    <w:rsid w:val="00E74D64"/>
    <w:rsid w:val="00E74E41"/>
    <w:rsid w:val="00E74E98"/>
    <w:rsid w:val="00E74EA6"/>
    <w:rsid w:val="00E74EE3"/>
    <w:rsid w:val="00E74F49"/>
    <w:rsid w:val="00E74F63"/>
    <w:rsid w:val="00E7504C"/>
    <w:rsid w:val="00E7508A"/>
    <w:rsid w:val="00E751AC"/>
    <w:rsid w:val="00E751F8"/>
    <w:rsid w:val="00E7522B"/>
    <w:rsid w:val="00E75269"/>
    <w:rsid w:val="00E7530B"/>
    <w:rsid w:val="00E75337"/>
    <w:rsid w:val="00E75416"/>
    <w:rsid w:val="00E7542B"/>
    <w:rsid w:val="00E75449"/>
    <w:rsid w:val="00E75467"/>
    <w:rsid w:val="00E754A6"/>
    <w:rsid w:val="00E754D3"/>
    <w:rsid w:val="00E756A2"/>
    <w:rsid w:val="00E756C4"/>
    <w:rsid w:val="00E756DE"/>
    <w:rsid w:val="00E7576F"/>
    <w:rsid w:val="00E75779"/>
    <w:rsid w:val="00E75789"/>
    <w:rsid w:val="00E757DC"/>
    <w:rsid w:val="00E757E2"/>
    <w:rsid w:val="00E7583B"/>
    <w:rsid w:val="00E758BF"/>
    <w:rsid w:val="00E758C0"/>
    <w:rsid w:val="00E75963"/>
    <w:rsid w:val="00E759CE"/>
    <w:rsid w:val="00E759D9"/>
    <w:rsid w:val="00E75A18"/>
    <w:rsid w:val="00E75B2A"/>
    <w:rsid w:val="00E75CD2"/>
    <w:rsid w:val="00E75DBE"/>
    <w:rsid w:val="00E75DE1"/>
    <w:rsid w:val="00E75EDA"/>
    <w:rsid w:val="00E75F48"/>
    <w:rsid w:val="00E75F67"/>
    <w:rsid w:val="00E75FAE"/>
    <w:rsid w:val="00E75FD4"/>
    <w:rsid w:val="00E75FFA"/>
    <w:rsid w:val="00E7602A"/>
    <w:rsid w:val="00E76034"/>
    <w:rsid w:val="00E7603D"/>
    <w:rsid w:val="00E7608B"/>
    <w:rsid w:val="00E760F9"/>
    <w:rsid w:val="00E7614F"/>
    <w:rsid w:val="00E7616F"/>
    <w:rsid w:val="00E76180"/>
    <w:rsid w:val="00E761C0"/>
    <w:rsid w:val="00E7622B"/>
    <w:rsid w:val="00E76317"/>
    <w:rsid w:val="00E76342"/>
    <w:rsid w:val="00E763A8"/>
    <w:rsid w:val="00E763F1"/>
    <w:rsid w:val="00E76405"/>
    <w:rsid w:val="00E7647F"/>
    <w:rsid w:val="00E764D7"/>
    <w:rsid w:val="00E76512"/>
    <w:rsid w:val="00E765EE"/>
    <w:rsid w:val="00E76635"/>
    <w:rsid w:val="00E76648"/>
    <w:rsid w:val="00E76656"/>
    <w:rsid w:val="00E76775"/>
    <w:rsid w:val="00E767CF"/>
    <w:rsid w:val="00E76837"/>
    <w:rsid w:val="00E76872"/>
    <w:rsid w:val="00E7689D"/>
    <w:rsid w:val="00E7696A"/>
    <w:rsid w:val="00E7696D"/>
    <w:rsid w:val="00E769CC"/>
    <w:rsid w:val="00E76AC7"/>
    <w:rsid w:val="00E76AE8"/>
    <w:rsid w:val="00E76BAD"/>
    <w:rsid w:val="00E76C01"/>
    <w:rsid w:val="00E76C23"/>
    <w:rsid w:val="00E76C39"/>
    <w:rsid w:val="00E76D99"/>
    <w:rsid w:val="00E76EEC"/>
    <w:rsid w:val="00E77002"/>
    <w:rsid w:val="00E77041"/>
    <w:rsid w:val="00E77117"/>
    <w:rsid w:val="00E7719D"/>
    <w:rsid w:val="00E771D0"/>
    <w:rsid w:val="00E771FF"/>
    <w:rsid w:val="00E7722D"/>
    <w:rsid w:val="00E77237"/>
    <w:rsid w:val="00E77253"/>
    <w:rsid w:val="00E77274"/>
    <w:rsid w:val="00E7737A"/>
    <w:rsid w:val="00E7737F"/>
    <w:rsid w:val="00E77472"/>
    <w:rsid w:val="00E774F9"/>
    <w:rsid w:val="00E775B9"/>
    <w:rsid w:val="00E77630"/>
    <w:rsid w:val="00E77634"/>
    <w:rsid w:val="00E7766B"/>
    <w:rsid w:val="00E77699"/>
    <w:rsid w:val="00E77725"/>
    <w:rsid w:val="00E77779"/>
    <w:rsid w:val="00E77784"/>
    <w:rsid w:val="00E777E9"/>
    <w:rsid w:val="00E777ED"/>
    <w:rsid w:val="00E7781A"/>
    <w:rsid w:val="00E77874"/>
    <w:rsid w:val="00E77926"/>
    <w:rsid w:val="00E7792C"/>
    <w:rsid w:val="00E77A68"/>
    <w:rsid w:val="00E77AA6"/>
    <w:rsid w:val="00E77AF5"/>
    <w:rsid w:val="00E77B72"/>
    <w:rsid w:val="00E77B9D"/>
    <w:rsid w:val="00E77BA3"/>
    <w:rsid w:val="00E77BCD"/>
    <w:rsid w:val="00E77C02"/>
    <w:rsid w:val="00E77C18"/>
    <w:rsid w:val="00E77D67"/>
    <w:rsid w:val="00E77D7C"/>
    <w:rsid w:val="00E77D95"/>
    <w:rsid w:val="00E77E5B"/>
    <w:rsid w:val="00E77F42"/>
    <w:rsid w:val="00E77F43"/>
    <w:rsid w:val="00E77F59"/>
    <w:rsid w:val="00E8003C"/>
    <w:rsid w:val="00E800B4"/>
    <w:rsid w:val="00E80100"/>
    <w:rsid w:val="00E8010D"/>
    <w:rsid w:val="00E801A6"/>
    <w:rsid w:val="00E801D0"/>
    <w:rsid w:val="00E80213"/>
    <w:rsid w:val="00E80341"/>
    <w:rsid w:val="00E8034D"/>
    <w:rsid w:val="00E8036A"/>
    <w:rsid w:val="00E804F9"/>
    <w:rsid w:val="00E805F2"/>
    <w:rsid w:val="00E80613"/>
    <w:rsid w:val="00E80638"/>
    <w:rsid w:val="00E80654"/>
    <w:rsid w:val="00E8074A"/>
    <w:rsid w:val="00E808B5"/>
    <w:rsid w:val="00E8094C"/>
    <w:rsid w:val="00E809B6"/>
    <w:rsid w:val="00E809CA"/>
    <w:rsid w:val="00E809CE"/>
    <w:rsid w:val="00E809E8"/>
    <w:rsid w:val="00E80A20"/>
    <w:rsid w:val="00E80AD3"/>
    <w:rsid w:val="00E80AEF"/>
    <w:rsid w:val="00E80B92"/>
    <w:rsid w:val="00E80BA4"/>
    <w:rsid w:val="00E80BC1"/>
    <w:rsid w:val="00E80BF1"/>
    <w:rsid w:val="00E80C76"/>
    <w:rsid w:val="00E80CC6"/>
    <w:rsid w:val="00E80D7B"/>
    <w:rsid w:val="00E80DD9"/>
    <w:rsid w:val="00E80E09"/>
    <w:rsid w:val="00E80E27"/>
    <w:rsid w:val="00E80E53"/>
    <w:rsid w:val="00E80E6B"/>
    <w:rsid w:val="00E80FB0"/>
    <w:rsid w:val="00E810FD"/>
    <w:rsid w:val="00E81131"/>
    <w:rsid w:val="00E81178"/>
    <w:rsid w:val="00E8117C"/>
    <w:rsid w:val="00E81183"/>
    <w:rsid w:val="00E8119B"/>
    <w:rsid w:val="00E811CB"/>
    <w:rsid w:val="00E811F5"/>
    <w:rsid w:val="00E81274"/>
    <w:rsid w:val="00E8129A"/>
    <w:rsid w:val="00E812D7"/>
    <w:rsid w:val="00E8130B"/>
    <w:rsid w:val="00E81383"/>
    <w:rsid w:val="00E813C0"/>
    <w:rsid w:val="00E813ED"/>
    <w:rsid w:val="00E8145C"/>
    <w:rsid w:val="00E814A8"/>
    <w:rsid w:val="00E8151A"/>
    <w:rsid w:val="00E81526"/>
    <w:rsid w:val="00E8157B"/>
    <w:rsid w:val="00E81636"/>
    <w:rsid w:val="00E81651"/>
    <w:rsid w:val="00E816CF"/>
    <w:rsid w:val="00E817FD"/>
    <w:rsid w:val="00E81996"/>
    <w:rsid w:val="00E819EE"/>
    <w:rsid w:val="00E81A21"/>
    <w:rsid w:val="00E81A4E"/>
    <w:rsid w:val="00E81A5A"/>
    <w:rsid w:val="00E81ADC"/>
    <w:rsid w:val="00E81B4A"/>
    <w:rsid w:val="00E81C00"/>
    <w:rsid w:val="00E81C52"/>
    <w:rsid w:val="00E81C70"/>
    <w:rsid w:val="00E81CFF"/>
    <w:rsid w:val="00E81D27"/>
    <w:rsid w:val="00E81D9F"/>
    <w:rsid w:val="00E81E8F"/>
    <w:rsid w:val="00E81F3D"/>
    <w:rsid w:val="00E81FDD"/>
    <w:rsid w:val="00E81FF9"/>
    <w:rsid w:val="00E82018"/>
    <w:rsid w:val="00E82025"/>
    <w:rsid w:val="00E82146"/>
    <w:rsid w:val="00E821A1"/>
    <w:rsid w:val="00E821AB"/>
    <w:rsid w:val="00E821FB"/>
    <w:rsid w:val="00E822AF"/>
    <w:rsid w:val="00E82396"/>
    <w:rsid w:val="00E8241D"/>
    <w:rsid w:val="00E8247F"/>
    <w:rsid w:val="00E82509"/>
    <w:rsid w:val="00E82633"/>
    <w:rsid w:val="00E8266A"/>
    <w:rsid w:val="00E8266E"/>
    <w:rsid w:val="00E82672"/>
    <w:rsid w:val="00E82768"/>
    <w:rsid w:val="00E827B2"/>
    <w:rsid w:val="00E82809"/>
    <w:rsid w:val="00E82862"/>
    <w:rsid w:val="00E829EC"/>
    <w:rsid w:val="00E829F2"/>
    <w:rsid w:val="00E82B0B"/>
    <w:rsid w:val="00E82B12"/>
    <w:rsid w:val="00E82B24"/>
    <w:rsid w:val="00E82BA4"/>
    <w:rsid w:val="00E82C44"/>
    <w:rsid w:val="00E82CC0"/>
    <w:rsid w:val="00E82DAA"/>
    <w:rsid w:val="00E82EFC"/>
    <w:rsid w:val="00E82F44"/>
    <w:rsid w:val="00E82F50"/>
    <w:rsid w:val="00E82F67"/>
    <w:rsid w:val="00E83000"/>
    <w:rsid w:val="00E831DE"/>
    <w:rsid w:val="00E832A1"/>
    <w:rsid w:val="00E833BD"/>
    <w:rsid w:val="00E833C1"/>
    <w:rsid w:val="00E83440"/>
    <w:rsid w:val="00E83512"/>
    <w:rsid w:val="00E83612"/>
    <w:rsid w:val="00E8361E"/>
    <w:rsid w:val="00E8366C"/>
    <w:rsid w:val="00E83684"/>
    <w:rsid w:val="00E836A7"/>
    <w:rsid w:val="00E836E5"/>
    <w:rsid w:val="00E83823"/>
    <w:rsid w:val="00E838D6"/>
    <w:rsid w:val="00E8390F"/>
    <w:rsid w:val="00E83941"/>
    <w:rsid w:val="00E839DC"/>
    <w:rsid w:val="00E83A4F"/>
    <w:rsid w:val="00E83B16"/>
    <w:rsid w:val="00E83C1B"/>
    <w:rsid w:val="00E83C5E"/>
    <w:rsid w:val="00E83C7F"/>
    <w:rsid w:val="00E83D00"/>
    <w:rsid w:val="00E83D71"/>
    <w:rsid w:val="00E83E5D"/>
    <w:rsid w:val="00E83ECE"/>
    <w:rsid w:val="00E83F71"/>
    <w:rsid w:val="00E83F78"/>
    <w:rsid w:val="00E83F81"/>
    <w:rsid w:val="00E83FAB"/>
    <w:rsid w:val="00E8403A"/>
    <w:rsid w:val="00E840EB"/>
    <w:rsid w:val="00E84179"/>
    <w:rsid w:val="00E84184"/>
    <w:rsid w:val="00E8428F"/>
    <w:rsid w:val="00E842CA"/>
    <w:rsid w:val="00E84331"/>
    <w:rsid w:val="00E843C3"/>
    <w:rsid w:val="00E843EE"/>
    <w:rsid w:val="00E843EF"/>
    <w:rsid w:val="00E84463"/>
    <w:rsid w:val="00E8449E"/>
    <w:rsid w:val="00E844DA"/>
    <w:rsid w:val="00E84501"/>
    <w:rsid w:val="00E84504"/>
    <w:rsid w:val="00E84523"/>
    <w:rsid w:val="00E84549"/>
    <w:rsid w:val="00E8471B"/>
    <w:rsid w:val="00E8480C"/>
    <w:rsid w:val="00E84876"/>
    <w:rsid w:val="00E84889"/>
    <w:rsid w:val="00E848A0"/>
    <w:rsid w:val="00E849B8"/>
    <w:rsid w:val="00E84A8B"/>
    <w:rsid w:val="00E84AFE"/>
    <w:rsid w:val="00E84B53"/>
    <w:rsid w:val="00E84B7F"/>
    <w:rsid w:val="00E84C40"/>
    <w:rsid w:val="00E84CC6"/>
    <w:rsid w:val="00E84CD9"/>
    <w:rsid w:val="00E84CE4"/>
    <w:rsid w:val="00E84D1D"/>
    <w:rsid w:val="00E84D8B"/>
    <w:rsid w:val="00E84D91"/>
    <w:rsid w:val="00E84DAC"/>
    <w:rsid w:val="00E84DD9"/>
    <w:rsid w:val="00E84DF7"/>
    <w:rsid w:val="00E84DFC"/>
    <w:rsid w:val="00E84E3F"/>
    <w:rsid w:val="00E84E4E"/>
    <w:rsid w:val="00E84E71"/>
    <w:rsid w:val="00E84EA8"/>
    <w:rsid w:val="00E84EB5"/>
    <w:rsid w:val="00E84EC5"/>
    <w:rsid w:val="00E84EED"/>
    <w:rsid w:val="00E84FC8"/>
    <w:rsid w:val="00E85032"/>
    <w:rsid w:val="00E85039"/>
    <w:rsid w:val="00E85124"/>
    <w:rsid w:val="00E851F4"/>
    <w:rsid w:val="00E8522D"/>
    <w:rsid w:val="00E85237"/>
    <w:rsid w:val="00E85240"/>
    <w:rsid w:val="00E85378"/>
    <w:rsid w:val="00E853CB"/>
    <w:rsid w:val="00E8541A"/>
    <w:rsid w:val="00E8541F"/>
    <w:rsid w:val="00E85442"/>
    <w:rsid w:val="00E8544D"/>
    <w:rsid w:val="00E85475"/>
    <w:rsid w:val="00E85723"/>
    <w:rsid w:val="00E85734"/>
    <w:rsid w:val="00E8577F"/>
    <w:rsid w:val="00E857DC"/>
    <w:rsid w:val="00E857E4"/>
    <w:rsid w:val="00E85811"/>
    <w:rsid w:val="00E85872"/>
    <w:rsid w:val="00E85889"/>
    <w:rsid w:val="00E858D2"/>
    <w:rsid w:val="00E858E9"/>
    <w:rsid w:val="00E85948"/>
    <w:rsid w:val="00E85952"/>
    <w:rsid w:val="00E85A6C"/>
    <w:rsid w:val="00E85AAC"/>
    <w:rsid w:val="00E85AEC"/>
    <w:rsid w:val="00E85AFF"/>
    <w:rsid w:val="00E85B61"/>
    <w:rsid w:val="00E85B9C"/>
    <w:rsid w:val="00E85BF4"/>
    <w:rsid w:val="00E85BFC"/>
    <w:rsid w:val="00E85C23"/>
    <w:rsid w:val="00E85C5E"/>
    <w:rsid w:val="00E85D42"/>
    <w:rsid w:val="00E85E51"/>
    <w:rsid w:val="00E85F2E"/>
    <w:rsid w:val="00E85FA2"/>
    <w:rsid w:val="00E8600D"/>
    <w:rsid w:val="00E86011"/>
    <w:rsid w:val="00E860A1"/>
    <w:rsid w:val="00E860D9"/>
    <w:rsid w:val="00E861A7"/>
    <w:rsid w:val="00E86252"/>
    <w:rsid w:val="00E862DE"/>
    <w:rsid w:val="00E8631F"/>
    <w:rsid w:val="00E86320"/>
    <w:rsid w:val="00E863A5"/>
    <w:rsid w:val="00E863A8"/>
    <w:rsid w:val="00E86448"/>
    <w:rsid w:val="00E864B3"/>
    <w:rsid w:val="00E864CD"/>
    <w:rsid w:val="00E86639"/>
    <w:rsid w:val="00E866A7"/>
    <w:rsid w:val="00E866E1"/>
    <w:rsid w:val="00E866E6"/>
    <w:rsid w:val="00E86724"/>
    <w:rsid w:val="00E8672C"/>
    <w:rsid w:val="00E86760"/>
    <w:rsid w:val="00E8678F"/>
    <w:rsid w:val="00E867AE"/>
    <w:rsid w:val="00E867FA"/>
    <w:rsid w:val="00E8690A"/>
    <w:rsid w:val="00E8692D"/>
    <w:rsid w:val="00E86933"/>
    <w:rsid w:val="00E86A04"/>
    <w:rsid w:val="00E86A1C"/>
    <w:rsid w:val="00E86A58"/>
    <w:rsid w:val="00E86ACC"/>
    <w:rsid w:val="00E86AF8"/>
    <w:rsid w:val="00E86C91"/>
    <w:rsid w:val="00E86CC2"/>
    <w:rsid w:val="00E86CCF"/>
    <w:rsid w:val="00E86CD7"/>
    <w:rsid w:val="00E86CF2"/>
    <w:rsid w:val="00E86D92"/>
    <w:rsid w:val="00E86E6B"/>
    <w:rsid w:val="00E86F0D"/>
    <w:rsid w:val="00E86F0E"/>
    <w:rsid w:val="00E86F81"/>
    <w:rsid w:val="00E86FBB"/>
    <w:rsid w:val="00E8701C"/>
    <w:rsid w:val="00E8701D"/>
    <w:rsid w:val="00E87039"/>
    <w:rsid w:val="00E8706B"/>
    <w:rsid w:val="00E87082"/>
    <w:rsid w:val="00E8709B"/>
    <w:rsid w:val="00E870DB"/>
    <w:rsid w:val="00E87150"/>
    <w:rsid w:val="00E871B1"/>
    <w:rsid w:val="00E871C3"/>
    <w:rsid w:val="00E871C4"/>
    <w:rsid w:val="00E8726C"/>
    <w:rsid w:val="00E87375"/>
    <w:rsid w:val="00E873E2"/>
    <w:rsid w:val="00E87450"/>
    <w:rsid w:val="00E87453"/>
    <w:rsid w:val="00E874A2"/>
    <w:rsid w:val="00E875F5"/>
    <w:rsid w:val="00E8763C"/>
    <w:rsid w:val="00E87654"/>
    <w:rsid w:val="00E87659"/>
    <w:rsid w:val="00E8768E"/>
    <w:rsid w:val="00E87809"/>
    <w:rsid w:val="00E878D0"/>
    <w:rsid w:val="00E878EE"/>
    <w:rsid w:val="00E879CF"/>
    <w:rsid w:val="00E87A21"/>
    <w:rsid w:val="00E87A2F"/>
    <w:rsid w:val="00E87A91"/>
    <w:rsid w:val="00E87BDF"/>
    <w:rsid w:val="00E87C7B"/>
    <w:rsid w:val="00E87C8D"/>
    <w:rsid w:val="00E87D47"/>
    <w:rsid w:val="00E87D50"/>
    <w:rsid w:val="00E87E85"/>
    <w:rsid w:val="00E87E96"/>
    <w:rsid w:val="00E87F0C"/>
    <w:rsid w:val="00E87F23"/>
    <w:rsid w:val="00E87F89"/>
    <w:rsid w:val="00E90030"/>
    <w:rsid w:val="00E90033"/>
    <w:rsid w:val="00E90041"/>
    <w:rsid w:val="00E90084"/>
    <w:rsid w:val="00E90193"/>
    <w:rsid w:val="00E901B0"/>
    <w:rsid w:val="00E901F4"/>
    <w:rsid w:val="00E90222"/>
    <w:rsid w:val="00E90246"/>
    <w:rsid w:val="00E903C4"/>
    <w:rsid w:val="00E90420"/>
    <w:rsid w:val="00E904B9"/>
    <w:rsid w:val="00E905B8"/>
    <w:rsid w:val="00E9060D"/>
    <w:rsid w:val="00E90635"/>
    <w:rsid w:val="00E9066D"/>
    <w:rsid w:val="00E90687"/>
    <w:rsid w:val="00E90711"/>
    <w:rsid w:val="00E90843"/>
    <w:rsid w:val="00E9085E"/>
    <w:rsid w:val="00E908C6"/>
    <w:rsid w:val="00E908E7"/>
    <w:rsid w:val="00E90920"/>
    <w:rsid w:val="00E9096B"/>
    <w:rsid w:val="00E9098B"/>
    <w:rsid w:val="00E90A28"/>
    <w:rsid w:val="00E90A6F"/>
    <w:rsid w:val="00E90AC0"/>
    <w:rsid w:val="00E90B22"/>
    <w:rsid w:val="00E90B57"/>
    <w:rsid w:val="00E90C3B"/>
    <w:rsid w:val="00E90CF0"/>
    <w:rsid w:val="00E90D07"/>
    <w:rsid w:val="00E90DC0"/>
    <w:rsid w:val="00E90E4C"/>
    <w:rsid w:val="00E90F39"/>
    <w:rsid w:val="00E9104B"/>
    <w:rsid w:val="00E910C3"/>
    <w:rsid w:val="00E91165"/>
    <w:rsid w:val="00E9118B"/>
    <w:rsid w:val="00E91198"/>
    <w:rsid w:val="00E911D4"/>
    <w:rsid w:val="00E911DD"/>
    <w:rsid w:val="00E912BD"/>
    <w:rsid w:val="00E9130F"/>
    <w:rsid w:val="00E91319"/>
    <w:rsid w:val="00E9133F"/>
    <w:rsid w:val="00E9136B"/>
    <w:rsid w:val="00E9138E"/>
    <w:rsid w:val="00E91397"/>
    <w:rsid w:val="00E9144B"/>
    <w:rsid w:val="00E914CB"/>
    <w:rsid w:val="00E914E3"/>
    <w:rsid w:val="00E914FB"/>
    <w:rsid w:val="00E9155E"/>
    <w:rsid w:val="00E91651"/>
    <w:rsid w:val="00E91671"/>
    <w:rsid w:val="00E91678"/>
    <w:rsid w:val="00E9173B"/>
    <w:rsid w:val="00E91744"/>
    <w:rsid w:val="00E917E0"/>
    <w:rsid w:val="00E9181C"/>
    <w:rsid w:val="00E918A9"/>
    <w:rsid w:val="00E918D2"/>
    <w:rsid w:val="00E918D7"/>
    <w:rsid w:val="00E91960"/>
    <w:rsid w:val="00E9196B"/>
    <w:rsid w:val="00E91A4E"/>
    <w:rsid w:val="00E91C33"/>
    <w:rsid w:val="00E91C36"/>
    <w:rsid w:val="00E91C55"/>
    <w:rsid w:val="00E91C5A"/>
    <w:rsid w:val="00E91CA8"/>
    <w:rsid w:val="00E91CE2"/>
    <w:rsid w:val="00E91D63"/>
    <w:rsid w:val="00E91DB1"/>
    <w:rsid w:val="00E91E3C"/>
    <w:rsid w:val="00E91E74"/>
    <w:rsid w:val="00E91EED"/>
    <w:rsid w:val="00E91EF1"/>
    <w:rsid w:val="00E91F6B"/>
    <w:rsid w:val="00E91F70"/>
    <w:rsid w:val="00E91FCB"/>
    <w:rsid w:val="00E9205A"/>
    <w:rsid w:val="00E92076"/>
    <w:rsid w:val="00E92094"/>
    <w:rsid w:val="00E920D4"/>
    <w:rsid w:val="00E92111"/>
    <w:rsid w:val="00E92153"/>
    <w:rsid w:val="00E92164"/>
    <w:rsid w:val="00E921DA"/>
    <w:rsid w:val="00E92207"/>
    <w:rsid w:val="00E9229E"/>
    <w:rsid w:val="00E9230B"/>
    <w:rsid w:val="00E9231C"/>
    <w:rsid w:val="00E92338"/>
    <w:rsid w:val="00E9233E"/>
    <w:rsid w:val="00E92409"/>
    <w:rsid w:val="00E92423"/>
    <w:rsid w:val="00E924EF"/>
    <w:rsid w:val="00E925AC"/>
    <w:rsid w:val="00E92609"/>
    <w:rsid w:val="00E9263D"/>
    <w:rsid w:val="00E926E2"/>
    <w:rsid w:val="00E92732"/>
    <w:rsid w:val="00E92757"/>
    <w:rsid w:val="00E92790"/>
    <w:rsid w:val="00E927A0"/>
    <w:rsid w:val="00E92883"/>
    <w:rsid w:val="00E928D7"/>
    <w:rsid w:val="00E928E3"/>
    <w:rsid w:val="00E92946"/>
    <w:rsid w:val="00E92978"/>
    <w:rsid w:val="00E92979"/>
    <w:rsid w:val="00E929D6"/>
    <w:rsid w:val="00E92A19"/>
    <w:rsid w:val="00E92A52"/>
    <w:rsid w:val="00E92AA9"/>
    <w:rsid w:val="00E92ABF"/>
    <w:rsid w:val="00E92AE8"/>
    <w:rsid w:val="00E92AEE"/>
    <w:rsid w:val="00E92BA3"/>
    <w:rsid w:val="00E92C74"/>
    <w:rsid w:val="00E92C87"/>
    <w:rsid w:val="00E92DB1"/>
    <w:rsid w:val="00E92DC6"/>
    <w:rsid w:val="00E92DCF"/>
    <w:rsid w:val="00E92E9B"/>
    <w:rsid w:val="00E92F03"/>
    <w:rsid w:val="00E92FE9"/>
    <w:rsid w:val="00E92FEE"/>
    <w:rsid w:val="00E93023"/>
    <w:rsid w:val="00E93035"/>
    <w:rsid w:val="00E9303D"/>
    <w:rsid w:val="00E930E7"/>
    <w:rsid w:val="00E93133"/>
    <w:rsid w:val="00E93146"/>
    <w:rsid w:val="00E93169"/>
    <w:rsid w:val="00E9316E"/>
    <w:rsid w:val="00E931C3"/>
    <w:rsid w:val="00E931D1"/>
    <w:rsid w:val="00E9320F"/>
    <w:rsid w:val="00E9321C"/>
    <w:rsid w:val="00E93221"/>
    <w:rsid w:val="00E9323F"/>
    <w:rsid w:val="00E932B5"/>
    <w:rsid w:val="00E932D5"/>
    <w:rsid w:val="00E93345"/>
    <w:rsid w:val="00E933C0"/>
    <w:rsid w:val="00E9346C"/>
    <w:rsid w:val="00E93488"/>
    <w:rsid w:val="00E934B6"/>
    <w:rsid w:val="00E93589"/>
    <w:rsid w:val="00E9360D"/>
    <w:rsid w:val="00E9361A"/>
    <w:rsid w:val="00E936D0"/>
    <w:rsid w:val="00E93705"/>
    <w:rsid w:val="00E9378C"/>
    <w:rsid w:val="00E93867"/>
    <w:rsid w:val="00E93871"/>
    <w:rsid w:val="00E93878"/>
    <w:rsid w:val="00E9388A"/>
    <w:rsid w:val="00E93895"/>
    <w:rsid w:val="00E9389C"/>
    <w:rsid w:val="00E938C0"/>
    <w:rsid w:val="00E93906"/>
    <w:rsid w:val="00E9393A"/>
    <w:rsid w:val="00E9393F"/>
    <w:rsid w:val="00E93949"/>
    <w:rsid w:val="00E93952"/>
    <w:rsid w:val="00E9398B"/>
    <w:rsid w:val="00E939B3"/>
    <w:rsid w:val="00E939CF"/>
    <w:rsid w:val="00E93A5B"/>
    <w:rsid w:val="00E93B36"/>
    <w:rsid w:val="00E93B55"/>
    <w:rsid w:val="00E93BB5"/>
    <w:rsid w:val="00E93BEC"/>
    <w:rsid w:val="00E93D4C"/>
    <w:rsid w:val="00E93E30"/>
    <w:rsid w:val="00E93E4D"/>
    <w:rsid w:val="00E93E78"/>
    <w:rsid w:val="00E93ECB"/>
    <w:rsid w:val="00E93EE4"/>
    <w:rsid w:val="00E93F39"/>
    <w:rsid w:val="00E93F41"/>
    <w:rsid w:val="00E94038"/>
    <w:rsid w:val="00E941E4"/>
    <w:rsid w:val="00E9420C"/>
    <w:rsid w:val="00E94307"/>
    <w:rsid w:val="00E943C6"/>
    <w:rsid w:val="00E94418"/>
    <w:rsid w:val="00E9443B"/>
    <w:rsid w:val="00E94465"/>
    <w:rsid w:val="00E9446C"/>
    <w:rsid w:val="00E944E1"/>
    <w:rsid w:val="00E94587"/>
    <w:rsid w:val="00E945DB"/>
    <w:rsid w:val="00E9461F"/>
    <w:rsid w:val="00E9464F"/>
    <w:rsid w:val="00E94784"/>
    <w:rsid w:val="00E947CF"/>
    <w:rsid w:val="00E94832"/>
    <w:rsid w:val="00E9485E"/>
    <w:rsid w:val="00E9488A"/>
    <w:rsid w:val="00E948B6"/>
    <w:rsid w:val="00E948B7"/>
    <w:rsid w:val="00E94950"/>
    <w:rsid w:val="00E9496A"/>
    <w:rsid w:val="00E94991"/>
    <w:rsid w:val="00E94B15"/>
    <w:rsid w:val="00E94B2C"/>
    <w:rsid w:val="00E94C32"/>
    <w:rsid w:val="00E94C89"/>
    <w:rsid w:val="00E94CF5"/>
    <w:rsid w:val="00E94D57"/>
    <w:rsid w:val="00E94DEE"/>
    <w:rsid w:val="00E94E19"/>
    <w:rsid w:val="00E94E34"/>
    <w:rsid w:val="00E94E65"/>
    <w:rsid w:val="00E94E77"/>
    <w:rsid w:val="00E94E79"/>
    <w:rsid w:val="00E94EC4"/>
    <w:rsid w:val="00E94EFD"/>
    <w:rsid w:val="00E94FC2"/>
    <w:rsid w:val="00E94FF6"/>
    <w:rsid w:val="00E94FFB"/>
    <w:rsid w:val="00E950B9"/>
    <w:rsid w:val="00E95120"/>
    <w:rsid w:val="00E95172"/>
    <w:rsid w:val="00E9517F"/>
    <w:rsid w:val="00E951CF"/>
    <w:rsid w:val="00E95229"/>
    <w:rsid w:val="00E952A3"/>
    <w:rsid w:val="00E952DB"/>
    <w:rsid w:val="00E953A4"/>
    <w:rsid w:val="00E954B3"/>
    <w:rsid w:val="00E9550E"/>
    <w:rsid w:val="00E9567F"/>
    <w:rsid w:val="00E956A1"/>
    <w:rsid w:val="00E956B9"/>
    <w:rsid w:val="00E956CB"/>
    <w:rsid w:val="00E956D1"/>
    <w:rsid w:val="00E9570A"/>
    <w:rsid w:val="00E95734"/>
    <w:rsid w:val="00E95777"/>
    <w:rsid w:val="00E9578A"/>
    <w:rsid w:val="00E9593E"/>
    <w:rsid w:val="00E959EE"/>
    <w:rsid w:val="00E95BA0"/>
    <w:rsid w:val="00E95BCA"/>
    <w:rsid w:val="00E95BE9"/>
    <w:rsid w:val="00E95C0A"/>
    <w:rsid w:val="00E95C21"/>
    <w:rsid w:val="00E95D5C"/>
    <w:rsid w:val="00E95D70"/>
    <w:rsid w:val="00E95D9D"/>
    <w:rsid w:val="00E95DC3"/>
    <w:rsid w:val="00E95E10"/>
    <w:rsid w:val="00E95E93"/>
    <w:rsid w:val="00E95EAF"/>
    <w:rsid w:val="00E95ED3"/>
    <w:rsid w:val="00E95EF7"/>
    <w:rsid w:val="00E95F03"/>
    <w:rsid w:val="00E96003"/>
    <w:rsid w:val="00E96039"/>
    <w:rsid w:val="00E96041"/>
    <w:rsid w:val="00E96048"/>
    <w:rsid w:val="00E9608C"/>
    <w:rsid w:val="00E96152"/>
    <w:rsid w:val="00E96163"/>
    <w:rsid w:val="00E96198"/>
    <w:rsid w:val="00E96265"/>
    <w:rsid w:val="00E9627A"/>
    <w:rsid w:val="00E96283"/>
    <w:rsid w:val="00E96290"/>
    <w:rsid w:val="00E962D0"/>
    <w:rsid w:val="00E962FA"/>
    <w:rsid w:val="00E963A0"/>
    <w:rsid w:val="00E963CC"/>
    <w:rsid w:val="00E963E8"/>
    <w:rsid w:val="00E96438"/>
    <w:rsid w:val="00E96550"/>
    <w:rsid w:val="00E9655C"/>
    <w:rsid w:val="00E96565"/>
    <w:rsid w:val="00E965C2"/>
    <w:rsid w:val="00E9664D"/>
    <w:rsid w:val="00E966F5"/>
    <w:rsid w:val="00E966FA"/>
    <w:rsid w:val="00E96735"/>
    <w:rsid w:val="00E96747"/>
    <w:rsid w:val="00E96773"/>
    <w:rsid w:val="00E9677A"/>
    <w:rsid w:val="00E967DC"/>
    <w:rsid w:val="00E96883"/>
    <w:rsid w:val="00E9694F"/>
    <w:rsid w:val="00E9697C"/>
    <w:rsid w:val="00E9699E"/>
    <w:rsid w:val="00E96A82"/>
    <w:rsid w:val="00E96AD9"/>
    <w:rsid w:val="00E96B5D"/>
    <w:rsid w:val="00E96B7A"/>
    <w:rsid w:val="00E96BA0"/>
    <w:rsid w:val="00E96BBF"/>
    <w:rsid w:val="00E96C05"/>
    <w:rsid w:val="00E96D65"/>
    <w:rsid w:val="00E96EB0"/>
    <w:rsid w:val="00E96ED2"/>
    <w:rsid w:val="00E96EF2"/>
    <w:rsid w:val="00E96F45"/>
    <w:rsid w:val="00E96F66"/>
    <w:rsid w:val="00E96FD1"/>
    <w:rsid w:val="00E96FE9"/>
    <w:rsid w:val="00E97129"/>
    <w:rsid w:val="00E9714B"/>
    <w:rsid w:val="00E97177"/>
    <w:rsid w:val="00E972BB"/>
    <w:rsid w:val="00E972D1"/>
    <w:rsid w:val="00E9731C"/>
    <w:rsid w:val="00E9733A"/>
    <w:rsid w:val="00E9733F"/>
    <w:rsid w:val="00E97379"/>
    <w:rsid w:val="00E973CE"/>
    <w:rsid w:val="00E973F7"/>
    <w:rsid w:val="00E97411"/>
    <w:rsid w:val="00E97452"/>
    <w:rsid w:val="00E97486"/>
    <w:rsid w:val="00E974D0"/>
    <w:rsid w:val="00E974E2"/>
    <w:rsid w:val="00E975FC"/>
    <w:rsid w:val="00E976C9"/>
    <w:rsid w:val="00E9773B"/>
    <w:rsid w:val="00E97755"/>
    <w:rsid w:val="00E977B7"/>
    <w:rsid w:val="00E97866"/>
    <w:rsid w:val="00E97897"/>
    <w:rsid w:val="00E9789F"/>
    <w:rsid w:val="00E97904"/>
    <w:rsid w:val="00E979E7"/>
    <w:rsid w:val="00E97A62"/>
    <w:rsid w:val="00E97AF1"/>
    <w:rsid w:val="00E97B39"/>
    <w:rsid w:val="00E97BD3"/>
    <w:rsid w:val="00E97C0E"/>
    <w:rsid w:val="00E97C58"/>
    <w:rsid w:val="00E97D9E"/>
    <w:rsid w:val="00E97DB7"/>
    <w:rsid w:val="00E97DC7"/>
    <w:rsid w:val="00E97DFF"/>
    <w:rsid w:val="00E97E7E"/>
    <w:rsid w:val="00E97F83"/>
    <w:rsid w:val="00E97F91"/>
    <w:rsid w:val="00EA002D"/>
    <w:rsid w:val="00EA012F"/>
    <w:rsid w:val="00EA016C"/>
    <w:rsid w:val="00EA01BA"/>
    <w:rsid w:val="00EA01E8"/>
    <w:rsid w:val="00EA0210"/>
    <w:rsid w:val="00EA0236"/>
    <w:rsid w:val="00EA03D2"/>
    <w:rsid w:val="00EA03E8"/>
    <w:rsid w:val="00EA03EA"/>
    <w:rsid w:val="00EA049E"/>
    <w:rsid w:val="00EA04A7"/>
    <w:rsid w:val="00EA04C6"/>
    <w:rsid w:val="00EA04D7"/>
    <w:rsid w:val="00EA061E"/>
    <w:rsid w:val="00EA0623"/>
    <w:rsid w:val="00EA063C"/>
    <w:rsid w:val="00EA06BE"/>
    <w:rsid w:val="00EA071F"/>
    <w:rsid w:val="00EA07E5"/>
    <w:rsid w:val="00EA07F9"/>
    <w:rsid w:val="00EA082F"/>
    <w:rsid w:val="00EA0993"/>
    <w:rsid w:val="00EA09F1"/>
    <w:rsid w:val="00EA0A0A"/>
    <w:rsid w:val="00EA0A52"/>
    <w:rsid w:val="00EA0A53"/>
    <w:rsid w:val="00EA0A92"/>
    <w:rsid w:val="00EA0B4E"/>
    <w:rsid w:val="00EA0B53"/>
    <w:rsid w:val="00EA0BAC"/>
    <w:rsid w:val="00EA0BAD"/>
    <w:rsid w:val="00EA0BD0"/>
    <w:rsid w:val="00EA0C4D"/>
    <w:rsid w:val="00EA0CB3"/>
    <w:rsid w:val="00EA0CC6"/>
    <w:rsid w:val="00EA0CFA"/>
    <w:rsid w:val="00EA0D4F"/>
    <w:rsid w:val="00EA0DDA"/>
    <w:rsid w:val="00EA0DDE"/>
    <w:rsid w:val="00EA0DF3"/>
    <w:rsid w:val="00EA0E22"/>
    <w:rsid w:val="00EA0EBB"/>
    <w:rsid w:val="00EA0EBD"/>
    <w:rsid w:val="00EA0ED7"/>
    <w:rsid w:val="00EA0F8C"/>
    <w:rsid w:val="00EA0FA4"/>
    <w:rsid w:val="00EA0FD7"/>
    <w:rsid w:val="00EA1023"/>
    <w:rsid w:val="00EA105F"/>
    <w:rsid w:val="00EA1073"/>
    <w:rsid w:val="00EA109A"/>
    <w:rsid w:val="00EA1144"/>
    <w:rsid w:val="00EA1162"/>
    <w:rsid w:val="00EA1228"/>
    <w:rsid w:val="00EA1261"/>
    <w:rsid w:val="00EA1295"/>
    <w:rsid w:val="00EA12C3"/>
    <w:rsid w:val="00EA12C9"/>
    <w:rsid w:val="00EA1323"/>
    <w:rsid w:val="00EA1378"/>
    <w:rsid w:val="00EA13A0"/>
    <w:rsid w:val="00EA13DD"/>
    <w:rsid w:val="00EA140A"/>
    <w:rsid w:val="00EA142D"/>
    <w:rsid w:val="00EA14C0"/>
    <w:rsid w:val="00EA1573"/>
    <w:rsid w:val="00EA15CF"/>
    <w:rsid w:val="00EA1608"/>
    <w:rsid w:val="00EA162C"/>
    <w:rsid w:val="00EA1683"/>
    <w:rsid w:val="00EA169E"/>
    <w:rsid w:val="00EA1716"/>
    <w:rsid w:val="00EA1972"/>
    <w:rsid w:val="00EA1A66"/>
    <w:rsid w:val="00EA1BA2"/>
    <w:rsid w:val="00EA1BAC"/>
    <w:rsid w:val="00EA1BB0"/>
    <w:rsid w:val="00EA1BE7"/>
    <w:rsid w:val="00EA1C18"/>
    <w:rsid w:val="00EA1C5C"/>
    <w:rsid w:val="00EA1C79"/>
    <w:rsid w:val="00EA1D74"/>
    <w:rsid w:val="00EA1D7C"/>
    <w:rsid w:val="00EA1D91"/>
    <w:rsid w:val="00EA1DA9"/>
    <w:rsid w:val="00EA1DB8"/>
    <w:rsid w:val="00EA1E13"/>
    <w:rsid w:val="00EA1F2A"/>
    <w:rsid w:val="00EA1F7C"/>
    <w:rsid w:val="00EA1FC9"/>
    <w:rsid w:val="00EA1FF2"/>
    <w:rsid w:val="00EA200A"/>
    <w:rsid w:val="00EA20A7"/>
    <w:rsid w:val="00EA20D3"/>
    <w:rsid w:val="00EA218D"/>
    <w:rsid w:val="00EA2199"/>
    <w:rsid w:val="00EA21E9"/>
    <w:rsid w:val="00EA21F3"/>
    <w:rsid w:val="00EA22AB"/>
    <w:rsid w:val="00EA22F7"/>
    <w:rsid w:val="00EA23C9"/>
    <w:rsid w:val="00EA2423"/>
    <w:rsid w:val="00EA2499"/>
    <w:rsid w:val="00EA264C"/>
    <w:rsid w:val="00EA2667"/>
    <w:rsid w:val="00EA26FA"/>
    <w:rsid w:val="00EA2784"/>
    <w:rsid w:val="00EA27C4"/>
    <w:rsid w:val="00EA2858"/>
    <w:rsid w:val="00EA2863"/>
    <w:rsid w:val="00EA28BF"/>
    <w:rsid w:val="00EA294E"/>
    <w:rsid w:val="00EA297D"/>
    <w:rsid w:val="00EA2994"/>
    <w:rsid w:val="00EA2A3D"/>
    <w:rsid w:val="00EA2A72"/>
    <w:rsid w:val="00EA2AC3"/>
    <w:rsid w:val="00EA2AE9"/>
    <w:rsid w:val="00EA2B97"/>
    <w:rsid w:val="00EA2C3F"/>
    <w:rsid w:val="00EA2C57"/>
    <w:rsid w:val="00EA2C7B"/>
    <w:rsid w:val="00EA2C7D"/>
    <w:rsid w:val="00EA2CB3"/>
    <w:rsid w:val="00EA2D75"/>
    <w:rsid w:val="00EA2D95"/>
    <w:rsid w:val="00EA2DDA"/>
    <w:rsid w:val="00EA2DE9"/>
    <w:rsid w:val="00EA2E52"/>
    <w:rsid w:val="00EA2E72"/>
    <w:rsid w:val="00EA2EBE"/>
    <w:rsid w:val="00EA2F96"/>
    <w:rsid w:val="00EA2FCE"/>
    <w:rsid w:val="00EA3055"/>
    <w:rsid w:val="00EA306F"/>
    <w:rsid w:val="00EA3092"/>
    <w:rsid w:val="00EA31D1"/>
    <w:rsid w:val="00EA330C"/>
    <w:rsid w:val="00EA339B"/>
    <w:rsid w:val="00EA33BB"/>
    <w:rsid w:val="00EA33EB"/>
    <w:rsid w:val="00EA3407"/>
    <w:rsid w:val="00EA340B"/>
    <w:rsid w:val="00EA3470"/>
    <w:rsid w:val="00EA34CB"/>
    <w:rsid w:val="00EA3500"/>
    <w:rsid w:val="00EA350C"/>
    <w:rsid w:val="00EA3597"/>
    <w:rsid w:val="00EA359C"/>
    <w:rsid w:val="00EA36C1"/>
    <w:rsid w:val="00EA373E"/>
    <w:rsid w:val="00EA378D"/>
    <w:rsid w:val="00EA3795"/>
    <w:rsid w:val="00EA3796"/>
    <w:rsid w:val="00EA3827"/>
    <w:rsid w:val="00EA3858"/>
    <w:rsid w:val="00EA3860"/>
    <w:rsid w:val="00EA38C8"/>
    <w:rsid w:val="00EA3948"/>
    <w:rsid w:val="00EA3A92"/>
    <w:rsid w:val="00EA3BB0"/>
    <w:rsid w:val="00EA3C56"/>
    <w:rsid w:val="00EA3D01"/>
    <w:rsid w:val="00EA3D12"/>
    <w:rsid w:val="00EA3D19"/>
    <w:rsid w:val="00EA3DB2"/>
    <w:rsid w:val="00EA3E66"/>
    <w:rsid w:val="00EA3E91"/>
    <w:rsid w:val="00EA3EEC"/>
    <w:rsid w:val="00EA3F2C"/>
    <w:rsid w:val="00EA3F53"/>
    <w:rsid w:val="00EA3FA4"/>
    <w:rsid w:val="00EA3FA8"/>
    <w:rsid w:val="00EA41B1"/>
    <w:rsid w:val="00EA427B"/>
    <w:rsid w:val="00EA429C"/>
    <w:rsid w:val="00EA42F9"/>
    <w:rsid w:val="00EA4317"/>
    <w:rsid w:val="00EA4334"/>
    <w:rsid w:val="00EA4362"/>
    <w:rsid w:val="00EA4395"/>
    <w:rsid w:val="00EA440C"/>
    <w:rsid w:val="00EA4441"/>
    <w:rsid w:val="00EA4531"/>
    <w:rsid w:val="00EA4599"/>
    <w:rsid w:val="00EA45D0"/>
    <w:rsid w:val="00EA45D6"/>
    <w:rsid w:val="00EA4611"/>
    <w:rsid w:val="00EA4635"/>
    <w:rsid w:val="00EA469E"/>
    <w:rsid w:val="00EA4704"/>
    <w:rsid w:val="00EA47A3"/>
    <w:rsid w:val="00EA4801"/>
    <w:rsid w:val="00EA48EA"/>
    <w:rsid w:val="00EA490E"/>
    <w:rsid w:val="00EA496C"/>
    <w:rsid w:val="00EA4A1E"/>
    <w:rsid w:val="00EA4A85"/>
    <w:rsid w:val="00EA4ADA"/>
    <w:rsid w:val="00EA4AED"/>
    <w:rsid w:val="00EA4B0E"/>
    <w:rsid w:val="00EA4B6C"/>
    <w:rsid w:val="00EA4C33"/>
    <w:rsid w:val="00EA4C38"/>
    <w:rsid w:val="00EA4C49"/>
    <w:rsid w:val="00EA4C6C"/>
    <w:rsid w:val="00EA4C90"/>
    <w:rsid w:val="00EA4CB7"/>
    <w:rsid w:val="00EA4CC3"/>
    <w:rsid w:val="00EA4CD9"/>
    <w:rsid w:val="00EA4CF9"/>
    <w:rsid w:val="00EA4D8E"/>
    <w:rsid w:val="00EA4E15"/>
    <w:rsid w:val="00EA4E2A"/>
    <w:rsid w:val="00EA4E49"/>
    <w:rsid w:val="00EA4ED3"/>
    <w:rsid w:val="00EA4F19"/>
    <w:rsid w:val="00EA4F55"/>
    <w:rsid w:val="00EA4F8A"/>
    <w:rsid w:val="00EA4FB6"/>
    <w:rsid w:val="00EA503C"/>
    <w:rsid w:val="00EA5071"/>
    <w:rsid w:val="00EA5180"/>
    <w:rsid w:val="00EA5199"/>
    <w:rsid w:val="00EA51EC"/>
    <w:rsid w:val="00EA52B2"/>
    <w:rsid w:val="00EA5342"/>
    <w:rsid w:val="00EA5366"/>
    <w:rsid w:val="00EA5388"/>
    <w:rsid w:val="00EA53C2"/>
    <w:rsid w:val="00EA53C5"/>
    <w:rsid w:val="00EA53D4"/>
    <w:rsid w:val="00EA5499"/>
    <w:rsid w:val="00EA54F3"/>
    <w:rsid w:val="00EA5562"/>
    <w:rsid w:val="00EA5573"/>
    <w:rsid w:val="00EA56C1"/>
    <w:rsid w:val="00EA56CA"/>
    <w:rsid w:val="00EA56E3"/>
    <w:rsid w:val="00EA574B"/>
    <w:rsid w:val="00EA5787"/>
    <w:rsid w:val="00EA57AB"/>
    <w:rsid w:val="00EA5816"/>
    <w:rsid w:val="00EA5824"/>
    <w:rsid w:val="00EA58C8"/>
    <w:rsid w:val="00EA58DA"/>
    <w:rsid w:val="00EA5944"/>
    <w:rsid w:val="00EA594E"/>
    <w:rsid w:val="00EA59EE"/>
    <w:rsid w:val="00EA5A12"/>
    <w:rsid w:val="00EA5A28"/>
    <w:rsid w:val="00EA5AF5"/>
    <w:rsid w:val="00EA5AFC"/>
    <w:rsid w:val="00EA5B04"/>
    <w:rsid w:val="00EA5B53"/>
    <w:rsid w:val="00EA5B5D"/>
    <w:rsid w:val="00EA5B75"/>
    <w:rsid w:val="00EA5C2E"/>
    <w:rsid w:val="00EA5C35"/>
    <w:rsid w:val="00EA5C4E"/>
    <w:rsid w:val="00EA5C9E"/>
    <w:rsid w:val="00EA5D00"/>
    <w:rsid w:val="00EA5D32"/>
    <w:rsid w:val="00EA5D33"/>
    <w:rsid w:val="00EA5D4D"/>
    <w:rsid w:val="00EA5D6A"/>
    <w:rsid w:val="00EA5D9E"/>
    <w:rsid w:val="00EA5DB1"/>
    <w:rsid w:val="00EA5E2F"/>
    <w:rsid w:val="00EA5E61"/>
    <w:rsid w:val="00EA5E8F"/>
    <w:rsid w:val="00EA5F77"/>
    <w:rsid w:val="00EA5F7B"/>
    <w:rsid w:val="00EA5F81"/>
    <w:rsid w:val="00EA5FEF"/>
    <w:rsid w:val="00EA602A"/>
    <w:rsid w:val="00EA6078"/>
    <w:rsid w:val="00EA608D"/>
    <w:rsid w:val="00EA611E"/>
    <w:rsid w:val="00EA6157"/>
    <w:rsid w:val="00EA6176"/>
    <w:rsid w:val="00EA626F"/>
    <w:rsid w:val="00EA6282"/>
    <w:rsid w:val="00EA62FC"/>
    <w:rsid w:val="00EA6311"/>
    <w:rsid w:val="00EA6316"/>
    <w:rsid w:val="00EA6320"/>
    <w:rsid w:val="00EA6419"/>
    <w:rsid w:val="00EA6494"/>
    <w:rsid w:val="00EA652F"/>
    <w:rsid w:val="00EA6558"/>
    <w:rsid w:val="00EA6630"/>
    <w:rsid w:val="00EA6716"/>
    <w:rsid w:val="00EA67AA"/>
    <w:rsid w:val="00EA67B4"/>
    <w:rsid w:val="00EA67D2"/>
    <w:rsid w:val="00EA6848"/>
    <w:rsid w:val="00EA68E3"/>
    <w:rsid w:val="00EA6937"/>
    <w:rsid w:val="00EA69A9"/>
    <w:rsid w:val="00EA6ABF"/>
    <w:rsid w:val="00EA6B77"/>
    <w:rsid w:val="00EA6CA2"/>
    <w:rsid w:val="00EA6D36"/>
    <w:rsid w:val="00EA6D85"/>
    <w:rsid w:val="00EA6FE3"/>
    <w:rsid w:val="00EA7062"/>
    <w:rsid w:val="00EA7066"/>
    <w:rsid w:val="00EA706C"/>
    <w:rsid w:val="00EA7090"/>
    <w:rsid w:val="00EA70DC"/>
    <w:rsid w:val="00EA7121"/>
    <w:rsid w:val="00EA7179"/>
    <w:rsid w:val="00EA719C"/>
    <w:rsid w:val="00EA7207"/>
    <w:rsid w:val="00EA7274"/>
    <w:rsid w:val="00EA73AE"/>
    <w:rsid w:val="00EA74C2"/>
    <w:rsid w:val="00EA74EB"/>
    <w:rsid w:val="00EA7521"/>
    <w:rsid w:val="00EA7580"/>
    <w:rsid w:val="00EA7599"/>
    <w:rsid w:val="00EA75C7"/>
    <w:rsid w:val="00EA75FE"/>
    <w:rsid w:val="00EA7651"/>
    <w:rsid w:val="00EA76D7"/>
    <w:rsid w:val="00EA7788"/>
    <w:rsid w:val="00EA7818"/>
    <w:rsid w:val="00EA786C"/>
    <w:rsid w:val="00EA7877"/>
    <w:rsid w:val="00EA7942"/>
    <w:rsid w:val="00EA79CA"/>
    <w:rsid w:val="00EA7AAD"/>
    <w:rsid w:val="00EA7ABD"/>
    <w:rsid w:val="00EA7B8B"/>
    <w:rsid w:val="00EA7C1E"/>
    <w:rsid w:val="00EA7CB6"/>
    <w:rsid w:val="00EA7D4C"/>
    <w:rsid w:val="00EA7D89"/>
    <w:rsid w:val="00EA7DC6"/>
    <w:rsid w:val="00EA7E12"/>
    <w:rsid w:val="00EA7E4F"/>
    <w:rsid w:val="00EA7E7B"/>
    <w:rsid w:val="00EA7EC1"/>
    <w:rsid w:val="00EA7FF8"/>
    <w:rsid w:val="00EB001F"/>
    <w:rsid w:val="00EB0021"/>
    <w:rsid w:val="00EB00DD"/>
    <w:rsid w:val="00EB013E"/>
    <w:rsid w:val="00EB01A9"/>
    <w:rsid w:val="00EB0237"/>
    <w:rsid w:val="00EB0248"/>
    <w:rsid w:val="00EB03ED"/>
    <w:rsid w:val="00EB0420"/>
    <w:rsid w:val="00EB0440"/>
    <w:rsid w:val="00EB0489"/>
    <w:rsid w:val="00EB051A"/>
    <w:rsid w:val="00EB05E9"/>
    <w:rsid w:val="00EB06B9"/>
    <w:rsid w:val="00EB06E6"/>
    <w:rsid w:val="00EB06F0"/>
    <w:rsid w:val="00EB07BE"/>
    <w:rsid w:val="00EB081B"/>
    <w:rsid w:val="00EB0829"/>
    <w:rsid w:val="00EB082D"/>
    <w:rsid w:val="00EB0905"/>
    <w:rsid w:val="00EB094C"/>
    <w:rsid w:val="00EB0991"/>
    <w:rsid w:val="00EB0992"/>
    <w:rsid w:val="00EB09A9"/>
    <w:rsid w:val="00EB0A21"/>
    <w:rsid w:val="00EB0A61"/>
    <w:rsid w:val="00EB0A91"/>
    <w:rsid w:val="00EB0AE1"/>
    <w:rsid w:val="00EB0B09"/>
    <w:rsid w:val="00EB0B0D"/>
    <w:rsid w:val="00EB0B7F"/>
    <w:rsid w:val="00EB0BDF"/>
    <w:rsid w:val="00EB0C5E"/>
    <w:rsid w:val="00EB0D3C"/>
    <w:rsid w:val="00EB0D9B"/>
    <w:rsid w:val="00EB0EAE"/>
    <w:rsid w:val="00EB0ECA"/>
    <w:rsid w:val="00EB0ED2"/>
    <w:rsid w:val="00EB0ED5"/>
    <w:rsid w:val="00EB0EDC"/>
    <w:rsid w:val="00EB0F73"/>
    <w:rsid w:val="00EB0F8E"/>
    <w:rsid w:val="00EB0FE1"/>
    <w:rsid w:val="00EB1095"/>
    <w:rsid w:val="00EB10FC"/>
    <w:rsid w:val="00EB1209"/>
    <w:rsid w:val="00EB1239"/>
    <w:rsid w:val="00EB1272"/>
    <w:rsid w:val="00EB1313"/>
    <w:rsid w:val="00EB132B"/>
    <w:rsid w:val="00EB136F"/>
    <w:rsid w:val="00EB1373"/>
    <w:rsid w:val="00EB13D9"/>
    <w:rsid w:val="00EB13E5"/>
    <w:rsid w:val="00EB1442"/>
    <w:rsid w:val="00EB158E"/>
    <w:rsid w:val="00EB15C0"/>
    <w:rsid w:val="00EB15EF"/>
    <w:rsid w:val="00EB1628"/>
    <w:rsid w:val="00EB16C3"/>
    <w:rsid w:val="00EB172C"/>
    <w:rsid w:val="00EB18D7"/>
    <w:rsid w:val="00EB18EB"/>
    <w:rsid w:val="00EB192C"/>
    <w:rsid w:val="00EB19BE"/>
    <w:rsid w:val="00EB1A60"/>
    <w:rsid w:val="00EB1AAA"/>
    <w:rsid w:val="00EB1B46"/>
    <w:rsid w:val="00EB1B67"/>
    <w:rsid w:val="00EB1BC8"/>
    <w:rsid w:val="00EB1C05"/>
    <w:rsid w:val="00EB1C43"/>
    <w:rsid w:val="00EB1CCF"/>
    <w:rsid w:val="00EB1CFE"/>
    <w:rsid w:val="00EB1D28"/>
    <w:rsid w:val="00EB1D84"/>
    <w:rsid w:val="00EB1E10"/>
    <w:rsid w:val="00EB1F77"/>
    <w:rsid w:val="00EB1FDB"/>
    <w:rsid w:val="00EB1FFA"/>
    <w:rsid w:val="00EB2090"/>
    <w:rsid w:val="00EB2198"/>
    <w:rsid w:val="00EB21B0"/>
    <w:rsid w:val="00EB2240"/>
    <w:rsid w:val="00EB2269"/>
    <w:rsid w:val="00EB236A"/>
    <w:rsid w:val="00EB2517"/>
    <w:rsid w:val="00EB252A"/>
    <w:rsid w:val="00EB255E"/>
    <w:rsid w:val="00EB257B"/>
    <w:rsid w:val="00EB25D1"/>
    <w:rsid w:val="00EB264F"/>
    <w:rsid w:val="00EB2685"/>
    <w:rsid w:val="00EB26D0"/>
    <w:rsid w:val="00EB2735"/>
    <w:rsid w:val="00EB27B1"/>
    <w:rsid w:val="00EB27EB"/>
    <w:rsid w:val="00EB2828"/>
    <w:rsid w:val="00EB283E"/>
    <w:rsid w:val="00EB28AA"/>
    <w:rsid w:val="00EB28FE"/>
    <w:rsid w:val="00EB2917"/>
    <w:rsid w:val="00EB296F"/>
    <w:rsid w:val="00EB2A04"/>
    <w:rsid w:val="00EB2A54"/>
    <w:rsid w:val="00EB2A9A"/>
    <w:rsid w:val="00EB2C6A"/>
    <w:rsid w:val="00EB2CD7"/>
    <w:rsid w:val="00EB2CDF"/>
    <w:rsid w:val="00EB2D02"/>
    <w:rsid w:val="00EB2D53"/>
    <w:rsid w:val="00EB2D68"/>
    <w:rsid w:val="00EB2F07"/>
    <w:rsid w:val="00EB2F52"/>
    <w:rsid w:val="00EB3166"/>
    <w:rsid w:val="00EB32BD"/>
    <w:rsid w:val="00EB32CC"/>
    <w:rsid w:val="00EB32F1"/>
    <w:rsid w:val="00EB3313"/>
    <w:rsid w:val="00EB3327"/>
    <w:rsid w:val="00EB3363"/>
    <w:rsid w:val="00EB336C"/>
    <w:rsid w:val="00EB33ED"/>
    <w:rsid w:val="00EB3499"/>
    <w:rsid w:val="00EB34E8"/>
    <w:rsid w:val="00EB3503"/>
    <w:rsid w:val="00EB353C"/>
    <w:rsid w:val="00EB3593"/>
    <w:rsid w:val="00EB3759"/>
    <w:rsid w:val="00EB3770"/>
    <w:rsid w:val="00EB37DF"/>
    <w:rsid w:val="00EB37F4"/>
    <w:rsid w:val="00EB391C"/>
    <w:rsid w:val="00EB39D1"/>
    <w:rsid w:val="00EB3A78"/>
    <w:rsid w:val="00EB3A96"/>
    <w:rsid w:val="00EB3AB7"/>
    <w:rsid w:val="00EB3BA4"/>
    <w:rsid w:val="00EB3BE9"/>
    <w:rsid w:val="00EB3BF6"/>
    <w:rsid w:val="00EB3C0D"/>
    <w:rsid w:val="00EB3C59"/>
    <w:rsid w:val="00EB3CBB"/>
    <w:rsid w:val="00EB3D61"/>
    <w:rsid w:val="00EB3D7B"/>
    <w:rsid w:val="00EB3ECF"/>
    <w:rsid w:val="00EB3F9A"/>
    <w:rsid w:val="00EB3FC5"/>
    <w:rsid w:val="00EB400E"/>
    <w:rsid w:val="00EB4056"/>
    <w:rsid w:val="00EB407E"/>
    <w:rsid w:val="00EB4171"/>
    <w:rsid w:val="00EB41DE"/>
    <w:rsid w:val="00EB4206"/>
    <w:rsid w:val="00EB4253"/>
    <w:rsid w:val="00EB4299"/>
    <w:rsid w:val="00EB42AC"/>
    <w:rsid w:val="00EB42FC"/>
    <w:rsid w:val="00EB430C"/>
    <w:rsid w:val="00EB441D"/>
    <w:rsid w:val="00EB4531"/>
    <w:rsid w:val="00EB4561"/>
    <w:rsid w:val="00EB4565"/>
    <w:rsid w:val="00EB4585"/>
    <w:rsid w:val="00EB459C"/>
    <w:rsid w:val="00EB45B4"/>
    <w:rsid w:val="00EB45DB"/>
    <w:rsid w:val="00EB45F1"/>
    <w:rsid w:val="00EB468D"/>
    <w:rsid w:val="00EB46D5"/>
    <w:rsid w:val="00EB46E4"/>
    <w:rsid w:val="00EB47E0"/>
    <w:rsid w:val="00EB4910"/>
    <w:rsid w:val="00EB4918"/>
    <w:rsid w:val="00EB4997"/>
    <w:rsid w:val="00EB4998"/>
    <w:rsid w:val="00EB49B1"/>
    <w:rsid w:val="00EB49F0"/>
    <w:rsid w:val="00EB49F1"/>
    <w:rsid w:val="00EB4CE4"/>
    <w:rsid w:val="00EB4CFC"/>
    <w:rsid w:val="00EB4D96"/>
    <w:rsid w:val="00EB4DF4"/>
    <w:rsid w:val="00EB4ED0"/>
    <w:rsid w:val="00EB4EEA"/>
    <w:rsid w:val="00EB4F06"/>
    <w:rsid w:val="00EB4F27"/>
    <w:rsid w:val="00EB4F64"/>
    <w:rsid w:val="00EB4F67"/>
    <w:rsid w:val="00EB4F7D"/>
    <w:rsid w:val="00EB5049"/>
    <w:rsid w:val="00EB504A"/>
    <w:rsid w:val="00EB5088"/>
    <w:rsid w:val="00EB50EF"/>
    <w:rsid w:val="00EB5235"/>
    <w:rsid w:val="00EB5236"/>
    <w:rsid w:val="00EB529F"/>
    <w:rsid w:val="00EB53FE"/>
    <w:rsid w:val="00EB5492"/>
    <w:rsid w:val="00EB54D9"/>
    <w:rsid w:val="00EB54F1"/>
    <w:rsid w:val="00EB5533"/>
    <w:rsid w:val="00EB5535"/>
    <w:rsid w:val="00EB5619"/>
    <w:rsid w:val="00EB56BE"/>
    <w:rsid w:val="00EB582B"/>
    <w:rsid w:val="00EB5854"/>
    <w:rsid w:val="00EB58BE"/>
    <w:rsid w:val="00EB58E4"/>
    <w:rsid w:val="00EB597D"/>
    <w:rsid w:val="00EB59D9"/>
    <w:rsid w:val="00EB5A18"/>
    <w:rsid w:val="00EB5A3B"/>
    <w:rsid w:val="00EB5A7C"/>
    <w:rsid w:val="00EB5AA1"/>
    <w:rsid w:val="00EB5C0D"/>
    <w:rsid w:val="00EB5C33"/>
    <w:rsid w:val="00EB5C86"/>
    <w:rsid w:val="00EB5CD4"/>
    <w:rsid w:val="00EB5CD6"/>
    <w:rsid w:val="00EB5D27"/>
    <w:rsid w:val="00EB5D47"/>
    <w:rsid w:val="00EB5D9F"/>
    <w:rsid w:val="00EB5E09"/>
    <w:rsid w:val="00EB5E5F"/>
    <w:rsid w:val="00EB5E9B"/>
    <w:rsid w:val="00EB5F2B"/>
    <w:rsid w:val="00EB5F5C"/>
    <w:rsid w:val="00EB5F82"/>
    <w:rsid w:val="00EB6041"/>
    <w:rsid w:val="00EB60AD"/>
    <w:rsid w:val="00EB60B6"/>
    <w:rsid w:val="00EB61BB"/>
    <w:rsid w:val="00EB61D5"/>
    <w:rsid w:val="00EB6206"/>
    <w:rsid w:val="00EB622E"/>
    <w:rsid w:val="00EB624D"/>
    <w:rsid w:val="00EB634B"/>
    <w:rsid w:val="00EB63E8"/>
    <w:rsid w:val="00EB64F5"/>
    <w:rsid w:val="00EB662B"/>
    <w:rsid w:val="00EB6668"/>
    <w:rsid w:val="00EB667D"/>
    <w:rsid w:val="00EB66B0"/>
    <w:rsid w:val="00EB66C0"/>
    <w:rsid w:val="00EB6821"/>
    <w:rsid w:val="00EB686E"/>
    <w:rsid w:val="00EB68B4"/>
    <w:rsid w:val="00EB68D5"/>
    <w:rsid w:val="00EB6918"/>
    <w:rsid w:val="00EB6943"/>
    <w:rsid w:val="00EB694C"/>
    <w:rsid w:val="00EB69B9"/>
    <w:rsid w:val="00EB69FC"/>
    <w:rsid w:val="00EB6B0B"/>
    <w:rsid w:val="00EB6BD6"/>
    <w:rsid w:val="00EB6BF3"/>
    <w:rsid w:val="00EB6C0B"/>
    <w:rsid w:val="00EB6C61"/>
    <w:rsid w:val="00EB6C6A"/>
    <w:rsid w:val="00EB6C9F"/>
    <w:rsid w:val="00EB6CF9"/>
    <w:rsid w:val="00EB6E32"/>
    <w:rsid w:val="00EB6E37"/>
    <w:rsid w:val="00EB6E49"/>
    <w:rsid w:val="00EB6E73"/>
    <w:rsid w:val="00EB6E7F"/>
    <w:rsid w:val="00EB6E9E"/>
    <w:rsid w:val="00EB6EB9"/>
    <w:rsid w:val="00EB6F8A"/>
    <w:rsid w:val="00EB7050"/>
    <w:rsid w:val="00EB705F"/>
    <w:rsid w:val="00EB70C3"/>
    <w:rsid w:val="00EB711A"/>
    <w:rsid w:val="00EB7189"/>
    <w:rsid w:val="00EB718D"/>
    <w:rsid w:val="00EB71BF"/>
    <w:rsid w:val="00EB71F5"/>
    <w:rsid w:val="00EB721C"/>
    <w:rsid w:val="00EB723B"/>
    <w:rsid w:val="00EB723C"/>
    <w:rsid w:val="00EB72C7"/>
    <w:rsid w:val="00EB734F"/>
    <w:rsid w:val="00EB73C8"/>
    <w:rsid w:val="00EB7461"/>
    <w:rsid w:val="00EB7462"/>
    <w:rsid w:val="00EB7493"/>
    <w:rsid w:val="00EB7502"/>
    <w:rsid w:val="00EB7531"/>
    <w:rsid w:val="00EB753A"/>
    <w:rsid w:val="00EB75B8"/>
    <w:rsid w:val="00EB764C"/>
    <w:rsid w:val="00EB7650"/>
    <w:rsid w:val="00EB7658"/>
    <w:rsid w:val="00EB76AF"/>
    <w:rsid w:val="00EB770F"/>
    <w:rsid w:val="00EB7738"/>
    <w:rsid w:val="00EB7748"/>
    <w:rsid w:val="00EB78EA"/>
    <w:rsid w:val="00EB792F"/>
    <w:rsid w:val="00EB79ED"/>
    <w:rsid w:val="00EB7A0A"/>
    <w:rsid w:val="00EB7B03"/>
    <w:rsid w:val="00EB7B18"/>
    <w:rsid w:val="00EB7B82"/>
    <w:rsid w:val="00EB7D46"/>
    <w:rsid w:val="00EB7F93"/>
    <w:rsid w:val="00EB7FA8"/>
    <w:rsid w:val="00EC00A9"/>
    <w:rsid w:val="00EC0159"/>
    <w:rsid w:val="00EC01A6"/>
    <w:rsid w:val="00EC0213"/>
    <w:rsid w:val="00EC0222"/>
    <w:rsid w:val="00EC026F"/>
    <w:rsid w:val="00EC0289"/>
    <w:rsid w:val="00EC02E7"/>
    <w:rsid w:val="00EC039E"/>
    <w:rsid w:val="00EC03EA"/>
    <w:rsid w:val="00EC04A3"/>
    <w:rsid w:val="00EC056F"/>
    <w:rsid w:val="00EC058C"/>
    <w:rsid w:val="00EC05AC"/>
    <w:rsid w:val="00EC061A"/>
    <w:rsid w:val="00EC066A"/>
    <w:rsid w:val="00EC0730"/>
    <w:rsid w:val="00EC0733"/>
    <w:rsid w:val="00EC0787"/>
    <w:rsid w:val="00EC079C"/>
    <w:rsid w:val="00EC079E"/>
    <w:rsid w:val="00EC080C"/>
    <w:rsid w:val="00EC086C"/>
    <w:rsid w:val="00EC08A5"/>
    <w:rsid w:val="00EC08CC"/>
    <w:rsid w:val="00EC0937"/>
    <w:rsid w:val="00EC09C8"/>
    <w:rsid w:val="00EC09DC"/>
    <w:rsid w:val="00EC0A6F"/>
    <w:rsid w:val="00EC0A85"/>
    <w:rsid w:val="00EC0B3E"/>
    <w:rsid w:val="00EC0C49"/>
    <w:rsid w:val="00EC0D24"/>
    <w:rsid w:val="00EC0DF9"/>
    <w:rsid w:val="00EC0E11"/>
    <w:rsid w:val="00EC0E30"/>
    <w:rsid w:val="00EC0E7B"/>
    <w:rsid w:val="00EC0ED0"/>
    <w:rsid w:val="00EC0F6A"/>
    <w:rsid w:val="00EC0FC3"/>
    <w:rsid w:val="00EC0FEB"/>
    <w:rsid w:val="00EC1001"/>
    <w:rsid w:val="00EC1002"/>
    <w:rsid w:val="00EC101F"/>
    <w:rsid w:val="00EC10CF"/>
    <w:rsid w:val="00EC11C4"/>
    <w:rsid w:val="00EC11D2"/>
    <w:rsid w:val="00EC1336"/>
    <w:rsid w:val="00EC1360"/>
    <w:rsid w:val="00EC1362"/>
    <w:rsid w:val="00EC13A2"/>
    <w:rsid w:val="00EC1472"/>
    <w:rsid w:val="00EC149D"/>
    <w:rsid w:val="00EC14A2"/>
    <w:rsid w:val="00EC14AE"/>
    <w:rsid w:val="00EC151B"/>
    <w:rsid w:val="00EC1542"/>
    <w:rsid w:val="00EC1557"/>
    <w:rsid w:val="00EC1562"/>
    <w:rsid w:val="00EC159D"/>
    <w:rsid w:val="00EC15B9"/>
    <w:rsid w:val="00EC1629"/>
    <w:rsid w:val="00EC1677"/>
    <w:rsid w:val="00EC16AF"/>
    <w:rsid w:val="00EC171D"/>
    <w:rsid w:val="00EC1757"/>
    <w:rsid w:val="00EC17F3"/>
    <w:rsid w:val="00EC1800"/>
    <w:rsid w:val="00EC1801"/>
    <w:rsid w:val="00EC181F"/>
    <w:rsid w:val="00EC1886"/>
    <w:rsid w:val="00EC18B5"/>
    <w:rsid w:val="00EC18B9"/>
    <w:rsid w:val="00EC1917"/>
    <w:rsid w:val="00EC1955"/>
    <w:rsid w:val="00EC1A5E"/>
    <w:rsid w:val="00EC1AE4"/>
    <w:rsid w:val="00EC1B22"/>
    <w:rsid w:val="00EC1B2C"/>
    <w:rsid w:val="00EC1B2F"/>
    <w:rsid w:val="00EC1B34"/>
    <w:rsid w:val="00EC1B5A"/>
    <w:rsid w:val="00EC1B6B"/>
    <w:rsid w:val="00EC1BA0"/>
    <w:rsid w:val="00EC1BD3"/>
    <w:rsid w:val="00EC1BDF"/>
    <w:rsid w:val="00EC1C24"/>
    <w:rsid w:val="00EC1C8F"/>
    <w:rsid w:val="00EC1CA7"/>
    <w:rsid w:val="00EC1D86"/>
    <w:rsid w:val="00EC1DD2"/>
    <w:rsid w:val="00EC1DF1"/>
    <w:rsid w:val="00EC1E73"/>
    <w:rsid w:val="00EC1EC5"/>
    <w:rsid w:val="00EC1EEE"/>
    <w:rsid w:val="00EC1F91"/>
    <w:rsid w:val="00EC200C"/>
    <w:rsid w:val="00EC2023"/>
    <w:rsid w:val="00EC20AE"/>
    <w:rsid w:val="00EC20C2"/>
    <w:rsid w:val="00EC20E8"/>
    <w:rsid w:val="00EC210D"/>
    <w:rsid w:val="00EC2229"/>
    <w:rsid w:val="00EC2276"/>
    <w:rsid w:val="00EC2355"/>
    <w:rsid w:val="00EC2364"/>
    <w:rsid w:val="00EC237D"/>
    <w:rsid w:val="00EC23AE"/>
    <w:rsid w:val="00EC242F"/>
    <w:rsid w:val="00EC244E"/>
    <w:rsid w:val="00EC2514"/>
    <w:rsid w:val="00EC253F"/>
    <w:rsid w:val="00EC2576"/>
    <w:rsid w:val="00EC25F2"/>
    <w:rsid w:val="00EC2632"/>
    <w:rsid w:val="00EC2692"/>
    <w:rsid w:val="00EC2717"/>
    <w:rsid w:val="00EC2773"/>
    <w:rsid w:val="00EC279C"/>
    <w:rsid w:val="00EC2874"/>
    <w:rsid w:val="00EC296A"/>
    <w:rsid w:val="00EC2994"/>
    <w:rsid w:val="00EC29FA"/>
    <w:rsid w:val="00EC2A42"/>
    <w:rsid w:val="00EC2A91"/>
    <w:rsid w:val="00EC2AC9"/>
    <w:rsid w:val="00EC2B27"/>
    <w:rsid w:val="00EC2B4E"/>
    <w:rsid w:val="00EC2C87"/>
    <w:rsid w:val="00EC2CE7"/>
    <w:rsid w:val="00EC2D00"/>
    <w:rsid w:val="00EC2D19"/>
    <w:rsid w:val="00EC2D6F"/>
    <w:rsid w:val="00EC2DC3"/>
    <w:rsid w:val="00EC2E21"/>
    <w:rsid w:val="00EC2E22"/>
    <w:rsid w:val="00EC2EFB"/>
    <w:rsid w:val="00EC2F35"/>
    <w:rsid w:val="00EC2F6A"/>
    <w:rsid w:val="00EC2FF3"/>
    <w:rsid w:val="00EC301B"/>
    <w:rsid w:val="00EC3091"/>
    <w:rsid w:val="00EC30E5"/>
    <w:rsid w:val="00EC30F9"/>
    <w:rsid w:val="00EC3281"/>
    <w:rsid w:val="00EC3313"/>
    <w:rsid w:val="00EC334C"/>
    <w:rsid w:val="00EC33A6"/>
    <w:rsid w:val="00EC34BF"/>
    <w:rsid w:val="00EC34DE"/>
    <w:rsid w:val="00EC3500"/>
    <w:rsid w:val="00EC351D"/>
    <w:rsid w:val="00EC35CF"/>
    <w:rsid w:val="00EC361D"/>
    <w:rsid w:val="00EC364E"/>
    <w:rsid w:val="00EC367F"/>
    <w:rsid w:val="00EC3687"/>
    <w:rsid w:val="00EC36F4"/>
    <w:rsid w:val="00EC36FF"/>
    <w:rsid w:val="00EC382A"/>
    <w:rsid w:val="00EC3886"/>
    <w:rsid w:val="00EC38A0"/>
    <w:rsid w:val="00EC3976"/>
    <w:rsid w:val="00EC3978"/>
    <w:rsid w:val="00EC3A64"/>
    <w:rsid w:val="00EC3AC2"/>
    <w:rsid w:val="00EC3B07"/>
    <w:rsid w:val="00EC3B13"/>
    <w:rsid w:val="00EC3B3E"/>
    <w:rsid w:val="00EC3BA9"/>
    <w:rsid w:val="00EC3D24"/>
    <w:rsid w:val="00EC3D39"/>
    <w:rsid w:val="00EC3D3B"/>
    <w:rsid w:val="00EC3D76"/>
    <w:rsid w:val="00EC3DEC"/>
    <w:rsid w:val="00EC3E0F"/>
    <w:rsid w:val="00EC3E1E"/>
    <w:rsid w:val="00EC3E54"/>
    <w:rsid w:val="00EC3F3A"/>
    <w:rsid w:val="00EC3FDE"/>
    <w:rsid w:val="00EC4124"/>
    <w:rsid w:val="00EC41FA"/>
    <w:rsid w:val="00EC42F7"/>
    <w:rsid w:val="00EC431E"/>
    <w:rsid w:val="00EC433E"/>
    <w:rsid w:val="00EC434E"/>
    <w:rsid w:val="00EC4494"/>
    <w:rsid w:val="00EC44C1"/>
    <w:rsid w:val="00EC44EB"/>
    <w:rsid w:val="00EC44F6"/>
    <w:rsid w:val="00EC45D3"/>
    <w:rsid w:val="00EC45E9"/>
    <w:rsid w:val="00EC4656"/>
    <w:rsid w:val="00EC4671"/>
    <w:rsid w:val="00EC4688"/>
    <w:rsid w:val="00EC46D8"/>
    <w:rsid w:val="00EC46EC"/>
    <w:rsid w:val="00EC4740"/>
    <w:rsid w:val="00EC488A"/>
    <w:rsid w:val="00EC4935"/>
    <w:rsid w:val="00EC4AAF"/>
    <w:rsid w:val="00EC4AEE"/>
    <w:rsid w:val="00EC4B18"/>
    <w:rsid w:val="00EC4B20"/>
    <w:rsid w:val="00EC4B2A"/>
    <w:rsid w:val="00EC4C4C"/>
    <w:rsid w:val="00EC4C58"/>
    <w:rsid w:val="00EC4C78"/>
    <w:rsid w:val="00EC4CBB"/>
    <w:rsid w:val="00EC4CED"/>
    <w:rsid w:val="00EC4E06"/>
    <w:rsid w:val="00EC4E45"/>
    <w:rsid w:val="00EC4E5C"/>
    <w:rsid w:val="00EC4EDA"/>
    <w:rsid w:val="00EC4F34"/>
    <w:rsid w:val="00EC4FB3"/>
    <w:rsid w:val="00EC50AF"/>
    <w:rsid w:val="00EC50E9"/>
    <w:rsid w:val="00EC5168"/>
    <w:rsid w:val="00EC51C0"/>
    <w:rsid w:val="00EC5236"/>
    <w:rsid w:val="00EC52AD"/>
    <w:rsid w:val="00EC52F6"/>
    <w:rsid w:val="00EC5326"/>
    <w:rsid w:val="00EC53F9"/>
    <w:rsid w:val="00EC55A4"/>
    <w:rsid w:val="00EC55F9"/>
    <w:rsid w:val="00EC55FB"/>
    <w:rsid w:val="00EC560A"/>
    <w:rsid w:val="00EC5651"/>
    <w:rsid w:val="00EC5674"/>
    <w:rsid w:val="00EC56A8"/>
    <w:rsid w:val="00EC584F"/>
    <w:rsid w:val="00EC587C"/>
    <w:rsid w:val="00EC59DB"/>
    <w:rsid w:val="00EC59E8"/>
    <w:rsid w:val="00EC5A16"/>
    <w:rsid w:val="00EC5A99"/>
    <w:rsid w:val="00EC5B6B"/>
    <w:rsid w:val="00EC5B79"/>
    <w:rsid w:val="00EC5BA3"/>
    <w:rsid w:val="00EC5BE6"/>
    <w:rsid w:val="00EC5BFA"/>
    <w:rsid w:val="00EC5C29"/>
    <w:rsid w:val="00EC5C64"/>
    <w:rsid w:val="00EC5E12"/>
    <w:rsid w:val="00EC5E38"/>
    <w:rsid w:val="00EC5F44"/>
    <w:rsid w:val="00EC5F7D"/>
    <w:rsid w:val="00EC5FF0"/>
    <w:rsid w:val="00EC6015"/>
    <w:rsid w:val="00EC608A"/>
    <w:rsid w:val="00EC60F0"/>
    <w:rsid w:val="00EC612B"/>
    <w:rsid w:val="00EC61A6"/>
    <w:rsid w:val="00EC61BB"/>
    <w:rsid w:val="00EC6269"/>
    <w:rsid w:val="00EC6279"/>
    <w:rsid w:val="00EC6293"/>
    <w:rsid w:val="00EC63BA"/>
    <w:rsid w:val="00EC6417"/>
    <w:rsid w:val="00EC6452"/>
    <w:rsid w:val="00EC6453"/>
    <w:rsid w:val="00EC6520"/>
    <w:rsid w:val="00EC65D4"/>
    <w:rsid w:val="00EC6634"/>
    <w:rsid w:val="00EC664E"/>
    <w:rsid w:val="00EC66BB"/>
    <w:rsid w:val="00EC6772"/>
    <w:rsid w:val="00EC6844"/>
    <w:rsid w:val="00EC687C"/>
    <w:rsid w:val="00EC688E"/>
    <w:rsid w:val="00EC68C7"/>
    <w:rsid w:val="00EC692A"/>
    <w:rsid w:val="00EC6960"/>
    <w:rsid w:val="00EC69EC"/>
    <w:rsid w:val="00EC6ABC"/>
    <w:rsid w:val="00EC6B39"/>
    <w:rsid w:val="00EC6B56"/>
    <w:rsid w:val="00EC6B61"/>
    <w:rsid w:val="00EC6B68"/>
    <w:rsid w:val="00EC6BF0"/>
    <w:rsid w:val="00EC6CAA"/>
    <w:rsid w:val="00EC6CEF"/>
    <w:rsid w:val="00EC6D08"/>
    <w:rsid w:val="00EC6D80"/>
    <w:rsid w:val="00EC6D8D"/>
    <w:rsid w:val="00EC6DA6"/>
    <w:rsid w:val="00EC6DC8"/>
    <w:rsid w:val="00EC6E4C"/>
    <w:rsid w:val="00EC6E62"/>
    <w:rsid w:val="00EC6F75"/>
    <w:rsid w:val="00EC6FAD"/>
    <w:rsid w:val="00EC702A"/>
    <w:rsid w:val="00EC7066"/>
    <w:rsid w:val="00EC70D4"/>
    <w:rsid w:val="00EC70E5"/>
    <w:rsid w:val="00EC7130"/>
    <w:rsid w:val="00EC7171"/>
    <w:rsid w:val="00EC7194"/>
    <w:rsid w:val="00EC71C5"/>
    <w:rsid w:val="00EC71CF"/>
    <w:rsid w:val="00EC7248"/>
    <w:rsid w:val="00EC7270"/>
    <w:rsid w:val="00EC729C"/>
    <w:rsid w:val="00EC731E"/>
    <w:rsid w:val="00EC7333"/>
    <w:rsid w:val="00EC733A"/>
    <w:rsid w:val="00EC73CC"/>
    <w:rsid w:val="00EC7405"/>
    <w:rsid w:val="00EC746E"/>
    <w:rsid w:val="00EC74C7"/>
    <w:rsid w:val="00EC7512"/>
    <w:rsid w:val="00EC75AA"/>
    <w:rsid w:val="00EC75AD"/>
    <w:rsid w:val="00EC7601"/>
    <w:rsid w:val="00EC764D"/>
    <w:rsid w:val="00EC7693"/>
    <w:rsid w:val="00EC7702"/>
    <w:rsid w:val="00EC77A5"/>
    <w:rsid w:val="00EC77E5"/>
    <w:rsid w:val="00EC7829"/>
    <w:rsid w:val="00EC782D"/>
    <w:rsid w:val="00EC785A"/>
    <w:rsid w:val="00EC78B4"/>
    <w:rsid w:val="00EC78C8"/>
    <w:rsid w:val="00EC7931"/>
    <w:rsid w:val="00EC793B"/>
    <w:rsid w:val="00EC7B10"/>
    <w:rsid w:val="00EC7B8E"/>
    <w:rsid w:val="00EC7BF7"/>
    <w:rsid w:val="00EC7C81"/>
    <w:rsid w:val="00EC7D1F"/>
    <w:rsid w:val="00EC7DC9"/>
    <w:rsid w:val="00EC7E29"/>
    <w:rsid w:val="00EC7E44"/>
    <w:rsid w:val="00EC7E6F"/>
    <w:rsid w:val="00EC7E75"/>
    <w:rsid w:val="00EC7E97"/>
    <w:rsid w:val="00EC7EE5"/>
    <w:rsid w:val="00EC7F32"/>
    <w:rsid w:val="00EC7F7B"/>
    <w:rsid w:val="00EC7FED"/>
    <w:rsid w:val="00ED0098"/>
    <w:rsid w:val="00ED02C2"/>
    <w:rsid w:val="00ED0346"/>
    <w:rsid w:val="00ED0387"/>
    <w:rsid w:val="00ED03F2"/>
    <w:rsid w:val="00ED03F8"/>
    <w:rsid w:val="00ED0419"/>
    <w:rsid w:val="00ED045B"/>
    <w:rsid w:val="00ED047C"/>
    <w:rsid w:val="00ED0529"/>
    <w:rsid w:val="00ED0589"/>
    <w:rsid w:val="00ED05AA"/>
    <w:rsid w:val="00ED05F9"/>
    <w:rsid w:val="00ED05FA"/>
    <w:rsid w:val="00ED0606"/>
    <w:rsid w:val="00ED0633"/>
    <w:rsid w:val="00ED0645"/>
    <w:rsid w:val="00ED0648"/>
    <w:rsid w:val="00ED0721"/>
    <w:rsid w:val="00ED0729"/>
    <w:rsid w:val="00ED073F"/>
    <w:rsid w:val="00ED0764"/>
    <w:rsid w:val="00ED0768"/>
    <w:rsid w:val="00ED0779"/>
    <w:rsid w:val="00ED07A5"/>
    <w:rsid w:val="00ED0896"/>
    <w:rsid w:val="00ED08A9"/>
    <w:rsid w:val="00ED0916"/>
    <w:rsid w:val="00ED0990"/>
    <w:rsid w:val="00ED09A8"/>
    <w:rsid w:val="00ED09BE"/>
    <w:rsid w:val="00ED0A60"/>
    <w:rsid w:val="00ED0A86"/>
    <w:rsid w:val="00ED0BCB"/>
    <w:rsid w:val="00ED0C59"/>
    <w:rsid w:val="00ED0C68"/>
    <w:rsid w:val="00ED0D4F"/>
    <w:rsid w:val="00ED0E22"/>
    <w:rsid w:val="00ED0F1C"/>
    <w:rsid w:val="00ED0F89"/>
    <w:rsid w:val="00ED103D"/>
    <w:rsid w:val="00ED1042"/>
    <w:rsid w:val="00ED1109"/>
    <w:rsid w:val="00ED115F"/>
    <w:rsid w:val="00ED1176"/>
    <w:rsid w:val="00ED11BC"/>
    <w:rsid w:val="00ED11BD"/>
    <w:rsid w:val="00ED11CB"/>
    <w:rsid w:val="00ED11E0"/>
    <w:rsid w:val="00ED11FE"/>
    <w:rsid w:val="00ED1247"/>
    <w:rsid w:val="00ED1287"/>
    <w:rsid w:val="00ED132B"/>
    <w:rsid w:val="00ED1389"/>
    <w:rsid w:val="00ED13DD"/>
    <w:rsid w:val="00ED13F4"/>
    <w:rsid w:val="00ED13FF"/>
    <w:rsid w:val="00ED1438"/>
    <w:rsid w:val="00ED1461"/>
    <w:rsid w:val="00ED1543"/>
    <w:rsid w:val="00ED156E"/>
    <w:rsid w:val="00ED1584"/>
    <w:rsid w:val="00ED15DB"/>
    <w:rsid w:val="00ED1661"/>
    <w:rsid w:val="00ED169C"/>
    <w:rsid w:val="00ED16D2"/>
    <w:rsid w:val="00ED172D"/>
    <w:rsid w:val="00ED176D"/>
    <w:rsid w:val="00ED17ED"/>
    <w:rsid w:val="00ED17F3"/>
    <w:rsid w:val="00ED19EF"/>
    <w:rsid w:val="00ED1A98"/>
    <w:rsid w:val="00ED1AD9"/>
    <w:rsid w:val="00ED1BB1"/>
    <w:rsid w:val="00ED1D3A"/>
    <w:rsid w:val="00ED1DE0"/>
    <w:rsid w:val="00ED1DEE"/>
    <w:rsid w:val="00ED1FC3"/>
    <w:rsid w:val="00ED2046"/>
    <w:rsid w:val="00ED204C"/>
    <w:rsid w:val="00ED2059"/>
    <w:rsid w:val="00ED205D"/>
    <w:rsid w:val="00ED20AE"/>
    <w:rsid w:val="00ED20DB"/>
    <w:rsid w:val="00ED2164"/>
    <w:rsid w:val="00ED216B"/>
    <w:rsid w:val="00ED21AF"/>
    <w:rsid w:val="00ED22DC"/>
    <w:rsid w:val="00ED2332"/>
    <w:rsid w:val="00ED23D7"/>
    <w:rsid w:val="00ED23F3"/>
    <w:rsid w:val="00ED2500"/>
    <w:rsid w:val="00ED2501"/>
    <w:rsid w:val="00ED2545"/>
    <w:rsid w:val="00ED254A"/>
    <w:rsid w:val="00ED256F"/>
    <w:rsid w:val="00ED2575"/>
    <w:rsid w:val="00ED25E4"/>
    <w:rsid w:val="00ED2612"/>
    <w:rsid w:val="00ED2614"/>
    <w:rsid w:val="00ED26CD"/>
    <w:rsid w:val="00ED26FF"/>
    <w:rsid w:val="00ED27C9"/>
    <w:rsid w:val="00ED27D3"/>
    <w:rsid w:val="00ED27FB"/>
    <w:rsid w:val="00ED28C8"/>
    <w:rsid w:val="00ED29A5"/>
    <w:rsid w:val="00ED29D2"/>
    <w:rsid w:val="00ED29DA"/>
    <w:rsid w:val="00ED29F3"/>
    <w:rsid w:val="00ED2AB4"/>
    <w:rsid w:val="00ED2B21"/>
    <w:rsid w:val="00ED2B34"/>
    <w:rsid w:val="00ED2BE4"/>
    <w:rsid w:val="00ED2C18"/>
    <w:rsid w:val="00ED2CA4"/>
    <w:rsid w:val="00ED2CEE"/>
    <w:rsid w:val="00ED2CF7"/>
    <w:rsid w:val="00ED2CFB"/>
    <w:rsid w:val="00ED2D01"/>
    <w:rsid w:val="00ED2D07"/>
    <w:rsid w:val="00ED2D2A"/>
    <w:rsid w:val="00ED2D33"/>
    <w:rsid w:val="00ED2D3F"/>
    <w:rsid w:val="00ED2D6F"/>
    <w:rsid w:val="00ED2DA0"/>
    <w:rsid w:val="00ED2E03"/>
    <w:rsid w:val="00ED2E26"/>
    <w:rsid w:val="00ED2E2F"/>
    <w:rsid w:val="00ED2EE2"/>
    <w:rsid w:val="00ED2F62"/>
    <w:rsid w:val="00ED2FB8"/>
    <w:rsid w:val="00ED3042"/>
    <w:rsid w:val="00ED3103"/>
    <w:rsid w:val="00ED319F"/>
    <w:rsid w:val="00ED3245"/>
    <w:rsid w:val="00ED3280"/>
    <w:rsid w:val="00ED32A5"/>
    <w:rsid w:val="00ED32AD"/>
    <w:rsid w:val="00ED32B7"/>
    <w:rsid w:val="00ED336C"/>
    <w:rsid w:val="00ED33D4"/>
    <w:rsid w:val="00ED33F6"/>
    <w:rsid w:val="00ED3443"/>
    <w:rsid w:val="00ED34DA"/>
    <w:rsid w:val="00ED3501"/>
    <w:rsid w:val="00ED3519"/>
    <w:rsid w:val="00ED35BF"/>
    <w:rsid w:val="00ED36EE"/>
    <w:rsid w:val="00ED3700"/>
    <w:rsid w:val="00ED370E"/>
    <w:rsid w:val="00ED3712"/>
    <w:rsid w:val="00ED37D3"/>
    <w:rsid w:val="00ED3840"/>
    <w:rsid w:val="00ED3881"/>
    <w:rsid w:val="00ED3889"/>
    <w:rsid w:val="00ED388A"/>
    <w:rsid w:val="00ED38CD"/>
    <w:rsid w:val="00ED3977"/>
    <w:rsid w:val="00ED3989"/>
    <w:rsid w:val="00ED39D8"/>
    <w:rsid w:val="00ED3A6C"/>
    <w:rsid w:val="00ED3A93"/>
    <w:rsid w:val="00ED3AA0"/>
    <w:rsid w:val="00ED3AAD"/>
    <w:rsid w:val="00ED3AF0"/>
    <w:rsid w:val="00ED3B99"/>
    <w:rsid w:val="00ED3BBE"/>
    <w:rsid w:val="00ED3BE0"/>
    <w:rsid w:val="00ED3C03"/>
    <w:rsid w:val="00ED3C49"/>
    <w:rsid w:val="00ED3C4F"/>
    <w:rsid w:val="00ED3CD4"/>
    <w:rsid w:val="00ED3D11"/>
    <w:rsid w:val="00ED3D1B"/>
    <w:rsid w:val="00ED3D1D"/>
    <w:rsid w:val="00ED3D36"/>
    <w:rsid w:val="00ED3DA1"/>
    <w:rsid w:val="00ED3DB0"/>
    <w:rsid w:val="00ED3E80"/>
    <w:rsid w:val="00ED3FB7"/>
    <w:rsid w:val="00ED42B1"/>
    <w:rsid w:val="00ED42D2"/>
    <w:rsid w:val="00ED4323"/>
    <w:rsid w:val="00ED434D"/>
    <w:rsid w:val="00ED4387"/>
    <w:rsid w:val="00ED438C"/>
    <w:rsid w:val="00ED43D0"/>
    <w:rsid w:val="00ED4573"/>
    <w:rsid w:val="00ED457E"/>
    <w:rsid w:val="00ED4623"/>
    <w:rsid w:val="00ED4636"/>
    <w:rsid w:val="00ED4656"/>
    <w:rsid w:val="00ED4690"/>
    <w:rsid w:val="00ED46F5"/>
    <w:rsid w:val="00ED470D"/>
    <w:rsid w:val="00ED48C1"/>
    <w:rsid w:val="00ED48DE"/>
    <w:rsid w:val="00ED492C"/>
    <w:rsid w:val="00ED4949"/>
    <w:rsid w:val="00ED49E7"/>
    <w:rsid w:val="00ED4A1A"/>
    <w:rsid w:val="00ED4A2A"/>
    <w:rsid w:val="00ED4A5C"/>
    <w:rsid w:val="00ED4AA8"/>
    <w:rsid w:val="00ED4AF3"/>
    <w:rsid w:val="00ED4BBD"/>
    <w:rsid w:val="00ED4C47"/>
    <w:rsid w:val="00ED4C4F"/>
    <w:rsid w:val="00ED4E1B"/>
    <w:rsid w:val="00ED4E28"/>
    <w:rsid w:val="00ED4ECD"/>
    <w:rsid w:val="00ED4EF1"/>
    <w:rsid w:val="00ED4F65"/>
    <w:rsid w:val="00ED50A9"/>
    <w:rsid w:val="00ED50B0"/>
    <w:rsid w:val="00ED50FB"/>
    <w:rsid w:val="00ED516D"/>
    <w:rsid w:val="00ED5192"/>
    <w:rsid w:val="00ED51A7"/>
    <w:rsid w:val="00ED51CE"/>
    <w:rsid w:val="00ED51F7"/>
    <w:rsid w:val="00ED523E"/>
    <w:rsid w:val="00ED5242"/>
    <w:rsid w:val="00ED5347"/>
    <w:rsid w:val="00ED534F"/>
    <w:rsid w:val="00ED53B2"/>
    <w:rsid w:val="00ED53C9"/>
    <w:rsid w:val="00ED5454"/>
    <w:rsid w:val="00ED5473"/>
    <w:rsid w:val="00ED54E7"/>
    <w:rsid w:val="00ED552E"/>
    <w:rsid w:val="00ED554E"/>
    <w:rsid w:val="00ED556B"/>
    <w:rsid w:val="00ED55CD"/>
    <w:rsid w:val="00ED55D9"/>
    <w:rsid w:val="00ED55E4"/>
    <w:rsid w:val="00ED55FB"/>
    <w:rsid w:val="00ED569A"/>
    <w:rsid w:val="00ED570B"/>
    <w:rsid w:val="00ED571D"/>
    <w:rsid w:val="00ED577F"/>
    <w:rsid w:val="00ED5780"/>
    <w:rsid w:val="00ED57F1"/>
    <w:rsid w:val="00ED57F6"/>
    <w:rsid w:val="00ED5815"/>
    <w:rsid w:val="00ED590D"/>
    <w:rsid w:val="00ED5934"/>
    <w:rsid w:val="00ED598E"/>
    <w:rsid w:val="00ED59A2"/>
    <w:rsid w:val="00ED59F0"/>
    <w:rsid w:val="00ED5A29"/>
    <w:rsid w:val="00ED5A7F"/>
    <w:rsid w:val="00ED5A80"/>
    <w:rsid w:val="00ED5A96"/>
    <w:rsid w:val="00ED5AAA"/>
    <w:rsid w:val="00ED5AC1"/>
    <w:rsid w:val="00ED5B12"/>
    <w:rsid w:val="00ED5B3D"/>
    <w:rsid w:val="00ED5BA8"/>
    <w:rsid w:val="00ED5BC6"/>
    <w:rsid w:val="00ED5BCC"/>
    <w:rsid w:val="00ED5CCC"/>
    <w:rsid w:val="00ED5CD6"/>
    <w:rsid w:val="00ED5CF6"/>
    <w:rsid w:val="00ED5D1A"/>
    <w:rsid w:val="00ED5D56"/>
    <w:rsid w:val="00ED5DAF"/>
    <w:rsid w:val="00ED5DBB"/>
    <w:rsid w:val="00ED5E2F"/>
    <w:rsid w:val="00ED5EC1"/>
    <w:rsid w:val="00ED5EC6"/>
    <w:rsid w:val="00ED5F19"/>
    <w:rsid w:val="00ED5F81"/>
    <w:rsid w:val="00ED5FCE"/>
    <w:rsid w:val="00ED6001"/>
    <w:rsid w:val="00ED6013"/>
    <w:rsid w:val="00ED6065"/>
    <w:rsid w:val="00ED6113"/>
    <w:rsid w:val="00ED61B2"/>
    <w:rsid w:val="00ED61F6"/>
    <w:rsid w:val="00ED623F"/>
    <w:rsid w:val="00ED62F7"/>
    <w:rsid w:val="00ED634C"/>
    <w:rsid w:val="00ED6351"/>
    <w:rsid w:val="00ED63F3"/>
    <w:rsid w:val="00ED6498"/>
    <w:rsid w:val="00ED6506"/>
    <w:rsid w:val="00ED6547"/>
    <w:rsid w:val="00ED657E"/>
    <w:rsid w:val="00ED65D3"/>
    <w:rsid w:val="00ED65E9"/>
    <w:rsid w:val="00ED67F7"/>
    <w:rsid w:val="00ED67FE"/>
    <w:rsid w:val="00ED6812"/>
    <w:rsid w:val="00ED6846"/>
    <w:rsid w:val="00ED6890"/>
    <w:rsid w:val="00ED68A8"/>
    <w:rsid w:val="00ED6965"/>
    <w:rsid w:val="00ED6A2E"/>
    <w:rsid w:val="00ED6ABC"/>
    <w:rsid w:val="00ED6CDB"/>
    <w:rsid w:val="00ED6D0F"/>
    <w:rsid w:val="00ED6DF5"/>
    <w:rsid w:val="00ED6E65"/>
    <w:rsid w:val="00ED6F17"/>
    <w:rsid w:val="00ED6F9F"/>
    <w:rsid w:val="00ED700E"/>
    <w:rsid w:val="00ED703B"/>
    <w:rsid w:val="00ED70A7"/>
    <w:rsid w:val="00ED711E"/>
    <w:rsid w:val="00ED717C"/>
    <w:rsid w:val="00ED71E1"/>
    <w:rsid w:val="00ED7283"/>
    <w:rsid w:val="00ED7291"/>
    <w:rsid w:val="00ED72E3"/>
    <w:rsid w:val="00ED737A"/>
    <w:rsid w:val="00ED73AF"/>
    <w:rsid w:val="00ED73B6"/>
    <w:rsid w:val="00ED73D6"/>
    <w:rsid w:val="00ED7494"/>
    <w:rsid w:val="00ED74A9"/>
    <w:rsid w:val="00ED74BC"/>
    <w:rsid w:val="00ED755F"/>
    <w:rsid w:val="00ED757F"/>
    <w:rsid w:val="00ED75D6"/>
    <w:rsid w:val="00ED76B2"/>
    <w:rsid w:val="00ED76DF"/>
    <w:rsid w:val="00ED76E0"/>
    <w:rsid w:val="00ED77FE"/>
    <w:rsid w:val="00ED782C"/>
    <w:rsid w:val="00ED7870"/>
    <w:rsid w:val="00ED7873"/>
    <w:rsid w:val="00ED78A0"/>
    <w:rsid w:val="00ED795D"/>
    <w:rsid w:val="00ED7984"/>
    <w:rsid w:val="00ED79E6"/>
    <w:rsid w:val="00ED7A5A"/>
    <w:rsid w:val="00ED7A98"/>
    <w:rsid w:val="00ED7B51"/>
    <w:rsid w:val="00ED7BC5"/>
    <w:rsid w:val="00ED7D07"/>
    <w:rsid w:val="00ED7D47"/>
    <w:rsid w:val="00ED7DD0"/>
    <w:rsid w:val="00ED7DEE"/>
    <w:rsid w:val="00ED7E2D"/>
    <w:rsid w:val="00ED7E4E"/>
    <w:rsid w:val="00ED7E9A"/>
    <w:rsid w:val="00ED7F69"/>
    <w:rsid w:val="00ED7FB8"/>
    <w:rsid w:val="00EE0060"/>
    <w:rsid w:val="00EE00E7"/>
    <w:rsid w:val="00EE0223"/>
    <w:rsid w:val="00EE0246"/>
    <w:rsid w:val="00EE0393"/>
    <w:rsid w:val="00EE03D3"/>
    <w:rsid w:val="00EE0406"/>
    <w:rsid w:val="00EE0480"/>
    <w:rsid w:val="00EE048E"/>
    <w:rsid w:val="00EE05D1"/>
    <w:rsid w:val="00EE05EE"/>
    <w:rsid w:val="00EE0679"/>
    <w:rsid w:val="00EE067F"/>
    <w:rsid w:val="00EE076F"/>
    <w:rsid w:val="00EE07B9"/>
    <w:rsid w:val="00EE0816"/>
    <w:rsid w:val="00EE084B"/>
    <w:rsid w:val="00EE088A"/>
    <w:rsid w:val="00EE08F5"/>
    <w:rsid w:val="00EE090A"/>
    <w:rsid w:val="00EE0919"/>
    <w:rsid w:val="00EE09D8"/>
    <w:rsid w:val="00EE0AAC"/>
    <w:rsid w:val="00EE0B6D"/>
    <w:rsid w:val="00EE0B6E"/>
    <w:rsid w:val="00EE0B75"/>
    <w:rsid w:val="00EE0CD1"/>
    <w:rsid w:val="00EE0CF4"/>
    <w:rsid w:val="00EE0D89"/>
    <w:rsid w:val="00EE0E04"/>
    <w:rsid w:val="00EE0E9C"/>
    <w:rsid w:val="00EE0ED0"/>
    <w:rsid w:val="00EE0F65"/>
    <w:rsid w:val="00EE0F66"/>
    <w:rsid w:val="00EE0F72"/>
    <w:rsid w:val="00EE0F84"/>
    <w:rsid w:val="00EE1049"/>
    <w:rsid w:val="00EE10D3"/>
    <w:rsid w:val="00EE10E7"/>
    <w:rsid w:val="00EE10FB"/>
    <w:rsid w:val="00EE1166"/>
    <w:rsid w:val="00EE120D"/>
    <w:rsid w:val="00EE126F"/>
    <w:rsid w:val="00EE1284"/>
    <w:rsid w:val="00EE12C9"/>
    <w:rsid w:val="00EE12D9"/>
    <w:rsid w:val="00EE12FF"/>
    <w:rsid w:val="00EE134B"/>
    <w:rsid w:val="00EE1368"/>
    <w:rsid w:val="00EE139A"/>
    <w:rsid w:val="00EE13BC"/>
    <w:rsid w:val="00EE13C1"/>
    <w:rsid w:val="00EE1463"/>
    <w:rsid w:val="00EE14C9"/>
    <w:rsid w:val="00EE14EF"/>
    <w:rsid w:val="00EE15AC"/>
    <w:rsid w:val="00EE15EB"/>
    <w:rsid w:val="00EE163F"/>
    <w:rsid w:val="00EE164C"/>
    <w:rsid w:val="00EE170C"/>
    <w:rsid w:val="00EE1775"/>
    <w:rsid w:val="00EE1821"/>
    <w:rsid w:val="00EE188D"/>
    <w:rsid w:val="00EE1931"/>
    <w:rsid w:val="00EE1939"/>
    <w:rsid w:val="00EE1976"/>
    <w:rsid w:val="00EE198E"/>
    <w:rsid w:val="00EE19A7"/>
    <w:rsid w:val="00EE1A0F"/>
    <w:rsid w:val="00EE1A2F"/>
    <w:rsid w:val="00EE1ACD"/>
    <w:rsid w:val="00EE1B11"/>
    <w:rsid w:val="00EE1B98"/>
    <w:rsid w:val="00EE1C8E"/>
    <w:rsid w:val="00EE1CE9"/>
    <w:rsid w:val="00EE1CF9"/>
    <w:rsid w:val="00EE1D9A"/>
    <w:rsid w:val="00EE1EBE"/>
    <w:rsid w:val="00EE1FA6"/>
    <w:rsid w:val="00EE206D"/>
    <w:rsid w:val="00EE2071"/>
    <w:rsid w:val="00EE2088"/>
    <w:rsid w:val="00EE2098"/>
    <w:rsid w:val="00EE20BB"/>
    <w:rsid w:val="00EE2115"/>
    <w:rsid w:val="00EE2194"/>
    <w:rsid w:val="00EE226F"/>
    <w:rsid w:val="00EE2307"/>
    <w:rsid w:val="00EE2361"/>
    <w:rsid w:val="00EE2399"/>
    <w:rsid w:val="00EE23EB"/>
    <w:rsid w:val="00EE2428"/>
    <w:rsid w:val="00EE2474"/>
    <w:rsid w:val="00EE2513"/>
    <w:rsid w:val="00EE25DB"/>
    <w:rsid w:val="00EE261B"/>
    <w:rsid w:val="00EE2663"/>
    <w:rsid w:val="00EE26A4"/>
    <w:rsid w:val="00EE2743"/>
    <w:rsid w:val="00EE284A"/>
    <w:rsid w:val="00EE2890"/>
    <w:rsid w:val="00EE28A2"/>
    <w:rsid w:val="00EE28B0"/>
    <w:rsid w:val="00EE292A"/>
    <w:rsid w:val="00EE2A03"/>
    <w:rsid w:val="00EE2A0E"/>
    <w:rsid w:val="00EE2A10"/>
    <w:rsid w:val="00EE2A4C"/>
    <w:rsid w:val="00EE2A6E"/>
    <w:rsid w:val="00EE2A8A"/>
    <w:rsid w:val="00EE2CB2"/>
    <w:rsid w:val="00EE2CD9"/>
    <w:rsid w:val="00EE2D60"/>
    <w:rsid w:val="00EE2D83"/>
    <w:rsid w:val="00EE2E4C"/>
    <w:rsid w:val="00EE2E50"/>
    <w:rsid w:val="00EE2EAA"/>
    <w:rsid w:val="00EE2EBA"/>
    <w:rsid w:val="00EE3001"/>
    <w:rsid w:val="00EE31FF"/>
    <w:rsid w:val="00EE3246"/>
    <w:rsid w:val="00EE32D1"/>
    <w:rsid w:val="00EE32F0"/>
    <w:rsid w:val="00EE3433"/>
    <w:rsid w:val="00EE344C"/>
    <w:rsid w:val="00EE34C0"/>
    <w:rsid w:val="00EE34F1"/>
    <w:rsid w:val="00EE35A2"/>
    <w:rsid w:val="00EE364C"/>
    <w:rsid w:val="00EE3695"/>
    <w:rsid w:val="00EE3766"/>
    <w:rsid w:val="00EE3770"/>
    <w:rsid w:val="00EE3779"/>
    <w:rsid w:val="00EE384B"/>
    <w:rsid w:val="00EE38A6"/>
    <w:rsid w:val="00EE38CF"/>
    <w:rsid w:val="00EE39AA"/>
    <w:rsid w:val="00EE39BF"/>
    <w:rsid w:val="00EE3A84"/>
    <w:rsid w:val="00EE3B03"/>
    <w:rsid w:val="00EE3B1B"/>
    <w:rsid w:val="00EE3B56"/>
    <w:rsid w:val="00EE3BB0"/>
    <w:rsid w:val="00EE3C46"/>
    <w:rsid w:val="00EE3D09"/>
    <w:rsid w:val="00EE3D51"/>
    <w:rsid w:val="00EE3D75"/>
    <w:rsid w:val="00EE3D94"/>
    <w:rsid w:val="00EE3DDB"/>
    <w:rsid w:val="00EE3DDD"/>
    <w:rsid w:val="00EE3DF8"/>
    <w:rsid w:val="00EE3E03"/>
    <w:rsid w:val="00EE3E17"/>
    <w:rsid w:val="00EE3E18"/>
    <w:rsid w:val="00EE3E6D"/>
    <w:rsid w:val="00EE3EBF"/>
    <w:rsid w:val="00EE3ECC"/>
    <w:rsid w:val="00EE3EEC"/>
    <w:rsid w:val="00EE3F21"/>
    <w:rsid w:val="00EE3F5F"/>
    <w:rsid w:val="00EE3F63"/>
    <w:rsid w:val="00EE3FDD"/>
    <w:rsid w:val="00EE4029"/>
    <w:rsid w:val="00EE409A"/>
    <w:rsid w:val="00EE40B7"/>
    <w:rsid w:val="00EE40C4"/>
    <w:rsid w:val="00EE412F"/>
    <w:rsid w:val="00EE41A2"/>
    <w:rsid w:val="00EE41B8"/>
    <w:rsid w:val="00EE41DE"/>
    <w:rsid w:val="00EE41DF"/>
    <w:rsid w:val="00EE422C"/>
    <w:rsid w:val="00EE4252"/>
    <w:rsid w:val="00EE4274"/>
    <w:rsid w:val="00EE42E0"/>
    <w:rsid w:val="00EE42F9"/>
    <w:rsid w:val="00EE442F"/>
    <w:rsid w:val="00EE4437"/>
    <w:rsid w:val="00EE44EB"/>
    <w:rsid w:val="00EE4528"/>
    <w:rsid w:val="00EE453D"/>
    <w:rsid w:val="00EE4612"/>
    <w:rsid w:val="00EE4639"/>
    <w:rsid w:val="00EE472B"/>
    <w:rsid w:val="00EE47B5"/>
    <w:rsid w:val="00EE49E9"/>
    <w:rsid w:val="00EE49F9"/>
    <w:rsid w:val="00EE4A02"/>
    <w:rsid w:val="00EE4A0A"/>
    <w:rsid w:val="00EE4A15"/>
    <w:rsid w:val="00EE4A1A"/>
    <w:rsid w:val="00EE4A30"/>
    <w:rsid w:val="00EE4AE1"/>
    <w:rsid w:val="00EE4B9E"/>
    <w:rsid w:val="00EE4C31"/>
    <w:rsid w:val="00EE4CA7"/>
    <w:rsid w:val="00EE4CB4"/>
    <w:rsid w:val="00EE4CE7"/>
    <w:rsid w:val="00EE4DD9"/>
    <w:rsid w:val="00EE4DF3"/>
    <w:rsid w:val="00EE4E4B"/>
    <w:rsid w:val="00EE4E6B"/>
    <w:rsid w:val="00EE4EA5"/>
    <w:rsid w:val="00EE4F38"/>
    <w:rsid w:val="00EE4FB8"/>
    <w:rsid w:val="00EE50BF"/>
    <w:rsid w:val="00EE51BE"/>
    <w:rsid w:val="00EE5201"/>
    <w:rsid w:val="00EE52F9"/>
    <w:rsid w:val="00EE5362"/>
    <w:rsid w:val="00EE53B7"/>
    <w:rsid w:val="00EE53D4"/>
    <w:rsid w:val="00EE5464"/>
    <w:rsid w:val="00EE5477"/>
    <w:rsid w:val="00EE5580"/>
    <w:rsid w:val="00EE55A0"/>
    <w:rsid w:val="00EE55DB"/>
    <w:rsid w:val="00EE55EB"/>
    <w:rsid w:val="00EE55F8"/>
    <w:rsid w:val="00EE56FD"/>
    <w:rsid w:val="00EE5736"/>
    <w:rsid w:val="00EE57B6"/>
    <w:rsid w:val="00EE57EF"/>
    <w:rsid w:val="00EE5893"/>
    <w:rsid w:val="00EE5915"/>
    <w:rsid w:val="00EE5926"/>
    <w:rsid w:val="00EE5932"/>
    <w:rsid w:val="00EE5935"/>
    <w:rsid w:val="00EE5941"/>
    <w:rsid w:val="00EE5975"/>
    <w:rsid w:val="00EE59D4"/>
    <w:rsid w:val="00EE5A83"/>
    <w:rsid w:val="00EE5A9A"/>
    <w:rsid w:val="00EE5B71"/>
    <w:rsid w:val="00EE5BB0"/>
    <w:rsid w:val="00EE5BCF"/>
    <w:rsid w:val="00EE5C52"/>
    <w:rsid w:val="00EE5CF7"/>
    <w:rsid w:val="00EE5D5B"/>
    <w:rsid w:val="00EE5DEB"/>
    <w:rsid w:val="00EE5E68"/>
    <w:rsid w:val="00EE5EC4"/>
    <w:rsid w:val="00EE5F2D"/>
    <w:rsid w:val="00EE5F37"/>
    <w:rsid w:val="00EE5F96"/>
    <w:rsid w:val="00EE5FA1"/>
    <w:rsid w:val="00EE5FF2"/>
    <w:rsid w:val="00EE6015"/>
    <w:rsid w:val="00EE6028"/>
    <w:rsid w:val="00EE6099"/>
    <w:rsid w:val="00EE611E"/>
    <w:rsid w:val="00EE6123"/>
    <w:rsid w:val="00EE6148"/>
    <w:rsid w:val="00EE62BB"/>
    <w:rsid w:val="00EE62FE"/>
    <w:rsid w:val="00EE633A"/>
    <w:rsid w:val="00EE6362"/>
    <w:rsid w:val="00EE63E8"/>
    <w:rsid w:val="00EE63FE"/>
    <w:rsid w:val="00EE6415"/>
    <w:rsid w:val="00EE647F"/>
    <w:rsid w:val="00EE64CB"/>
    <w:rsid w:val="00EE66C4"/>
    <w:rsid w:val="00EE66CA"/>
    <w:rsid w:val="00EE66FD"/>
    <w:rsid w:val="00EE6705"/>
    <w:rsid w:val="00EE6710"/>
    <w:rsid w:val="00EE6772"/>
    <w:rsid w:val="00EE6823"/>
    <w:rsid w:val="00EE68D5"/>
    <w:rsid w:val="00EE68FF"/>
    <w:rsid w:val="00EE697D"/>
    <w:rsid w:val="00EE69D6"/>
    <w:rsid w:val="00EE6A1C"/>
    <w:rsid w:val="00EE6A4A"/>
    <w:rsid w:val="00EE6AA3"/>
    <w:rsid w:val="00EE6AB8"/>
    <w:rsid w:val="00EE6AD8"/>
    <w:rsid w:val="00EE6AFD"/>
    <w:rsid w:val="00EE6B3D"/>
    <w:rsid w:val="00EE6C45"/>
    <w:rsid w:val="00EE6C49"/>
    <w:rsid w:val="00EE6C97"/>
    <w:rsid w:val="00EE6D85"/>
    <w:rsid w:val="00EE6DA8"/>
    <w:rsid w:val="00EE6E5E"/>
    <w:rsid w:val="00EE6E80"/>
    <w:rsid w:val="00EE6EAE"/>
    <w:rsid w:val="00EE6EBB"/>
    <w:rsid w:val="00EE6EDD"/>
    <w:rsid w:val="00EE6EF6"/>
    <w:rsid w:val="00EE6F2A"/>
    <w:rsid w:val="00EE6F96"/>
    <w:rsid w:val="00EE702E"/>
    <w:rsid w:val="00EE708A"/>
    <w:rsid w:val="00EE7122"/>
    <w:rsid w:val="00EE717A"/>
    <w:rsid w:val="00EE71BD"/>
    <w:rsid w:val="00EE7429"/>
    <w:rsid w:val="00EE7444"/>
    <w:rsid w:val="00EE7561"/>
    <w:rsid w:val="00EE7589"/>
    <w:rsid w:val="00EE76C7"/>
    <w:rsid w:val="00EE773B"/>
    <w:rsid w:val="00EE775F"/>
    <w:rsid w:val="00EE77A6"/>
    <w:rsid w:val="00EE77BD"/>
    <w:rsid w:val="00EE7969"/>
    <w:rsid w:val="00EE79AB"/>
    <w:rsid w:val="00EE7A1B"/>
    <w:rsid w:val="00EE7A38"/>
    <w:rsid w:val="00EE7A40"/>
    <w:rsid w:val="00EE7BEC"/>
    <w:rsid w:val="00EE7C13"/>
    <w:rsid w:val="00EE7C26"/>
    <w:rsid w:val="00EE7C7E"/>
    <w:rsid w:val="00EE7DA0"/>
    <w:rsid w:val="00EE7DAA"/>
    <w:rsid w:val="00EE7DE7"/>
    <w:rsid w:val="00EE7E16"/>
    <w:rsid w:val="00EE7E26"/>
    <w:rsid w:val="00EE7E3A"/>
    <w:rsid w:val="00EE7E3B"/>
    <w:rsid w:val="00EE7E72"/>
    <w:rsid w:val="00EE7EB9"/>
    <w:rsid w:val="00EE7ED6"/>
    <w:rsid w:val="00EE7F43"/>
    <w:rsid w:val="00EE7F4A"/>
    <w:rsid w:val="00EF0012"/>
    <w:rsid w:val="00EF0022"/>
    <w:rsid w:val="00EF0115"/>
    <w:rsid w:val="00EF0118"/>
    <w:rsid w:val="00EF0220"/>
    <w:rsid w:val="00EF0268"/>
    <w:rsid w:val="00EF026F"/>
    <w:rsid w:val="00EF02D9"/>
    <w:rsid w:val="00EF034F"/>
    <w:rsid w:val="00EF0375"/>
    <w:rsid w:val="00EF03B7"/>
    <w:rsid w:val="00EF03DC"/>
    <w:rsid w:val="00EF0416"/>
    <w:rsid w:val="00EF041E"/>
    <w:rsid w:val="00EF042D"/>
    <w:rsid w:val="00EF0448"/>
    <w:rsid w:val="00EF0495"/>
    <w:rsid w:val="00EF04D5"/>
    <w:rsid w:val="00EF04E6"/>
    <w:rsid w:val="00EF0513"/>
    <w:rsid w:val="00EF051E"/>
    <w:rsid w:val="00EF056E"/>
    <w:rsid w:val="00EF05E7"/>
    <w:rsid w:val="00EF0681"/>
    <w:rsid w:val="00EF069F"/>
    <w:rsid w:val="00EF06EF"/>
    <w:rsid w:val="00EF06F9"/>
    <w:rsid w:val="00EF070B"/>
    <w:rsid w:val="00EF074E"/>
    <w:rsid w:val="00EF07C6"/>
    <w:rsid w:val="00EF0871"/>
    <w:rsid w:val="00EF0896"/>
    <w:rsid w:val="00EF08D4"/>
    <w:rsid w:val="00EF08E4"/>
    <w:rsid w:val="00EF097A"/>
    <w:rsid w:val="00EF0A0E"/>
    <w:rsid w:val="00EF0A67"/>
    <w:rsid w:val="00EF0AC6"/>
    <w:rsid w:val="00EF0B5B"/>
    <w:rsid w:val="00EF0BBC"/>
    <w:rsid w:val="00EF0C3D"/>
    <w:rsid w:val="00EF0D17"/>
    <w:rsid w:val="00EF0D4B"/>
    <w:rsid w:val="00EF0D62"/>
    <w:rsid w:val="00EF0D8E"/>
    <w:rsid w:val="00EF0DBF"/>
    <w:rsid w:val="00EF0E07"/>
    <w:rsid w:val="00EF0E32"/>
    <w:rsid w:val="00EF0E6F"/>
    <w:rsid w:val="00EF0EF3"/>
    <w:rsid w:val="00EF0F7F"/>
    <w:rsid w:val="00EF0FAA"/>
    <w:rsid w:val="00EF10B2"/>
    <w:rsid w:val="00EF111A"/>
    <w:rsid w:val="00EF112A"/>
    <w:rsid w:val="00EF118C"/>
    <w:rsid w:val="00EF11D8"/>
    <w:rsid w:val="00EF1250"/>
    <w:rsid w:val="00EF1303"/>
    <w:rsid w:val="00EF134F"/>
    <w:rsid w:val="00EF1366"/>
    <w:rsid w:val="00EF13CC"/>
    <w:rsid w:val="00EF13E2"/>
    <w:rsid w:val="00EF1433"/>
    <w:rsid w:val="00EF149A"/>
    <w:rsid w:val="00EF159F"/>
    <w:rsid w:val="00EF15BD"/>
    <w:rsid w:val="00EF15CB"/>
    <w:rsid w:val="00EF16C7"/>
    <w:rsid w:val="00EF16D0"/>
    <w:rsid w:val="00EF16EE"/>
    <w:rsid w:val="00EF1708"/>
    <w:rsid w:val="00EF1762"/>
    <w:rsid w:val="00EF17A6"/>
    <w:rsid w:val="00EF188B"/>
    <w:rsid w:val="00EF18C0"/>
    <w:rsid w:val="00EF1950"/>
    <w:rsid w:val="00EF19A0"/>
    <w:rsid w:val="00EF19C9"/>
    <w:rsid w:val="00EF1A08"/>
    <w:rsid w:val="00EF1A36"/>
    <w:rsid w:val="00EF1A5E"/>
    <w:rsid w:val="00EF1A7B"/>
    <w:rsid w:val="00EF1AFE"/>
    <w:rsid w:val="00EF1B12"/>
    <w:rsid w:val="00EF1B2C"/>
    <w:rsid w:val="00EF1B51"/>
    <w:rsid w:val="00EF1C25"/>
    <w:rsid w:val="00EF1C9A"/>
    <w:rsid w:val="00EF1CB8"/>
    <w:rsid w:val="00EF1D41"/>
    <w:rsid w:val="00EF1DA5"/>
    <w:rsid w:val="00EF1E02"/>
    <w:rsid w:val="00EF1E8F"/>
    <w:rsid w:val="00EF1EB4"/>
    <w:rsid w:val="00EF1EE8"/>
    <w:rsid w:val="00EF1F10"/>
    <w:rsid w:val="00EF1F28"/>
    <w:rsid w:val="00EF1F8D"/>
    <w:rsid w:val="00EF201B"/>
    <w:rsid w:val="00EF206E"/>
    <w:rsid w:val="00EF2093"/>
    <w:rsid w:val="00EF20D5"/>
    <w:rsid w:val="00EF219F"/>
    <w:rsid w:val="00EF220A"/>
    <w:rsid w:val="00EF2229"/>
    <w:rsid w:val="00EF2281"/>
    <w:rsid w:val="00EF22A2"/>
    <w:rsid w:val="00EF231A"/>
    <w:rsid w:val="00EF234A"/>
    <w:rsid w:val="00EF236E"/>
    <w:rsid w:val="00EF238B"/>
    <w:rsid w:val="00EF2479"/>
    <w:rsid w:val="00EF2554"/>
    <w:rsid w:val="00EF2634"/>
    <w:rsid w:val="00EF26AF"/>
    <w:rsid w:val="00EF26B4"/>
    <w:rsid w:val="00EF2708"/>
    <w:rsid w:val="00EF2726"/>
    <w:rsid w:val="00EF27CD"/>
    <w:rsid w:val="00EF27E2"/>
    <w:rsid w:val="00EF2868"/>
    <w:rsid w:val="00EF28F5"/>
    <w:rsid w:val="00EF2A1E"/>
    <w:rsid w:val="00EF2B4E"/>
    <w:rsid w:val="00EF2B89"/>
    <w:rsid w:val="00EF2BB4"/>
    <w:rsid w:val="00EF2C97"/>
    <w:rsid w:val="00EF2D30"/>
    <w:rsid w:val="00EF2D56"/>
    <w:rsid w:val="00EF2D61"/>
    <w:rsid w:val="00EF2DCA"/>
    <w:rsid w:val="00EF2DFE"/>
    <w:rsid w:val="00EF2E35"/>
    <w:rsid w:val="00EF2E3C"/>
    <w:rsid w:val="00EF2E74"/>
    <w:rsid w:val="00EF2E95"/>
    <w:rsid w:val="00EF2F1F"/>
    <w:rsid w:val="00EF2FCB"/>
    <w:rsid w:val="00EF304E"/>
    <w:rsid w:val="00EF30D7"/>
    <w:rsid w:val="00EF30FD"/>
    <w:rsid w:val="00EF313B"/>
    <w:rsid w:val="00EF313C"/>
    <w:rsid w:val="00EF31CD"/>
    <w:rsid w:val="00EF3215"/>
    <w:rsid w:val="00EF34E7"/>
    <w:rsid w:val="00EF369A"/>
    <w:rsid w:val="00EF36EA"/>
    <w:rsid w:val="00EF3750"/>
    <w:rsid w:val="00EF3814"/>
    <w:rsid w:val="00EF38E7"/>
    <w:rsid w:val="00EF3962"/>
    <w:rsid w:val="00EF3A16"/>
    <w:rsid w:val="00EF3A6C"/>
    <w:rsid w:val="00EF3A6D"/>
    <w:rsid w:val="00EF3B8B"/>
    <w:rsid w:val="00EF3C23"/>
    <w:rsid w:val="00EF3C4B"/>
    <w:rsid w:val="00EF3C9E"/>
    <w:rsid w:val="00EF3DF5"/>
    <w:rsid w:val="00EF3E11"/>
    <w:rsid w:val="00EF3ED8"/>
    <w:rsid w:val="00EF404A"/>
    <w:rsid w:val="00EF4075"/>
    <w:rsid w:val="00EF4084"/>
    <w:rsid w:val="00EF40CA"/>
    <w:rsid w:val="00EF4121"/>
    <w:rsid w:val="00EF4142"/>
    <w:rsid w:val="00EF4173"/>
    <w:rsid w:val="00EF41AC"/>
    <w:rsid w:val="00EF425D"/>
    <w:rsid w:val="00EF4296"/>
    <w:rsid w:val="00EF42A6"/>
    <w:rsid w:val="00EF42AA"/>
    <w:rsid w:val="00EF4488"/>
    <w:rsid w:val="00EF4493"/>
    <w:rsid w:val="00EF44AE"/>
    <w:rsid w:val="00EF45C1"/>
    <w:rsid w:val="00EF45D2"/>
    <w:rsid w:val="00EF462B"/>
    <w:rsid w:val="00EF462E"/>
    <w:rsid w:val="00EF4642"/>
    <w:rsid w:val="00EF46BF"/>
    <w:rsid w:val="00EF46DB"/>
    <w:rsid w:val="00EF4711"/>
    <w:rsid w:val="00EF471B"/>
    <w:rsid w:val="00EF4772"/>
    <w:rsid w:val="00EF480E"/>
    <w:rsid w:val="00EF485A"/>
    <w:rsid w:val="00EF4982"/>
    <w:rsid w:val="00EF49B7"/>
    <w:rsid w:val="00EF49CB"/>
    <w:rsid w:val="00EF4A26"/>
    <w:rsid w:val="00EF4A43"/>
    <w:rsid w:val="00EF4AA4"/>
    <w:rsid w:val="00EF4AE8"/>
    <w:rsid w:val="00EF4B0F"/>
    <w:rsid w:val="00EF4B6C"/>
    <w:rsid w:val="00EF4B9C"/>
    <w:rsid w:val="00EF4BA1"/>
    <w:rsid w:val="00EF4BB4"/>
    <w:rsid w:val="00EF4C1B"/>
    <w:rsid w:val="00EF4C29"/>
    <w:rsid w:val="00EF4C3D"/>
    <w:rsid w:val="00EF4D23"/>
    <w:rsid w:val="00EF4DAC"/>
    <w:rsid w:val="00EF4DBB"/>
    <w:rsid w:val="00EF4DCC"/>
    <w:rsid w:val="00EF4DDA"/>
    <w:rsid w:val="00EF4E17"/>
    <w:rsid w:val="00EF4E3D"/>
    <w:rsid w:val="00EF4E93"/>
    <w:rsid w:val="00EF4EA1"/>
    <w:rsid w:val="00EF4EB5"/>
    <w:rsid w:val="00EF4EED"/>
    <w:rsid w:val="00EF4F02"/>
    <w:rsid w:val="00EF4F6A"/>
    <w:rsid w:val="00EF4FC2"/>
    <w:rsid w:val="00EF4FEA"/>
    <w:rsid w:val="00EF503E"/>
    <w:rsid w:val="00EF508C"/>
    <w:rsid w:val="00EF5168"/>
    <w:rsid w:val="00EF51C9"/>
    <w:rsid w:val="00EF5232"/>
    <w:rsid w:val="00EF529A"/>
    <w:rsid w:val="00EF5324"/>
    <w:rsid w:val="00EF532F"/>
    <w:rsid w:val="00EF5436"/>
    <w:rsid w:val="00EF5469"/>
    <w:rsid w:val="00EF5499"/>
    <w:rsid w:val="00EF54A7"/>
    <w:rsid w:val="00EF54D9"/>
    <w:rsid w:val="00EF5560"/>
    <w:rsid w:val="00EF55E3"/>
    <w:rsid w:val="00EF5695"/>
    <w:rsid w:val="00EF570B"/>
    <w:rsid w:val="00EF571A"/>
    <w:rsid w:val="00EF5758"/>
    <w:rsid w:val="00EF5760"/>
    <w:rsid w:val="00EF57E7"/>
    <w:rsid w:val="00EF5822"/>
    <w:rsid w:val="00EF5891"/>
    <w:rsid w:val="00EF5910"/>
    <w:rsid w:val="00EF5A52"/>
    <w:rsid w:val="00EF5AE6"/>
    <w:rsid w:val="00EF5AF0"/>
    <w:rsid w:val="00EF5B0A"/>
    <w:rsid w:val="00EF5B3E"/>
    <w:rsid w:val="00EF5B4E"/>
    <w:rsid w:val="00EF5BB4"/>
    <w:rsid w:val="00EF5C73"/>
    <w:rsid w:val="00EF5D3F"/>
    <w:rsid w:val="00EF5D86"/>
    <w:rsid w:val="00EF5E2B"/>
    <w:rsid w:val="00EF5F45"/>
    <w:rsid w:val="00EF5F9B"/>
    <w:rsid w:val="00EF5FDD"/>
    <w:rsid w:val="00EF6008"/>
    <w:rsid w:val="00EF600A"/>
    <w:rsid w:val="00EF6030"/>
    <w:rsid w:val="00EF60FE"/>
    <w:rsid w:val="00EF623F"/>
    <w:rsid w:val="00EF6245"/>
    <w:rsid w:val="00EF6263"/>
    <w:rsid w:val="00EF6265"/>
    <w:rsid w:val="00EF6287"/>
    <w:rsid w:val="00EF62AF"/>
    <w:rsid w:val="00EF6325"/>
    <w:rsid w:val="00EF633A"/>
    <w:rsid w:val="00EF6360"/>
    <w:rsid w:val="00EF6361"/>
    <w:rsid w:val="00EF6383"/>
    <w:rsid w:val="00EF638C"/>
    <w:rsid w:val="00EF6396"/>
    <w:rsid w:val="00EF63E5"/>
    <w:rsid w:val="00EF640F"/>
    <w:rsid w:val="00EF645E"/>
    <w:rsid w:val="00EF6472"/>
    <w:rsid w:val="00EF6497"/>
    <w:rsid w:val="00EF660F"/>
    <w:rsid w:val="00EF6627"/>
    <w:rsid w:val="00EF662C"/>
    <w:rsid w:val="00EF668B"/>
    <w:rsid w:val="00EF67AA"/>
    <w:rsid w:val="00EF67AE"/>
    <w:rsid w:val="00EF67DD"/>
    <w:rsid w:val="00EF67EF"/>
    <w:rsid w:val="00EF6854"/>
    <w:rsid w:val="00EF6857"/>
    <w:rsid w:val="00EF6890"/>
    <w:rsid w:val="00EF689F"/>
    <w:rsid w:val="00EF6953"/>
    <w:rsid w:val="00EF6958"/>
    <w:rsid w:val="00EF6968"/>
    <w:rsid w:val="00EF69EF"/>
    <w:rsid w:val="00EF6A46"/>
    <w:rsid w:val="00EF6B01"/>
    <w:rsid w:val="00EF6B5A"/>
    <w:rsid w:val="00EF6B94"/>
    <w:rsid w:val="00EF6BB5"/>
    <w:rsid w:val="00EF6BE3"/>
    <w:rsid w:val="00EF6BFA"/>
    <w:rsid w:val="00EF6BFB"/>
    <w:rsid w:val="00EF6C44"/>
    <w:rsid w:val="00EF6CD0"/>
    <w:rsid w:val="00EF6CDD"/>
    <w:rsid w:val="00EF6CF8"/>
    <w:rsid w:val="00EF6DA3"/>
    <w:rsid w:val="00EF6E2E"/>
    <w:rsid w:val="00EF7007"/>
    <w:rsid w:val="00EF7075"/>
    <w:rsid w:val="00EF719D"/>
    <w:rsid w:val="00EF71F3"/>
    <w:rsid w:val="00EF72A3"/>
    <w:rsid w:val="00EF7358"/>
    <w:rsid w:val="00EF735A"/>
    <w:rsid w:val="00EF739D"/>
    <w:rsid w:val="00EF742B"/>
    <w:rsid w:val="00EF7455"/>
    <w:rsid w:val="00EF751C"/>
    <w:rsid w:val="00EF7544"/>
    <w:rsid w:val="00EF75A6"/>
    <w:rsid w:val="00EF75A7"/>
    <w:rsid w:val="00EF766E"/>
    <w:rsid w:val="00EF773E"/>
    <w:rsid w:val="00EF7744"/>
    <w:rsid w:val="00EF7767"/>
    <w:rsid w:val="00EF77B3"/>
    <w:rsid w:val="00EF77DB"/>
    <w:rsid w:val="00EF7808"/>
    <w:rsid w:val="00EF797D"/>
    <w:rsid w:val="00EF79FF"/>
    <w:rsid w:val="00EF7A8E"/>
    <w:rsid w:val="00EF7B3A"/>
    <w:rsid w:val="00EF7B84"/>
    <w:rsid w:val="00EF7BBD"/>
    <w:rsid w:val="00EF7BDB"/>
    <w:rsid w:val="00EF7C57"/>
    <w:rsid w:val="00EF7D2C"/>
    <w:rsid w:val="00EF7D87"/>
    <w:rsid w:val="00EF7D8D"/>
    <w:rsid w:val="00EF7DF7"/>
    <w:rsid w:val="00EF7F11"/>
    <w:rsid w:val="00EF7F38"/>
    <w:rsid w:val="00F0022B"/>
    <w:rsid w:val="00F00241"/>
    <w:rsid w:val="00F0026E"/>
    <w:rsid w:val="00F002CE"/>
    <w:rsid w:val="00F0030C"/>
    <w:rsid w:val="00F0036D"/>
    <w:rsid w:val="00F00409"/>
    <w:rsid w:val="00F004E3"/>
    <w:rsid w:val="00F004F3"/>
    <w:rsid w:val="00F005D7"/>
    <w:rsid w:val="00F00606"/>
    <w:rsid w:val="00F00632"/>
    <w:rsid w:val="00F00645"/>
    <w:rsid w:val="00F0066F"/>
    <w:rsid w:val="00F00682"/>
    <w:rsid w:val="00F006AA"/>
    <w:rsid w:val="00F006E0"/>
    <w:rsid w:val="00F0070C"/>
    <w:rsid w:val="00F00734"/>
    <w:rsid w:val="00F007EE"/>
    <w:rsid w:val="00F008F7"/>
    <w:rsid w:val="00F008FA"/>
    <w:rsid w:val="00F009A2"/>
    <w:rsid w:val="00F00A3A"/>
    <w:rsid w:val="00F00A5F"/>
    <w:rsid w:val="00F00AD0"/>
    <w:rsid w:val="00F00B66"/>
    <w:rsid w:val="00F00C38"/>
    <w:rsid w:val="00F00CE0"/>
    <w:rsid w:val="00F00D55"/>
    <w:rsid w:val="00F00DAA"/>
    <w:rsid w:val="00F00DC8"/>
    <w:rsid w:val="00F00E78"/>
    <w:rsid w:val="00F00F04"/>
    <w:rsid w:val="00F00F09"/>
    <w:rsid w:val="00F00F3F"/>
    <w:rsid w:val="00F01056"/>
    <w:rsid w:val="00F01093"/>
    <w:rsid w:val="00F01095"/>
    <w:rsid w:val="00F010BA"/>
    <w:rsid w:val="00F0112B"/>
    <w:rsid w:val="00F01191"/>
    <w:rsid w:val="00F011CD"/>
    <w:rsid w:val="00F01226"/>
    <w:rsid w:val="00F012B1"/>
    <w:rsid w:val="00F012B8"/>
    <w:rsid w:val="00F012D6"/>
    <w:rsid w:val="00F012F0"/>
    <w:rsid w:val="00F0134E"/>
    <w:rsid w:val="00F01383"/>
    <w:rsid w:val="00F013BB"/>
    <w:rsid w:val="00F01491"/>
    <w:rsid w:val="00F0150C"/>
    <w:rsid w:val="00F0157D"/>
    <w:rsid w:val="00F0159A"/>
    <w:rsid w:val="00F015FE"/>
    <w:rsid w:val="00F01605"/>
    <w:rsid w:val="00F01674"/>
    <w:rsid w:val="00F01695"/>
    <w:rsid w:val="00F016BA"/>
    <w:rsid w:val="00F016E4"/>
    <w:rsid w:val="00F0170C"/>
    <w:rsid w:val="00F0174C"/>
    <w:rsid w:val="00F0176D"/>
    <w:rsid w:val="00F01790"/>
    <w:rsid w:val="00F01828"/>
    <w:rsid w:val="00F0186E"/>
    <w:rsid w:val="00F01871"/>
    <w:rsid w:val="00F018B9"/>
    <w:rsid w:val="00F018F0"/>
    <w:rsid w:val="00F01919"/>
    <w:rsid w:val="00F01926"/>
    <w:rsid w:val="00F01940"/>
    <w:rsid w:val="00F0198D"/>
    <w:rsid w:val="00F019CE"/>
    <w:rsid w:val="00F019CF"/>
    <w:rsid w:val="00F01A49"/>
    <w:rsid w:val="00F01A6B"/>
    <w:rsid w:val="00F01AC6"/>
    <w:rsid w:val="00F01ACA"/>
    <w:rsid w:val="00F01AE8"/>
    <w:rsid w:val="00F01AF9"/>
    <w:rsid w:val="00F01BE7"/>
    <w:rsid w:val="00F01C23"/>
    <w:rsid w:val="00F01C24"/>
    <w:rsid w:val="00F01C6E"/>
    <w:rsid w:val="00F01CD8"/>
    <w:rsid w:val="00F01E97"/>
    <w:rsid w:val="00F01EDD"/>
    <w:rsid w:val="00F01EF4"/>
    <w:rsid w:val="00F01FED"/>
    <w:rsid w:val="00F02050"/>
    <w:rsid w:val="00F0220E"/>
    <w:rsid w:val="00F0233C"/>
    <w:rsid w:val="00F023FB"/>
    <w:rsid w:val="00F02496"/>
    <w:rsid w:val="00F024E4"/>
    <w:rsid w:val="00F024E8"/>
    <w:rsid w:val="00F024EF"/>
    <w:rsid w:val="00F02521"/>
    <w:rsid w:val="00F02533"/>
    <w:rsid w:val="00F02548"/>
    <w:rsid w:val="00F02587"/>
    <w:rsid w:val="00F0258E"/>
    <w:rsid w:val="00F025E5"/>
    <w:rsid w:val="00F02641"/>
    <w:rsid w:val="00F026A4"/>
    <w:rsid w:val="00F026BE"/>
    <w:rsid w:val="00F026D3"/>
    <w:rsid w:val="00F0273C"/>
    <w:rsid w:val="00F02961"/>
    <w:rsid w:val="00F0296B"/>
    <w:rsid w:val="00F02975"/>
    <w:rsid w:val="00F02997"/>
    <w:rsid w:val="00F029CB"/>
    <w:rsid w:val="00F029EE"/>
    <w:rsid w:val="00F02A26"/>
    <w:rsid w:val="00F02A9D"/>
    <w:rsid w:val="00F02AEF"/>
    <w:rsid w:val="00F02B02"/>
    <w:rsid w:val="00F02B98"/>
    <w:rsid w:val="00F02BBE"/>
    <w:rsid w:val="00F02C30"/>
    <w:rsid w:val="00F02C9A"/>
    <w:rsid w:val="00F02D26"/>
    <w:rsid w:val="00F02D9A"/>
    <w:rsid w:val="00F02DC2"/>
    <w:rsid w:val="00F02DC3"/>
    <w:rsid w:val="00F02DD4"/>
    <w:rsid w:val="00F02E3B"/>
    <w:rsid w:val="00F02E64"/>
    <w:rsid w:val="00F02EC5"/>
    <w:rsid w:val="00F02EDE"/>
    <w:rsid w:val="00F03029"/>
    <w:rsid w:val="00F0303D"/>
    <w:rsid w:val="00F030BB"/>
    <w:rsid w:val="00F030E3"/>
    <w:rsid w:val="00F030E6"/>
    <w:rsid w:val="00F0312D"/>
    <w:rsid w:val="00F0316F"/>
    <w:rsid w:val="00F03190"/>
    <w:rsid w:val="00F031A7"/>
    <w:rsid w:val="00F031AB"/>
    <w:rsid w:val="00F0327C"/>
    <w:rsid w:val="00F0327E"/>
    <w:rsid w:val="00F032C2"/>
    <w:rsid w:val="00F032DE"/>
    <w:rsid w:val="00F03303"/>
    <w:rsid w:val="00F03314"/>
    <w:rsid w:val="00F03370"/>
    <w:rsid w:val="00F033CB"/>
    <w:rsid w:val="00F033DC"/>
    <w:rsid w:val="00F03427"/>
    <w:rsid w:val="00F03432"/>
    <w:rsid w:val="00F034F6"/>
    <w:rsid w:val="00F035BA"/>
    <w:rsid w:val="00F03637"/>
    <w:rsid w:val="00F03684"/>
    <w:rsid w:val="00F036FA"/>
    <w:rsid w:val="00F0373C"/>
    <w:rsid w:val="00F03795"/>
    <w:rsid w:val="00F0379F"/>
    <w:rsid w:val="00F037D1"/>
    <w:rsid w:val="00F03801"/>
    <w:rsid w:val="00F03876"/>
    <w:rsid w:val="00F038C4"/>
    <w:rsid w:val="00F038FB"/>
    <w:rsid w:val="00F0397D"/>
    <w:rsid w:val="00F0398A"/>
    <w:rsid w:val="00F03998"/>
    <w:rsid w:val="00F039E9"/>
    <w:rsid w:val="00F03A38"/>
    <w:rsid w:val="00F03A77"/>
    <w:rsid w:val="00F03AAC"/>
    <w:rsid w:val="00F03AD0"/>
    <w:rsid w:val="00F03AF2"/>
    <w:rsid w:val="00F03B22"/>
    <w:rsid w:val="00F03BFD"/>
    <w:rsid w:val="00F03D0C"/>
    <w:rsid w:val="00F03DAA"/>
    <w:rsid w:val="00F03DF1"/>
    <w:rsid w:val="00F03E78"/>
    <w:rsid w:val="00F03EAB"/>
    <w:rsid w:val="00F03ECF"/>
    <w:rsid w:val="00F03FCA"/>
    <w:rsid w:val="00F04047"/>
    <w:rsid w:val="00F04060"/>
    <w:rsid w:val="00F0407C"/>
    <w:rsid w:val="00F040AE"/>
    <w:rsid w:val="00F0412F"/>
    <w:rsid w:val="00F04214"/>
    <w:rsid w:val="00F042C2"/>
    <w:rsid w:val="00F043AC"/>
    <w:rsid w:val="00F043EF"/>
    <w:rsid w:val="00F04494"/>
    <w:rsid w:val="00F044A2"/>
    <w:rsid w:val="00F044C3"/>
    <w:rsid w:val="00F044E4"/>
    <w:rsid w:val="00F04601"/>
    <w:rsid w:val="00F04602"/>
    <w:rsid w:val="00F04636"/>
    <w:rsid w:val="00F0469C"/>
    <w:rsid w:val="00F046BA"/>
    <w:rsid w:val="00F046C2"/>
    <w:rsid w:val="00F04723"/>
    <w:rsid w:val="00F0477D"/>
    <w:rsid w:val="00F047CC"/>
    <w:rsid w:val="00F0497D"/>
    <w:rsid w:val="00F049F6"/>
    <w:rsid w:val="00F04AEB"/>
    <w:rsid w:val="00F04B58"/>
    <w:rsid w:val="00F04B99"/>
    <w:rsid w:val="00F04BFE"/>
    <w:rsid w:val="00F04C50"/>
    <w:rsid w:val="00F04C7E"/>
    <w:rsid w:val="00F04CD7"/>
    <w:rsid w:val="00F04D22"/>
    <w:rsid w:val="00F04D9B"/>
    <w:rsid w:val="00F04D9E"/>
    <w:rsid w:val="00F04DD5"/>
    <w:rsid w:val="00F04DE5"/>
    <w:rsid w:val="00F04E02"/>
    <w:rsid w:val="00F04E0B"/>
    <w:rsid w:val="00F04E41"/>
    <w:rsid w:val="00F04EA0"/>
    <w:rsid w:val="00F04EC1"/>
    <w:rsid w:val="00F0504D"/>
    <w:rsid w:val="00F050A8"/>
    <w:rsid w:val="00F050D6"/>
    <w:rsid w:val="00F0514A"/>
    <w:rsid w:val="00F0514F"/>
    <w:rsid w:val="00F0527B"/>
    <w:rsid w:val="00F05297"/>
    <w:rsid w:val="00F052BF"/>
    <w:rsid w:val="00F053DF"/>
    <w:rsid w:val="00F053E2"/>
    <w:rsid w:val="00F05418"/>
    <w:rsid w:val="00F05423"/>
    <w:rsid w:val="00F05449"/>
    <w:rsid w:val="00F05467"/>
    <w:rsid w:val="00F0548F"/>
    <w:rsid w:val="00F05500"/>
    <w:rsid w:val="00F05585"/>
    <w:rsid w:val="00F055CA"/>
    <w:rsid w:val="00F05692"/>
    <w:rsid w:val="00F0571F"/>
    <w:rsid w:val="00F05815"/>
    <w:rsid w:val="00F0585C"/>
    <w:rsid w:val="00F05897"/>
    <w:rsid w:val="00F058BB"/>
    <w:rsid w:val="00F05981"/>
    <w:rsid w:val="00F05A39"/>
    <w:rsid w:val="00F05A5C"/>
    <w:rsid w:val="00F05A8F"/>
    <w:rsid w:val="00F05AB3"/>
    <w:rsid w:val="00F05B17"/>
    <w:rsid w:val="00F05BF7"/>
    <w:rsid w:val="00F05D7E"/>
    <w:rsid w:val="00F05DBF"/>
    <w:rsid w:val="00F05E0B"/>
    <w:rsid w:val="00F05EE6"/>
    <w:rsid w:val="00F05F2B"/>
    <w:rsid w:val="00F05F47"/>
    <w:rsid w:val="00F0616A"/>
    <w:rsid w:val="00F0620B"/>
    <w:rsid w:val="00F062A8"/>
    <w:rsid w:val="00F0630E"/>
    <w:rsid w:val="00F0633F"/>
    <w:rsid w:val="00F06399"/>
    <w:rsid w:val="00F06404"/>
    <w:rsid w:val="00F0641E"/>
    <w:rsid w:val="00F06425"/>
    <w:rsid w:val="00F06448"/>
    <w:rsid w:val="00F06467"/>
    <w:rsid w:val="00F064EE"/>
    <w:rsid w:val="00F06655"/>
    <w:rsid w:val="00F066A8"/>
    <w:rsid w:val="00F066EC"/>
    <w:rsid w:val="00F067BE"/>
    <w:rsid w:val="00F06898"/>
    <w:rsid w:val="00F0689D"/>
    <w:rsid w:val="00F06930"/>
    <w:rsid w:val="00F06945"/>
    <w:rsid w:val="00F0698D"/>
    <w:rsid w:val="00F069E2"/>
    <w:rsid w:val="00F06A27"/>
    <w:rsid w:val="00F06A70"/>
    <w:rsid w:val="00F06AD6"/>
    <w:rsid w:val="00F06AFF"/>
    <w:rsid w:val="00F06B00"/>
    <w:rsid w:val="00F06B02"/>
    <w:rsid w:val="00F06B17"/>
    <w:rsid w:val="00F06B1F"/>
    <w:rsid w:val="00F06B42"/>
    <w:rsid w:val="00F06B43"/>
    <w:rsid w:val="00F06C7C"/>
    <w:rsid w:val="00F06CE5"/>
    <w:rsid w:val="00F06D00"/>
    <w:rsid w:val="00F06D9E"/>
    <w:rsid w:val="00F06DE5"/>
    <w:rsid w:val="00F06DFE"/>
    <w:rsid w:val="00F06E03"/>
    <w:rsid w:val="00F06EB1"/>
    <w:rsid w:val="00F06EB4"/>
    <w:rsid w:val="00F06F6E"/>
    <w:rsid w:val="00F06F8D"/>
    <w:rsid w:val="00F06FB1"/>
    <w:rsid w:val="00F06FBF"/>
    <w:rsid w:val="00F0700F"/>
    <w:rsid w:val="00F0709A"/>
    <w:rsid w:val="00F0709C"/>
    <w:rsid w:val="00F070A7"/>
    <w:rsid w:val="00F070B8"/>
    <w:rsid w:val="00F070C6"/>
    <w:rsid w:val="00F07104"/>
    <w:rsid w:val="00F07126"/>
    <w:rsid w:val="00F071A3"/>
    <w:rsid w:val="00F07245"/>
    <w:rsid w:val="00F0726F"/>
    <w:rsid w:val="00F0728C"/>
    <w:rsid w:val="00F072AF"/>
    <w:rsid w:val="00F072EB"/>
    <w:rsid w:val="00F07388"/>
    <w:rsid w:val="00F073BF"/>
    <w:rsid w:val="00F074E2"/>
    <w:rsid w:val="00F074F2"/>
    <w:rsid w:val="00F07543"/>
    <w:rsid w:val="00F075AB"/>
    <w:rsid w:val="00F075E0"/>
    <w:rsid w:val="00F075EB"/>
    <w:rsid w:val="00F07655"/>
    <w:rsid w:val="00F076CB"/>
    <w:rsid w:val="00F07796"/>
    <w:rsid w:val="00F0779D"/>
    <w:rsid w:val="00F0788B"/>
    <w:rsid w:val="00F078FD"/>
    <w:rsid w:val="00F07916"/>
    <w:rsid w:val="00F07918"/>
    <w:rsid w:val="00F0792A"/>
    <w:rsid w:val="00F0794B"/>
    <w:rsid w:val="00F07972"/>
    <w:rsid w:val="00F079E5"/>
    <w:rsid w:val="00F07A31"/>
    <w:rsid w:val="00F07ABD"/>
    <w:rsid w:val="00F07B94"/>
    <w:rsid w:val="00F07BE8"/>
    <w:rsid w:val="00F07BF3"/>
    <w:rsid w:val="00F07C08"/>
    <w:rsid w:val="00F07C25"/>
    <w:rsid w:val="00F07C8E"/>
    <w:rsid w:val="00F07CE4"/>
    <w:rsid w:val="00F07D01"/>
    <w:rsid w:val="00F07D5E"/>
    <w:rsid w:val="00F07D8D"/>
    <w:rsid w:val="00F07D9F"/>
    <w:rsid w:val="00F07E67"/>
    <w:rsid w:val="00F07E79"/>
    <w:rsid w:val="00F07F42"/>
    <w:rsid w:val="00F07F47"/>
    <w:rsid w:val="00F07F93"/>
    <w:rsid w:val="00F10075"/>
    <w:rsid w:val="00F100BC"/>
    <w:rsid w:val="00F1015B"/>
    <w:rsid w:val="00F101BA"/>
    <w:rsid w:val="00F1022C"/>
    <w:rsid w:val="00F10297"/>
    <w:rsid w:val="00F1030C"/>
    <w:rsid w:val="00F10391"/>
    <w:rsid w:val="00F1046E"/>
    <w:rsid w:val="00F10509"/>
    <w:rsid w:val="00F10540"/>
    <w:rsid w:val="00F1054B"/>
    <w:rsid w:val="00F105E4"/>
    <w:rsid w:val="00F10790"/>
    <w:rsid w:val="00F10794"/>
    <w:rsid w:val="00F107FC"/>
    <w:rsid w:val="00F1082C"/>
    <w:rsid w:val="00F10869"/>
    <w:rsid w:val="00F10935"/>
    <w:rsid w:val="00F10ADB"/>
    <w:rsid w:val="00F10C07"/>
    <w:rsid w:val="00F10C32"/>
    <w:rsid w:val="00F10D90"/>
    <w:rsid w:val="00F10D9D"/>
    <w:rsid w:val="00F10E79"/>
    <w:rsid w:val="00F10F48"/>
    <w:rsid w:val="00F10F85"/>
    <w:rsid w:val="00F10F94"/>
    <w:rsid w:val="00F10FD7"/>
    <w:rsid w:val="00F1100C"/>
    <w:rsid w:val="00F11130"/>
    <w:rsid w:val="00F11176"/>
    <w:rsid w:val="00F112E2"/>
    <w:rsid w:val="00F11374"/>
    <w:rsid w:val="00F113CD"/>
    <w:rsid w:val="00F113E3"/>
    <w:rsid w:val="00F11503"/>
    <w:rsid w:val="00F115CC"/>
    <w:rsid w:val="00F115E6"/>
    <w:rsid w:val="00F117A2"/>
    <w:rsid w:val="00F117B7"/>
    <w:rsid w:val="00F117C6"/>
    <w:rsid w:val="00F117D4"/>
    <w:rsid w:val="00F1180C"/>
    <w:rsid w:val="00F11814"/>
    <w:rsid w:val="00F118A2"/>
    <w:rsid w:val="00F118FB"/>
    <w:rsid w:val="00F11945"/>
    <w:rsid w:val="00F11A0E"/>
    <w:rsid w:val="00F11A11"/>
    <w:rsid w:val="00F11A1C"/>
    <w:rsid w:val="00F11A73"/>
    <w:rsid w:val="00F11B03"/>
    <w:rsid w:val="00F11B8E"/>
    <w:rsid w:val="00F11C45"/>
    <w:rsid w:val="00F11CB9"/>
    <w:rsid w:val="00F11DA6"/>
    <w:rsid w:val="00F11DC0"/>
    <w:rsid w:val="00F11E8F"/>
    <w:rsid w:val="00F11E90"/>
    <w:rsid w:val="00F11FAC"/>
    <w:rsid w:val="00F1204F"/>
    <w:rsid w:val="00F12072"/>
    <w:rsid w:val="00F12088"/>
    <w:rsid w:val="00F120A6"/>
    <w:rsid w:val="00F120F9"/>
    <w:rsid w:val="00F1219E"/>
    <w:rsid w:val="00F12267"/>
    <w:rsid w:val="00F12354"/>
    <w:rsid w:val="00F123AD"/>
    <w:rsid w:val="00F12460"/>
    <w:rsid w:val="00F1246F"/>
    <w:rsid w:val="00F12474"/>
    <w:rsid w:val="00F12547"/>
    <w:rsid w:val="00F125C7"/>
    <w:rsid w:val="00F125D8"/>
    <w:rsid w:val="00F12626"/>
    <w:rsid w:val="00F126D7"/>
    <w:rsid w:val="00F12729"/>
    <w:rsid w:val="00F12762"/>
    <w:rsid w:val="00F128B8"/>
    <w:rsid w:val="00F12981"/>
    <w:rsid w:val="00F129DA"/>
    <w:rsid w:val="00F12AAB"/>
    <w:rsid w:val="00F12AF2"/>
    <w:rsid w:val="00F12B10"/>
    <w:rsid w:val="00F12B3C"/>
    <w:rsid w:val="00F12B80"/>
    <w:rsid w:val="00F12B83"/>
    <w:rsid w:val="00F12BD4"/>
    <w:rsid w:val="00F12C0A"/>
    <w:rsid w:val="00F12C27"/>
    <w:rsid w:val="00F12C7C"/>
    <w:rsid w:val="00F12CB1"/>
    <w:rsid w:val="00F12CEE"/>
    <w:rsid w:val="00F12D1D"/>
    <w:rsid w:val="00F12D20"/>
    <w:rsid w:val="00F12DCF"/>
    <w:rsid w:val="00F12DEB"/>
    <w:rsid w:val="00F12E99"/>
    <w:rsid w:val="00F12EC8"/>
    <w:rsid w:val="00F12ED7"/>
    <w:rsid w:val="00F12F7E"/>
    <w:rsid w:val="00F12FEB"/>
    <w:rsid w:val="00F13016"/>
    <w:rsid w:val="00F13067"/>
    <w:rsid w:val="00F130F6"/>
    <w:rsid w:val="00F13136"/>
    <w:rsid w:val="00F13171"/>
    <w:rsid w:val="00F1318F"/>
    <w:rsid w:val="00F1319B"/>
    <w:rsid w:val="00F131DF"/>
    <w:rsid w:val="00F1323F"/>
    <w:rsid w:val="00F1325F"/>
    <w:rsid w:val="00F1328A"/>
    <w:rsid w:val="00F132BC"/>
    <w:rsid w:val="00F132C9"/>
    <w:rsid w:val="00F13362"/>
    <w:rsid w:val="00F13384"/>
    <w:rsid w:val="00F133A6"/>
    <w:rsid w:val="00F133B6"/>
    <w:rsid w:val="00F133EF"/>
    <w:rsid w:val="00F1346B"/>
    <w:rsid w:val="00F1347F"/>
    <w:rsid w:val="00F134B2"/>
    <w:rsid w:val="00F1356C"/>
    <w:rsid w:val="00F13608"/>
    <w:rsid w:val="00F13632"/>
    <w:rsid w:val="00F1369A"/>
    <w:rsid w:val="00F136A8"/>
    <w:rsid w:val="00F136B9"/>
    <w:rsid w:val="00F136F9"/>
    <w:rsid w:val="00F1370C"/>
    <w:rsid w:val="00F137DC"/>
    <w:rsid w:val="00F1382F"/>
    <w:rsid w:val="00F13840"/>
    <w:rsid w:val="00F13848"/>
    <w:rsid w:val="00F1386F"/>
    <w:rsid w:val="00F138DA"/>
    <w:rsid w:val="00F138DE"/>
    <w:rsid w:val="00F138E2"/>
    <w:rsid w:val="00F139DC"/>
    <w:rsid w:val="00F13A13"/>
    <w:rsid w:val="00F13AE2"/>
    <w:rsid w:val="00F13B81"/>
    <w:rsid w:val="00F13B83"/>
    <w:rsid w:val="00F13BE6"/>
    <w:rsid w:val="00F13C10"/>
    <w:rsid w:val="00F13C48"/>
    <w:rsid w:val="00F13C69"/>
    <w:rsid w:val="00F13D88"/>
    <w:rsid w:val="00F13E4B"/>
    <w:rsid w:val="00F13E71"/>
    <w:rsid w:val="00F13E8D"/>
    <w:rsid w:val="00F13E98"/>
    <w:rsid w:val="00F13EA7"/>
    <w:rsid w:val="00F13EB1"/>
    <w:rsid w:val="00F13EEA"/>
    <w:rsid w:val="00F13EF9"/>
    <w:rsid w:val="00F13F04"/>
    <w:rsid w:val="00F13FC8"/>
    <w:rsid w:val="00F13FF6"/>
    <w:rsid w:val="00F14015"/>
    <w:rsid w:val="00F1401C"/>
    <w:rsid w:val="00F14032"/>
    <w:rsid w:val="00F14050"/>
    <w:rsid w:val="00F14073"/>
    <w:rsid w:val="00F1428C"/>
    <w:rsid w:val="00F14358"/>
    <w:rsid w:val="00F14381"/>
    <w:rsid w:val="00F143F2"/>
    <w:rsid w:val="00F1448D"/>
    <w:rsid w:val="00F144BB"/>
    <w:rsid w:val="00F144EA"/>
    <w:rsid w:val="00F145B6"/>
    <w:rsid w:val="00F1465D"/>
    <w:rsid w:val="00F14690"/>
    <w:rsid w:val="00F146C7"/>
    <w:rsid w:val="00F146CA"/>
    <w:rsid w:val="00F14759"/>
    <w:rsid w:val="00F147BB"/>
    <w:rsid w:val="00F147D3"/>
    <w:rsid w:val="00F147E5"/>
    <w:rsid w:val="00F148EB"/>
    <w:rsid w:val="00F148FD"/>
    <w:rsid w:val="00F1497D"/>
    <w:rsid w:val="00F149B6"/>
    <w:rsid w:val="00F149C5"/>
    <w:rsid w:val="00F14A16"/>
    <w:rsid w:val="00F14AA5"/>
    <w:rsid w:val="00F14B54"/>
    <w:rsid w:val="00F14C04"/>
    <w:rsid w:val="00F14C61"/>
    <w:rsid w:val="00F14C9E"/>
    <w:rsid w:val="00F14D24"/>
    <w:rsid w:val="00F14D3C"/>
    <w:rsid w:val="00F14D45"/>
    <w:rsid w:val="00F14D6F"/>
    <w:rsid w:val="00F14D93"/>
    <w:rsid w:val="00F14DF9"/>
    <w:rsid w:val="00F14E04"/>
    <w:rsid w:val="00F14E52"/>
    <w:rsid w:val="00F14E60"/>
    <w:rsid w:val="00F14EBE"/>
    <w:rsid w:val="00F14EFB"/>
    <w:rsid w:val="00F14F84"/>
    <w:rsid w:val="00F15024"/>
    <w:rsid w:val="00F1504C"/>
    <w:rsid w:val="00F150AE"/>
    <w:rsid w:val="00F15143"/>
    <w:rsid w:val="00F151CF"/>
    <w:rsid w:val="00F151E3"/>
    <w:rsid w:val="00F15258"/>
    <w:rsid w:val="00F1529C"/>
    <w:rsid w:val="00F15362"/>
    <w:rsid w:val="00F15385"/>
    <w:rsid w:val="00F1538A"/>
    <w:rsid w:val="00F153B8"/>
    <w:rsid w:val="00F153BA"/>
    <w:rsid w:val="00F153F7"/>
    <w:rsid w:val="00F1540A"/>
    <w:rsid w:val="00F1545C"/>
    <w:rsid w:val="00F154CD"/>
    <w:rsid w:val="00F155BD"/>
    <w:rsid w:val="00F15601"/>
    <w:rsid w:val="00F15687"/>
    <w:rsid w:val="00F156BD"/>
    <w:rsid w:val="00F15721"/>
    <w:rsid w:val="00F1574C"/>
    <w:rsid w:val="00F157C5"/>
    <w:rsid w:val="00F158EB"/>
    <w:rsid w:val="00F15919"/>
    <w:rsid w:val="00F15939"/>
    <w:rsid w:val="00F15A43"/>
    <w:rsid w:val="00F15B79"/>
    <w:rsid w:val="00F15C1D"/>
    <w:rsid w:val="00F15C45"/>
    <w:rsid w:val="00F15D49"/>
    <w:rsid w:val="00F15DBE"/>
    <w:rsid w:val="00F15DC6"/>
    <w:rsid w:val="00F15E11"/>
    <w:rsid w:val="00F15E36"/>
    <w:rsid w:val="00F15E58"/>
    <w:rsid w:val="00F15E90"/>
    <w:rsid w:val="00F15E9F"/>
    <w:rsid w:val="00F15EBC"/>
    <w:rsid w:val="00F15F1B"/>
    <w:rsid w:val="00F15F92"/>
    <w:rsid w:val="00F15FCB"/>
    <w:rsid w:val="00F15FF5"/>
    <w:rsid w:val="00F160A0"/>
    <w:rsid w:val="00F16111"/>
    <w:rsid w:val="00F16137"/>
    <w:rsid w:val="00F161BD"/>
    <w:rsid w:val="00F16253"/>
    <w:rsid w:val="00F16281"/>
    <w:rsid w:val="00F162C9"/>
    <w:rsid w:val="00F16331"/>
    <w:rsid w:val="00F16422"/>
    <w:rsid w:val="00F16461"/>
    <w:rsid w:val="00F1649C"/>
    <w:rsid w:val="00F1651C"/>
    <w:rsid w:val="00F1655C"/>
    <w:rsid w:val="00F165B8"/>
    <w:rsid w:val="00F165E5"/>
    <w:rsid w:val="00F16631"/>
    <w:rsid w:val="00F166B1"/>
    <w:rsid w:val="00F167E9"/>
    <w:rsid w:val="00F1686C"/>
    <w:rsid w:val="00F1688E"/>
    <w:rsid w:val="00F168F6"/>
    <w:rsid w:val="00F16922"/>
    <w:rsid w:val="00F169E3"/>
    <w:rsid w:val="00F16ADE"/>
    <w:rsid w:val="00F16B97"/>
    <w:rsid w:val="00F16C5D"/>
    <w:rsid w:val="00F16CE3"/>
    <w:rsid w:val="00F16D7E"/>
    <w:rsid w:val="00F16E63"/>
    <w:rsid w:val="00F16E66"/>
    <w:rsid w:val="00F16E7C"/>
    <w:rsid w:val="00F16F73"/>
    <w:rsid w:val="00F17006"/>
    <w:rsid w:val="00F17151"/>
    <w:rsid w:val="00F17168"/>
    <w:rsid w:val="00F171FC"/>
    <w:rsid w:val="00F17215"/>
    <w:rsid w:val="00F17226"/>
    <w:rsid w:val="00F1728D"/>
    <w:rsid w:val="00F172CE"/>
    <w:rsid w:val="00F172FB"/>
    <w:rsid w:val="00F17318"/>
    <w:rsid w:val="00F1731E"/>
    <w:rsid w:val="00F1735D"/>
    <w:rsid w:val="00F17408"/>
    <w:rsid w:val="00F17428"/>
    <w:rsid w:val="00F1746B"/>
    <w:rsid w:val="00F1746C"/>
    <w:rsid w:val="00F174E2"/>
    <w:rsid w:val="00F174E3"/>
    <w:rsid w:val="00F17592"/>
    <w:rsid w:val="00F17638"/>
    <w:rsid w:val="00F1765C"/>
    <w:rsid w:val="00F17666"/>
    <w:rsid w:val="00F1766D"/>
    <w:rsid w:val="00F17679"/>
    <w:rsid w:val="00F17699"/>
    <w:rsid w:val="00F176DB"/>
    <w:rsid w:val="00F176F3"/>
    <w:rsid w:val="00F17702"/>
    <w:rsid w:val="00F1770E"/>
    <w:rsid w:val="00F177BE"/>
    <w:rsid w:val="00F17861"/>
    <w:rsid w:val="00F178AA"/>
    <w:rsid w:val="00F1791F"/>
    <w:rsid w:val="00F1796E"/>
    <w:rsid w:val="00F17989"/>
    <w:rsid w:val="00F1799B"/>
    <w:rsid w:val="00F179AA"/>
    <w:rsid w:val="00F17B9A"/>
    <w:rsid w:val="00F17BB3"/>
    <w:rsid w:val="00F17C55"/>
    <w:rsid w:val="00F17D9E"/>
    <w:rsid w:val="00F17DC7"/>
    <w:rsid w:val="00F17E87"/>
    <w:rsid w:val="00F17EA7"/>
    <w:rsid w:val="00F17EBC"/>
    <w:rsid w:val="00F17EC7"/>
    <w:rsid w:val="00F17F59"/>
    <w:rsid w:val="00F17F7E"/>
    <w:rsid w:val="00F17F98"/>
    <w:rsid w:val="00F17FB2"/>
    <w:rsid w:val="00F20079"/>
    <w:rsid w:val="00F200C9"/>
    <w:rsid w:val="00F20171"/>
    <w:rsid w:val="00F201DD"/>
    <w:rsid w:val="00F20221"/>
    <w:rsid w:val="00F20277"/>
    <w:rsid w:val="00F202D8"/>
    <w:rsid w:val="00F2031F"/>
    <w:rsid w:val="00F20341"/>
    <w:rsid w:val="00F20395"/>
    <w:rsid w:val="00F203B2"/>
    <w:rsid w:val="00F20423"/>
    <w:rsid w:val="00F2042E"/>
    <w:rsid w:val="00F20438"/>
    <w:rsid w:val="00F204C2"/>
    <w:rsid w:val="00F204D7"/>
    <w:rsid w:val="00F204F2"/>
    <w:rsid w:val="00F2062E"/>
    <w:rsid w:val="00F20651"/>
    <w:rsid w:val="00F20656"/>
    <w:rsid w:val="00F20694"/>
    <w:rsid w:val="00F20730"/>
    <w:rsid w:val="00F20756"/>
    <w:rsid w:val="00F207E5"/>
    <w:rsid w:val="00F20844"/>
    <w:rsid w:val="00F20867"/>
    <w:rsid w:val="00F2089C"/>
    <w:rsid w:val="00F208B8"/>
    <w:rsid w:val="00F209C4"/>
    <w:rsid w:val="00F209CD"/>
    <w:rsid w:val="00F209FE"/>
    <w:rsid w:val="00F20A36"/>
    <w:rsid w:val="00F20AA7"/>
    <w:rsid w:val="00F20B74"/>
    <w:rsid w:val="00F20BA2"/>
    <w:rsid w:val="00F20C12"/>
    <w:rsid w:val="00F20C89"/>
    <w:rsid w:val="00F20CB9"/>
    <w:rsid w:val="00F20CE8"/>
    <w:rsid w:val="00F20D12"/>
    <w:rsid w:val="00F20D49"/>
    <w:rsid w:val="00F20D5C"/>
    <w:rsid w:val="00F20E19"/>
    <w:rsid w:val="00F20FA0"/>
    <w:rsid w:val="00F20FBE"/>
    <w:rsid w:val="00F20FCC"/>
    <w:rsid w:val="00F21087"/>
    <w:rsid w:val="00F210AF"/>
    <w:rsid w:val="00F211A0"/>
    <w:rsid w:val="00F211D6"/>
    <w:rsid w:val="00F21259"/>
    <w:rsid w:val="00F212E2"/>
    <w:rsid w:val="00F21355"/>
    <w:rsid w:val="00F2137C"/>
    <w:rsid w:val="00F21440"/>
    <w:rsid w:val="00F21456"/>
    <w:rsid w:val="00F21474"/>
    <w:rsid w:val="00F214E9"/>
    <w:rsid w:val="00F214F7"/>
    <w:rsid w:val="00F2151A"/>
    <w:rsid w:val="00F2157B"/>
    <w:rsid w:val="00F21594"/>
    <w:rsid w:val="00F21622"/>
    <w:rsid w:val="00F21663"/>
    <w:rsid w:val="00F21695"/>
    <w:rsid w:val="00F216C9"/>
    <w:rsid w:val="00F2170D"/>
    <w:rsid w:val="00F217C6"/>
    <w:rsid w:val="00F217CF"/>
    <w:rsid w:val="00F21878"/>
    <w:rsid w:val="00F21941"/>
    <w:rsid w:val="00F2195D"/>
    <w:rsid w:val="00F21989"/>
    <w:rsid w:val="00F2198C"/>
    <w:rsid w:val="00F21999"/>
    <w:rsid w:val="00F21A17"/>
    <w:rsid w:val="00F21A58"/>
    <w:rsid w:val="00F21A6D"/>
    <w:rsid w:val="00F21AC4"/>
    <w:rsid w:val="00F21AE9"/>
    <w:rsid w:val="00F21C0B"/>
    <w:rsid w:val="00F21DBE"/>
    <w:rsid w:val="00F21DD9"/>
    <w:rsid w:val="00F21DDD"/>
    <w:rsid w:val="00F21E5F"/>
    <w:rsid w:val="00F21EA5"/>
    <w:rsid w:val="00F21EC7"/>
    <w:rsid w:val="00F21F3B"/>
    <w:rsid w:val="00F21FE7"/>
    <w:rsid w:val="00F21FF5"/>
    <w:rsid w:val="00F220D5"/>
    <w:rsid w:val="00F220D8"/>
    <w:rsid w:val="00F22150"/>
    <w:rsid w:val="00F22173"/>
    <w:rsid w:val="00F221D8"/>
    <w:rsid w:val="00F22212"/>
    <w:rsid w:val="00F22241"/>
    <w:rsid w:val="00F222F4"/>
    <w:rsid w:val="00F22320"/>
    <w:rsid w:val="00F2236A"/>
    <w:rsid w:val="00F223C8"/>
    <w:rsid w:val="00F223F0"/>
    <w:rsid w:val="00F2257E"/>
    <w:rsid w:val="00F225A9"/>
    <w:rsid w:val="00F2261E"/>
    <w:rsid w:val="00F22678"/>
    <w:rsid w:val="00F226B6"/>
    <w:rsid w:val="00F226E9"/>
    <w:rsid w:val="00F22708"/>
    <w:rsid w:val="00F22742"/>
    <w:rsid w:val="00F22770"/>
    <w:rsid w:val="00F227E1"/>
    <w:rsid w:val="00F2283F"/>
    <w:rsid w:val="00F228A2"/>
    <w:rsid w:val="00F228EA"/>
    <w:rsid w:val="00F22910"/>
    <w:rsid w:val="00F2298B"/>
    <w:rsid w:val="00F229B1"/>
    <w:rsid w:val="00F229F9"/>
    <w:rsid w:val="00F22AB5"/>
    <w:rsid w:val="00F22ABF"/>
    <w:rsid w:val="00F22AC2"/>
    <w:rsid w:val="00F22AD1"/>
    <w:rsid w:val="00F22AF5"/>
    <w:rsid w:val="00F22CB9"/>
    <w:rsid w:val="00F22CD5"/>
    <w:rsid w:val="00F22D48"/>
    <w:rsid w:val="00F22DC5"/>
    <w:rsid w:val="00F22E69"/>
    <w:rsid w:val="00F22F07"/>
    <w:rsid w:val="00F22F37"/>
    <w:rsid w:val="00F22FD3"/>
    <w:rsid w:val="00F2300D"/>
    <w:rsid w:val="00F230BB"/>
    <w:rsid w:val="00F230CF"/>
    <w:rsid w:val="00F230DA"/>
    <w:rsid w:val="00F23118"/>
    <w:rsid w:val="00F2312F"/>
    <w:rsid w:val="00F23448"/>
    <w:rsid w:val="00F23495"/>
    <w:rsid w:val="00F234C3"/>
    <w:rsid w:val="00F23578"/>
    <w:rsid w:val="00F235C3"/>
    <w:rsid w:val="00F2369E"/>
    <w:rsid w:val="00F236B1"/>
    <w:rsid w:val="00F236DE"/>
    <w:rsid w:val="00F23743"/>
    <w:rsid w:val="00F23895"/>
    <w:rsid w:val="00F23952"/>
    <w:rsid w:val="00F23961"/>
    <w:rsid w:val="00F2398B"/>
    <w:rsid w:val="00F239AE"/>
    <w:rsid w:val="00F23A8A"/>
    <w:rsid w:val="00F23AA7"/>
    <w:rsid w:val="00F23BFF"/>
    <w:rsid w:val="00F23D0D"/>
    <w:rsid w:val="00F23D20"/>
    <w:rsid w:val="00F23D9E"/>
    <w:rsid w:val="00F23E88"/>
    <w:rsid w:val="00F23E97"/>
    <w:rsid w:val="00F23ECA"/>
    <w:rsid w:val="00F23EF2"/>
    <w:rsid w:val="00F23FEA"/>
    <w:rsid w:val="00F23FFB"/>
    <w:rsid w:val="00F24027"/>
    <w:rsid w:val="00F24082"/>
    <w:rsid w:val="00F240F4"/>
    <w:rsid w:val="00F2412F"/>
    <w:rsid w:val="00F24183"/>
    <w:rsid w:val="00F241EA"/>
    <w:rsid w:val="00F2422E"/>
    <w:rsid w:val="00F24237"/>
    <w:rsid w:val="00F242A0"/>
    <w:rsid w:val="00F24300"/>
    <w:rsid w:val="00F2436D"/>
    <w:rsid w:val="00F24371"/>
    <w:rsid w:val="00F2438B"/>
    <w:rsid w:val="00F2439C"/>
    <w:rsid w:val="00F243DA"/>
    <w:rsid w:val="00F243E6"/>
    <w:rsid w:val="00F2449F"/>
    <w:rsid w:val="00F2456B"/>
    <w:rsid w:val="00F24608"/>
    <w:rsid w:val="00F24644"/>
    <w:rsid w:val="00F24650"/>
    <w:rsid w:val="00F247AF"/>
    <w:rsid w:val="00F247B9"/>
    <w:rsid w:val="00F247D7"/>
    <w:rsid w:val="00F24801"/>
    <w:rsid w:val="00F2485E"/>
    <w:rsid w:val="00F24872"/>
    <w:rsid w:val="00F2487A"/>
    <w:rsid w:val="00F24921"/>
    <w:rsid w:val="00F249C0"/>
    <w:rsid w:val="00F24A07"/>
    <w:rsid w:val="00F24A21"/>
    <w:rsid w:val="00F24A98"/>
    <w:rsid w:val="00F24C24"/>
    <w:rsid w:val="00F24C2F"/>
    <w:rsid w:val="00F24CAA"/>
    <w:rsid w:val="00F24DD4"/>
    <w:rsid w:val="00F24E0D"/>
    <w:rsid w:val="00F24E3A"/>
    <w:rsid w:val="00F24E62"/>
    <w:rsid w:val="00F24E8A"/>
    <w:rsid w:val="00F24EE6"/>
    <w:rsid w:val="00F24EFD"/>
    <w:rsid w:val="00F24F07"/>
    <w:rsid w:val="00F24F33"/>
    <w:rsid w:val="00F24F60"/>
    <w:rsid w:val="00F2500C"/>
    <w:rsid w:val="00F250C2"/>
    <w:rsid w:val="00F25101"/>
    <w:rsid w:val="00F25114"/>
    <w:rsid w:val="00F25134"/>
    <w:rsid w:val="00F25144"/>
    <w:rsid w:val="00F2518A"/>
    <w:rsid w:val="00F251A7"/>
    <w:rsid w:val="00F2534D"/>
    <w:rsid w:val="00F25362"/>
    <w:rsid w:val="00F2555A"/>
    <w:rsid w:val="00F25614"/>
    <w:rsid w:val="00F25640"/>
    <w:rsid w:val="00F25689"/>
    <w:rsid w:val="00F256D3"/>
    <w:rsid w:val="00F2580E"/>
    <w:rsid w:val="00F2580F"/>
    <w:rsid w:val="00F25838"/>
    <w:rsid w:val="00F2585C"/>
    <w:rsid w:val="00F25922"/>
    <w:rsid w:val="00F25924"/>
    <w:rsid w:val="00F25979"/>
    <w:rsid w:val="00F259BB"/>
    <w:rsid w:val="00F259DC"/>
    <w:rsid w:val="00F25A02"/>
    <w:rsid w:val="00F25A25"/>
    <w:rsid w:val="00F25A43"/>
    <w:rsid w:val="00F25A59"/>
    <w:rsid w:val="00F25A74"/>
    <w:rsid w:val="00F25AEC"/>
    <w:rsid w:val="00F25B4E"/>
    <w:rsid w:val="00F25BB8"/>
    <w:rsid w:val="00F25C76"/>
    <w:rsid w:val="00F25CB1"/>
    <w:rsid w:val="00F25D1C"/>
    <w:rsid w:val="00F25E25"/>
    <w:rsid w:val="00F25E93"/>
    <w:rsid w:val="00F25F0A"/>
    <w:rsid w:val="00F25F3D"/>
    <w:rsid w:val="00F25F91"/>
    <w:rsid w:val="00F26010"/>
    <w:rsid w:val="00F26017"/>
    <w:rsid w:val="00F26033"/>
    <w:rsid w:val="00F26052"/>
    <w:rsid w:val="00F26066"/>
    <w:rsid w:val="00F2606B"/>
    <w:rsid w:val="00F260CA"/>
    <w:rsid w:val="00F26111"/>
    <w:rsid w:val="00F261B0"/>
    <w:rsid w:val="00F2621C"/>
    <w:rsid w:val="00F2625C"/>
    <w:rsid w:val="00F26279"/>
    <w:rsid w:val="00F26409"/>
    <w:rsid w:val="00F2640F"/>
    <w:rsid w:val="00F26418"/>
    <w:rsid w:val="00F264C2"/>
    <w:rsid w:val="00F26566"/>
    <w:rsid w:val="00F266F9"/>
    <w:rsid w:val="00F2671A"/>
    <w:rsid w:val="00F2673A"/>
    <w:rsid w:val="00F2682A"/>
    <w:rsid w:val="00F26891"/>
    <w:rsid w:val="00F26929"/>
    <w:rsid w:val="00F26930"/>
    <w:rsid w:val="00F269D0"/>
    <w:rsid w:val="00F26A1A"/>
    <w:rsid w:val="00F26AAB"/>
    <w:rsid w:val="00F26AB3"/>
    <w:rsid w:val="00F26B69"/>
    <w:rsid w:val="00F26C2D"/>
    <w:rsid w:val="00F26C87"/>
    <w:rsid w:val="00F26D76"/>
    <w:rsid w:val="00F26DB0"/>
    <w:rsid w:val="00F26E90"/>
    <w:rsid w:val="00F26F11"/>
    <w:rsid w:val="00F26FA2"/>
    <w:rsid w:val="00F26FDB"/>
    <w:rsid w:val="00F27025"/>
    <w:rsid w:val="00F27038"/>
    <w:rsid w:val="00F27077"/>
    <w:rsid w:val="00F270B3"/>
    <w:rsid w:val="00F270F3"/>
    <w:rsid w:val="00F271A6"/>
    <w:rsid w:val="00F271B5"/>
    <w:rsid w:val="00F271BB"/>
    <w:rsid w:val="00F27426"/>
    <w:rsid w:val="00F27432"/>
    <w:rsid w:val="00F27475"/>
    <w:rsid w:val="00F274F6"/>
    <w:rsid w:val="00F2750F"/>
    <w:rsid w:val="00F27580"/>
    <w:rsid w:val="00F27623"/>
    <w:rsid w:val="00F2764A"/>
    <w:rsid w:val="00F27655"/>
    <w:rsid w:val="00F27678"/>
    <w:rsid w:val="00F2769E"/>
    <w:rsid w:val="00F276BA"/>
    <w:rsid w:val="00F27723"/>
    <w:rsid w:val="00F277BE"/>
    <w:rsid w:val="00F27851"/>
    <w:rsid w:val="00F2785D"/>
    <w:rsid w:val="00F2786A"/>
    <w:rsid w:val="00F2786D"/>
    <w:rsid w:val="00F2795E"/>
    <w:rsid w:val="00F27A7D"/>
    <w:rsid w:val="00F27A8E"/>
    <w:rsid w:val="00F27B4D"/>
    <w:rsid w:val="00F27D49"/>
    <w:rsid w:val="00F27E22"/>
    <w:rsid w:val="00F27E41"/>
    <w:rsid w:val="00F27E7E"/>
    <w:rsid w:val="00F27E8E"/>
    <w:rsid w:val="00F27EE6"/>
    <w:rsid w:val="00F27F0B"/>
    <w:rsid w:val="00F27FBA"/>
    <w:rsid w:val="00F30025"/>
    <w:rsid w:val="00F300CB"/>
    <w:rsid w:val="00F3013F"/>
    <w:rsid w:val="00F3017A"/>
    <w:rsid w:val="00F301D6"/>
    <w:rsid w:val="00F30244"/>
    <w:rsid w:val="00F302B1"/>
    <w:rsid w:val="00F30329"/>
    <w:rsid w:val="00F303BA"/>
    <w:rsid w:val="00F303D4"/>
    <w:rsid w:val="00F3048E"/>
    <w:rsid w:val="00F304A1"/>
    <w:rsid w:val="00F304B8"/>
    <w:rsid w:val="00F304BF"/>
    <w:rsid w:val="00F304CD"/>
    <w:rsid w:val="00F304FF"/>
    <w:rsid w:val="00F30525"/>
    <w:rsid w:val="00F30590"/>
    <w:rsid w:val="00F305B0"/>
    <w:rsid w:val="00F3066A"/>
    <w:rsid w:val="00F30734"/>
    <w:rsid w:val="00F3074A"/>
    <w:rsid w:val="00F3074B"/>
    <w:rsid w:val="00F30781"/>
    <w:rsid w:val="00F307F7"/>
    <w:rsid w:val="00F3084F"/>
    <w:rsid w:val="00F3086E"/>
    <w:rsid w:val="00F3089A"/>
    <w:rsid w:val="00F308B1"/>
    <w:rsid w:val="00F308E6"/>
    <w:rsid w:val="00F3090A"/>
    <w:rsid w:val="00F309D1"/>
    <w:rsid w:val="00F309F2"/>
    <w:rsid w:val="00F30A14"/>
    <w:rsid w:val="00F30AB8"/>
    <w:rsid w:val="00F30B98"/>
    <w:rsid w:val="00F30BA4"/>
    <w:rsid w:val="00F30C1B"/>
    <w:rsid w:val="00F30C5F"/>
    <w:rsid w:val="00F30D39"/>
    <w:rsid w:val="00F30D74"/>
    <w:rsid w:val="00F30E05"/>
    <w:rsid w:val="00F30E24"/>
    <w:rsid w:val="00F30F3E"/>
    <w:rsid w:val="00F30F74"/>
    <w:rsid w:val="00F30FA4"/>
    <w:rsid w:val="00F31068"/>
    <w:rsid w:val="00F3107E"/>
    <w:rsid w:val="00F31118"/>
    <w:rsid w:val="00F3111C"/>
    <w:rsid w:val="00F3120E"/>
    <w:rsid w:val="00F31276"/>
    <w:rsid w:val="00F312D1"/>
    <w:rsid w:val="00F31333"/>
    <w:rsid w:val="00F313CA"/>
    <w:rsid w:val="00F3143D"/>
    <w:rsid w:val="00F31461"/>
    <w:rsid w:val="00F314AE"/>
    <w:rsid w:val="00F31517"/>
    <w:rsid w:val="00F31538"/>
    <w:rsid w:val="00F315AC"/>
    <w:rsid w:val="00F316DC"/>
    <w:rsid w:val="00F317A3"/>
    <w:rsid w:val="00F317DB"/>
    <w:rsid w:val="00F31826"/>
    <w:rsid w:val="00F318D3"/>
    <w:rsid w:val="00F31946"/>
    <w:rsid w:val="00F319A0"/>
    <w:rsid w:val="00F31A02"/>
    <w:rsid w:val="00F31A63"/>
    <w:rsid w:val="00F31A6D"/>
    <w:rsid w:val="00F31A92"/>
    <w:rsid w:val="00F31B2B"/>
    <w:rsid w:val="00F31B4D"/>
    <w:rsid w:val="00F31B90"/>
    <w:rsid w:val="00F31BD3"/>
    <w:rsid w:val="00F31C83"/>
    <w:rsid w:val="00F31C9E"/>
    <w:rsid w:val="00F31CE5"/>
    <w:rsid w:val="00F31D20"/>
    <w:rsid w:val="00F31D53"/>
    <w:rsid w:val="00F31E68"/>
    <w:rsid w:val="00F31EC2"/>
    <w:rsid w:val="00F31F09"/>
    <w:rsid w:val="00F3200F"/>
    <w:rsid w:val="00F32037"/>
    <w:rsid w:val="00F32088"/>
    <w:rsid w:val="00F3213E"/>
    <w:rsid w:val="00F32168"/>
    <w:rsid w:val="00F3216A"/>
    <w:rsid w:val="00F321E3"/>
    <w:rsid w:val="00F3221D"/>
    <w:rsid w:val="00F32245"/>
    <w:rsid w:val="00F3225C"/>
    <w:rsid w:val="00F322CC"/>
    <w:rsid w:val="00F322F2"/>
    <w:rsid w:val="00F322FC"/>
    <w:rsid w:val="00F3235E"/>
    <w:rsid w:val="00F323A1"/>
    <w:rsid w:val="00F3249E"/>
    <w:rsid w:val="00F324A6"/>
    <w:rsid w:val="00F324D8"/>
    <w:rsid w:val="00F325F2"/>
    <w:rsid w:val="00F32647"/>
    <w:rsid w:val="00F326C4"/>
    <w:rsid w:val="00F326D8"/>
    <w:rsid w:val="00F326DF"/>
    <w:rsid w:val="00F32837"/>
    <w:rsid w:val="00F328EB"/>
    <w:rsid w:val="00F329A3"/>
    <w:rsid w:val="00F32A35"/>
    <w:rsid w:val="00F32A8E"/>
    <w:rsid w:val="00F32B12"/>
    <w:rsid w:val="00F32C3A"/>
    <w:rsid w:val="00F32C5A"/>
    <w:rsid w:val="00F32CD3"/>
    <w:rsid w:val="00F32D4F"/>
    <w:rsid w:val="00F32E08"/>
    <w:rsid w:val="00F32E1E"/>
    <w:rsid w:val="00F32E25"/>
    <w:rsid w:val="00F32E9A"/>
    <w:rsid w:val="00F32EFB"/>
    <w:rsid w:val="00F32F0C"/>
    <w:rsid w:val="00F32F36"/>
    <w:rsid w:val="00F32F52"/>
    <w:rsid w:val="00F32F95"/>
    <w:rsid w:val="00F32FAD"/>
    <w:rsid w:val="00F33040"/>
    <w:rsid w:val="00F3309A"/>
    <w:rsid w:val="00F33144"/>
    <w:rsid w:val="00F33167"/>
    <w:rsid w:val="00F3317E"/>
    <w:rsid w:val="00F33250"/>
    <w:rsid w:val="00F33255"/>
    <w:rsid w:val="00F33272"/>
    <w:rsid w:val="00F332BB"/>
    <w:rsid w:val="00F3332F"/>
    <w:rsid w:val="00F3336E"/>
    <w:rsid w:val="00F333AD"/>
    <w:rsid w:val="00F33411"/>
    <w:rsid w:val="00F3346D"/>
    <w:rsid w:val="00F33488"/>
    <w:rsid w:val="00F33612"/>
    <w:rsid w:val="00F3365A"/>
    <w:rsid w:val="00F3367C"/>
    <w:rsid w:val="00F336DE"/>
    <w:rsid w:val="00F3379A"/>
    <w:rsid w:val="00F337E6"/>
    <w:rsid w:val="00F33843"/>
    <w:rsid w:val="00F338A3"/>
    <w:rsid w:val="00F338E9"/>
    <w:rsid w:val="00F339AB"/>
    <w:rsid w:val="00F339C4"/>
    <w:rsid w:val="00F33AC8"/>
    <w:rsid w:val="00F33B56"/>
    <w:rsid w:val="00F33BE5"/>
    <w:rsid w:val="00F33CF0"/>
    <w:rsid w:val="00F33D3A"/>
    <w:rsid w:val="00F33E10"/>
    <w:rsid w:val="00F33E13"/>
    <w:rsid w:val="00F33F0B"/>
    <w:rsid w:val="00F33F19"/>
    <w:rsid w:val="00F33F43"/>
    <w:rsid w:val="00F33F87"/>
    <w:rsid w:val="00F33F9A"/>
    <w:rsid w:val="00F33FAD"/>
    <w:rsid w:val="00F33FB3"/>
    <w:rsid w:val="00F33FCC"/>
    <w:rsid w:val="00F33FD1"/>
    <w:rsid w:val="00F34099"/>
    <w:rsid w:val="00F340FC"/>
    <w:rsid w:val="00F34102"/>
    <w:rsid w:val="00F34193"/>
    <w:rsid w:val="00F3420D"/>
    <w:rsid w:val="00F342A0"/>
    <w:rsid w:val="00F342E5"/>
    <w:rsid w:val="00F3431E"/>
    <w:rsid w:val="00F343D4"/>
    <w:rsid w:val="00F343E9"/>
    <w:rsid w:val="00F344B2"/>
    <w:rsid w:val="00F344CC"/>
    <w:rsid w:val="00F344D5"/>
    <w:rsid w:val="00F34556"/>
    <w:rsid w:val="00F34606"/>
    <w:rsid w:val="00F3460C"/>
    <w:rsid w:val="00F34617"/>
    <w:rsid w:val="00F3465A"/>
    <w:rsid w:val="00F34699"/>
    <w:rsid w:val="00F346F0"/>
    <w:rsid w:val="00F34701"/>
    <w:rsid w:val="00F347B3"/>
    <w:rsid w:val="00F3480B"/>
    <w:rsid w:val="00F34827"/>
    <w:rsid w:val="00F3488F"/>
    <w:rsid w:val="00F34905"/>
    <w:rsid w:val="00F3496C"/>
    <w:rsid w:val="00F3498A"/>
    <w:rsid w:val="00F349F5"/>
    <w:rsid w:val="00F34A6A"/>
    <w:rsid w:val="00F34A8E"/>
    <w:rsid w:val="00F34BBA"/>
    <w:rsid w:val="00F34BEF"/>
    <w:rsid w:val="00F34BF2"/>
    <w:rsid w:val="00F34D0A"/>
    <w:rsid w:val="00F34D3C"/>
    <w:rsid w:val="00F34D56"/>
    <w:rsid w:val="00F34DF9"/>
    <w:rsid w:val="00F34E37"/>
    <w:rsid w:val="00F34E6C"/>
    <w:rsid w:val="00F34EAF"/>
    <w:rsid w:val="00F34EE6"/>
    <w:rsid w:val="00F34F9F"/>
    <w:rsid w:val="00F3507C"/>
    <w:rsid w:val="00F350EE"/>
    <w:rsid w:val="00F35161"/>
    <w:rsid w:val="00F35165"/>
    <w:rsid w:val="00F351ED"/>
    <w:rsid w:val="00F352BA"/>
    <w:rsid w:val="00F35304"/>
    <w:rsid w:val="00F35371"/>
    <w:rsid w:val="00F353DE"/>
    <w:rsid w:val="00F353EC"/>
    <w:rsid w:val="00F354C6"/>
    <w:rsid w:val="00F354D7"/>
    <w:rsid w:val="00F354EA"/>
    <w:rsid w:val="00F35508"/>
    <w:rsid w:val="00F355B7"/>
    <w:rsid w:val="00F355BE"/>
    <w:rsid w:val="00F355CF"/>
    <w:rsid w:val="00F35613"/>
    <w:rsid w:val="00F35628"/>
    <w:rsid w:val="00F35653"/>
    <w:rsid w:val="00F356D0"/>
    <w:rsid w:val="00F356F0"/>
    <w:rsid w:val="00F3576B"/>
    <w:rsid w:val="00F357B0"/>
    <w:rsid w:val="00F3581A"/>
    <w:rsid w:val="00F3581F"/>
    <w:rsid w:val="00F35865"/>
    <w:rsid w:val="00F3597F"/>
    <w:rsid w:val="00F35A4C"/>
    <w:rsid w:val="00F35A67"/>
    <w:rsid w:val="00F35A72"/>
    <w:rsid w:val="00F35AB0"/>
    <w:rsid w:val="00F35ACE"/>
    <w:rsid w:val="00F35B38"/>
    <w:rsid w:val="00F35B60"/>
    <w:rsid w:val="00F35C1F"/>
    <w:rsid w:val="00F35CB8"/>
    <w:rsid w:val="00F35CE4"/>
    <w:rsid w:val="00F35D3C"/>
    <w:rsid w:val="00F35D73"/>
    <w:rsid w:val="00F35DDB"/>
    <w:rsid w:val="00F35E54"/>
    <w:rsid w:val="00F35E6F"/>
    <w:rsid w:val="00F35E78"/>
    <w:rsid w:val="00F35ED3"/>
    <w:rsid w:val="00F35EDC"/>
    <w:rsid w:val="00F35EF3"/>
    <w:rsid w:val="00F35F50"/>
    <w:rsid w:val="00F360BA"/>
    <w:rsid w:val="00F3611B"/>
    <w:rsid w:val="00F36124"/>
    <w:rsid w:val="00F36148"/>
    <w:rsid w:val="00F36170"/>
    <w:rsid w:val="00F3619D"/>
    <w:rsid w:val="00F361D7"/>
    <w:rsid w:val="00F3628D"/>
    <w:rsid w:val="00F362D9"/>
    <w:rsid w:val="00F36316"/>
    <w:rsid w:val="00F36323"/>
    <w:rsid w:val="00F36360"/>
    <w:rsid w:val="00F36392"/>
    <w:rsid w:val="00F36482"/>
    <w:rsid w:val="00F36486"/>
    <w:rsid w:val="00F36494"/>
    <w:rsid w:val="00F3649E"/>
    <w:rsid w:val="00F364AF"/>
    <w:rsid w:val="00F364B9"/>
    <w:rsid w:val="00F364CE"/>
    <w:rsid w:val="00F364DD"/>
    <w:rsid w:val="00F3652F"/>
    <w:rsid w:val="00F365D3"/>
    <w:rsid w:val="00F36600"/>
    <w:rsid w:val="00F366BF"/>
    <w:rsid w:val="00F367DC"/>
    <w:rsid w:val="00F368A7"/>
    <w:rsid w:val="00F368EE"/>
    <w:rsid w:val="00F368F2"/>
    <w:rsid w:val="00F36963"/>
    <w:rsid w:val="00F3697A"/>
    <w:rsid w:val="00F36984"/>
    <w:rsid w:val="00F369B6"/>
    <w:rsid w:val="00F36AB3"/>
    <w:rsid w:val="00F36B26"/>
    <w:rsid w:val="00F36B49"/>
    <w:rsid w:val="00F36BEB"/>
    <w:rsid w:val="00F36BF8"/>
    <w:rsid w:val="00F36C84"/>
    <w:rsid w:val="00F36E66"/>
    <w:rsid w:val="00F36EFB"/>
    <w:rsid w:val="00F36FC8"/>
    <w:rsid w:val="00F3702D"/>
    <w:rsid w:val="00F3705D"/>
    <w:rsid w:val="00F37142"/>
    <w:rsid w:val="00F3715E"/>
    <w:rsid w:val="00F37168"/>
    <w:rsid w:val="00F37223"/>
    <w:rsid w:val="00F372D4"/>
    <w:rsid w:val="00F3730C"/>
    <w:rsid w:val="00F37390"/>
    <w:rsid w:val="00F373A1"/>
    <w:rsid w:val="00F373AA"/>
    <w:rsid w:val="00F37439"/>
    <w:rsid w:val="00F374AE"/>
    <w:rsid w:val="00F374D9"/>
    <w:rsid w:val="00F37567"/>
    <w:rsid w:val="00F375AF"/>
    <w:rsid w:val="00F3765E"/>
    <w:rsid w:val="00F376C2"/>
    <w:rsid w:val="00F376FA"/>
    <w:rsid w:val="00F37825"/>
    <w:rsid w:val="00F37833"/>
    <w:rsid w:val="00F37841"/>
    <w:rsid w:val="00F37880"/>
    <w:rsid w:val="00F37956"/>
    <w:rsid w:val="00F37996"/>
    <w:rsid w:val="00F379D5"/>
    <w:rsid w:val="00F37A0B"/>
    <w:rsid w:val="00F37A4E"/>
    <w:rsid w:val="00F37A87"/>
    <w:rsid w:val="00F37ADB"/>
    <w:rsid w:val="00F37B9A"/>
    <w:rsid w:val="00F37BA7"/>
    <w:rsid w:val="00F37BE6"/>
    <w:rsid w:val="00F37C75"/>
    <w:rsid w:val="00F37CD9"/>
    <w:rsid w:val="00F37D09"/>
    <w:rsid w:val="00F37D12"/>
    <w:rsid w:val="00F37D17"/>
    <w:rsid w:val="00F37D95"/>
    <w:rsid w:val="00F37DC6"/>
    <w:rsid w:val="00F37DC9"/>
    <w:rsid w:val="00F37E46"/>
    <w:rsid w:val="00F37E86"/>
    <w:rsid w:val="00F37F74"/>
    <w:rsid w:val="00F37F89"/>
    <w:rsid w:val="00F4003F"/>
    <w:rsid w:val="00F4006C"/>
    <w:rsid w:val="00F400D5"/>
    <w:rsid w:val="00F400F3"/>
    <w:rsid w:val="00F400FB"/>
    <w:rsid w:val="00F40177"/>
    <w:rsid w:val="00F40246"/>
    <w:rsid w:val="00F402AB"/>
    <w:rsid w:val="00F40324"/>
    <w:rsid w:val="00F403BE"/>
    <w:rsid w:val="00F403D4"/>
    <w:rsid w:val="00F4045C"/>
    <w:rsid w:val="00F40491"/>
    <w:rsid w:val="00F40503"/>
    <w:rsid w:val="00F4051F"/>
    <w:rsid w:val="00F4059B"/>
    <w:rsid w:val="00F405C9"/>
    <w:rsid w:val="00F40634"/>
    <w:rsid w:val="00F40665"/>
    <w:rsid w:val="00F40802"/>
    <w:rsid w:val="00F40851"/>
    <w:rsid w:val="00F408BB"/>
    <w:rsid w:val="00F408F4"/>
    <w:rsid w:val="00F40900"/>
    <w:rsid w:val="00F40927"/>
    <w:rsid w:val="00F4099E"/>
    <w:rsid w:val="00F409C1"/>
    <w:rsid w:val="00F409CF"/>
    <w:rsid w:val="00F409F2"/>
    <w:rsid w:val="00F409F8"/>
    <w:rsid w:val="00F40A19"/>
    <w:rsid w:val="00F40A51"/>
    <w:rsid w:val="00F40AAB"/>
    <w:rsid w:val="00F40B29"/>
    <w:rsid w:val="00F40BE9"/>
    <w:rsid w:val="00F40C0E"/>
    <w:rsid w:val="00F40C5B"/>
    <w:rsid w:val="00F40CC0"/>
    <w:rsid w:val="00F40DD7"/>
    <w:rsid w:val="00F40E3C"/>
    <w:rsid w:val="00F40E5F"/>
    <w:rsid w:val="00F40EE4"/>
    <w:rsid w:val="00F40F01"/>
    <w:rsid w:val="00F40F18"/>
    <w:rsid w:val="00F40F2C"/>
    <w:rsid w:val="00F40F40"/>
    <w:rsid w:val="00F40F6B"/>
    <w:rsid w:val="00F40FE5"/>
    <w:rsid w:val="00F41000"/>
    <w:rsid w:val="00F4103C"/>
    <w:rsid w:val="00F41247"/>
    <w:rsid w:val="00F4125A"/>
    <w:rsid w:val="00F4128B"/>
    <w:rsid w:val="00F41430"/>
    <w:rsid w:val="00F41440"/>
    <w:rsid w:val="00F414C8"/>
    <w:rsid w:val="00F414D5"/>
    <w:rsid w:val="00F415CC"/>
    <w:rsid w:val="00F4161B"/>
    <w:rsid w:val="00F41721"/>
    <w:rsid w:val="00F4178D"/>
    <w:rsid w:val="00F4179F"/>
    <w:rsid w:val="00F417A0"/>
    <w:rsid w:val="00F417C0"/>
    <w:rsid w:val="00F418C0"/>
    <w:rsid w:val="00F418C1"/>
    <w:rsid w:val="00F41978"/>
    <w:rsid w:val="00F4198E"/>
    <w:rsid w:val="00F419AC"/>
    <w:rsid w:val="00F41A6E"/>
    <w:rsid w:val="00F41AD8"/>
    <w:rsid w:val="00F41AED"/>
    <w:rsid w:val="00F41B3B"/>
    <w:rsid w:val="00F41B6E"/>
    <w:rsid w:val="00F41C13"/>
    <w:rsid w:val="00F41CA2"/>
    <w:rsid w:val="00F41CC3"/>
    <w:rsid w:val="00F41CFD"/>
    <w:rsid w:val="00F41D82"/>
    <w:rsid w:val="00F41D9B"/>
    <w:rsid w:val="00F41DC0"/>
    <w:rsid w:val="00F41ED5"/>
    <w:rsid w:val="00F41F37"/>
    <w:rsid w:val="00F41F6C"/>
    <w:rsid w:val="00F41FD8"/>
    <w:rsid w:val="00F42016"/>
    <w:rsid w:val="00F42045"/>
    <w:rsid w:val="00F420C8"/>
    <w:rsid w:val="00F42133"/>
    <w:rsid w:val="00F4215B"/>
    <w:rsid w:val="00F42180"/>
    <w:rsid w:val="00F421AC"/>
    <w:rsid w:val="00F421BF"/>
    <w:rsid w:val="00F42213"/>
    <w:rsid w:val="00F42359"/>
    <w:rsid w:val="00F42365"/>
    <w:rsid w:val="00F4237B"/>
    <w:rsid w:val="00F42397"/>
    <w:rsid w:val="00F423DC"/>
    <w:rsid w:val="00F42418"/>
    <w:rsid w:val="00F42457"/>
    <w:rsid w:val="00F42492"/>
    <w:rsid w:val="00F42506"/>
    <w:rsid w:val="00F4252B"/>
    <w:rsid w:val="00F42554"/>
    <w:rsid w:val="00F4255C"/>
    <w:rsid w:val="00F42593"/>
    <w:rsid w:val="00F4269E"/>
    <w:rsid w:val="00F426A6"/>
    <w:rsid w:val="00F4270A"/>
    <w:rsid w:val="00F427A3"/>
    <w:rsid w:val="00F427B5"/>
    <w:rsid w:val="00F42869"/>
    <w:rsid w:val="00F42983"/>
    <w:rsid w:val="00F429CE"/>
    <w:rsid w:val="00F429E3"/>
    <w:rsid w:val="00F42A6B"/>
    <w:rsid w:val="00F42AC4"/>
    <w:rsid w:val="00F42B59"/>
    <w:rsid w:val="00F42BE9"/>
    <w:rsid w:val="00F42C6A"/>
    <w:rsid w:val="00F42CF7"/>
    <w:rsid w:val="00F42D0C"/>
    <w:rsid w:val="00F42D0D"/>
    <w:rsid w:val="00F42D3D"/>
    <w:rsid w:val="00F42D5D"/>
    <w:rsid w:val="00F42D94"/>
    <w:rsid w:val="00F42DA3"/>
    <w:rsid w:val="00F42DF2"/>
    <w:rsid w:val="00F42E3C"/>
    <w:rsid w:val="00F42E41"/>
    <w:rsid w:val="00F42ECA"/>
    <w:rsid w:val="00F42ECC"/>
    <w:rsid w:val="00F42F0F"/>
    <w:rsid w:val="00F42F11"/>
    <w:rsid w:val="00F42F37"/>
    <w:rsid w:val="00F42F4B"/>
    <w:rsid w:val="00F42FBA"/>
    <w:rsid w:val="00F42FCE"/>
    <w:rsid w:val="00F42FE8"/>
    <w:rsid w:val="00F431E6"/>
    <w:rsid w:val="00F43207"/>
    <w:rsid w:val="00F432D6"/>
    <w:rsid w:val="00F43333"/>
    <w:rsid w:val="00F433B0"/>
    <w:rsid w:val="00F433F9"/>
    <w:rsid w:val="00F43468"/>
    <w:rsid w:val="00F43490"/>
    <w:rsid w:val="00F43498"/>
    <w:rsid w:val="00F434A2"/>
    <w:rsid w:val="00F434D0"/>
    <w:rsid w:val="00F43594"/>
    <w:rsid w:val="00F435A9"/>
    <w:rsid w:val="00F435F5"/>
    <w:rsid w:val="00F43603"/>
    <w:rsid w:val="00F43627"/>
    <w:rsid w:val="00F43691"/>
    <w:rsid w:val="00F436AE"/>
    <w:rsid w:val="00F436B6"/>
    <w:rsid w:val="00F436F5"/>
    <w:rsid w:val="00F43785"/>
    <w:rsid w:val="00F43828"/>
    <w:rsid w:val="00F43879"/>
    <w:rsid w:val="00F4387E"/>
    <w:rsid w:val="00F43915"/>
    <w:rsid w:val="00F43931"/>
    <w:rsid w:val="00F43947"/>
    <w:rsid w:val="00F439D0"/>
    <w:rsid w:val="00F43A6A"/>
    <w:rsid w:val="00F43A74"/>
    <w:rsid w:val="00F43A87"/>
    <w:rsid w:val="00F43B87"/>
    <w:rsid w:val="00F43B99"/>
    <w:rsid w:val="00F43C47"/>
    <w:rsid w:val="00F43C49"/>
    <w:rsid w:val="00F43C58"/>
    <w:rsid w:val="00F43D20"/>
    <w:rsid w:val="00F43D3B"/>
    <w:rsid w:val="00F43D47"/>
    <w:rsid w:val="00F43D99"/>
    <w:rsid w:val="00F43DA3"/>
    <w:rsid w:val="00F43E11"/>
    <w:rsid w:val="00F43EAD"/>
    <w:rsid w:val="00F43EBE"/>
    <w:rsid w:val="00F43F03"/>
    <w:rsid w:val="00F43FB6"/>
    <w:rsid w:val="00F44063"/>
    <w:rsid w:val="00F440A1"/>
    <w:rsid w:val="00F440E7"/>
    <w:rsid w:val="00F440ED"/>
    <w:rsid w:val="00F44119"/>
    <w:rsid w:val="00F4416F"/>
    <w:rsid w:val="00F44170"/>
    <w:rsid w:val="00F4418A"/>
    <w:rsid w:val="00F441CE"/>
    <w:rsid w:val="00F44248"/>
    <w:rsid w:val="00F4424B"/>
    <w:rsid w:val="00F442C4"/>
    <w:rsid w:val="00F442CB"/>
    <w:rsid w:val="00F44383"/>
    <w:rsid w:val="00F44397"/>
    <w:rsid w:val="00F443E8"/>
    <w:rsid w:val="00F44434"/>
    <w:rsid w:val="00F444EF"/>
    <w:rsid w:val="00F44531"/>
    <w:rsid w:val="00F44560"/>
    <w:rsid w:val="00F445A7"/>
    <w:rsid w:val="00F4463C"/>
    <w:rsid w:val="00F4469F"/>
    <w:rsid w:val="00F446BC"/>
    <w:rsid w:val="00F446EA"/>
    <w:rsid w:val="00F4477E"/>
    <w:rsid w:val="00F447F1"/>
    <w:rsid w:val="00F44803"/>
    <w:rsid w:val="00F449A4"/>
    <w:rsid w:val="00F449CD"/>
    <w:rsid w:val="00F44A41"/>
    <w:rsid w:val="00F44AB2"/>
    <w:rsid w:val="00F44BA6"/>
    <w:rsid w:val="00F44BC3"/>
    <w:rsid w:val="00F44C27"/>
    <w:rsid w:val="00F44C79"/>
    <w:rsid w:val="00F44C7A"/>
    <w:rsid w:val="00F44C86"/>
    <w:rsid w:val="00F44C8C"/>
    <w:rsid w:val="00F44CA2"/>
    <w:rsid w:val="00F44CA5"/>
    <w:rsid w:val="00F44CCF"/>
    <w:rsid w:val="00F44CD3"/>
    <w:rsid w:val="00F44F1F"/>
    <w:rsid w:val="00F44FBA"/>
    <w:rsid w:val="00F44FE4"/>
    <w:rsid w:val="00F45030"/>
    <w:rsid w:val="00F4504E"/>
    <w:rsid w:val="00F45086"/>
    <w:rsid w:val="00F450A2"/>
    <w:rsid w:val="00F450F3"/>
    <w:rsid w:val="00F45165"/>
    <w:rsid w:val="00F45265"/>
    <w:rsid w:val="00F452E6"/>
    <w:rsid w:val="00F4534B"/>
    <w:rsid w:val="00F453B6"/>
    <w:rsid w:val="00F45404"/>
    <w:rsid w:val="00F4547A"/>
    <w:rsid w:val="00F454CF"/>
    <w:rsid w:val="00F454ED"/>
    <w:rsid w:val="00F4554C"/>
    <w:rsid w:val="00F4561F"/>
    <w:rsid w:val="00F45644"/>
    <w:rsid w:val="00F4570C"/>
    <w:rsid w:val="00F45781"/>
    <w:rsid w:val="00F45792"/>
    <w:rsid w:val="00F457B3"/>
    <w:rsid w:val="00F457FF"/>
    <w:rsid w:val="00F4582F"/>
    <w:rsid w:val="00F4584A"/>
    <w:rsid w:val="00F458A7"/>
    <w:rsid w:val="00F4594A"/>
    <w:rsid w:val="00F459B7"/>
    <w:rsid w:val="00F459D4"/>
    <w:rsid w:val="00F45AAB"/>
    <w:rsid w:val="00F45B27"/>
    <w:rsid w:val="00F45D25"/>
    <w:rsid w:val="00F45D38"/>
    <w:rsid w:val="00F45D5C"/>
    <w:rsid w:val="00F45E50"/>
    <w:rsid w:val="00F45F79"/>
    <w:rsid w:val="00F45FBC"/>
    <w:rsid w:val="00F45FD8"/>
    <w:rsid w:val="00F45FE2"/>
    <w:rsid w:val="00F45FFD"/>
    <w:rsid w:val="00F460A0"/>
    <w:rsid w:val="00F4613E"/>
    <w:rsid w:val="00F46168"/>
    <w:rsid w:val="00F46194"/>
    <w:rsid w:val="00F461BF"/>
    <w:rsid w:val="00F4629D"/>
    <w:rsid w:val="00F462AD"/>
    <w:rsid w:val="00F46330"/>
    <w:rsid w:val="00F46396"/>
    <w:rsid w:val="00F4646B"/>
    <w:rsid w:val="00F4648A"/>
    <w:rsid w:val="00F46512"/>
    <w:rsid w:val="00F4657D"/>
    <w:rsid w:val="00F465DF"/>
    <w:rsid w:val="00F465FF"/>
    <w:rsid w:val="00F4663C"/>
    <w:rsid w:val="00F46676"/>
    <w:rsid w:val="00F4674F"/>
    <w:rsid w:val="00F467A8"/>
    <w:rsid w:val="00F467AC"/>
    <w:rsid w:val="00F468D5"/>
    <w:rsid w:val="00F46AD0"/>
    <w:rsid w:val="00F46B3C"/>
    <w:rsid w:val="00F46BBA"/>
    <w:rsid w:val="00F46C17"/>
    <w:rsid w:val="00F46D10"/>
    <w:rsid w:val="00F46D1E"/>
    <w:rsid w:val="00F46E2D"/>
    <w:rsid w:val="00F46F27"/>
    <w:rsid w:val="00F46F37"/>
    <w:rsid w:val="00F46FDD"/>
    <w:rsid w:val="00F4704C"/>
    <w:rsid w:val="00F47081"/>
    <w:rsid w:val="00F4709A"/>
    <w:rsid w:val="00F470B2"/>
    <w:rsid w:val="00F47179"/>
    <w:rsid w:val="00F4721F"/>
    <w:rsid w:val="00F472AD"/>
    <w:rsid w:val="00F472D3"/>
    <w:rsid w:val="00F47338"/>
    <w:rsid w:val="00F473EE"/>
    <w:rsid w:val="00F4744C"/>
    <w:rsid w:val="00F47457"/>
    <w:rsid w:val="00F47533"/>
    <w:rsid w:val="00F4765C"/>
    <w:rsid w:val="00F476E0"/>
    <w:rsid w:val="00F47713"/>
    <w:rsid w:val="00F47769"/>
    <w:rsid w:val="00F477AF"/>
    <w:rsid w:val="00F477FC"/>
    <w:rsid w:val="00F47887"/>
    <w:rsid w:val="00F47959"/>
    <w:rsid w:val="00F4795C"/>
    <w:rsid w:val="00F479A7"/>
    <w:rsid w:val="00F479EB"/>
    <w:rsid w:val="00F47BCF"/>
    <w:rsid w:val="00F47C44"/>
    <w:rsid w:val="00F47C72"/>
    <w:rsid w:val="00F47C93"/>
    <w:rsid w:val="00F47C9C"/>
    <w:rsid w:val="00F47C9D"/>
    <w:rsid w:val="00F47CE6"/>
    <w:rsid w:val="00F47D91"/>
    <w:rsid w:val="00F47D99"/>
    <w:rsid w:val="00F47E32"/>
    <w:rsid w:val="00F47E7B"/>
    <w:rsid w:val="00F47E80"/>
    <w:rsid w:val="00F47EFF"/>
    <w:rsid w:val="00F47F85"/>
    <w:rsid w:val="00F50013"/>
    <w:rsid w:val="00F50047"/>
    <w:rsid w:val="00F50072"/>
    <w:rsid w:val="00F50078"/>
    <w:rsid w:val="00F50089"/>
    <w:rsid w:val="00F500DE"/>
    <w:rsid w:val="00F50120"/>
    <w:rsid w:val="00F501E2"/>
    <w:rsid w:val="00F50272"/>
    <w:rsid w:val="00F50387"/>
    <w:rsid w:val="00F5045F"/>
    <w:rsid w:val="00F50487"/>
    <w:rsid w:val="00F504D7"/>
    <w:rsid w:val="00F5050E"/>
    <w:rsid w:val="00F50613"/>
    <w:rsid w:val="00F50648"/>
    <w:rsid w:val="00F507A0"/>
    <w:rsid w:val="00F5081D"/>
    <w:rsid w:val="00F508E7"/>
    <w:rsid w:val="00F508E9"/>
    <w:rsid w:val="00F508FF"/>
    <w:rsid w:val="00F5090F"/>
    <w:rsid w:val="00F50970"/>
    <w:rsid w:val="00F50979"/>
    <w:rsid w:val="00F509E0"/>
    <w:rsid w:val="00F50B3A"/>
    <w:rsid w:val="00F50B56"/>
    <w:rsid w:val="00F50B6C"/>
    <w:rsid w:val="00F50BA2"/>
    <w:rsid w:val="00F50BD6"/>
    <w:rsid w:val="00F50BF3"/>
    <w:rsid w:val="00F50C79"/>
    <w:rsid w:val="00F50C9D"/>
    <w:rsid w:val="00F50D13"/>
    <w:rsid w:val="00F50F2D"/>
    <w:rsid w:val="00F5108D"/>
    <w:rsid w:val="00F51092"/>
    <w:rsid w:val="00F51107"/>
    <w:rsid w:val="00F511A8"/>
    <w:rsid w:val="00F511C2"/>
    <w:rsid w:val="00F511EA"/>
    <w:rsid w:val="00F511FF"/>
    <w:rsid w:val="00F51302"/>
    <w:rsid w:val="00F51391"/>
    <w:rsid w:val="00F513A8"/>
    <w:rsid w:val="00F514BD"/>
    <w:rsid w:val="00F514C9"/>
    <w:rsid w:val="00F5154B"/>
    <w:rsid w:val="00F51556"/>
    <w:rsid w:val="00F5156D"/>
    <w:rsid w:val="00F515BD"/>
    <w:rsid w:val="00F516D6"/>
    <w:rsid w:val="00F516E2"/>
    <w:rsid w:val="00F51784"/>
    <w:rsid w:val="00F517A3"/>
    <w:rsid w:val="00F517F5"/>
    <w:rsid w:val="00F5181D"/>
    <w:rsid w:val="00F5187B"/>
    <w:rsid w:val="00F518AB"/>
    <w:rsid w:val="00F518AD"/>
    <w:rsid w:val="00F518CB"/>
    <w:rsid w:val="00F519B5"/>
    <w:rsid w:val="00F519F9"/>
    <w:rsid w:val="00F51A2A"/>
    <w:rsid w:val="00F51A3A"/>
    <w:rsid w:val="00F51A4C"/>
    <w:rsid w:val="00F51ABA"/>
    <w:rsid w:val="00F51B17"/>
    <w:rsid w:val="00F51B37"/>
    <w:rsid w:val="00F51C14"/>
    <w:rsid w:val="00F51CD9"/>
    <w:rsid w:val="00F51D0C"/>
    <w:rsid w:val="00F51D5A"/>
    <w:rsid w:val="00F51D6A"/>
    <w:rsid w:val="00F51E56"/>
    <w:rsid w:val="00F51EB4"/>
    <w:rsid w:val="00F51F04"/>
    <w:rsid w:val="00F51F4B"/>
    <w:rsid w:val="00F52067"/>
    <w:rsid w:val="00F52078"/>
    <w:rsid w:val="00F520BB"/>
    <w:rsid w:val="00F520C8"/>
    <w:rsid w:val="00F520DA"/>
    <w:rsid w:val="00F52193"/>
    <w:rsid w:val="00F52216"/>
    <w:rsid w:val="00F522F3"/>
    <w:rsid w:val="00F5236B"/>
    <w:rsid w:val="00F523A6"/>
    <w:rsid w:val="00F523B1"/>
    <w:rsid w:val="00F523F5"/>
    <w:rsid w:val="00F523FB"/>
    <w:rsid w:val="00F5244E"/>
    <w:rsid w:val="00F52458"/>
    <w:rsid w:val="00F52462"/>
    <w:rsid w:val="00F52525"/>
    <w:rsid w:val="00F5258E"/>
    <w:rsid w:val="00F52635"/>
    <w:rsid w:val="00F52645"/>
    <w:rsid w:val="00F527A8"/>
    <w:rsid w:val="00F5282E"/>
    <w:rsid w:val="00F529A5"/>
    <w:rsid w:val="00F52A8F"/>
    <w:rsid w:val="00F52AA8"/>
    <w:rsid w:val="00F52ABE"/>
    <w:rsid w:val="00F52AC7"/>
    <w:rsid w:val="00F52AFF"/>
    <w:rsid w:val="00F52B1F"/>
    <w:rsid w:val="00F52B60"/>
    <w:rsid w:val="00F52B9D"/>
    <w:rsid w:val="00F52BA4"/>
    <w:rsid w:val="00F52C7B"/>
    <w:rsid w:val="00F52CF2"/>
    <w:rsid w:val="00F52D3B"/>
    <w:rsid w:val="00F52DBC"/>
    <w:rsid w:val="00F52DF2"/>
    <w:rsid w:val="00F52EB4"/>
    <w:rsid w:val="00F52F46"/>
    <w:rsid w:val="00F52F48"/>
    <w:rsid w:val="00F52F52"/>
    <w:rsid w:val="00F52F5A"/>
    <w:rsid w:val="00F5307A"/>
    <w:rsid w:val="00F53122"/>
    <w:rsid w:val="00F5315B"/>
    <w:rsid w:val="00F531AB"/>
    <w:rsid w:val="00F531CC"/>
    <w:rsid w:val="00F53212"/>
    <w:rsid w:val="00F53215"/>
    <w:rsid w:val="00F53243"/>
    <w:rsid w:val="00F5324C"/>
    <w:rsid w:val="00F5329F"/>
    <w:rsid w:val="00F53323"/>
    <w:rsid w:val="00F53420"/>
    <w:rsid w:val="00F53446"/>
    <w:rsid w:val="00F5347B"/>
    <w:rsid w:val="00F534F9"/>
    <w:rsid w:val="00F5353D"/>
    <w:rsid w:val="00F5355C"/>
    <w:rsid w:val="00F535A0"/>
    <w:rsid w:val="00F536EF"/>
    <w:rsid w:val="00F5372E"/>
    <w:rsid w:val="00F53742"/>
    <w:rsid w:val="00F5374F"/>
    <w:rsid w:val="00F537FB"/>
    <w:rsid w:val="00F53860"/>
    <w:rsid w:val="00F538A2"/>
    <w:rsid w:val="00F538A8"/>
    <w:rsid w:val="00F538C0"/>
    <w:rsid w:val="00F5393F"/>
    <w:rsid w:val="00F5394C"/>
    <w:rsid w:val="00F539DB"/>
    <w:rsid w:val="00F53A47"/>
    <w:rsid w:val="00F53A88"/>
    <w:rsid w:val="00F53AF2"/>
    <w:rsid w:val="00F53BBA"/>
    <w:rsid w:val="00F53C06"/>
    <w:rsid w:val="00F53C72"/>
    <w:rsid w:val="00F53C7A"/>
    <w:rsid w:val="00F53CB2"/>
    <w:rsid w:val="00F53CB5"/>
    <w:rsid w:val="00F53D1E"/>
    <w:rsid w:val="00F53D22"/>
    <w:rsid w:val="00F53D37"/>
    <w:rsid w:val="00F53D3B"/>
    <w:rsid w:val="00F53D59"/>
    <w:rsid w:val="00F53DED"/>
    <w:rsid w:val="00F53E3F"/>
    <w:rsid w:val="00F53E57"/>
    <w:rsid w:val="00F53E6A"/>
    <w:rsid w:val="00F54015"/>
    <w:rsid w:val="00F54026"/>
    <w:rsid w:val="00F54040"/>
    <w:rsid w:val="00F54067"/>
    <w:rsid w:val="00F540E3"/>
    <w:rsid w:val="00F54111"/>
    <w:rsid w:val="00F54145"/>
    <w:rsid w:val="00F54289"/>
    <w:rsid w:val="00F5431D"/>
    <w:rsid w:val="00F5445D"/>
    <w:rsid w:val="00F544D7"/>
    <w:rsid w:val="00F54555"/>
    <w:rsid w:val="00F545DC"/>
    <w:rsid w:val="00F54638"/>
    <w:rsid w:val="00F5463C"/>
    <w:rsid w:val="00F5463D"/>
    <w:rsid w:val="00F54670"/>
    <w:rsid w:val="00F54685"/>
    <w:rsid w:val="00F54775"/>
    <w:rsid w:val="00F54796"/>
    <w:rsid w:val="00F5489C"/>
    <w:rsid w:val="00F548C5"/>
    <w:rsid w:val="00F548D1"/>
    <w:rsid w:val="00F54911"/>
    <w:rsid w:val="00F54942"/>
    <w:rsid w:val="00F5496C"/>
    <w:rsid w:val="00F549B9"/>
    <w:rsid w:val="00F549C3"/>
    <w:rsid w:val="00F549F4"/>
    <w:rsid w:val="00F54AAC"/>
    <w:rsid w:val="00F54ABC"/>
    <w:rsid w:val="00F54B2B"/>
    <w:rsid w:val="00F54B31"/>
    <w:rsid w:val="00F54BB8"/>
    <w:rsid w:val="00F54BC8"/>
    <w:rsid w:val="00F54C37"/>
    <w:rsid w:val="00F54CDE"/>
    <w:rsid w:val="00F54D14"/>
    <w:rsid w:val="00F54DB4"/>
    <w:rsid w:val="00F54DEB"/>
    <w:rsid w:val="00F54E32"/>
    <w:rsid w:val="00F54E34"/>
    <w:rsid w:val="00F54FDD"/>
    <w:rsid w:val="00F55028"/>
    <w:rsid w:val="00F5505F"/>
    <w:rsid w:val="00F55061"/>
    <w:rsid w:val="00F5506C"/>
    <w:rsid w:val="00F5507D"/>
    <w:rsid w:val="00F55155"/>
    <w:rsid w:val="00F5515B"/>
    <w:rsid w:val="00F55208"/>
    <w:rsid w:val="00F552E1"/>
    <w:rsid w:val="00F55305"/>
    <w:rsid w:val="00F553F1"/>
    <w:rsid w:val="00F553F4"/>
    <w:rsid w:val="00F55411"/>
    <w:rsid w:val="00F55414"/>
    <w:rsid w:val="00F554D2"/>
    <w:rsid w:val="00F554EF"/>
    <w:rsid w:val="00F55586"/>
    <w:rsid w:val="00F5561A"/>
    <w:rsid w:val="00F5567F"/>
    <w:rsid w:val="00F55680"/>
    <w:rsid w:val="00F55738"/>
    <w:rsid w:val="00F5573D"/>
    <w:rsid w:val="00F557E7"/>
    <w:rsid w:val="00F55829"/>
    <w:rsid w:val="00F55889"/>
    <w:rsid w:val="00F559C2"/>
    <w:rsid w:val="00F55A48"/>
    <w:rsid w:val="00F55A9D"/>
    <w:rsid w:val="00F55AE3"/>
    <w:rsid w:val="00F55AF1"/>
    <w:rsid w:val="00F55B0E"/>
    <w:rsid w:val="00F55BA7"/>
    <w:rsid w:val="00F55BFF"/>
    <w:rsid w:val="00F55CA9"/>
    <w:rsid w:val="00F55DBA"/>
    <w:rsid w:val="00F55DE1"/>
    <w:rsid w:val="00F55EEF"/>
    <w:rsid w:val="00F55F02"/>
    <w:rsid w:val="00F55F2B"/>
    <w:rsid w:val="00F55F3E"/>
    <w:rsid w:val="00F55FDC"/>
    <w:rsid w:val="00F55FE0"/>
    <w:rsid w:val="00F55FFF"/>
    <w:rsid w:val="00F560C7"/>
    <w:rsid w:val="00F56112"/>
    <w:rsid w:val="00F5611C"/>
    <w:rsid w:val="00F5613A"/>
    <w:rsid w:val="00F5621A"/>
    <w:rsid w:val="00F56290"/>
    <w:rsid w:val="00F563B2"/>
    <w:rsid w:val="00F563C5"/>
    <w:rsid w:val="00F5651B"/>
    <w:rsid w:val="00F56526"/>
    <w:rsid w:val="00F56538"/>
    <w:rsid w:val="00F56546"/>
    <w:rsid w:val="00F56550"/>
    <w:rsid w:val="00F5663D"/>
    <w:rsid w:val="00F56660"/>
    <w:rsid w:val="00F56682"/>
    <w:rsid w:val="00F56696"/>
    <w:rsid w:val="00F566FA"/>
    <w:rsid w:val="00F56741"/>
    <w:rsid w:val="00F5675D"/>
    <w:rsid w:val="00F56775"/>
    <w:rsid w:val="00F5680E"/>
    <w:rsid w:val="00F568B0"/>
    <w:rsid w:val="00F56969"/>
    <w:rsid w:val="00F569E0"/>
    <w:rsid w:val="00F56AD2"/>
    <w:rsid w:val="00F56BEE"/>
    <w:rsid w:val="00F56C33"/>
    <w:rsid w:val="00F56C81"/>
    <w:rsid w:val="00F56C8E"/>
    <w:rsid w:val="00F56CAB"/>
    <w:rsid w:val="00F56CCB"/>
    <w:rsid w:val="00F56D0A"/>
    <w:rsid w:val="00F56D4F"/>
    <w:rsid w:val="00F56D5B"/>
    <w:rsid w:val="00F56E0C"/>
    <w:rsid w:val="00F56E1A"/>
    <w:rsid w:val="00F56E3C"/>
    <w:rsid w:val="00F56EB8"/>
    <w:rsid w:val="00F56F66"/>
    <w:rsid w:val="00F56F99"/>
    <w:rsid w:val="00F56FC8"/>
    <w:rsid w:val="00F56FD9"/>
    <w:rsid w:val="00F56FED"/>
    <w:rsid w:val="00F5706D"/>
    <w:rsid w:val="00F57191"/>
    <w:rsid w:val="00F57192"/>
    <w:rsid w:val="00F5719C"/>
    <w:rsid w:val="00F5722B"/>
    <w:rsid w:val="00F5723C"/>
    <w:rsid w:val="00F572C2"/>
    <w:rsid w:val="00F57321"/>
    <w:rsid w:val="00F57330"/>
    <w:rsid w:val="00F5736B"/>
    <w:rsid w:val="00F573FF"/>
    <w:rsid w:val="00F57403"/>
    <w:rsid w:val="00F574C1"/>
    <w:rsid w:val="00F574D6"/>
    <w:rsid w:val="00F57549"/>
    <w:rsid w:val="00F5756F"/>
    <w:rsid w:val="00F575C4"/>
    <w:rsid w:val="00F5760C"/>
    <w:rsid w:val="00F5763E"/>
    <w:rsid w:val="00F57668"/>
    <w:rsid w:val="00F576D3"/>
    <w:rsid w:val="00F57726"/>
    <w:rsid w:val="00F57757"/>
    <w:rsid w:val="00F577A3"/>
    <w:rsid w:val="00F577C3"/>
    <w:rsid w:val="00F5787B"/>
    <w:rsid w:val="00F5787F"/>
    <w:rsid w:val="00F57983"/>
    <w:rsid w:val="00F57989"/>
    <w:rsid w:val="00F579AD"/>
    <w:rsid w:val="00F579DF"/>
    <w:rsid w:val="00F57A01"/>
    <w:rsid w:val="00F57A9B"/>
    <w:rsid w:val="00F57AB0"/>
    <w:rsid w:val="00F57B05"/>
    <w:rsid w:val="00F57B48"/>
    <w:rsid w:val="00F57B7C"/>
    <w:rsid w:val="00F57BD3"/>
    <w:rsid w:val="00F57BD7"/>
    <w:rsid w:val="00F57C39"/>
    <w:rsid w:val="00F57C4D"/>
    <w:rsid w:val="00F57C55"/>
    <w:rsid w:val="00F57C5B"/>
    <w:rsid w:val="00F57D5E"/>
    <w:rsid w:val="00F57DF3"/>
    <w:rsid w:val="00F57E0F"/>
    <w:rsid w:val="00F57E7C"/>
    <w:rsid w:val="00F57F57"/>
    <w:rsid w:val="00F57F99"/>
    <w:rsid w:val="00F57FA8"/>
    <w:rsid w:val="00F60041"/>
    <w:rsid w:val="00F6005E"/>
    <w:rsid w:val="00F600D0"/>
    <w:rsid w:val="00F60214"/>
    <w:rsid w:val="00F60273"/>
    <w:rsid w:val="00F602EF"/>
    <w:rsid w:val="00F602F7"/>
    <w:rsid w:val="00F6034F"/>
    <w:rsid w:val="00F603F6"/>
    <w:rsid w:val="00F6047B"/>
    <w:rsid w:val="00F604A2"/>
    <w:rsid w:val="00F604F0"/>
    <w:rsid w:val="00F605E7"/>
    <w:rsid w:val="00F6060C"/>
    <w:rsid w:val="00F60678"/>
    <w:rsid w:val="00F6069F"/>
    <w:rsid w:val="00F606E1"/>
    <w:rsid w:val="00F606E4"/>
    <w:rsid w:val="00F608C5"/>
    <w:rsid w:val="00F60947"/>
    <w:rsid w:val="00F609E8"/>
    <w:rsid w:val="00F60AFC"/>
    <w:rsid w:val="00F60AFE"/>
    <w:rsid w:val="00F60B41"/>
    <w:rsid w:val="00F60B4D"/>
    <w:rsid w:val="00F60BF3"/>
    <w:rsid w:val="00F60C2C"/>
    <w:rsid w:val="00F60C45"/>
    <w:rsid w:val="00F60CA5"/>
    <w:rsid w:val="00F60CD1"/>
    <w:rsid w:val="00F60D3C"/>
    <w:rsid w:val="00F60DCE"/>
    <w:rsid w:val="00F60E41"/>
    <w:rsid w:val="00F60E64"/>
    <w:rsid w:val="00F60E84"/>
    <w:rsid w:val="00F60E9D"/>
    <w:rsid w:val="00F60EDA"/>
    <w:rsid w:val="00F60F5F"/>
    <w:rsid w:val="00F60F8E"/>
    <w:rsid w:val="00F60FEC"/>
    <w:rsid w:val="00F61007"/>
    <w:rsid w:val="00F6105A"/>
    <w:rsid w:val="00F610D0"/>
    <w:rsid w:val="00F610D3"/>
    <w:rsid w:val="00F6116C"/>
    <w:rsid w:val="00F611B3"/>
    <w:rsid w:val="00F611DA"/>
    <w:rsid w:val="00F611EA"/>
    <w:rsid w:val="00F6121A"/>
    <w:rsid w:val="00F61230"/>
    <w:rsid w:val="00F61291"/>
    <w:rsid w:val="00F61299"/>
    <w:rsid w:val="00F612E0"/>
    <w:rsid w:val="00F61327"/>
    <w:rsid w:val="00F61393"/>
    <w:rsid w:val="00F613C9"/>
    <w:rsid w:val="00F6143D"/>
    <w:rsid w:val="00F61465"/>
    <w:rsid w:val="00F614B3"/>
    <w:rsid w:val="00F61537"/>
    <w:rsid w:val="00F6158A"/>
    <w:rsid w:val="00F615FA"/>
    <w:rsid w:val="00F6163A"/>
    <w:rsid w:val="00F6163E"/>
    <w:rsid w:val="00F61687"/>
    <w:rsid w:val="00F6168E"/>
    <w:rsid w:val="00F616B4"/>
    <w:rsid w:val="00F6175C"/>
    <w:rsid w:val="00F617B6"/>
    <w:rsid w:val="00F617B8"/>
    <w:rsid w:val="00F61800"/>
    <w:rsid w:val="00F61811"/>
    <w:rsid w:val="00F61838"/>
    <w:rsid w:val="00F618B9"/>
    <w:rsid w:val="00F618E6"/>
    <w:rsid w:val="00F61994"/>
    <w:rsid w:val="00F619AE"/>
    <w:rsid w:val="00F619F2"/>
    <w:rsid w:val="00F61A4B"/>
    <w:rsid w:val="00F61A7E"/>
    <w:rsid w:val="00F61ABC"/>
    <w:rsid w:val="00F61B3A"/>
    <w:rsid w:val="00F61B48"/>
    <w:rsid w:val="00F61B4F"/>
    <w:rsid w:val="00F61B56"/>
    <w:rsid w:val="00F61CB4"/>
    <w:rsid w:val="00F61E03"/>
    <w:rsid w:val="00F61E2C"/>
    <w:rsid w:val="00F61F41"/>
    <w:rsid w:val="00F61F87"/>
    <w:rsid w:val="00F61FA4"/>
    <w:rsid w:val="00F61FB3"/>
    <w:rsid w:val="00F61FC0"/>
    <w:rsid w:val="00F61FD3"/>
    <w:rsid w:val="00F61FFF"/>
    <w:rsid w:val="00F62003"/>
    <w:rsid w:val="00F62052"/>
    <w:rsid w:val="00F620A2"/>
    <w:rsid w:val="00F62116"/>
    <w:rsid w:val="00F62123"/>
    <w:rsid w:val="00F62165"/>
    <w:rsid w:val="00F621F5"/>
    <w:rsid w:val="00F62232"/>
    <w:rsid w:val="00F62233"/>
    <w:rsid w:val="00F6225B"/>
    <w:rsid w:val="00F622C8"/>
    <w:rsid w:val="00F622F8"/>
    <w:rsid w:val="00F62311"/>
    <w:rsid w:val="00F62374"/>
    <w:rsid w:val="00F62379"/>
    <w:rsid w:val="00F62398"/>
    <w:rsid w:val="00F623BF"/>
    <w:rsid w:val="00F623E4"/>
    <w:rsid w:val="00F6240D"/>
    <w:rsid w:val="00F6252F"/>
    <w:rsid w:val="00F62562"/>
    <w:rsid w:val="00F6257A"/>
    <w:rsid w:val="00F625E8"/>
    <w:rsid w:val="00F62639"/>
    <w:rsid w:val="00F62666"/>
    <w:rsid w:val="00F626BD"/>
    <w:rsid w:val="00F626CF"/>
    <w:rsid w:val="00F626D5"/>
    <w:rsid w:val="00F627BE"/>
    <w:rsid w:val="00F627ED"/>
    <w:rsid w:val="00F62800"/>
    <w:rsid w:val="00F62820"/>
    <w:rsid w:val="00F62832"/>
    <w:rsid w:val="00F6284C"/>
    <w:rsid w:val="00F62ABB"/>
    <w:rsid w:val="00F62B1C"/>
    <w:rsid w:val="00F62B25"/>
    <w:rsid w:val="00F62BD0"/>
    <w:rsid w:val="00F62C0A"/>
    <w:rsid w:val="00F62C1E"/>
    <w:rsid w:val="00F62C59"/>
    <w:rsid w:val="00F62D25"/>
    <w:rsid w:val="00F62D2B"/>
    <w:rsid w:val="00F62E0A"/>
    <w:rsid w:val="00F62E10"/>
    <w:rsid w:val="00F62E79"/>
    <w:rsid w:val="00F62E7C"/>
    <w:rsid w:val="00F62EFF"/>
    <w:rsid w:val="00F62F99"/>
    <w:rsid w:val="00F62F9B"/>
    <w:rsid w:val="00F630A7"/>
    <w:rsid w:val="00F6311F"/>
    <w:rsid w:val="00F63135"/>
    <w:rsid w:val="00F63218"/>
    <w:rsid w:val="00F63317"/>
    <w:rsid w:val="00F63353"/>
    <w:rsid w:val="00F6345D"/>
    <w:rsid w:val="00F63493"/>
    <w:rsid w:val="00F634E5"/>
    <w:rsid w:val="00F6357F"/>
    <w:rsid w:val="00F63607"/>
    <w:rsid w:val="00F6366C"/>
    <w:rsid w:val="00F636E5"/>
    <w:rsid w:val="00F63714"/>
    <w:rsid w:val="00F63715"/>
    <w:rsid w:val="00F6379F"/>
    <w:rsid w:val="00F637BB"/>
    <w:rsid w:val="00F63826"/>
    <w:rsid w:val="00F638F1"/>
    <w:rsid w:val="00F63931"/>
    <w:rsid w:val="00F63A50"/>
    <w:rsid w:val="00F63B74"/>
    <w:rsid w:val="00F63B8B"/>
    <w:rsid w:val="00F63C39"/>
    <w:rsid w:val="00F63D0B"/>
    <w:rsid w:val="00F63D31"/>
    <w:rsid w:val="00F63D53"/>
    <w:rsid w:val="00F63DFF"/>
    <w:rsid w:val="00F63E15"/>
    <w:rsid w:val="00F63E4B"/>
    <w:rsid w:val="00F63EB1"/>
    <w:rsid w:val="00F63EC5"/>
    <w:rsid w:val="00F63F3E"/>
    <w:rsid w:val="00F63FB0"/>
    <w:rsid w:val="00F63FE9"/>
    <w:rsid w:val="00F640D3"/>
    <w:rsid w:val="00F640DD"/>
    <w:rsid w:val="00F64174"/>
    <w:rsid w:val="00F641A1"/>
    <w:rsid w:val="00F641E6"/>
    <w:rsid w:val="00F642D7"/>
    <w:rsid w:val="00F64301"/>
    <w:rsid w:val="00F64334"/>
    <w:rsid w:val="00F64364"/>
    <w:rsid w:val="00F6436E"/>
    <w:rsid w:val="00F64377"/>
    <w:rsid w:val="00F643B4"/>
    <w:rsid w:val="00F64439"/>
    <w:rsid w:val="00F64451"/>
    <w:rsid w:val="00F644B7"/>
    <w:rsid w:val="00F644F6"/>
    <w:rsid w:val="00F64566"/>
    <w:rsid w:val="00F64595"/>
    <w:rsid w:val="00F645B4"/>
    <w:rsid w:val="00F64612"/>
    <w:rsid w:val="00F64639"/>
    <w:rsid w:val="00F6466E"/>
    <w:rsid w:val="00F6467F"/>
    <w:rsid w:val="00F646AE"/>
    <w:rsid w:val="00F646BA"/>
    <w:rsid w:val="00F646FA"/>
    <w:rsid w:val="00F64836"/>
    <w:rsid w:val="00F6495A"/>
    <w:rsid w:val="00F649AB"/>
    <w:rsid w:val="00F64A2B"/>
    <w:rsid w:val="00F64AC0"/>
    <w:rsid w:val="00F64BD5"/>
    <w:rsid w:val="00F64BE7"/>
    <w:rsid w:val="00F64BF5"/>
    <w:rsid w:val="00F64C4D"/>
    <w:rsid w:val="00F64CC4"/>
    <w:rsid w:val="00F64D3A"/>
    <w:rsid w:val="00F64D78"/>
    <w:rsid w:val="00F64D9F"/>
    <w:rsid w:val="00F64DA6"/>
    <w:rsid w:val="00F64DCC"/>
    <w:rsid w:val="00F64DD8"/>
    <w:rsid w:val="00F64E01"/>
    <w:rsid w:val="00F64E29"/>
    <w:rsid w:val="00F64E56"/>
    <w:rsid w:val="00F64EAD"/>
    <w:rsid w:val="00F64F3D"/>
    <w:rsid w:val="00F64F69"/>
    <w:rsid w:val="00F64FBA"/>
    <w:rsid w:val="00F65078"/>
    <w:rsid w:val="00F650F1"/>
    <w:rsid w:val="00F65121"/>
    <w:rsid w:val="00F6513C"/>
    <w:rsid w:val="00F65179"/>
    <w:rsid w:val="00F651B2"/>
    <w:rsid w:val="00F651F3"/>
    <w:rsid w:val="00F65210"/>
    <w:rsid w:val="00F65270"/>
    <w:rsid w:val="00F65365"/>
    <w:rsid w:val="00F653DF"/>
    <w:rsid w:val="00F654FE"/>
    <w:rsid w:val="00F6550F"/>
    <w:rsid w:val="00F65515"/>
    <w:rsid w:val="00F6553C"/>
    <w:rsid w:val="00F655A4"/>
    <w:rsid w:val="00F6562F"/>
    <w:rsid w:val="00F656B3"/>
    <w:rsid w:val="00F656F8"/>
    <w:rsid w:val="00F657A3"/>
    <w:rsid w:val="00F657C5"/>
    <w:rsid w:val="00F65822"/>
    <w:rsid w:val="00F658F3"/>
    <w:rsid w:val="00F658F4"/>
    <w:rsid w:val="00F659C1"/>
    <w:rsid w:val="00F659D0"/>
    <w:rsid w:val="00F65A0F"/>
    <w:rsid w:val="00F65A36"/>
    <w:rsid w:val="00F65A78"/>
    <w:rsid w:val="00F65A7D"/>
    <w:rsid w:val="00F65B39"/>
    <w:rsid w:val="00F65BDC"/>
    <w:rsid w:val="00F65CC8"/>
    <w:rsid w:val="00F65CF6"/>
    <w:rsid w:val="00F65D48"/>
    <w:rsid w:val="00F65D7A"/>
    <w:rsid w:val="00F65D82"/>
    <w:rsid w:val="00F65DC9"/>
    <w:rsid w:val="00F65DF3"/>
    <w:rsid w:val="00F65E1E"/>
    <w:rsid w:val="00F65FA5"/>
    <w:rsid w:val="00F65FE0"/>
    <w:rsid w:val="00F66005"/>
    <w:rsid w:val="00F6602B"/>
    <w:rsid w:val="00F66044"/>
    <w:rsid w:val="00F66145"/>
    <w:rsid w:val="00F66151"/>
    <w:rsid w:val="00F661CF"/>
    <w:rsid w:val="00F66214"/>
    <w:rsid w:val="00F66270"/>
    <w:rsid w:val="00F662A2"/>
    <w:rsid w:val="00F662A7"/>
    <w:rsid w:val="00F66337"/>
    <w:rsid w:val="00F6636F"/>
    <w:rsid w:val="00F6639D"/>
    <w:rsid w:val="00F66406"/>
    <w:rsid w:val="00F66430"/>
    <w:rsid w:val="00F6647C"/>
    <w:rsid w:val="00F66521"/>
    <w:rsid w:val="00F66563"/>
    <w:rsid w:val="00F666A2"/>
    <w:rsid w:val="00F666A4"/>
    <w:rsid w:val="00F666F0"/>
    <w:rsid w:val="00F6671B"/>
    <w:rsid w:val="00F66754"/>
    <w:rsid w:val="00F6678B"/>
    <w:rsid w:val="00F667E6"/>
    <w:rsid w:val="00F668E8"/>
    <w:rsid w:val="00F66966"/>
    <w:rsid w:val="00F669A4"/>
    <w:rsid w:val="00F669B2"/>
    <w:rsid w:val="00F66A42"/>
    <w:rsid w:val="00F66AE3"/>
    <w:rsid w:val="00F66B4D"/>
    <w:rsid w:val="00F66BC7"/>
    <w:rsid w:val="00F66C67"/>
    <w:rsid w:val="00F66CB1"/>
    <w:rsid w:val="00F66CB7"/>
    <w:rsid w:val="00F66D46"/>
    <w:rsid w:val="00F66DE0"/>
    <w:rsid w:val="00F66E5B"/>
    <w:rsid w:val="00F66E62"/>
    <w:rsid w:val="00F66E8E"/>
    <w:rsid w:val="00F66E9F"/>
    <w:rsid w:val="00F66FE9"/>
    <w:rsid w:val="00F67020"/>
    <w:rsid w:val="00F6703B"/>
    <w:rsid w:val="00F67086"/>
    <w:rsid w:val="00F670CD"/>
    <w:rsid w:val="00F6725E"/>
    <w:rsid w:val="00F67260"/>
    <w:rsid w:val="00F6727E"/>
    <w:rsid w:val="00F67284"/>
    <w:rsid w:val="00F6734D"/>
    <w:rsid w:val="00F673D6"/>
    <w:rsid w:val="00F673F1"/>
    <w:rsid w:val="00F67454"/>
    <w:rsid w:val="00F67621"/>
    <w:rsid w:val="00F67636"/>
    <w:rsid w:val="00F67643"/>
    <w:rsid w:val="00F6765B"/>
    <w:rsid w:val="00F677B5"/>
    <w:rsid w:val="00F677F2"/>
    <w:rsid w:val="00F6782E"/>
    <w:rsid w:val="00F67878"/>
    <w:rsid w:val="00F678A1"/>
    <w:rsid w:val="00F678B1"/>
    <w:rsid w:val="00F678D3"/>
    <w:rsid w:val="00F678DD"/>
    <w:rsid w:val="00F678F2"/>
    <w:rsid w:val="00F6794F"/>
    <w:rsid w:val="00F679C0"/>
    <w:rsid w:val="00F67A18"/>
    <w:rsid w:val="00F67AF1"/>
    <w:rsid w:val="00F67B03"/>
    <w:rsid w:val="00F67B08"/>
    <w:rsid w:val="00F67B75"/>
    <w:rsid w:val="00F67B7E"/>
    <w:rsid w:val="00F67B7F"/>
    <w:rsid w:val="00F67C34"/>
    <w:rsid w:val="00F67C58"/>
    <w:rsid w:val="00F67C96"/>
    <w:rsid w:val="00F67C97"/>
    <w:rsid w:val="00F67CA0"/>
    <w:rsid w:val="00F67D0D"/>
    <w:rsid w:val="00F67D5A"/>
    <w:rsid w:val="00F67D8A"/>
    <w:rsid w:val="00F67DC5"/>
    <w:rsid w:val="00F67EE8"/>
    <w:rsid w:val="00F67F0E"/>
    <w:rsid w:val="00F67FF0"/>
    <w:rsid w:val="00F70037"/>
    <w:rsid w:val="00F700D5"/>
    <w:rsid w:val="00F701A9"/>
    <w:rsid w:val="00F7020F"/>
    <w:rsid w:val="00F70243"/>
    <w:rsid w:val="00F702EB"/>
    <w:rsid w:val="00F702F7"/>
    <w:rsid w:val="00F7044A"/>
    <w:rsid w:val="00F704BB"/>
    <w:rsid w:val="00F70520"/>
    <w:rsid w:val="00F7057A"/>
    <w:rsid w:val="00F70581"/>
    <w:rsid w:val="00F70718"/>
    <w:rsid w:val="00F7073D"/>
    <w:rsid w:val="00F707C6"/>
    <w:rsid w:val="00F70800"/>
    <w:rsid w:val="00F7081E"/>
    <w:rsid w:val="00F7089B"/>
    <w:rsid w:val="00F708A6"/>
    <w:rsid w:val="00F70905"/>
    <w:rsid w:val="00F7091A"/>
    <w:rsid w:val="00F70967"/>
    <w:rsid w:val="00F70AAD"/>
    <w:rsid w:val="00F70AC2"/>
    <w:rsid w:val="00F70CC3"/>
    <w:rsid w:val="00F70CE5"/>
    <w:rsid w:val="00F70D16"/>
    <w:rsid w:val="00F70D7D"/>
    <w:rsid w:val="00F70E44"/>
    <w:rsid w:val="00F70E7E"/>
    <w:rsid w:val="00F71024"/>
    <w:rsid w:val="00F7107A"/>
    <w:rsid w:val="00F710AC"/>
    <w:rsid w:val="00F710CA"/>
    <w:rsid w:val="00F71146"/>
    <w:rsid w:val="00F711CA"/>
    <w:rsid w:val="00F7126F"/>
    <w:rsid w:val="00F712AC"/>
    <w:rsid w:val="00F712B4"/>
    <w:rsid w:val="00F71325"/>
    <w:rsid w:val="00F71353"/>
    <w:rsid w:val="00F71359"/>
    <w:rsid w:val="00F7142E"/>
    <w:rsid w:val="00F714A4"/>
    <w:rsid w:val="00F7157B"/>
    <w:rsid w:val="00F71594"/>
    <w:rsid w:val="00F715AA"/>
    <w:rsid w:val="00F715AF"/>
    <w:rsid w:val="00F715D6"/>
    <w:rsid w:val="00F715E5"/>
    <w:rsid w:val="00F7163D"/>
    <w:rsid w:val="00F71725"/>
    <w:rsid w:val="00F71726"/>
    <w:rsid w:val="00F71728"/>
    <w:rsid w:val="00F717AB"/>
    <w:rsid w:val="00F717BA"/>
    <w:rsid w:val="00F717C6"/>
    <w:rsid w:val="00F717E1"/>
    <w:rsid w:val="00F717EA"/>
    <w:rsid w:val="00F71808"/>
    <w:rsid w:val="00F7187A"/>
    <w:rsid w:val="00F719D4"/>
    <w:rsid w:val="00F71A0D"/>
    <w:rsid w:val="00F71A33"/>
    <w:rsid w:val="00F71A5E"/>
    <w:rsid w:val="00F71A86"/>
    <w:rsid w:val="00F71A94"/>
    <w:rsid w:val="00F71B2F"/>
    <w:rsid w:val="00F71BE7"/>
    <w:rsid w:val="00F71C33"/>
    <w:rsid w:val="00F71CA4"/>
    <w:rsid w:val="00F71CFC"/>
    <w:rsid w:val="00F71D07"/>
    <w:rsid w:val="00F71D93"/>
    <w:rsid w:val="00F71DDF"/>
    <w:rsid w:val="00F71F04"/>
    <w:rsid w:val="00F71F35"/>
    <w:rsid w:val="00F71F49"/>
    <w:rsid w:val="00F71F90"/>
    <w:rsid w:val="00F7202E"/>
    <w:rsid w:val="00F7208A"/>
    <w:rsid w:val="00F720E6"/>
    <w:rsid w:val="00F721EC"/>
    <w:rsid w:val="00F722B8"/>
    <w:rsid w:val="00F7231F"/>
    <w:rsid w:val="00F7240A"/>
    <w:rsid w:val="00F72410"/>
    <w:rsid w:val="00F72431"/>
    <w:rsid w:val="00F72489"/>
    <w:rsid w:val="00F72497"/>
    <w:rsid w:val="00F726A6"/>
    <w:rsid w:val="00F726CF"/>
    <w:rsid w:val="00F72807"/>
    <w:rsid w:val="00F72860"/>
    <w:rsid w:val="00F72865"/>
    <w:rsid w:val="00F7289F"/>
    <w:rsid w:val="00F728A7"/>
    <w:rsid w:val="00F728FB"/>
    <w:rsid w:val="00F72A36"/>
    <w:rsid w:val="00F72A41"/>
    <w:rsid w:val="00F72A82"/>
    <w:rsid w:val="00F72AE6"/>
    <w:rsid w:val="00F72B6F"/>
    <w:rsid w:val="00F72B9A"/>
    <w:rsid w:val="00F72B9E"/>
    <w:rsid w:val="00F72B9F"/>
    <w:rsid w:val="00F72CF8"/>
    <w:rsid w:val="00F72D02"/>
    <w:rsid w:val="00F72D0A"/>
    <w:rsid w:val="00F72DA0"/>
    <w:rsid w:val="00F72F05"/>
    <w:rsid w:val="00F72F5B"/>
    <w:rsid w:val="00F72FA4"/>
    <w:rsid w:val="00F72FC8"/>
    <w:rsid w:val="00F7301A"/>
    <w:rsid w:val="00F7311E"/>
    <w:rsid w:val="00F73125"/>
    <w:rsid w:val="00F73151"/>
    <w:rsid w:val="00F7328D"/>
    <w:rsid w:val="00F7332F"/>
    <w:rsid w:val="00F73367"/>
    <w:rsid w:val="00F73397"/>
    <w:rsid w:val="00F733CE"/>
    <w:rsid w:val="00F73441"/>
    <w:rsid w:val="00F73473"/>
    <w:rsid w:val="00F734A9"/>
    <w:rsid w:val="00F734BB"/>
    <w:rsid w:val="00F735B3"/>
    <w:rsid w:val="00F735DA"/>
    <w:rsid w:val="00F735E7"/>
    <w:rsid w:val="00F73655"/>
    <w:rsid w:val="00F7367D"/>
    <w:rsid w:val="00F7370A"/>
    <w:rsid w:val="00F7376D"/>
    <w:rsid w:val="00F737A5"/>
    <w:rsid w:val="00F7381E"/>
    <w:rsid w:val="00F738BA"/>
    <w:rsid w:val="00F7393A"/>
    <w:rsid w:val="00F73944"/>
    <w:rsid w:val="00F73A48"/>
    <w:rsid w:val="00F73A7F"/>
    <w:rsid w:val="00F73AC7"/>
    <w:rsid w:val="00F73B49"/>
    <w:rsid w:val="00F73BBE"/>
    <w:rsid w:val="00F73BCC"/>
    <w:rsid w:val="00F73BE2"/>
    <w:rsid w:val="00F73BFF"/>
    <w:rsid w:val="00F73C2E"/>
    <w:rsid w:val="00F73C45"/>
    <w:rsid w:val="00F73CC2"/>
    <w:rsid w:val="00F73D84"/>
    <w:rsid w:val="00F73DA4"/>
    <w:rsid w:val="00F73E39"/>
    <w:rsid w:val="00F73E52"/>
    <w:rsid w:val="00F73EA6"/>
    <w:rsid w:val="00F73EE9"/>
    <w:rsid w:val="00F73F26"/>
    <w:rsid w:val="00F73F40"/>
    <w:rsid w:val="00F73F6D"/>
    <w:rsid w:val="00F74008"/>
    <w:rsid w:val="00F74065"/>
    <w:rsid w:val="00F74137"/>
    <w:rsid w:val="00F7415B"/>
    <w:rsid w:val="00F7416A"/>
    <w:rsid w:val="00F7427D"/>
    <w:rsid w:val="00F742D1"/>
    <w:rsid w:val="00F74334"/>
    <w:rsid w:val="00F7434E"/>
    <w:rsid w:val="00F7438B"/>
    <w:rsid w:val="00F74393"/>
    <w:rsid w:val="00F7440E"/>
    <w:rsid w:val="00F74433"/>
    <w:rsid w:val="00F74466"/>
    <w:rsid w:val="00F7448F"/>
    <w:rsid w:val="00F74493"/>
    <w:rsid w:val="00F744B4"/>
    <w:rsid w:val="00F745B4"/>
    <w:rsid w:val="00F74600"/>
    <w:rsid w:val="00F74646"/>
    <w:rsid w:val="00F746C8"/>
    <w:rsid w:val="00F74799"/>
    <w:rsid w:val="00F747D8"/>
    <w:rsid w:val="00F74889"/>
    <w:rsid w:val="00F748A2"/>
    <w:rsid w:val="00F7491A"/>
    <w:rsid w:val="00F74967"/>
    <w:rsid w:val="00F74A25"/>
    <w:rsid w:val="00F74A26"/>
    <w:rsid w:val="00F74A4A"/>
    <w:rsid w:val="00F74ACA"/>
    <w:rsid w:val="00F74BE6"/>
    <w:rsid w:val="00F74C26"/>
    <w:rsid w:val="00F74D12"/>
    <w:rsid w:val="00F74D15"/>
    <w:rsid w:val="00F74D42"/>
    <w:rsid w:val="00F74D97"/>
    <w:rsid w:val="00F74DAB"/>
    <w:rsid w:val="00F74DC1"/>
    <w:rsid w:val="00F74E4A"/>
    <w:rsid w:val="00F74E8A"/>
    <w:rsid w:val="00F74EA1"/>
    <w:rsid w:val="00F74EFA"/>
    <w:rsid w:val="00F74F95"/>
    <w:rsid w:val="00F74FAC"/>
    <w:rsid w:val="00F74FB8"/>
    <w:rsid w:val="00F74FBE"/>
    <w:rsid w:val="00F7509D"/>
    <w:rsid w:val="00F750C4"/>
    <w:rsid w:val="00F751B5"/>
    <w:rsid w:val="00F751B8"/>
    <w:rsid w:val="00F752A2"/>
    <w:rsid w:val="00F7539B"/>
    <w:rsid w:val="00F753A4"/>
    <w:rsid w:val="00F753C6"/>
    <w:rsid w:val="00F7551E"/>
    <w:rsid w:val="00F7558E"/>
    <w:rsid w:val="00F755D6"/>
    <w:rsid w:val="00F7562B"/>
    <w:rsid w:val="00F75686"/>
    <w:rsid w:val="00F756F4"/>
    <w:rsid w:val="00F7571C"/>
    <w:rsid w:val="00F75730"/>
    <w:rsid w:val="00F7577D"/>
    <w:rsid w:val="00F757B1"/>
    <w:rsid w:val="00F757F6"/>
    <w:rsid w:val="00F7582A"/>
    <w:rsid w:val="00F7585B"/>
    <w:rsid w:val="00F7586D"/>
    <w:rsid w:val="00F7586F"/>
    <w:rsid w:val="00F7587D"/>
    <w:rsid w:val="00F758B9"/>
    <w:rsid w:val="00F758FF"/>
    <w:rsid w:val="00F75911"/>
    <w:rsid w:val="00F759A2"/>
    <w:rsid w:val="00F75A19"/>
    <w:rsid w:val="00F75A91"/>
    <w:rsid w:val="00F75B46"/>
    <w:rsid w:val="00F75BB2"/>
    <w:rsid w:val="00F75C3C"/>
    <w:rsid w:val="00F75C41"/>
    <w:rsid w:val="00F75C4B"/>
    <w:rsid w:val="00F75C5A"/>
    <w:rsid w:val="00F75CDF"/>
    <w:rsid w:val="00F75CF1"/>
    <w:rsid w:val="00F75CF5"/>
    <w:rsid w:val="00F75DB1"/>
    <w:rsid w:val="00F75DC9"/>
    <w:rsid w:val="00F75E19"/>
    <w:rsid w:val="00F75E22"/>
    <w:rsid w:val="00F75E54"/>
    <w:rsid w:val="00F75E77"/>
    <w:rsid w:val="00F75F1E"/>
    <w:rsid w:val="00F75F70"/>
    <w:rsid w:val="00F75F8D"/>
    <w:rsid w:val="00F76014"/>
    <w:rsid w:val="00F7604D"/>
    <w:rsid w:val="00F76103"/>
    <w:rsid w:val="00F76124"/>
    <w:rsid w:val="00F76141"/>
    <w:rsid w:val="00F7617E"/>
    <w:rsid w:val="00F7618B"/>
    <w:rsid w:val="00F761CF"/>
    <w:rsid w:val="00F7633A"/>
    <w:rsid w:val="00F763E0"/>
    <w:rsid w:val="00F7648D"/>
    <w:rsid w:val="00F764DB"/>
    <w:rsid w:val="00F76530"/>
    <w:rsid w:val="00F76541"/>
    <w:rsid w:val="00F765D9"/>
    <w:rsid w:val="00F76675"/>
    <w:rsid w:val="00F76718"/>
    <w:rsid w:val="00F76735"/>
    <w:rsid w:val="00F767A9"/>
    <w:rsid w:val="00F767C2"/>
    <w:rsid w:val="00F7685F"/>
    <w:rsid w:val="00F76950"/>
    <w:rsid w:val="00F76967"/>
    <w:rsid w:val="00F76985"/>
    <w:rsid w:val="00F7698C"/>
    <w:rsid w:val="00F769CB"/>
    <w:rsid w:val="00F76A12"/>
    <w:rsid w:val="00F76A1E"/>
    <w:rsid w:val="00F76B2B"/>
    <w:rsid w:val="00F76B2E"/>
    <w:rsid w:val="00F76BA1"/>
    <w:rsid w:val="00F76BBE"/>
    <w:rsid w:val="00F76BD3"/>
    <w:rsid w:val="00F76C49"/>
    <w:rsid w:val="00F76C6F"/>
    <w:rsid w:val="00F76D88"/>
    <w:rsid w:val="00F76DA6"/>
    <w:rsid w:val="00F76E7C"/>
    <w:rsid w:val="00F76E85"/>
    <w:rsid w:val="00F76EAD"/>
    <w:rsid w:val="00F76F44"/>
    <w:rsid w:val="00F76F6F"/>
    <w:rsid w:val="00F76F9A"/>
    <w:rsid w:val="00F76FDE"/>
    <w:rsid w:val="00F77041"/>
    <w:rsid w:val="00F7706F"/>
    <w:rsid w:val="00F77187"/>
    <w:rsid w:val="00F771C8"/>
    <w:rsid w:val="00F77203"/>
    <w:rsid w:val="00F7725F"/>
    <w:rsid w:val="00F77286"/>
    <w:rsid w:val="00F772D5"/>
    <w:rsid w:val="00F77327"/>
    <w:rsid w:val="00F77374"/>
    <w:rsid w:val="00F773CD"/>
    <w:rsid w:val="00F77401"/>
    <w:rsid w:val="00F774A6"/>
    <w:rsid w:val="00F774C6"/>
    <w:rsid w:val="00F774CD"/>
    <w:rsid w:val="00F77525"/>
    <w:rsid w:val="00F7758C"/>
    <w:rsid w:val="00F7761F"/>
    <w:rsid w:val="00F7770B"/>
    <w:rsid w:val="00F777CD"/>
    <w:rsid w:val="00F777D0"/>
    <w:rsid w:val="00F77840"/>
    <w:rsid w:val="00F778BA"/>
    <w:rsid w:val="00F779BA"/>
    <w:rsid w:val="00F77A8F"/>
    <w:rsid w:val="00F77AC0"/>
    <w:rsid w:val="00F77AF5"/>
    <w:rsid w:val="00F77C0E"/>
    <w:rsid w:val="00F77C17"/>
    <w:rsid w:val="00F77CA4"/>
    <w:rsid w:val="00F77CEB"/>
    <w:rsid w:val="00F77D16"/>
    <w:rsid w:val="00F77D4A"/>
    <w:rsid w:val="00F77D65"/>
    <w:rsid w:val="00F77D94"/>
    <w:rsid w:val="00F77E9B"/>
    <w:rsid w:val="00F77F7E"/>
    <w:rsid w:val="00F77FC8"/>
    <w:rsid w:val="00F77FF7"/>
    <w:rsid w:val="00F80045"/>
    <w:rsid w:val="00F800DE"/>
    <w:rsid w:val="00F801C5"/>
    <w:rsid w:val="00F801E1"/>
    <w:rsid w:val="00F8023E"/>
    <w:rsid w:val="00F80272"/>
    <w:rsid w:val="00F8030E"/>
    <w:rsid w:val="00F80350"/>
    <w:rsid w:val="00F803E1"/>
    <w:rsid w:val="00F803ED"/>
    <w:rsid w:val="00F80443"/>
    <w:rsid w:val="00F8054A"/>
    <w:rsid w:val="00F80565"/>
    <w:rsid w:val="00F80576"/>
    <w:rsid w:val="00F807C0"/>
    <w:rsid w:val="00F807FB"/>
    <w:rsid w:val="00F8083D"/>
    <w:rsid w:val="00F80852"/>
    <w:rsid w:val="00F8088C"/>
    <w:rsid w:val="00F80958"/>
    <w:rsid w:val="00F80A4A"/>
    <w:rsid w:val="00F80ABB"/>
    <w:rsid w:val="00F80B2A"/>
    <w:rsid w:val="00F80B42"/>
    <w:rsid w:val="00F80B4D"/>
    <w:rsid w:val="00F80C2F"/>
    <w:rsid w:val="00F80C50"/>
    <w:rsid w:val="00F80D06"/>
    <w:rsid w:val="00F80D4C"/>
    <w:rsid w:val="00F80DBB"/>
    <w:rsid w:val="00F80E4D"/>
    <w:rsid w:val="00F80E67"/>
    <w:rsid w:val="00F81012"/>
    <w:rsid w:val="00F8104A"/>
    <w:rsid w:val="00F81057"/>
    <w:rsid w:val="00F81083"/>
    <w:rsid w:val="00F810A1"/>
    <w:rsid w:val="00F812A9"/>
    <w:rsid w:val="00F81332"/>
    <w:rsid w:val="00F81380"/>
    <w:rsid w:val="00F813B7"/>
    <w:rsid w:val="00F813DA"/>
    <w:rsid w:val="00F81408"/>
    <w:rsid w:val="00F81484"/>
    <w:rsid w:val="00F81511"/>
    <w:rsid w:val="00F81522"/>
    <w:rsid w:val="00F81546"/>
    <w:rsid w:val="00F8158B"/>
    <w:rsid w:val="00F815C5"/>
    <w:rsid w:val="00F815E7"/>
    <w:rsid w:val="00F81649"/>
    <w:rsid w:val="00F816C8"/>
    <w:rsid w:val="00F8171F"/>
    <w:rsid w:val="00F81768"/>
    <w:rsid w:val="00F81808"/>
    <w:rsid w:val="00F8181B"/>
    <w:rsid w:val="00F818A5"/>
    <w:rsid w:val="00F818C0"/>
    <w:rsid w:val="00F81953"/>
    <w:rsid w:val="00F81A9E"/>
    <w:rsid w:val="00F81AA6"/>
    <w:rsid w:val="00F81B3D"/>
    <w:rsid w:val="00F81B4F"/>
    <w:rsid w:val="00F81B6D"/>
    <w:rsid w:val="00F81B71"/>
    <w:rsid w:val="00F81B93"/>
    <w:rsid w:val="00F81BB0"/>
    <w:rsid w:val="00F81BC1"/>
    <w:rsid w:val="00F81BC2"/>
    <w:rsid w:val="00F81BD0"/>
    <w:rsid w:val="00F81BE9"/>
    <w:rsid w:val="00F81BEC"/>
    <w:rsid w:val="00F81C3F"/>
    <w:rsid w:val="00F81D07"/>
    <w:rsid w:val="00F81D3D"/>
    <w:rsid w:val="00F81D3E"/>
    <w:rsid w:val="00F81D49"/>
    <w:rsid w:val="00F81E39"/>
    <w:rsid w:val="00F81EBD"/>
    <w:rsid w:val="00F81EDF"/>
    <w:rsid w:val="00F81F4F"/>
    <w:rsid w:val="00F81F7A"/>
    <w:rsid w:val="00F81F97"/>
    <w:rsid w:val="00F81FC9"/>
    <w:rsid w:val="00F8201C"/>
    <w:rsid w:val="00F820DA"/>
    <w:rsid w:val="00F820F1"/>
    <w:rsid w:val="00F821AC"/>
    <w:rsid w:val="00F8223A"/>
    <w:rsid w:val="00F822E6"/>
    <w:rsid w:val="00F82355"/>
    <w:rsid w:val="00F823D7"/>
    <w:rsid w:val="00F82447"/>
    <w:rsid w:val="00F824AD"/>
    <w:rsid w:val="00F82533"/>
    <w:rsid w:val="00F82619"/>
    <w:rsid w:val="00F8267E"/>
    <w:rsid w:val="00F826B0"/>
    <w:rsid w:val="00F8275D"/>
    <w:rsid w:val="00F827B5"/>
    <w:rsid w:val="00F827CC"/>
    <w:rsid w:val="00F82888"/>
    <w:rsid w:val="00F828D3"/>
    <w:rsid w:val="00F829A7"/>
    <w:rsid w:val="00F829BB"/>
    <w:rsid w:val="00F82AAF"/>
    <w:rsid w:val="00F82BC9"/>
    <w:rsid w:val="00F82BEC"/>
    <w:rsid w:val="00F82C5C"/>
    <w:rsid w:val="00F82C72"/>
    <w:rsid w:val="00F82D17"/>
    <w:rsid w:val="00F82D45"/>
    <w:rsid w:val="00F82E40"/>
    <w:rsid w:val="00F82E4C"/>
    <w:rsid w:val="00F82F43"/>
    <w:rsid w:val="00F82F81"/>
    <w:rsid w:val="00F82FD1"/>
    <w:rsid w:val="00F82FDA"/>
    <w:rsid w:val="00F83047"/>
    <w:rsid w:val="00F83077"/>
    <w:rsid w:val="00F8307F"/>
    <w:rsid w:val="00F83296"/>
    <w:rsid w:val="00F832B4"/>
    <w:rsid w:val="00F832D6"/>
    <w:rsid w:val="00F8331B"/>
    <w:rsid w:val="00F83392"/>
    <w:rsid w:val="00F833C8"/>
    <w:rsid w:val="00F8345A"/>
    <w:rsid w:val="00F83470"/>
    <w:rsid w:val="00F83480"/>
    <w:rsid w:val="00F834D1"/>
    <w:rsid w:val="00F8352A"/>
    <w:rsid w:val="00F835AC"/>
    <w:rsid w:val="00F8360F"/>
    <w:rsid w:val="00F836C9"/>
    <w:rsid w:val="00F836ED"/>
    <w:rsid w:val="00F83711"/>
    <w:rsid w:val="00F837A4"/>
    <w:rsid w:val="00F837F5"/>
    <w:rsid w:val="00F8380E"/>
    <w:rsid w:val="00F83935"/>
    <w:rsid w:val="00F83939"/>
    <w:rsid w:val="00F83952"/>
    <w:rsid w:val="00F8396C"/>
    <w:rsid w:val="00F839DD"/>
    <w:rsid w:val="00F83A0E"/>
    <w:rsid w:val="00F83ACD"/>
    <w:rsid w:val="00F83B96"/>
    <w:rsid w:val="00F83BB7"/>
    <w:rsid w:val="00F83C5B"/>
    <w:rsid w:val="00F83C68"/>
    <w:rsid w:val="00F83DA8"/>
    <w:rsid w:val="00F83E59"/>
    <w:rsid w:val="00F83EF8"/>
    <w:rsid w:val="00F83F0F"/>
    <w:rsid w:val="00F83F85"/>
    <w:rsid w:val="00F83F9A"/>
    <w:rsid w:val="00F83FA9"/>
    <w:rsid w:val="00F8400A"/>
    <w:rsid w:val="00F84057"/>
    <w:rsid w:val="00F840B0"/>
    <w:rsid w:val="00F84149"/>
    <w:rsid w:val="00F84162"/>
    <w:rsid w:val="00F8416C"/>
    <w:rsid w:val="00F84199"/>
    <w:rsid w:val="00F841C5"/>
    <w:rsid w:val="00F8420D"/>
    <w:rsid w:val="00F8425E"/>
    <w:rsid w:val="00F8426D"/>
    <w:rsid w:val="00F842AC"/>
    <w:rsid w:val="00F842EB"/>
    <w:rsid w:val="00F84346"/>
    <w:rsid w:val="00F84365"/>
    <w:rsid w:val="00F84515"/>
    <w:rsid w:val="00F8453F"/>
    <w:rsid w:val="00F84564"/>
    <w:rsid w:val="00F845B0"/>
    <w:rsid w:val="00F845B1"/>
    <w:rsid w:val="00F84675"/>
    <w:rsid w:val="00F84692"/>
    <w:rsid w:val="00F8472A"/>
    <w:rsid w:val="00F847C5"/>
    <w:rsid w:val="00F84809"/>
    <w:rsid w:val="00F8482B"/>
    <w:rsid w:val="00F848BB"/>
    <w:rsid w:val="00F848CC"/>
    <w:rsid w:val="00F848F7"/>
    <w:rsid w:val="00F84912"/>
    <w:rsid w:val="00F849E3"/>
    <w:rsid w:val="00F84A15"/>
    <w:rsid w:val="00F84A27"/>
    <w:rsid w:val="00F84A42"/>
    <w:rsid w:val="00F84B4B"/>
    <w:rsid w:val="00F84B81"/>
    <w:rsid w:val="00F84C9B"/>
    <w:rsid w:val="00F84D21"/>
    <w:rsid w:val="00F84D3D"/>
    <w:rsid w:val="00F84D72"/>
    <w:rsid w:val="00F84DDD"/>
    <w:rsid w:val="00F84DE4"/>
    <w:rsid w:val="00F84DEB"/>
    <w:rsid w:val="00F84E62"/>
    <w:rsid w:val="00F84E6C"/>
    <w:rsid w:val="00F84F06"/>
    <w:rsid w:val="00F84F3B"/>
    <w:rsid w:val="00F84F59"/>
    <w:rsid w:val="00F84F69"/>
    <w:rsid w:val="00F84F74"/>
    <w:rsid w:val="00F85045"/>
    <w:rsid w:val="00F8508B"/>
    <w:rsid w:val="00F85195"/>
    <w:rsid w:val="00F851CD"/>
    <w:rsid w:val="00F851E7"/>
    <w:rsid w:val="00F8521D"/>
    <w:rsid w:val="00F85242"/>
    <w:rsid w:val="00F85266"/>
    <w:rsid w:val="00F852A6"/>
    <w:rsid w:val="00F85302"/>
    <w:rsid w:val="00F85375"/>
    <w:rsid w:val="00F853ED"/>
    <w:rsid w:val="00F85449"/>
    <w:rsid w:val="00F854DD"/>
    <w:rsid w:val="00F854E2"/>
    <w:rsid w:val="00F854ED"/>
    <w:rsid w:val="00F855A1"/>
    <w:rsid w:val="00F8561C"/>
    <w:rsid w:val="00F85632"/>
    <w:rsid w:val="00F85660"/>
    <w:rsid w:val="00F8568B"/>
    <w:rsid w:val="00F856E9"/>
    <w:rsid w:val="00F8574C"/>
    <w:rsid w:val="00F85807"/>
    <w:rsid w:val="00F85836"/>
    <w:rsid w:val="00F85893"/>
    <w:rsid w:val="00F85922"/>
    <w:rsid w:val="00F85953"/>
    <w:rsid w:val="00F85A55"/>
    <w:rsid w:val="00F85A58"/>
    <w:rsid w:val="00F85AE3"/>
    <w:rsid w:val="00F85B0A"/>
    <w:rsid w:val="00F85B55"/>
    <w:rsid w:val="00F85B57"/>
    <w:rsid w:val="00F85B99"/>
    <w:rsid w:val="00F85BF4"/>
    <w:rsid w:val="00F85BFC"/>
    <w:rsid w:val="00F85C00"/>
    <w:rsid w:val="00F85C1F"/>
    <w:rsid w:val="00F85CE2"/>
    <w:rsid w:val="00F85D29"/>
    <w:rsid w:val="00F85DAB"/>
    <w:rsid w:val="00F85ED5"/>
    <w:rsid w:val="00F85F93"/>
    <w:rsid w:val="00F8614B"/>
    <w:rsid w:val="00F86235"/>
    <w:rsid w:val="00F86236"/>
    <w:rsid w:val="00F8626C"/>
    <w:rsid w:val="00F86276"/>
    <w:rsid w:val="00F86286"/>
    <w:rsid w:val="00F8628E"/>
    <w:rsid w:val="00F8631A"/>
    <w:rsid w:val="00F86324"/>
    <w:rsid w:val="00F863BB"/>
    <w:rsid w:val="00F864CB"/>
    <w:rsid w:val="00F864D3"/>
    <w:rsid w:val="00F8651A"/>
    <w:rsid w:val="00F8653B"/>
    <w:rsid w:val="00F86550"/>
    <w:rsid w:val="00F865C7"/>
    <w:rsid w:val="00F86659"/>
    <w:rsid w:val="00F8666E"/>
    <w:rsid w:val="00F866B8"/>
    <w:rsid w:val="00F866D1"/>
    <w:rsid w:val="00F866D2"/>
    <w:rsid w:val="00F86817"/>
    <w:rsid w:val="00F86827"/>
    <w:rsid w:val="00F86959"/>
    <w:rsid w:val="00F869AC"/>
    <w:rsid w:val="00F869D4"/>
    <w:rsid w:val="00F86A3F"/>
    <w:rsid w:val="00F86A4E"/>
    <w:rsid w:val="00F86A75"/>
    <w:rsid w:val="00F86B81"/>
    <w:rsid w:val="00F86BE4"/>
    <w:rsid w:val="00F86C6C"/>
    <w:rsid w:val="00F86CD0"/>
    <w:rsid w:val="00F86D16"/>
    <w:rsid w:val="00F86D68"/>
    <w:rsid w:val="00F86E9E"/>
    <w:rsid w:val="00F86F28"/>
    <w:rsid w:val="00F86F52"/>
    <w:rsid w:val="00F86F78"/>
    <w:rsid w:val="00F870EE"/>
    <w:rsid w:val="00F87171"/>
    <w:rsid w:val="00F871CA"/>
    <w:rsid w:val="00F87254"/>
    <w:rsid w:val="00F87276"/>
    <w:rsid w:val="00F872A4"/>
    <w:rsid w:val="00F872C2"/>
    <w:rsid w:val="00F872D1"/>
    <w:rsid w:val="00F872E4"/>
    <w:rsid w:val="00F873EC"/>
    <w:rsid w:val="00F87477"/>
    <w:rsid w:val="00F874F3"/>
    <w:rsid w:val="00F875B8"/>
    <w:rsid w:val="00F875C1"/>
    <w:rsid w:val="00F875DF"/>
    <w:rsid w:val="00F8767F"/>
    <w:rsid w:val="00F8770F"/>
    <w:rsid w:val="00F87780"/>
    <w:rsid w:val="00F87828"/>
    <w:rsid w:val="00F87831"/>
    <w:rsid w:val="00F87837"/>
    <w:rsid w:val="00F878DB"/>
    <w:rsid w:val="00F87933"/>
    <w:rsid w:val="00F87993"/>
    <w:rsid w:val="00F87A68"/>
    <w:rsid w:val="00F87A92"/>
    <w:rsid w:val="00F87B0E"/>
    <w:rsid w:val="00F87D58"/>
    <w:rsid w:val="00F87DCB"/>
    <w:rsid w:val="00F87F1F"/>
    <w:rsid w:val="00F87F92"/>
    <w:rsid w:val="00F87F97"/>
    <w:rsid w:val="00F900BD"/>
    <w:rsid w:val="00F90154"/>
    <w:rsid w:val="00F90236"/>
    <w:rsid w:val="00F902EB"/>
    <w:rsid w:val="00F90357"/>
    <w:rsid w:val="00F9037D"/>
    <w:rsid w:val="00F90384"/>
    <w:rsid w:val="00F9039D"/>
    <w:rsid w:val="00F9041F"/>
    <w:rsid w:val="00F90484"/>
    <w:rsid w:val="00F90485"/>
    <w:rsid w:val="00F90549"/>
    <w:rsid w:val="00F90570"/>
    <w:rsid w:val="00F90592"/>
    <w:rsid w:val="00F905DB"/>
    <w:rsid w:val="00F90649"/>
    <w:rsid w:val="00F90690"/>
    <w:rsid w:val="00F906FF"/>
    <w:rsid w:val="00F90759"/>
    <w:rsid w:val="00F907BF"/>
    <w:rsid w:val="00F90809"/>
    <w:rsid w:val="00F908A5"/>
    <w:rsid w:val="00F9094B"/>
    <w:rsid w:val="00F90AEB"/>
    <w:rsid w:val="00F90AFB"/>
    <w:rsid w:val="00F90BDD"/>
    <w:rsid w:val="00F90C41"/>
    <w:rsid w:val="00F90CEF"/>
    <w:rsid w:val="00F90D3E"/>
    <w:rsid w:val="00F90DD4"/>
    <w:rsid w:val="00F90DDE"/>
    <w:rsid w:val="00F90DE2"/>
    <w:rsid w:val="00F90DE9"/>
    <w:rsid w:val="00F90DEF"/>
    <w:rsid w:val="00F90EC9"/>
    <w:rsid w:val="00F90F49"/>
    <w:rsid w:val="00F90F66"/>
    <w:rsid w:val="00F91010"/>
    <w:rsid w:val="00F91060"/>
    <w:rsid w:val="00F9108C"/>
    <w:rsid w:val="00F910E6"/>
    <w:rsid w:val="00F9117C"/>
    <w:rsid w:val="00F911C8"/>
    <w:rsid w:val="00F91220"/>
    <w:rsid w:val="00F91248"/>
    <w:rsid w:val="00F9127B"/>
    <w:rsid w:val="00F912E2"/>
    <w:rsid w:val="00F91314"/>
    <w:rsid w:val="00F91337"/>
    <w:rsid w:val="00F91342"/>
    <w:rsid w:val="00F91346"/>
    <w:rsid w:val="00F913C1"/>
    <w:rsid w:val="00F913DD"/>
    <w:rsid w:val="00F913F2"/>
    <w:rsid w:val="00F91435"/>
    <w:rsid w:val="00F91484"/>
    <w:rsid w:val="00F9152B"/>
    <w:rsid w:val="00F91687"/>
    <w:rsid w:val="00F91690"/>
    <w:rsid w:val="00F916E6"/>
    <w:rsid w:val="00F916F6"/>
    <w:rsid w:val="00F916F8"/>
    <w:rsid w:val="00F9178C"/>
    <w:rsid w:val="00F917B6"/>
    <w:rsid w:val="00F917ED"/>
    <w:rsid w:val="00F91924"/>
    <w:rsid w:val="00F91962"/>
    <w:rsid w:val="00F91A7F"/>
    <w:rsid w:val="00F91AD9"/>
    <w:rsid w:val="00F91ADD"/>
    <w:rsid w:val="00F91B44"/>
    <w:rsid w:val="00F91DA6"/>
    <w:rsid w:val="00F91DB6"/>
    <w:rsid w:val="00F91DFF"/>
    <w:rsid w:val="00F91E20"/>
    <w:rsid w:val="00F91EAB"/>
    <w:rsid w:val="00F91F22"/>
    <w:rsid w:val="00F91F47"/>
    <w:rsid w:val="00F91FB6"/>
    <w:rsid w:val="00F91FE0"/>
    <w:rsid w:val="00F91FF7"/>
    <w:rsid w:val="00F9201A"/>
    <w:rsid w:val="00F92092"/>
    <w:rsid w:val="00F920FA"/>
    <w:rsid w:val="00F92265"/>
    <w:rsid w:val="00F922AA"/>
    <w:rsid w:val="00F922C0"/>
    <w:rsid w:val="00F922CB"/>
    <w:rsid w:val="00F92360"/>
    <w:rsid w:val="00F923AB"/>
    <w:rsid w:val="00F923FB"/>
    <w:rsid w:val="00F92443"/>
    <w:rsid w:val="00F92455"/>
    <w:rsid w:val="00F92488"/>
    <w:rsid w:val="00F924BC"/>
    <w:rsid w:val="00F92525"/>
    <w:rsid w:val="00F92537"/>
    <w:rsid w:val="00F92555"/>
    <w:rsid w:val="00F9255D"/>
    <w:rsid w:val="00F92569"/>
    <w:rsid w:val="00F925B1"/>
    <w:rsid w:val="00F925DB"/>
    <w:rsid w:val="00F925E4"/>
    <w:rsid w:val="00F925FA"/>
    <w:rsid w:val="00F92612"/>
    <w:rsid w:val="00F92653"/>
    <w:rsid w:val="00F926BD"/>
    <w:rsid w:val="00F926C7"/>
    <w:rsid w:val="00F926EC"/>
    <w:rsid w:val="00F92701"/>
    <w:rsid w:val="00F92736"/>
    <w:rsid w:val="00F92787"/>
    <w:rsid w:val="00F927F0"/>
    <w:rsid w:val="00F92804"/>
    <w:rsid w:val="00F928AB"/>
    <w:rsid w:val="00F928EC"/>
    <w:rsid w:val="00F92953"/>
    <w:rsid w:val="00F929AB"/>
    <w:rsid w:val="00F929EE"/>
    <w:rsid w:val="00F92A13"/>
    <w:rsid w:val="00F92A16"/>
    <w:rsid w:val="00F92A32"/>
    <w:rsid w:val="00F92AE9"/>
    <w:rsid w:val="00F92B1F"/>
    <w:rsid w:val="00F92B2C"/>
    <w:rsid w:val="00F92B7F"/>
    <w:rsid w:val="00F92BC7"/>
    <w:rsid w:val="00F92BCB"/>
    <w:rsid w:val="00F92CA3"/>
    <w:rsid w:val="00F92D99"/>
    <w:rsid w:val="00F92E0E"/>
    <w:rsid w:val="00F92EB1"/>
    <w:rsid w:val="00F92F01"/>
    <w:rsid w:val="00F92FCA"/>
    <w:rsid w:val="00F93012"/>
    <w:rsid w:val="00F93045"/>
    <w:rsid w:val="00F93061"/>
    <w:rsid w:val="00F9308C"/>
    <w:rsid w:val="00F93097"/>
    <w:rsid w:val="00F93155"/>
    <w:rsid w:val="00F9317F"/>
    <w:rsid w:val="00F931DB"/>
    <w:rsid w:val="00F93229"/>
    <w:rsid w:val="00F9327D"/>
    <w:rsid w:val="00F932B1"/>
    <w:rsid w:val="00F9336C"/>
    <w:rsid w:val="00F93371"/>
    <w:rsid w:val="00F933C5"/>
    <w:rsid w:val="00F933F7"/>
    <w:rsid w:val="00F934F5"/>
    <w:rsid w:val="00F93553"/>
    <w:rsid w:val="00F93564"/>
    <w:rsid w:val="00F93572"/>
    <w:rsid w:val="00F93584"/>
    <w:rsid w:val="00F93593"/>
    <w:rsid w:val="00F935CC"/>
    <w:rsid w:val="00F935F4"/>
    <w:rsid w:val="00F93618"/>
    <w:rsid w:val="00F93624"/>
    <w:rsid w:val="00F9366D"/>
    <w:rsid w:val="00F93683"/>
    <w:rsid w:val="00F93707"/>
    <w:rsid w:val="00F93786"/>
    <w:rsid w:val="00F93798"/>
    <w:rsid w:val="00F93A6E"/>
    <w:rsid w:val="00F93ACD"/>
    <w:rsid w:val="00F93AFA"/>
    <w:rsid w:val="00F93B93"/>
    <w:rsid w:val="00F93D12"/>
    <w:rsid w:val="00F93D1C"/>
    <w:rsid w:val="00F93DB8"/>
    <w:rsid w:val="00F93DBA"/>
    <w:rsid w:val="00F93E07"/>
    <w:rsid w:val="00F93F0A"/>
    <w:rsid w:val="00F93F3B"/>
    <w:rsid w:val="00F93FD6"/>
    <w:rsid w:val="00F94082"/>
    <w:rsid w:val="00F94116"/>
    <w:rsid w:val="00F941D3"/>
    <w:rsid w:val="00F9420B"/>
    <w:rsid w:val="00F9423F"/>
    <w:rsid w:val="00F9428B"/>
    <w:rsid w:val="00F942BC"/>
    <w:rsid w:val="00F94359"/>
    <w:rsid w:val="00F94374"/>
    <w:rsid w:val="00F943A6"/>
    <w:rsid w:val="00F94412"/>
    <w:rsid w:val="00F94425"/>
    <w:rsid w:val="00F94460"/>
    <w:rsid w:val="00F9447D"/>
    <w:rsid w:val="00F94497"/>
    <w:rsid w:val="00F94588"/>
    <w:rsid w:val="00F94650"/>
    <w:rsid w:val="00F946E6"/>
    <w:rsid w:val="00F946FE"/>
    <w:rsid w:val="00F94709"/>
    <w:rsid w:val="00F94727"/>
    <w:rsid w:val="00F94731"/>
    <w:rsid w:val="00F94764"/>
    <w:rsid w:val="00F947A6"/>
    <w:rsid w:val="00F947F9"/>
    <w:rsid w:val="00F9483C"/>
    <w:rsid w:val="00F9487E"/>
    <w:rsid w:val="00F9494A"/>
    <w:rsid w:val="00F94A13"/>
    <w:rsid w:val="00F94C4A"/>
    <w:rsid w:val="00F94C98"/>
    <w:rsid w:val="00F94CB6"/>
    <w:rsid w:val="00F94CC8"/>
    <w:rsid w:val="00F94D37"/>
    <w:rsid w:val="00F94D59"/>
    <w:rsid w:val="00F94D79"/>
    <w:rsid w:val="00F94E37"/>
    <w:rsid w:val="00F94E6D"/>
    <w:rsid w:val="00F94EC4"/>
    <w:rsid w:val="00F94FBA"/>
    <w:rsid w:val="00F94FD2"/>
    <w:rsid w:val="00F94FE7"/>
    <w:rsid w:val="00F95065"/>
    <w:rsid w:val="00F9509A"/>
    <w:rsid w:val="00F950F6"/>
    <w:rsid w:val="00F95183"/>
    <w:rsid w:val="00F95346"/>
    <w:rsid w:val="00F9535D"/>
    <w:rsid w:val="00F95502"/>
    <w:rsid w:val="00F95505"/>
    <w:rsid w:val="00F9550F"/>
    <w:rsid w:val="00F955E2"/>
    <w:rsid w:val="00F955E3"/>
    <w:rsid w:val="00F95618"/>
    <w:rsid w:val="00F956A7"/>
    <w:rsid w:val="00F956D2"/>
    <w:rsid w:val="00F95703"/>
    <w:rsid w:val="00F9573F"/>
    <w:rsid w:val="00F95756"/>
    <w:rsid w:val="00F95758"/>
    <w:rsid w:val="00F957A3"/>
    <w:rsid w:val="00F957B0"/>
    <w:rsid w:val="00F957E6"/>
    <w:rsid w:val="00F958B0"/>
    <w:rsid w:val="00F958E9"/>
    <w:rsid w:val="00F95925"/>
    <w:rsid w:val="00F959A1"/>
    <w:rsid w:val="00F959C8"/>
    <w:rsid w:val="00F959E5"/>
    <w:rsid w:val="00F95AD8"/>
    <w:rsid w:val="00F95ADE"/>
    <w:rsid w:val="00F95AFD"/>
    <w:rsid w:val="00F95B26"/>
    <w:rsid w:val="00F95B46"/>
    <w:rsid w:val="00F95BCB"/>
    <w:rsid w:val="00F95C0B"/>
    <w:rsid w:val="00F95C19"/>
    <w:rsid w:val="00F95C45"/>
    <w:rsid w:val="00F95C7E"/>
    <w:rsid w:val="00F95D02"/>
    <w:rsid w:val="00F95D73"/>
    <w:rsid w:val="00F95E35"/>
    <w:rsid w:val="00F95E3A"/>
    <w:rsid w:val="00F95E44"/>
    <w:rsid w:val="00F95E5B"/>
    <w:rsid w:val="00F95EB3"/>
    <w:rsid w:val="00F95ED2"/>
    <w:rsid w:val="00F95EF9"/>
    <w:rsid w:val="00F95F11"/>
    <w:rsid w:val="00F95F92"/>
    <w:rsid w:val="00F95FB1"/>
    <w:rsid w:val="00F95FC6"/>
    <w:rsid w:val="00F95FF8"/>
    <w:rsid w:val="00F960CC"/>
    <w:rsid w:val="00F96162"/>
    <w:rsid w:val="00F96200"/>
    <w:rsid w:val="00F9620B"/>
    <w:rsid w:val="00F96349"/>
    <w:rsid w:val="00F963AA"/>
    <w:rsid w:val="00F963DF"/>
    <w:rsid w:val="00F963E5"/>
    <w:rsid w:val="00F963FF"/>
    <w:rsid w:val="00F96481"/>
    <w:rsid w:val="00F96574"/>
    <w:rsid w:val="00F965AA"/>
    <w:rsid w:val="00F965CF"/>
    <w:rsid w:val="00F965D3"/>
    <w:rsid w:val="00F965FB"/>
    <w:rsid w:val="00F96622"/>
    <w:rsid w:val="00F9662D"/>
    <w:rsid w:val="00F96655"/>
    <w:rsid w:val="00F966BB"/>
    <w:rsid w:val="00F966C1"/>
    <w:rsid w:val="00F967D6"/>
    <w:rsid w:val="00F9686D"/>
    <w:rsid w:val="00F9694D"/>
    <w:rsid w:val="00F969BE"/>
    <w:rsid w:val="00F969ED"/>
    <w:rsid w:val="00F96A42"/>
    <w:rsid w:val="00F96B42"/>
    <w:rsid w:val="00F96C28"/>
    <w:rsid w:val="00F96C41"/>
    <w:rsid w:val="00F96C6B"/>
    <w:rsid w:val="00F96C76"/>
    <w:rsid w:val="00F96D5B"/>
    <w:rsid w:val="00F96DB7"/>
    <w:rsid w:val="00F96DC2"/>
    <w:rsid w:val="00F96E6D"/>
    <w:rsid w:val="00F96F18"/>
    <w:rsid w:val="00F96F43"/>
    <w:rsid w:val="00F9702A"/>
    <w:rsid w:val="00F970BD"/>
    <w:rsid w:val="00F97181"/>
    <w:rsid w:val="00F971A2"/>
    <w:rsid w:val="00F971EA"/>
    <w:rsid w:val="00F9725B"/>
    <w:rsid w:val="00F97362"/>
    <w:rsid w:val="00F97422"/>
    <w:rsid w:val="00F9743B"/>
    <w:rsid w:val="00F97445"/>
    <w:rsid w:val="00F97468"/>
    <w:rsid w:val="00F97575"/>
    <w:rsid w:val="00F9759A"/>
    <w:rsid w:val="00F975EA"/>
    <w:rsid w:val="00F97633"/>
    <w:rsid w:val="00F97655"/>
    <w:rsid w:val="00F976A6"/>
    <w:rsid w:val="00F976C0"/>
    <w:rsid w:val="00F97740"/>
    <w:rsid w:val="00F9775A"/>
    <w:rsid w:val="00F978A6"/>
    <w:rsid w:val="00F97913"/>
    <w:rsid w:val="00F97934"/>
    <w:rsid w:val="00F9793A"/>
    <w:rsid w:val="00F97A5B"/>
    <w:rsid w:val="00F97ADD"/>
    <w:rsid w:val="00F97ADF"/>
    <w:rsid w:val="00F97B2E"/>
    <w:rsid w:val="00F97D0C"/>
    <w:rsid w:val="00F97D1B"/>
    <w:rsid w:val="00F97D89"/>
    <w:rsid w:val="00F97E50"/>
    <w:rsid w:val="00F97F2D"/>
    <w:rsid w:val="00F97F62"/>
    <w:rsid w:val="00F97FAB"/>
    <w:rsid w:val="00F97FD2"/>
    <w:rsid w:val="00FA000F"/>
    <w:rsid w:val="00FA004C"/>
    <w:rsid w:val="00FA01A5"/>
    <w:rsid w:val="00FA02C0"/>
    <w:rsid w:val="00FA02D2"/>
    <w:rsid w:val="00FA037A"/>
    <w:rsid w:val="00FA03AE"/>
    <w:rsid w:val="00FA03C6"/>
    <w:rsid w:val="00FA03C9"/>
    <w:rsid w:val="00FA03D6"/>
    <w:rsid w:val="00FA0468"/>
    <w:rsid w:val="00FA0471"/>
    <w:rsid w:val="00FA0507"/>
    <w:rsid w:val="00FA0635"/>
    <w:rsid w:val="00FA0721"/>
    <w:rsid w:val="00FA072D"/>
    <w:rsid w:val="00FA076B"/>
    <w:rsid w:val="00FA0817"/>
    <w:rsid w:val="00FA083D"/>
    <w:rsid w:val="00FA0865"/>
    <w:rsid w:val="00FA08D1"/>
    <w:rsid w:val="00FA09C0"/>
    <w:rsid w:val="00FA0A0B"/>
    <w:rsid w:val="00FA0A8A"/>
    <w:rsid w:val="00FA0A95"/>
    <w:rsid w:val="00FA0AAF"/>
    <w:rsid w:val="00FA0ACC"/>
    <w:rsid w:val="00FA0AE1"/>
    <w:rsid w:val="00FA0B11"/>
    <w:rsid w:val="00FA0BB0"/>
    <w:rsid w:val="00FA0C2B"/>
    <w:rsid w:val="00FA0C36"/>
    <w:rsid w:val="00FA0C91"/>
    <w:rsid w:val="00FA0C99"/>
    <w:rsid w:val="00FA0D4D"/>
    <w:rsid w:val="00FA0DC2"/>
    <w:rsid w:val="00FA0DD0"/>
    <w:rsid w:val="00FA0EA2"/>
    <w:rsid w:val="00FA0F52"/>
    <w:rsid w:val="00FA0FDE"/>
    <w:rsid w:val="00FA1047"/>
    <w:rsid w:val="00FA10B0"/>
    <w:rsid w:val="00FA10E2"/>
    <w:rsid w:val="00FA110C"/>
    <w:rsid w:val="00FA1298"/>
    <w:rsid w:val="00FA12A8"/>
    <w:rsid w:val="00FA1323"/>
    <w:rsid w:val="00FA13A7"/>
    <w:rsid w:val="00FA13AB"/>
    <w:rsid w:val="00FA1414"/>
    <w:rsid w:val="00FA141C"/>
    <w:rsid w:val="00FA1429"/>
    <w:rsid w:val="00FA146E"/>
    <w:rsid w:val="00FA148B"/>
    <w:rsid w:val="00FA14B6"/>
    <w:rsid w:val="00FA15A7"/>
    <w:rsid w:val="00FA15B6"/>
    <w:rsid w:val="00FA15FD"/>
    <w:rsid w:val="00FA1685"/>
    <w:rsid w:val="00FA169D"/>
    <w:rsid w:val="00FA16E8"/>
    <w:rsid w:val="00FA1728"/>
    <w:rsid w:val="00FA1741"/>
    <w:rsid w:val="00FA1844"/>
    <w:rsid w:val="00FA1850"/>
    <w:rsid w:val="00FA1868"/>
    <w:rsid w:val="00FA18B9"/>
    <w:rsid w:val="00FA18E9"/>
    <w:rsid w:val="00FA1948"/>
    <w:rsid w:val="00FA19B1"/>
    <w:rsid w:val="00FA19B5"/>
    <w:rsid w:val="00FA19B6"/>
    <w:rsid w:val="00FA19FA"/>
    <w:rsid w:val="00FA19FF"/>
    <w:rsid w:val="00FA1A52"/>
    <w:rsid w:val="00FA1A7B"/>
    <w:rsid w:val="00FA1B22"/>
    <w:rsid w:val="00FA1B5B"/>
    <w:rsid w:val="00FA1B6F"/>
    <w:rsid w:val="00FA1B8F"/>
    <w:rsid w:val="00FA1B9B"/>
    <w:rsid w:val="00FA1C4D"/>
    <w:rsid w:val="00FA1C63"/>
    <w:rsid w:val="00FA1CEF"/>
    <w:rsid w:val="00FA1E5D"/>
    <w:rsid w:val="00FA1E6A"/>
    <w:rsid w:val="00FA1FC8"/>
    <w:rsid w:val="00FA2061"/>
    <w:rsid w:val="00FA2158"/>
    <w:rsid w:val="00FA21D7"/>
    <w:rsid w:val="00FA21F5"/>
    <w:rsid w:val="00FA21FA"/>
    <w:rsid w:val="00FA2338"/>
    <w:rsid w:val="00FA2359"/>
    <w:rsid w:val="00FA23BC"/>
    <w:rsid w:val="00FA2440"/>
    <w:rsid w:val="00FA2473"/>
    <w:rsid w:val="00FA24A2"/>
    <w:rsid w:val="00FA24CF"/>
    <w:rsid w:val="00FA2503"/>
    <w:rsid w:val="00FA2664"/>
    <w:rsid w:val="00FA269D"/>
    <w:rsid w:val="00FA26B0"/>
    <w:rsid w:val="00FA26D5"/>
    <w:rsid w:val="00FA26F1"/>
    <w:rsid w:val="00FA26F9"/>
    <w:rsid w:val="00FA276F"/>
    <w:rsid w:val="00FA2777"/>
    <w:rsid w:val="00FA2793"/>
    <w:rsid w:val="00FA27AD"/>
    <w:rsid w:val="00FA27C5"/>
    <w:rsid w:val="00FA2804"/>
    <w:rsid w:val="00FA2837"/>
    <w:rsid w:val="00FA28B6"/>
    <w:rsid w:val="00FA28F1"/>
    <w:rsid w:val="00FA2909"/>
    <w:rsid w:val="00FA2910"/>
    <w:rsid w:val="00FA2989"/>
    <w:rsid w:val="00FA2996"/>
    <w:rsid w:val="00FA2A46"/>
    <w:rsid w:val="00FA2A63"/>
    <w:rsid w:val="00FA2AE0"/>
    <w:rsid w:val="00FA2B00"/>
    <w:rsid w:val="00FA2B48"/>
    <w:rsid w:val="00FA2BA7"/>
    <w:rsid w:val="00FA2BD6"/>
    <w:rsid w:val="00FA2BE6"/>
    <w:rsid w:val="00FA2CB3"/>
    <w:rsid w:val="00FA2CCE"/>
    <w:rsid w:val="00FA2CF9"/>
    <w:rsid w:val="00FA2D06"/>
    <w:rsid w:val="00FA2D6C"/>
    <w:rsid w:val="00FA2F06"/>
    <w:rsid w:val="00FA2F60"/>
    <w:rsid w:val="00FA2F6E"/>
    <w:rsid w:val="00FA2F98"/>
    <w:rsid w:val="00FA2FA5"/>
    <w:rsid w:val="00FA2FCA"/>
    <w:rsid w:val="00FA3023"/>
    <w:rsid w:val="00FA303A"/>
    <w:rsid w:val="00FA303B"/>
    <w:rsid w:val="00FA3078"/>
    <w:rsid w:val="00FA3093"/>
    <w:rsid w:val="00FA30D5"/>
    <w:rsid w:val="00FA3143"/>
    <w:rsid w:val="00FA3146"/>
    <w:rsid w:val="00FA3329"/>
    <w:rsid w:val="00FA3378"/>
    <w:rsid w:val="00FA33B4"/>
    <w:rsid w:val="00FA34BB"/>
    <w:rsid w:val="00FA352B"/>
    <w:rsid w:val="00FA3585"/>
    <w:rsid w:val="00FA35D5"/>
    <w:rsid w:val="00FA360B"/>
    <w:rsid w:val="00FA3662"/>
    <w:rsid w:val="00FA366B"/>
    <w:rsid w:val="00FA3696"/>
    <w:rsid w:val="00FA36A1"/>
    <w:rsid w:val="00FA3872"/>
    <w:rsid w:val="00FA3A0A"/>
    <w:rsid w:val="00FA3A58"/>
    <w:rsid w:val="00FA3B09"/>
    <w:rsid w:val="00FA3B16"/>
    <w:rsid w:val="00FA3BC8"/>
    <w:rsid w:val="00FA3BF6"/>
    <w:rsid w:val="00FA3C98"/>
    <w:rsid w:val="00FA3CCF"/>
    <w:rsid w:val="00FA3CE7"/>
    <w:rsid w:val="00FA3D2D"/>
    <w:rsid w:val="00FA3D7B"/>
    <w:rsid w:val="00FA3F2C"/>
    <w:rsid w:val="00FA3F49"/>
    <w:rsid w:val="00FA3F4B"/>
    <w:rsid w:val="00FA3F6D"/>
    <w:rsid w:val="00FA4080"/>
    <w:rsid w:val="00FA4224"/>
    <w:rsid w:val="00FA4290"/>
    <w:rsid w:val="00FA4303"/>
    <w:rsid w:val="00FA4308"/>
    <w:rsid w:val="00FA4338"/>
    <w:rsid w:val="00FA445A"/>
    <w:rsid w:val="00FA44A6"/>
    <w:rsid w:val="00FA44B8"/>
    <w:rsid w:val="00FA45D9"/>
    <w:rsid w:val="00FA4642"/>
    <w:rsid w:val="00FA4649"/>
    <w:rsid w:val="00FA4772"/>
    <w:rsid w:val="00FA48FB"/>
    <w:rsid w:val="00FA4955"/>
    <w:rsid w:val="00FA49F8"/>
    <w:rsid w:val="00FA4A77"/>
    <w:rsid w:val="00FA4ABF"/>
    <w:rsid w:val="00FA4AC9"/>
    <w:rsid w:val="00FA4B57"/>
    <w:rsid w:val="00FA4BAA"/>
    <w:rsid w:val="00FA4BC6"/>
    <w:rsid w:val="00FA4C40"/>
    <w:rsid w:val="00FA4C98"/>
    <w:rsid w:val="00FA4CD0"/>
    <w:rsid w:val="00FA4EAC"/>
    <w:rsid w:val="00FA4F8A"/>
    <w:rsid w:val="00FA509F"/>
    <w:rsid w:val="00FA5123"/>
    <w:rsid w:val="00FA5155"/>
    <w:rsid w:val="00FA51C9"/>
    <w:rsid w:val="00FA51D6"/>
    <w:rsid w:val="00FA51DB"/>
    <w:rsid w:val="00FA521E"/>
    <w:rsid w:val="00FA52AB"/>
    <w:rsid w:val="00FA52E2"/>
    <w:rsid w:val="00FA5342"/>
    <w:rsid w:val="00FA5392"/>
    <w:rsid w:val="00FA54A5"/>
    <w:rsid w:val="00FA54C5"/>
    <w:rsid w:val="00FA54E5"/>
    <w:rsid w:val="00FA54F3"/>
    <w:rsid w:val="00FA5637"/>
    <w:rsid w:val="00FA569E"/>
    <w:rsid w:val="00FA56C9"/>
    <w:rsid w:val="00FA5737"/>
    <w:rsid w:val="00FA5740"/>
    <w:rsid w:val="00FA575C"/>
    <w:rsid w:val="00FA57F5"/>
    <w:rsid w:val="00FA5905"/>
    <w:rsid w:val="00FA5935"/>
    <w:rsid w:val="00FA59C6"/>
    <w:rsid w:val="00FA59D0"/>
    <w:rsid w:val="00FA59E9"/>
    <w:rsid w:val="00FA59F0"/>
    <w:rsid w:val="00FA5A27"/>
    <w:rsid w:val="00FA5A41"/>
    <w:rsid w:val="00FA5A49"/>
    <w:rsid w:val="00FA5A76"/>
    <w:rsid w:val="00FA5A83"/>
    <w:rsid w:val="00FA5B40"/>
    <w:rsid w:val="00FA5B71"/>
    <w:rsid w:val="00FA5B98"/>
    <w:rsid w:val="00FA5BA5"/>
    <w:rsid w:val="00FA5C05"/>
    <w:rsid w:val="00FA5C41"/>
    <w:rsid w:val="00FA5C88"/>
    <w:rsid w:val="00FA5C91"/>
    <w:rsid w:val="00FA5D60"/>
    <w:rsid w:val="00FA5F12"/>
    <w:rsid w:val="00FA5F18"/>
    <w:rsid w:val="00FA5F28"/>
    <w:rsid w:val="00FA5F3E"/>
    <w:rsid w:val="00FA5F86"/>
    <w:rsid w:val="00FA5F98"/>
    <w:rsid w:val="00FA607F"/>
    <w:rsid w:val="00FA608D"/>
    <w:rsid w:val="00FA60D1"/>
    <w:rsid w:val="00FA60F1"/>
    <w:rsid w:val="00FA60FF"/>
    <w:rsid w:val="00FA6105"/>
    <w:rsid w:val="00FA610E"/>
    <w:rsid w:val="00FA6246"/>
    <w:rsid w:val="00FA629B"/>
    <w:rsid w:val="00FA62E1"/>
    <w:rsid w:val="00FA63C7"/>
    <w:rsid w:val="00FA63FD"/>
    <w:rsid w:val="00FA65F6"/>
    <w:rsid w:val="00FA6687"/>
    <w:rsid w:val="00FA66A3"/>
    <w:rsid w:val="00FA66AD"/>
    <w:rsid w:val="00FA66CF"/>
    <w:rsid w:val="00FA66E1"/>
    <w:rsid w:val="00FA67C7"/>
    <w:rsid w:val="00FA6825"/>
    <w:rsid w:val="00FA6848"/>
    <w:rsid w:val="00FA6916"/>
    <w:rsid w:val="00FA6957"/>
    <w:rsid w:val="00FA69A4"/>
    <w:rsid w:val="00FA69B1"/>
    <w:rsid w:val="00FA6A20"/>
    <w:rsid w:val="00FA6A49"/>
    <w:rsid w:val="00FA6A4C"/>
    <w:rsid w:val="00FA6AA9"/>
    <w:rsid w:val="00FA6AC9"/>
    <w:rsid w:val="00FA6AD0"/>
    <w:rsid w:val="00FA6B29"/>
    <w:rsid w:val="00FA6B9F"/>
    <w:rsid w:val="00FA6BC1"/>
    <w:rsid w:val="00FA6C4A"/>
    <w:rsid w:val="00FA6C64"/>
    <w:rsid w:val="00FA6D4B"/>
    <w:rsid w:val="00FA6DD4"/>
    <w:rsid w:val="00FA6E1B"/>
    <w:rsid w:val="00FA6E51"/>
    <w:rsid w:val="00FA6EF6"/>
    <w:rsid w:val="00FA6FA3"/>
    <w:rsid w:val="00FA6FA7"/>
    <w:rsid w:val="00FA6FED"/>
    <w:rsid w:val="00FA7126"/>
    <w:rsid w:val="00FA7172"/>
    <w:rsid w:val="00FA71B6"/>
    <w:rsid w:val="00FA71C1"/>
    <w:rsid w:val="00FA71EC"/>
    <w:rsid w:val="00FA72FE"/>
    <w:rsid w:val="00FA736B"/>
    <w:rsid w:val="00FA73B0"/>
    <w:rsid w:val="00FA74BC"/>
    <w:rsid w:val="00FA761E"/>
    <w:rsid w:val="00FA7645"/>
    <w:rsid w:val="00FA76C5"/>
    <w:rsid w:val="00FA76C6"/>
    <w:rsid w:val="00FA7717"/>
    <w:rsid w:val="00FA774F"/>
    <w:rsid w:val="00FA776C"/>
    <w:rsid w:val="00FA78FD"/>
    <w:rsid w:val="00FA7918"/>
    <w:rsid w:val="00FA7926"/>
    <w:rsid w:val="00FA7927"/>
    <w:rsid w:val="00FA792D"/>
    <w:rsid w:val="00FA7989"/>
    <w:rsid w:val="00FA7A45"/>
    <w:rsid w:val="00FA7A5F"/>
    <w:rsid w:val="00FA7A6F"/>
    <w:rsid w:val="00FA7AA3"/>
    <w:rsid w:val="00FA7ABE"/>
    <w:rsid w:val="00FA7ADC"/>
    <w:rsid w:val="00FA7B4F"/>
    <w:rsid w:val="00FA7D2F"/>
    <w:rsid w:val="00FA7DBC"/>
    <w:rsid w:val="00FA7E72"/>
    <w:rsid w:val="00FA7ECA"/>
    <w:rsid w:val="00FA7F1F"/>
    <w:rsid w:val="00FA7F9E"/>
    <w:rsid w:val="00FB0135"/>
    <w:rsid w:val="00FB014F"/>
    <w:rsid w:val="00FB0161"/>
    <w:rsid w:val="00FB01C6"/>
    <w:rsid w:val="00FB01CF"/>
    <w:rsid w:val="00FB01D1"/>
    <w:rsid w:val="00FB0341"/>
    <w:rsid w:val="00FB03BA"/>
    <w:rsid w:val="00FB0434"/>
    <w:rsid w:val="00FB04B2"/>
    <w:rsid w:val="00FB04F5"/>
    <w:rsid w:val="00FB0523"/>
    <w:rsid w:val="00FB056C"/>
    <w:rsid w:val="00FB0586"/>
    <w:rsid w:val="00FB05C7"/>
    <w:rsid w:val="00FB05CF"/>
    <w:rsid w:val="00FB0625"/>
    <w:rsid w:val="00FB063C"/>
    <w:rsid w:val="00FB06E6"/>
    <w:rsid w:val="00FB06FE"/>
    <w:rsid w:val="00FB07E6"/>
    <w:rsid w:val="00FB080F"/>
    <w:rsid w:val="00FB0889"/>
    <w:rsid w:val="00FB0969"/>
    <w:rsid w:val="00FB0A66"/>
    <w:rsid w:val="00FB0BE8"/>
    <w:rsid w:val="00FB0C10"/>
    <w:rsid w:val="00FB0C73"/>
    <w:rsid w:val="00FB0C9E"/>
    <w:rsid w:val="00FB0D1E"/>
    <w:rsid w:val="00FB0E13"/>
    <w:rsid w:val="00FB0E9A"/>
    <w:rsid w:val="00FB0EDB"/>
    <w:rsid w:val="00FB0EE0"/>
    <w:rsid w:val="00FB0FBE"/>
    <w:rsid w:val="00FB103E"/>
    <w:rsid w:val="00FB1046"/>
    <w:rsid w:val="00FB10BC"/>
    <w:rsid w:val="00FB115A"/>
    <w:rsid w:val="00FB117A"/>
    <w:rsid w:val="00FB119A"/>
    <w:rsid w:val="00FB11E9"/>
    <w:rsid w:val="00FB11F5"/>
    <w:rsid w:val="00FB121A"/>
    <w:rsid w:val="00FB1227"/>
    <w:rsid w:val="00FB1237"/>
    <w:rsid w:val="00FB123B"/>
    <w:rsid w:val="00FB1298"/>
    <w:rsid w:val="00FB130A"/>
    <w:rsid w:val="00FB133F"/>
    <w:rsid w:val="00FB139F"/>
    <w:rsid w:val="00FB13EA"/>
    <w:rsid w:val="00FB1407"/>
    <w:rsid w:val="00FB14AF"/>
    <w:rsid w:val="00FB14F2"/>
    <w:rsid w:val="00FB1513"/>
    <w:rsid w:val="00FB1635"/>
    <w:rsid w:val="00FB1680"/>
    <w:rsid w:val="00FB16FD"/>
    <w:rsid w:val="00FB1777"/>
    <w:rsid w:val="00FB1779"/>
    <w:rsid w:val="00FB1781"/>
    <w:rsid w:val="00FB18C1"/>
    <w:rsid w:val="00FB18C7"/>
    <w:rsid w:val="00FB18F3"/>
    <w:rsid w:val="00FB18FB"/>
    <w:rsid w:val="00FB1960"/>
    <w:rsid w:val="00FB1977"/>
    <w:rsid w:val="00FB19CE"/>
    <w:rsid w:val="00FB19F0"/>
    <w:rsid w:val="00FB1A30"/>
    <w:rsid w:val="00FB1A75"/>
    <w:rsid w:val="00FB1ABA"/>
    <w:rsid w:val="00FB1AFF"/>
    <w:rsid w:val="00FB1B4B"/>
    <w:rsid w:val="00FB1B7A"/>
    <w:rsid w:val="00FB1BBC"/>
    <w:rsid w:val="00FB1BCB"/>
    <w:rsid w:val="00FB1C3C"/>
    <w:rsid w:val="00FB1D07"/>
    <w:rsid w:val="00FB1D19"/>
    <w:rsid w:val="00FB1D8B"/>
    <w:rsid w:val="00FB1E09"/>
    <w:rsid w:val="00FB1E1B"/>
    <w:rsid w:val="00FB1E26"/>
    <w:rsid w:val="00FB1E35"/>
    <w:rsid w:val="00FB1EFA"/>
    <w:rsid w:val="00FB2053"/>
    <w:rsid w:val="00FB20E9"/>
    <w:rsid w:val="00FB20FC"/>
    <w:rsid w:val="00FB212E"/>
    <w:rsid w:val="00FB2134"/>
    <w:rsid w:val="00FB2222"/>
    <w:rsid w:val="00FB2258"/>
    <w:rsid w:val="00FB22D8"/>
    <w:rsid w:val="00FB241D"/>
    <w:rsid w:val="00FB24AD"/>
    <w:rsid w:val="00FB25A3"/>
    <w:rsid w:val="00FB25A7"/>
    <w:rsid w:val="00FB25E7"/>
    <w:rsid w:val="00FB2684"/>
    <w:rsid w:val="00FB27EE"/>
    <w:rsid w:val="00FB2836"/>
    <w:rsid w:val="00FB287F"/>
    <w:rsid w:val="00FB289E"/>
    <w:rsid w:val="00FB28EE"/>
    <w:rsid w:val="00FB2928"/>
    <w:rsid w:val="00FB293B"/>
    <w:rsid w:val="00FB296D"/>
    <w:rsid w:val="00FB2987"/>
    <w:rsid w:val="00FB29DF"/>
    <w:rsid w:val="00FB29EB"/>
    <w:rsid w:val="00FB29FC"/>
    <w:rsid w:val="00FB2A94"/>
    <w:rsid w:val="00FB2A9C"/>
    <w:rsid w:val="00FB2AF2"/>
    <w:rsid w:val="00FB2BC5"/>
    <w:rsid w:val="00FB2CF8"/>
    <w:rsid w:val="00FB2D65"/>
    <w:rsid w:val="00FB2DBA"/>
    <w:rsid w:val="00FB2E4E"/>
    <w:rsid w:val="00FB2E51"/>
    <w:rsid w:val="00FB2E73"/>
    <w:rsid w:val="00FB2EC5"/>
    <w:rsid w:val="00FB3034"/>
    <w:rsid w:val="00FB30B6"/>
    <w:rsid w:val="00FB30FC"/>
    <w:rsid w:val="00FB3128"/>
    <w:rsid w:val="00FB3157"/>
    <w:rsid w:val="00FB3169"/>
    <w:rsid w:val="00FB31C1"/>
    <w:rsid w:val="00FB3223"/>
    <w:rsid w:val="00FB324A"/>
    <w:rsid w:val="00FB3258"/>
    <w:rsid w:val="00FB327B"/>
    <w:rsid w:val="00FB335C"/>
    <w:rsid w:val="00FB335D"/>
    <w:rsid w:val="00FB353E"/>
    <w:rsid w:val="00FB3589"/>
    <w:rsid w:val="00FB3641"/>
    <w:rsid w:val="00FB3654"/>
    <w:rsid w:val="00FB367D"/>
    <w:rsid w:val="00FB3718"/>
    <w:rsid w:val="00FB3730"/>
    <w:rsid w:val="00FB377F"/>
    <w:rsid w:val="00FB37E2"/>
    <w:rsid w:val="00FB37E5"/>
    <w:rsid w:val="00FB37EE"/>
    <w:rsid w:val="00FB3856"/>
    <w:rsid w:val="00FB38A7"/>
    <w:rsid w:val="00FB3931"/>
    <w:rsid w:val="00FB3939"/>
    <w:rsid w:val="00FB39BA"/>
    <w:rsid w:val="00FB39F7"/>
    <w:rsid w:val="00FB3ABD"/>
    <w:rsid w:val="00FB3AD5"/>
    <w:rsid w:val="00FB3ADD"/>
    <w:rsid w:val="00FB3B08"/>
    <w:rsid w:val="00FB3C37"/>
    <w:rsid w:val="00FB3D6C"/>
    <w:rsid w:val="00FB3D87"/>
    <w:rsid w:val="00FB3DEF"/>
    <w:rsid w:val="00FB3E02"/>
    <w:rsid w:val="00FB3E04"/>
    <w:rsid w:val="00FB3E30"/>
    <w:rsid w:val="00FB3E57"/>
    <w:rsid w:val="00FB3EBA"/>
    <w:rsid w:val="00FB3EFF"/>
    <w:rsid w:val="00FB3F8F"/>
    <w:rsid w:val="00FB4060"/>
    <w:rsid w:val="00FB4080"/>
    <w:rsid w:val="00FB4082"/>
    <w:rsid w:val="00FB40F0"/>
    <w:rsid w:val="00FB40F2"/>
    <w:rsid w:val="00FB40F4"/>
    <w:rsid w:val="00FB4183"/>
    <w:rsid w:val="00FB4192"/>
    <w:rsid w:val="00FB41EB"/>
    <w:rsid w:val="00FB4202"/>
    <w:rsid w:val="00FB423E"/>
    <w:rsid w:val="00FB4250"/>
    <w:rsid w:val="00FB4296"/>
    <w:rsid w:val="00FB4343"/>
    <w:rsid w:val="00FB439B"/>
    <w:rsid w:val="00FB43AB"/>
    <w:rsid w:val="00FB43D7"/>
    <w:rsid w:val="00FB43F0"/>
    <w:rsid w:val="00FB44E3"/>
    <w:rsid w:val="00FB4501"/>
    <w:rsid w:val="00FB458D"/>
    <w:rsid w:val="00FB459C"/>
    <w:rsid w:val="00FB45CE"/>
    <w:rsid w:val="00FB4645"/>
    <w:rsid w:val="00FB4648"/>
    <w:rsid w:val="00FB4685"/>
    <w:rsid w:val="00FB469E"/>
    <w:rsid w:val="00FB46C8"/>
    <w:rsid w:val="00FB472C"/>
    <w:rsid w:val="00FB474C"/>
    <w:rsid w:val="00FB4797"/>
    <w:rsid w:val="00FB47EA"/>
    <w:rsid w:val="00FB4812"/>
    <w:rsid w:val="00FB4851"/>
    <w:rsid w:val="00FB4871"/>
    <w:rsid w:val="00FB48AF"/>
    <w:rsid w:val="00FB48E5"/>
    <w:rsid w:val="00FB491E"/>
    <w:rsid w:val="00FB4984"/>
    <w:rsid w:val="00FB4A13"/>
    <w:rsid w:val="00FB4A5A"/>
    <w:rsid w:val="00FB4A8F"/>
    <w:rsid w:val="00FB4B39"/>
    <w:rsid w:val="00FB4B55"/>
    <w:rsid w:val="00FB4BC3"/>
    <w:rsid w:val="00FB4C71"/>
    <w:rsid w:val="00FB4CF6"/>
    <w:rsid w:val="00FB4D1A"/>
    <w:rsid w:val="00FB4D4F"/>
    <w:rsid w:val="00FB4D77"/>
    <w:rsid w:val="00FB4D8B"/>
    <w:rsid w:val="00FB4DF6"/>
    <w:rsid w:val="00FB4ECA"/>
    <w:rsid w:val="00FB4F1F"/>
    <w:rsid w:val="00FB4F65"/>
    <w:rsid w:val="00FB5063"/>
    <w:rsid w:val="00FB50B7"/>
    <w:rsid w:val="00FB50F1"/>
    <w:rsid w:val="00FB50FB"/>
    <w:rsid w:val="00FB5108"/>
    <w:rsid w:val="00FB510D"/>
    <w:rsid w:val="00FB512C"/>
    <w:rsid w:val="00FB5165"/>
    <w:rsid w:val="00FB51A0"/>
    <w:rsid w:val="00FB5211"/>
    <w:rsid w:val="00FB5216"/>
    <w:rsid w:val="00FB5281"/>
    <w:rsid w:val="00FB52F9"/>
    <w:rsid w:val="00FB5308"/>
    <w:rsid w:val="00FB5309"/>
    <w:rsid w:val="00FB530C"/>
    <w:rsid w:val="00FB53A5"/>
    <w:rsid w:val="00FB540F"/>
    <w:rsid w:val="00FB5482"/>
    <w:rsid w:val="00FB5511"/>
    <w:rsid w:val="00FB5521"/>
    <w:rsid w:val="00FB5524"/>
    <w:rsid w:val="00FB5535"/>
    <w:rsid w:val="00FB5575"/>
    <w:rsid w:val="00FB559C"/>
    <w:rsid w:val="00FB5664"/>
    <w:rsid w:val="00FB5672"/>
    <w:rsid w:val="00FB56B7"/>
    <w:rsid w:val="00FB5791"/>
    <w:rsid w:val="00FB58C8"/>
    <w:rsid w:val="00FB5930"/>
    <w:rsid w:val="00FB59FA"/>
    <w:rsid w:val="00FB5A09"/>
    <w:rsid w:val="00FB5A2E"/>
    <w:rsid w:val="00FB5A36"/>
    <w:rsid w:val="00FB5A51"/>
    <w:rsid w:val="00FB5A9D"/>
    <w:rsid w:val="00FB5ADC"/>
    <w:rsid w:val="00FB5AF3"/>
    <w:rsid w:val="00FB5B34"/>
    <w:rsid w:val="00FB5BA0"/>
    <w:rsid w:val="00FB5BF5"/>
    <w:rsid w:val="00FB5C2B"/>
    <w:rsid w:val="00FB5CA0"/>
    <w:rsid w:val="00FB5CC1"/>
    <w:rsid w:val="00FB5D7D"/>
    <w:rsid w:val="00FB5DBF"/>
    <w:rsid w:val="00FB5DC3"/>
    <w:rsid w:val="00FB5E07"/>
    <w:rsid w:val="00FB5E54"/>
    <w:rsid w:val="00FB5E6E"/>
    <w:rsid w:val="00FB5E7D"/>
    <w:rsid w:val="00FB5F39"/>
    <w:rsid w:val="00FB5F42"/>
    <w:rsid w:val="00FB5FAB"/>
    <w:rsid w:val="00FB6005"/>
    <w:rsid w:val="00FB603B"/>
    <w:rsid w:val="00FB60BB"/>
    <w:rsid w:val="00FB6163"/>
    <w:rsid w:val="00FB6180"/>
    <w:rsid w:val="00FB620C"/>
    <w:rsid w:val="00FB62E9"/>
    <w:rsid w:val="00FB63D2"/>
    <w:rsid w:val="00FB641F"/>
    <w:rsid w:val="00FB6431"/>
    <w:rsid w:val="00FB646F"/>
    <w:rsid w:val="00FB64E9"/>
    <w:rsid w:val="00FB65C1"/>
    <w:rsid w:val="00FB65EF"/>
    <w:rsid w:val="00FB6636"/>
    <w:rsid w:val="00FB66BA"/>
    <w:rsid w:val="00FB670C"/>
    <w:rsid w:val="00FB6743"/>
    <w:rsid w:val="00FB67DF"/>
    <w:rsid w:val="00FB67FB"/>
    <w:rsid w:val="00FB6983"/>
    <w:rsid w:val="00FB6A85"/>
    <w:rsid w:val="00FB6AC6"/>
    <w:rsid w:val="00FB6BA1"/>
    <w:rsid w:val="00FB6BEA"/>
    <w:rsid w:val="00FB6BFE"/>
    <w:rsid w:val="00FB6C37"/>
    <w:rsid w:val="00FB6C8B"/>
    <w:rsid w:val="00FB6CA8"/>
    <w:rsid w:val="00FB6D68"/>
    <w:rsid w:val="00FB6D6A"/>
    <w:rsid w:val="00FB6D71"/>
    <w:rsid w:val="00FB6DAA"/>
    <w:rsid w:val="00FB6DAE"/>
    <w:rsid w:val="00FB6DEA"/>
    <w:rsid w:val="00FB6E31"/>
    <w:rsid w:val="00FB6EED"/>
    <w:rsid w:val="00FB6FAD"/>
    <w:rsid w:val="00FB7019"/>
    <w:rsid w:val="00FB703A"/>
    <w:rsid w:val="00FB7125"/>
    <w:rsid w:val="00FB715E"/>
    <w:rsid w:val="00FB7247"/>
    <w:rsid w:val="00FB730F"/>
    <w:rsid w:val="00FB7398"/>
    <w:rsid w:val="00FB73EF"/>
    <w:rsid w:val="00FB7435"/>
    <w:rsid w:val="00FB747A"/>
    <w:rsid w:val="00FB7491"/>
    <w:rsid w:val="00FB7544"/>
    <w:rsid w:val="00FB75ED"/>
    <w:rsid w:val="00FB7664"/>
    <w:rsid w:val="00FB7675"/>
    <w:rsid w:val="00FB7700"/>
    <w:rsid w:val="00FB7702"/>
    <w:rsid w:val="00FB770B"/>
    <w:rsid w:val="00FB7746"/>
    <w:rsid w:val="00FB77A9"/>
    <w:rsid w:val="00FB77FA"/>
    <w:rsid w:val="00FB783F"/>
    <w:rsid w:val="00FB78DC"/>
    <w:rsid w:val="00FB7933"/>
    <w:rsid w:val="00FB793F"/>
    <w:rsid w:val="00FB79D7"/>
    <w:rsid w:val="00FB79D9"/>
    <w:rsid w:val="00FB7A15"/>
    <w:rsid w:val="00FB7A18"/>
    <w:rsid w:val="00FB7A28"/>
    <w:rsid w:val="00FB7A37"/>
    <w:rsid w:val="00FB7A7E"/>
    <w:rsid w:val="00FB7AEA"/>
    <w:rsid w:val="00FB7B22"/>
    <w:rsid w:val="00FB7B89"/>
    <w:rsid w:val="00FB7BCE"/>
    <w:rsid w:val="00FB7C08"/>
    <w:rsid w:val="00FB7C64"/>
    <w:rsid w:val="00FB7C9D"/>
    <w:rsid w:val="00FB7CBC"/>
    <w:rsid w:val="00FB7D54"/>
    <w:rsid w:val="00FB7DAA"/>
    <w:rsid w:val="00FB7E1E"/>
    <w:rsid w:val="00FB7E35"/>
    <w:rsid w:val="00FB7E61"/>
    <w:rsid w:val="00FB7E91"/>
    <w:rsid w:val="00FB7EBC"/>
    <w:rsid w:val="00FB7F04"/>
    <w:rsid w:val="00FB7F05"/>
    <w:rsid w:val="00FB7F2E"/>
    <w:rsid w:val="00FB7F31"/>
    <w:rsid w:val="00FB7F43"/>
    <w:rsid w:val="00FC019A"/>
    <w:rsid w:val="00FC0208"/>
    <w:rsid w:val="00FC025A"/>
    <w:rsid w:val="00FC026F"/>
    <w:rsid w:val="00FC028E"/>
    <w:rsid w:val="00FC0303"/>
    <w:rsid w:val="00FC0387"/>
    <w:rsid w:val="00FC0433"/>
    <w:rsid w:val="00FC0479"/>
    <w:rsid w:val="00FC0498"/>
    <w:rsid w:val="00FC04BB"/>
    <w:rsid w:val="00FC052F"/>
    <w:rsid w:val="00FC0555"/>
    <w:rsid w:val="00FC05E7"/>
    <w:rsid w:val="00FC05F2"/>
    <w:rsid w:val="00FC0607"/>
    <w:rsid w:val="00FC0670"/>
    <w:rsid w:val="00FC06E0"/>
    <w:rsid w:val="00FC06E1"/>
    <w:rsid w:val="00FC076F"/>
    <w:rsid w:val="00FC0778"/>
    <w:rsid w:val="00FC0818"/>
    <w:rsid w:val="00FC08D1"/>
    <w:rsid w:val="00FC0908"/>
    <w:rsid w:val="00FC0934"/>
    <w:rsid w:val="00FC09D4"/>
    <w:rsid w:val="00FC09DA"/>
    <w:rsid w:val="00FC0B5A"/>
    <w:rsid w:val="00FC0BC9"/>
    <w:rsid w:val="00FC0C0E"/>
    <w:rsid w:val="00FC0C13"/>
    <w:rsid w:val="00FC0C2A"/>
    <w:rsid w:val="00FC0CFC"/>
    <w:rsid w:val="00FC0DDC"/>
    <w:rsid w:val="00FC0DEC"/>
    <w:rsid w:val="00FC0E9A"/>
    <w:rsid w:val="00FC0FD7"/>
    <w:rsid w:val="00FC103B"/>
    <w:rsid w:val="00FC105F"/>
    <w:rsid w:val="00FC10A5"/>
    <w:rsid w:val="00FC10EB"/>
    <w:rsid w:val="00FC115D"/>
    <w:rsid w:val="00FC1169"/>
    <w:rsid w:val="00FC117F"/>
    <w:rsid w:val="00FC1190"/>
    <w:rsid w:val="00FC121E"/>
    <w:rsid w:val="00FC12EC"/>
    <w:rsid w:val="00FC1332"/>
    <w:rsid w:val="00FC13A6"/>
    <w:rsid w:val="00FC13AE"/>
    <w:rsid w:val="00FC13F4"/>
    <w:rsid w:val="00FC141B"/>
    <w:rsid w:val="00FC14E1"/>
    <w:rsid w:val="00FC1553"/>
    <w:rsid w:val="00FC1558"/>
    <w:rsid w:val="00FC1561"/>
    <w:rsid w:val="00FC15C1"/>
    <w:rsid w:val="00FC1627"/>
    <w:rsid w:val="00FC1683"/>
    <w:rsid w:val="00FC169E"/>
    <w:rsid w:val="00FC16D3"/>
    <w:rsid w:val="00FC16F0"/>
    <w:rsid w:val="00FC17C5"/>
    <w:rsid w:val="00FC17C7"/>
    <w:rsid w:val="00FC17F7"/>
    <w:rsid w:val="00FC182F"/>
    <w:rsid w:val="00FC183A"/>
    <w:rsid w:val="00FC1841"/>
    <w:rsid w:val="00FC19B5"/>
    <w:rsid w:val="00FC19D8"/>
    <w:rsid w:val="00FC19DB"/>
    <w:rsid w:val="00FC19E7"/>
    <w:rsid w:val="00FC1A65"/>
    <w:rsid w:val="00FC1AC5"/>
    <w:rsid w:val="00FC1B12"/>
    <w:rsid w:val="00FC1B5F"/>
    <w:rsid w:val="00FC1C53"/>
    <w:rsid w:val="00FC1C6E"/>
    <w:rsid w:val="00FC1CA8"/>
    <w:rsid w:val="00FC1CE0"/>
    <w:rsid w:val="00FC1D10"/>
    <w:rsid w:val="00FC1D55"/>
    <w:rsid w:val="00FC1E0A"/>
    <w:rsid w:val="00FC1E8C"/>
    <w:rsid w:val="00FC1EA8"/>
    <w:rsid w:val="00FC1F58"/>
    <w:rsid w:val="00FC1FE5"/>
    <w:rsid w:val="00FC2041"/>
    <w:rsid w:val="00FC21CF"/>
    <w:rsid w:val="00FC21FD"/>
    <w:rsid w:val="00FC22A7"/>
    <w:rsid w:val="00FC22C6"/>
    <w:rsid w:val="00FC231E"/>
    <w:rsid w:val="00FC2337"/>
    <w:rsid w:val="00FC241E"/>
    <w:rsid w:val="00FC24F7"/>
    <w:rsid w:val="00FC2570"/>
    <w:rsid w:val="00FC26E5"/>
    <w:rsid w:val="00FC274C"/>
    <w:rsid w:val="00FC276C"/>
    <w:rsid w:val="00FC27A5"/>
    <w:rsid w:val="00FC281E"/>
    <w:rsid w:val="00FC284A"/>
    <w:rsid w:val="00FC2869"/>
    <w:rsid w:val="00FC28A7"/>
    <w:rsid w:val="00FC28BF"/>
    <w:rsid w:val="00FC28E7"/>
    <w:rsid w:val="00FC2912"/>
    <w:rsid w:val="00FC298D"/>
    <w:rsid w:val="00FC2A3C"/>
    <w:rsid w:val="00FC2A71"/>
    <w:rsid w:val="00FC2A89"/>
    <w:rsid w:val="00FC2ACB"/>
    <w:rsid w:val="00FC2AE6"/>
    <w:rsid w:val="00FC2B0E"/>
    <w:rsid w:val="00FC2B7A"/>
    <w:rsid w:val="00FC2B8E"/>
    <w:rsid w:val="00FC2BA5"/>
    <w:rsid w:val="00FC2C0C"/>
    <w:rsid w:val="00FC2C77"/>
    <w:rsid w:val="00FC2C7C"/>
    <w:rsid w:val="00FC2CE9"/>
    <w:rsid w:val="00FC2D07"/>
    <w:rsid w:val="00FC2D26"/>
    <w:rsid w:val="00FC2D8D"/>
    <w:rsid w:val="00FC2DEA"/>
    <w:rsid w:val="00FC2E1C"/>
    <w:rsid w:val="00FC2E32"/>
    <w:rsid w:val="00FC2EA5"/>
    <w:rsid w:val="00FC2EAC"/>
    <w:rsid w:val="00FC2F35"/>
    <w:rsid w:val="00FC3006"/>
    <w:rsid w:val="00FC30C0"/>
    <w:rsid w:val="00FC30EC"/>
    <w:rsid w:val="00FC3156"/>
    <w:rsid w:val="00FC319D"/>
    <w:rsid w:val="00FC31EA"/>
    <w:rsid w:val="00FC3279"/>
    <w:rsid w:val="00FC32C6"/>
    <w:rsid w:val="00FC32CB"/>
    <w:rsid w:val="00FC32D5"/>
    <w:rsid w:val="00FC335A"/>
    <w:rsid w:val="00FC3398"/>
    <w:rsid w:val="00FC342C"/>
    <w:rsid w:val="00FC3445"/>
    <w:rsid w:val="00FC345D"/>
    <w:rsid w:val="00FC3467"/>
    <w:rsid w:val="00FC34B0"/>
    <w:rsid w:val="00FC3561"/>
    <w:rsid w:val="00FC35C9"/>
    <w:rsid w:val="00FC35F4"/>
    <w:rsid w:val="00FC368F"/>
    <w:rsid w:val="00FC371C"/>
    <w:rsid w:val="00FC37A6"/>
    <w:rsid w:val="00FC37C8"/>
    <w:rsid w:val="00FC3832"/>
    <w:rsid w:val="00FC384E"/>
    <w:rsid w:val="00FC388F"/>
    <w:rsid w:val="00FC38BC"/>
    <w:rsid w:val="00FC3949"/>
    <w:rsid w:val="00FC3951"/>
    <w:rsid w:val="00FC39A8"/>
    <w:rsid w:val="00FC39C7"/>
    <w:rsid w:val="00FC3A57"/>
    <w:rsid w:val="00FC3ADA"/>
    <w:rsid w:val="00FC3B2D"/>
    <w:rsid w:val="00FC3B75"/>
    <w:rsid w:val="00FC3C71"/>
    <w:rsid w:val="00FC3CF8"/>
    <w:rsid w:val="00FC3E68"/>
    <w:rsid w:val="00FC3E9B"/>
    <w:rsid w:val="00FC3EAE"/>
    <w:rsid w:val="00FC3ECD"/>
    <w:rsid w:val="00FC3EFC"/>
    <w:rsid w:val="00FC3F76"/>
    <w:rsid w:val="00FC3F95"/>
    <w:rsid w:val="00FC401F"/>
    <w:rsid w:val="00FC4027"/>
    <w:rsid w:val="00FC402E"/>
    <w:rsid w:val="00FC407A"/>
    <w:rsid w:val="00FC407C"/>
    <w:rsid w:val="00FC4083"/>
    <w:rsid w:val="00FC408A"/>
    <w:rsid w:val="00FC4277"/>
    <w:rsid w:val="00FC435F"/>
    <w:rsid w:val="00FC4402"/>
    <w:rsid w:val="00FC441D"/>
    <w:rsid w:val="00FC44C9"/>
    <w:rsid w:val="00FC4575"/>
    <w:rsid w:val="00FC45F5"/>
    <w:rsid w:val="00FC4608"/>
    <w:rsid w:val="00FC4639"/>
    <w:rsid w:val="00FC4678"/>
    <w:rsid w:val="00FC46DE"/>
    <w:rsid w:val="00FC4742"/>
    <w:rsid w:val="00FC47D3"/>
    <w:rsid w:val="00FC4807"/>
    <w:rsid w:val="00FC485E"/>
    <w:rsid w:val="00FC4875"/>
    <w:rsid w:val="00FC48A2"/>
    <w:rsid w:val="00FC48DA"/>
    <w:rsid w:val="00FC490E"/>
    <w:rsid w:val="00FC494E"/>
    <w:rsid w:val="00FC4A1E"/>
    <w:rsid w:val="00FC4C1A"/>
    <w:rsid w:val="00FC4C22"/>
    <w:rsid w:val="00FC4C9B"/>
    <w:rsid w:val="00FC4D62"/>
    <w:rsid w:val="00FC4DAF"/>
    <w:rsid w:val="00FC4DC8"/>
    <w:rsid w:val="00FC4E0D"/>
    <w:rsid w:val="00FC4E0E"/>
    <w:rsid w:val="00FC4E10"/>
    <w:rsid w:val="00FC4E23"/>
    <w:rsid w:val="00FC4EBE"/>
    <w:rsid w:val="00FC4FCF"/>
    <w:rsid w:val="00FC4FE5"/>
    <w:rsid w:val="00FC5025"/>
    <w:rsid w:val="00FC505B"/>
    <w:rsid w:val="00FC508A"/>
    <w:rsid w:val="00FC50B7"/>
    <w:rsid w:val="00FC51FB"/>
    <w:rsid w:val="00FC5229"/>
    <w:rsid w:val="00FC5279"/>
    <w:rsid w:val="00FC5314"/>
    <w:rsid w:val="00FC5391"/>
    <w:rsid w:val="00FC5513"/>
    <w:rsid w:val="00FC5552"/>
    <w:rsid w:val="00FC556D"/>
    <w:rsid w:val="00FC559D"/>
    <w:rsid w:val="00FC55BF"/>
    <w:rsid w:val="00FC5630"/>
    <w:rsid w:val="00FC5634"/>
    <w:rsid w:val="00FC5656"/>
    <w:rsid w:val="00FC5684"/>
    <w:rsid w:val="00FC56B0"/>
    <w:rsid w:val="00FC5716"/>
    <w:rsid w:val="00FC5834"/>
    <w:rsid w:val="00FC5850"/>
    <w:rsid w:val="00FC58E2"/>
    <w:rsid w:val="00FC5965"/>
    <w:rsid w:val="00FC599F"/>
    <w:rsid w:val="00FC59C6"/>
    <w:rsid w:val="00FC5A03"/>
    <w:rsid w:val="00FC5AEF"/>
    <w:rsid w:val="00FC5B81"/>
    <w:rsid w:val="00FC5BAF"/>
    <w:rsid w:val="00FC5BD0"/>
    <w:rsid w:val="00FC5C0D"/>
    <w:rsid w:val="00FC5C78"/>
    <w:rsid w:val="00FC5C7F"/>
    <w:rsid w:val="00FC5DB8"/>
    <w:rsid w:val="00FC5E03"/>
    <w:rsid w:val="00FC5ED3"/>
    <w:rsid w:val="00FC5F16"/>
    <w:rsid w:val="00FC5F76"/>
    <w:rsid w:val="00FC605C"/>
    <w:rsid w:val="00FC616D"/>
    <w:rsid w:val="00FC61C1"/>
    <w:rsid w:val="00FC6223"/>
    <w:rsid w:val="00FC626A"/>
    <w:rsid w:val="00FC62B8"/>
    <w:rsid w:val="00FC62F0"/>
    <w:rsid w:val="00FC632B"/>
    <w:rsid w:val="00FC6338"/>
    <w:rsid w:val="00FC6395"/>
    <w:rsid w:val="00FC63C4"/>
    <w:rsid w:val="00FC63EA"/>
    <w:rsid w:val="00FC6421"/>
    <w:rsid w:val="00FC642B"/>
    <w:rsid w:val="00FC64AB"/>
    <w:rsid w:val="00FC64E7"/>
    <w:rsid w:val="00FC65CD"/>
    <w:rsid w:val="00FC6631"/>
    <w:rsid w:val="00FC6649"/>
    <w:rsid w:val="00FC675F"/>
    <w:rsid w:val="00FC6779"/>
    <w:rsid w:val="00FC67CC"/>
    <w:rsid w:val="00FC6837"/>
    <w:rsid w:val="00FC68CA"/>
    <w:rsid w:val="00FC695E"/>
    <w:rsid w:val="00FC698B"/>
    <w:rsid w:val="00FC69D9"/>
    <w:rsid w:val="00FC6A36"/>
    <w:rsid w:val="00FC6A75"/>
    <w:rsid w:val="00FC6A76"/>
    <w:rsid w:val="00FC6A9D"/>
    <w:rsid w:val="00FC6AB1"/>
    <w:rsid w:val="00FC6B06"/>
    <w:rsid w:val="00FC6BE8"/>
    <w:rsid w:val="00FC6BEF"/>
    <w:rsid w:val="00FC6C92"/>
    <w:rsid w:val="00FC6CEF"/>
    <w:rsid w:val="00FC6D60"/>
    <w:rsid w:val="00FC6D81"/>
    <w:rsid w:val="00FC6DC6"/>
    <w:rsid w:val="00FC6DE8"/>
    <w:rsid w:val="00FC6E0D"/>
    <w:rsid w:val="00FC6E2C"/>
    <w:rsid w:val="00FC6E85"/>
    <w:rsid w:val="00FC6EA0"/>
    <w:rsid w:val="00FC6F24"/>
    <w:rsid w:val="00FC6F6E"/>
    <w:rsid w:val="00FC6FEA"/>
    <w:rsid w:val="00FC7064"/>
    <w:rsid w:val="00FC708C"/>
    <w:rsid w:val="00FC7095"/>
    <w:rsid w:val="00FC7172"/>
    <w:rsid w:val="00FC71B4"/>
    <w:rsid w:val="00FC71C8"/>
    <w:rsid w:val="00FC720F"/>
    <w:rsid w:val="00FC726D"/>
    <w:rsid w:val="00FC7291"/>
    <w:rsid w:val="00FC732E"/>
    <w:rsid w:val="00FC7404"/>
    <w:rsid w:val="00FC7449"/>
    <w:rsid w:val="00FC7459"/>
    <w:rsid w:val="00FC74C9"/>
    <w:rsid w:val="00FC75E6"/>
    <w:rsid w:val="00FC75F7"/>
    <w:rsid w:val="00FC765E"/>
    <w:rsid w:val="00FC7698"/>
    <w:rsid w:val="00FC76A2"/>
    <w:rsid w:val="00FC76B5"/>
    <w:rsid w:val="00FC76C0"/>
    <w:rsid w:val="00FC7719"/>
    <w:rsid w:val="00FC7793"/>
    <w:rsid w:val="00FC780E"/>
    <w:rsid w:val="00FC7862"/>
    <w:rsid w:val="00FC7866"/>
    <w:rsid w:val="00FC7891"/>
    <w:rsid w:val="00FC7913"/>
    <w:rsid w:val="00FC793D"/>
    <w:rsid w:val="00FC7995"/>
    <w:rsid w:val="00FC79E4"/>
    <w:rsid w:val="00FC7A0D"/>
    <w:rsid w:val="00FC7ABC"/>
    <w:rsid w:val="00FC7B88"/>
    <w:rsid w:val="00FC7D00"/>
    <w:rsid w:val="00FC7D23"/>
    <w:rsid w:val="00FC7DB2"/>
    <w:rsid w:val="00FC7DC6"/>
    <w:rsid w:val="00FC7E23"/>
    <w:rsid w:val="00FC7E9A"/>
    <w:rsid w:val="00FC7EC6"/>
    <w:rsid w:val="00FC7F66"/>
    <w:rsid w:val="00FC7FA6"/>
    <w:rsid w:val="00FC7FF9"/>
    <w:rsid w:val="00FD011D"/>
    <w:rsid w:val="00FD013E"/>
    <w:rsid w:val="00FD019B"/>
    <w:rsid w:val="00FD01A2"/>
    <w:rsid w:val="00FD01C4"/>
    <w:rsid w:val="00FD024B"/>
    <w:rsid w:val="00FD024C"/>
    <w:rsid w:val="00FD02CA"/>
    <w:rsid w:val="00FD0357"/>
    <w:rsid w:val="00FD0415"/>
    <w:rsid w:val="00FD04CB"/>
    <w:rsid w:val="00FD054C"/>
    <w:rsid w:val="00FD055F"/>
    <w:rsid w:val="00FD057B"/>
    <w:rsid w:val="00FD06BF"/>
    <w:rsid w:val="00FD083E"/>
    <w:rsid w:val="00FD0871"/>
    <w:rsid w:val="00FD089D"/>
    <w:rsid w:val="00FD0977"/>
    <w:rsid w:val="00FD0A30"/>
    <w:rsid w:val="00FD0AE8"/>
    <w:rsid w:val="00FD0B3D"/>
    <w:rsid w:val="00FD0B4E"/>
    <w:rsid w:val="00FD0B8A"/>
    <w:rsid w:val="00FD0BC0"/>
    <w:rsid w:val="00FD0C00"/>
    <w:rsid w:val="00FD0C18"/>
    <w:rsid w:val="00FD0CB7"/>
    <w:rsid w:val="00FD0CC7"/>
    <w:rsid w:val="00FD0DE4"/>
    <w:rsid w:val="00FD0EB1"/>
    <w:rsid w:val="00FD0EC1"/>
    <w:rsid w:val="00FD0F15"/>
    <w:rsid w:val="00FD0FAD"/>
    <w:rsid w:val="00FD0FFA"/>
    <w:rsid w:val="00FD103D"/>
    <w:rsid w:val="00FD1095"/>
    <w:rsid w:val="00FD1175"/>
    <w:rsid w:val="00FD11AA"/>
    <w:rsid w:val="00FD11EB"/>
    <w:rsid w:val="00FD1214"/>
    <w:rsid w:val="00FD12C3"/>
    <w:rsid w:val="00FD12CC"/>
    <w:rsid w:val="00FD130E"/>
    <w:rsid w:val="00FD134C"/>
    <w:rsid w:val="00FD13F2"/>
    <w:rsid w:val="00FD1436"/>
    <w:rsid w:val="00FD145B"/>
    <w:rsid w:val="00FD14EE"/>
    <w:rsid w:val="00FD150F"/>
    <w:rsid w:val="00FD163C"/>
    <w:rsid w:val="00FD166F"/>
    <w:rsid w:val="00FD16E5"/>
    <w:rsid w:val="00FD1744"/>
    <w:rsid w:val="00FD176A"/>
    <w:rsid w:val="00FD177C"/>
    <w:rsid w:val="00FD17EB"/>
    <w:rsid w:val="00FD1860"/>
    <w:rsid w:val="00FD1890"/>
    <w:rsid w:val="00FD18BC"/>
    <w:rsid w:val="00FD18CC"/>
    <w:rsid w:val="00FD191A"/>
    <w:rsid w:val="00FD19C0"/>
    <w:rsid w:val="00FD19D2"/>
    <w:rsid w:val="00FD19EE"/>
    <w:rsid w:val="00FD1A0A"/>
    <w:rsid w:val="00FD1A24"/>
    <w:rsid w:val="00FD1A42"/>
    <w:rsid w:val="00FD1A58"/>
    <w:rsid w:val="00FD1BAD"/>
    <w:rsid w:val="00FD1C09"/>
    <w:rsid w:val="00FD1C1D"/>
    <w:rsid w:val="00FD1CC6"/>
    <w:rsid w:val="00FD1D2D"/>
    <w:rsid w:val="00FD1D73"/>
    <w:rsid w:val="00FD1E2D"/>
    <w:rsid w:val="00FD1E49"/>
    <w:rsid w:val="00FD1EA4"/>
    <w:rsid w:val="00FD1EA9"/>
    <w:rsid w:val="00FD1F0C"/>
    <w:rsid w:val="00FD1F1E"/>
    <w:rsid w:val="00FD1F22"/>
    <w:rsid w:val="00FD1F35"/>
    <w:rsid w:val="00FD1F47"/>
    <w:rsid w:val="00FD1F4C"/>
    <w:rsid w:val="00FD2082"/>
    <w:rsid w:val="00FD20BA"/>
    <w:rsid w:val="00FD2113"/>
    <w:rsid w:val="00FD2211"/>
    <w:rsid w:val="00FD2212"/>
    <w:rsid w:val="00FD2284"/>
    <w:rsid w:val="00FD22F5"/>
    <w:rsid w:val="00FD247E"/>
    <w:rsid w:val="00FD24DA"/>
    <w:rsid w:val="00FD24ED"/>
    <w:rsid w:val="00FD2509"/>
    <w:rsid w:val="00FD252B"/>
    <w:rsid w:val="00FD255C"/>
    <w:rsid w:val="00FD261A"/>
    <w:rsid w:val="00FD268A"/>
    <w:rsid w:val="00FD26CA"/>
    <w:rsid w:val="00FD26F5"/>
    <w:rsid w:val="00FD277D"/>
    <w:rsid w:val="00FD2830"/>
    <w:rsid w:val="00FD2863"/>
    <w:rsid w:val="00FD2885"/>
    <w:rsid w:val="00FD28B2"/>
    <w:rsid w:val="00FD2946"/>
    <w:rsid w:val="00FD297A"/>
    <w:rsid w:val="00FD29B6"/>
    <w:rsid w:val="00FD2A0B"/>
    <w:rsid w:val="00FD2AAD"/>
    <w:rsid w:val="00FD2B1D"/>
    <w:rsid w:val="00FD2B75"/>
    <w:rsid w:val="00FD2B97"/>
    <w:rsid w:val="00FD2BE4"/>
    <w:rsid w:val="00FD2BF1"/>
    <w:rsid w:val="00FD2C43"/>
    <w:rsid w:val="00FD2CBE"/>
    <w:rsid w:val="00FD2CE4"/>
    <w:rsid w:val="00FD2CF8"/>
    <w:rsid w:val="00FD2D02"/>
    <w:rsid w:val="00FD2D03"/>
    <w:rsid w:val="00FD2DC5"/>
    <w:rsid w:val="00FD2E91"/>
    <w:rsid w:val="00FD2EA5"/>
    <w:rsid w:val="00FD2F0A"/>
    <w:rsid w:val="00FD3009"/>
    <w:rsid w:val="00FD3070"/>
    <w:rsid w:val="00FD30C0"/>
    <w:rsid w:val="00FD30DD"/>
    <w:rsid w:val="00FD30F4"/>
    <w:rsid w:val="00FD31A6"/>
    <w:rsid w:val="00FD31AA"/>
    <w:rsid w:val="00FD31B3"/>
    <w:rsid w:val="00FD31BE"/>
    <w:rsid w:val="00FD32B8"/>
    <w:rsid w:val="00FD32D0"/>
    <w:rsid w:val="00FD331B"/>
    <w:rsid w:val="00FD342A"/>
    <w:rsid w:val="00FD34AF"/>
    <w:rsid w:val="00FD34D3"/>
    <w:rsid w:val="00FD35A1"/>
    <w:rsid w:val="00FD35DC"/>
    <w:rsid w:val="00FD35F3"/>
    <w:rsid w:val="00FD3667"/>
    <w:rsid w:val="00FD369A"/>
    <w:rsid w:val="00FD36D7"/>
    <w:rsid w:val="00FD370C"/>
    <w:rsid w:val="00FD372C"/>
    <w:rsid w:val="00FD379D"/>
    <w:rsid w:val="00FD3819"/>
    <w:rsid w:val="00FD3825"/>
    <w:rsid w:val="00FD384F"/>
    <w:rsid w:val="00FD386B"/>
    <w:rsid w:val="00FD390A"/>
    <w:rsid w:val="00FD3966"/>
    <w:rsid w:val="00FD3AEB"/>
    <w:rsid w:val="00FD3AF6"/>
    <w:rsid w:val="00FD3B7B"/>
    <w:rsid w:val="00FD3B91"/>
    <w:rsid w:val="00FD3BE3"/>
    <w:rsid w:val="00FD3BEC"/>
    <w:rsid w:val="00FD3D1C"/>
    <w:rsid w:val="00FD3D21"/>
    <w:rsid w:val="00FD3DA4"/>
    <w:rsid w:val="00FD3E5F"/>
    <w:rsid w:val="00FD3EBA"/>
    <w:rsid w:val="00FD3F36"/>
    <w:rsid w:val="00FD3FAA"/>
    <w:rsid w:val="00FD3FAE"/>
    <w:rsid w:val="00FD3FB9"/>
    <w:rsid w:val="00FD4179"/>
    <w:rsid w:val="00FD421F"/>
    <w:rsid w:val="00FD4251"/>
    <w:rsid w:val="00FD4268"/>
    <w:rsid w:val="00FD42D1"/>
    <w:rsid w:val="00FD4344"/>
    <w:rsid w:val="00FD44E8"/>
    <w:rsid w:val="00FD454B"/>
    <w:rsid w:val="00FD454F"/>
    <w:rsid w:val="00FD45E1"/>
    <w:rsid w:val="00FD4653"/>
    <w:rsid w:val="00FD469C"/>
    <w:rsid w:val="00FD4773"/>
    <w:rsid w:val="00FD4787"/>
    <w:rsid w:val="00FD47D4"/>
    <w:rsid w:val="00FD485D"/>
    <w:rsid w:val="00FD488F"/>
    <w:rsid w:val="00FD48D5"/>
    <w:rsid w:val="00FD491D"/>
    <w:rsid w:val="00FD49C9"/>
    <w:rsid w:val="00FD49FF"/>
    <w:rsid w:val="00FD4A0F"/>
    <w:rsid w:val="00FD4B05"/>
    <w:rsid w:val="00FD4B59"/>
    <w:rsid w:val="00FD4BAB"/>
    <w:rsid w:val="00FD4BB6"/>
    <w:rsid w:val="00FD4BCE"/>
    <w:rsid w:val="00FD4BEA"/>
    <w:rsid w:val="00FD4C7D"/>
    <w:rsid w:val="00FD4DA4"/>
    <w:rsid w:val="00FD4DAF"/>
    <w:rsid w:val="00FD4E11"/>
    <w:rsid w:val="00FD4E29"/>
    <w:rsid w:val="00FD4EDB"/>
    <w:rsid w:val="00FD4F54"/>
    <w:rsid w:val="00FD4FE3"/>
    <w:rsid w:val="00FD4FFC"/>
    <w:rsid w:val="00FD4FFD"/>
    <w:rsid w:val="00FD5042"/>
    <w:rsid w:val="00FD50B0"/>
    <w:rsid w:val="00FD50D1"/>
    <w:rsid w:val="00FD5124"/>
    <w:rsid w:val="00FD519F"/>
    <w:rsid w:val="00FD51C4"/>
    <w:rsid w:val="00FD5301"/>
    <w:rsid w:val="00FD535D"/>
    <w:rsid w:val="00FD53EE"/>
    <w:rsid w:val="00FD54CA"/>
    <w:rsid w:val="00FD5557"/>
    <w:rsid w:val="00FD5601"/>
    <w:rsid w:val="00FD5635"/>
    <w:rsid w:val="00FD5639"/>
    <w:rsid w:val="00FD571F"/>
    <w:rsid w:val="00FD5724"/>
    <w:rsid w:val="00FD580D"/>
    <w:rsid w:val="00FD585A"/>
    <w:rsid w:val="00FD5877"/>
    <w:rsid w:val="00FD58CA"/>
    <w:rsid w:val="00FD5968"/>
    <w:rsid w:val="00FD59FE"/>
    <w:rsid w:val="00FD5B96"/>
    <w:rsid w:val="00FD5BC7"/>
    <w:rsid w:val="00FD5BE5"/>
    <w:rsid w:val="00FD5BEC"/>
    <w:rsid w:val="00FD5C06"/>
    <w:rsid w:val="00FD5D78"/>
    <w:rsid w:val="00FD5D7D"/>
    <w:rsid w:val="00FD5E6E"/>
    <w:rsid w:val="00FD5E70"/>
    <w:rsid w:val="00FD5E76"/>
    <w:rsid w:val="00FD5EE1"/>
    <w:rsid w:val="00FD5F26"/>
    <w:rsid w:val="00FD5F40"/>
    <w:rsid w:val="00FD607F"/>
    <w:rsid w:val="00FD60AE"/>
    <w:rsid w:val="00FD60BE"/>
    <w:rsid w:val="00FD614B"/>
    <w:rsid w:val="00FD61B1"/>
    <w:rsid w:val="00FD61C5"/>
    <w:rsid w:val="00FD6264"/>
    <w:rsid w:val="00FD628D"/>
    <w:rsid w:val="00FD637F"/>
    <w:rsid w:val="00FD6432"/>
    <w:rsid w:val="00FD6473"/>
    <w:rsid w:val="00FD64EB"/>
    <w:rsid w:val="00FD651B"/>
    <w:rsid w:val="00FD6568"/>
    <w:rsid w:val="00FD6589"/>
    <w:rsid w:val="00FD65B6"/>
    <w:rsid w:val="00FD6644"/>
    <w:rsid w:val="00FD665D"/>
    <w:rsid w:val="00FD6701"/>
    <w:rsid w:val="00FD673D"/>
    <w:rsid w:val="00FD6747"/>
    <w:rsid w:val="00FD6768"/>
    <w:rsid w:val="00FD67F2"/>
    <w:rsid w:val="00FD6897"/>
    <w:rsid w:val="00FD68C3"/>
    <w:rsid w:val="00FD6965"/>
    <w:rsid w:val="00FD69A9"/>
    <w:rsid w:val="00FD69CC"/>
    <w:rsid w:val="00FD69EA"/>
    <w:rsid w:val="00FD6A0D"/>
    <w:rsid w:val="00FD6AB2"/>
    <w:rsid w:val="00FD6AE1"/>
    <w:rsid w:val="00FD6B6A"/>
    <w:rsid w:val="00FD6B6D"/>
    <w:rsid w:val="00FD6B9D"/>
    <w:rsid w:val="00FD6BB8"/>
    <w:rsid w:val="00FD6BCE"/>
    <w:rsid w:val="00FD6C08"/>
    <w:rsid w:val="00FD6C3A"/>
    <w:rsid w:val="00FD6C4E"/>
    <w:rsid w:val="00FD6CBA"/>
    <w:rsid w:val="00FD6D1D"/>
    <w:rsid w:val="00FD6D29"/>
    <w:rsid w:val="00FD6D85"/>
    <w:rsid w:val="00FD6DC2"/>
    <w:rsid w:val="00FD6E31"/>
    <w:rsid w:val="00FD6E96"/>
    <w:rsid w:val="00FD6E98"/>
    <w:rsid w:val="00FD6EBB"/>
    <w:rsid w:val="00FD6EFD"/>
    <w:rsid w:val="00FD6F84"/>
    <w:rsid w:val="00FD7058"/>
    <w:rsid w:val="00FD70AA"/>
    <w:rsid w:val="00FD70FF"/>
    <w:rsid w:val="00FD71E7"/>
    <w:rsid w:val="00FD7232"/>
    <w:rsid w:val="00FD7261"/>
    <w:rsid w:val="00FD726A"/>
    <w:rsid w:val="00FD72BF"/>
    <w:rsid w:val="00FD731F"/>
    <w:rsid w:val="00FD7340"/>
    <w:rsid w:val="00FD73F5"/>
    <w:rsid w:val="00FD746F"/>
    <w:rsid w:val="00FD7487"/>
    <w:rsid w:val="00FD74FC"/>
    <w:rsid w:val="00FD755E"/>
    <w:rsid w:val="00FD758E"/>
    <w:rsid w:val="00FD75B5"/>
    <w:rsid w:val="00FD767E"/>
    <w:rsid w:val="00FD7723"/>
    <w:rsid w:val="00FD7760"/>
    <w:rsid w:val="00FD7778"/>
    <w:rsid w:val="00FD7798"/>
    <w:rsid w:val="00FD7812"/>
    <w:rsid w:val="00FD78B0"/>
    <w:rsid w:val="00FD7952"/>
    <w:rsid w:val="00FD79C8"/>
    <w:rsid w:val="00FD7A0A"/>
    <w:rsid w:val="00FD7A1F"/>
    <w:rsid w:val="00FD7A40"/>
    <w:rsid w:val="00FD7AB0"/>
    <w:rsid w:val="00FD7AC6"/>
    <w:rsid w:val="00FD7AF0"/>
    <w:rsid w:val="00FD7B4B"/>
    <w:rsid w:val="00FD7B92"/>
    <w:rsid w:val="00FD7BDA"/>
    <w:rsid w:val="00FD7C46"/>
    <w:rsid w:val="00FD7CC6"/>
    <w:rsid w:val="00FD7CD1"/>
    <w:rsid w:val="00FD7D08"/>
    <w:rsid w:val="00FD7D20"/>
    <w:rsid w:val="00FD7DD8"/>
    <w:rsid w:val="00FD7DE5"/>
    <w:rsid w:val="00FD7E10"/>
    <w:rsid w:val="00FD7EAA"/>
    <w:rsid w:val="00FD7EBB"/>
    <w:rsid w:val="00FD7F14"/>
    <w:rsid w:val="00FD7F2D"/>
    <w:rsid w:val="00FD7F37"/>
    <w:rsid w:val="00FD7F43"/>
    <w:rsid w:val="00FD7F46"/>
    <w:rsid w:val="00FD7F6B"/>
    <w:rsid w:val="00FD7F71"/>
    <w:rsid w:val="00FD7F8A"/>
    <w:rsid w:val="00FD7F8E"/>
    <w:rsid w:val="00FD7FB3"/>
    <w:rsid w:val="00FE003F"/>
    <w:rsid w:val="00FE009D"/>
    <w:rsid w:val="00FE00BD"/>
    <w:rsid w:val="00FE0124"/>
    <w:rsid w:val="00FE016B"/>
    <w:rsid w:val="00FE0276"/>
    <w:rsid w:val="00FE02B2"/>
    <w:rsid w:val="00FE02F2"/>
    <w:rsid w:val="00FE043F"/>
    <w:rsid w:val="00FE04DF"/>
    <w:rsid w:val="00FE04EB"/>
    <w:rsid w:val="00FE0529"/>
    <w:rsid w:val="00FE05AC"/>
    <w:rsid w:val="00FE05AD"/>
    <w:rsid w:val="00FE05CF"/>
    <w:rsid w:val="00FE0600"/>
    <w:rsid w:val="00FE0644"/>
    <w:rsid w:val="00FE0704"/>
    <w:rsid w:val="00FE077A"/>
    <w:rsid w:val="00FE07AA"/>
    <w:rsid w:val="00FE080C"/>
    <w:rsid w:val="00FE0896"/>
    <w:rsid w:val="00FE08F6"/>
    <w:rsid w:val="00FE09B2"/>
    <w:rsid w:val="00FE09B8"/>
    <w:rsid w:val="00FE0A84"/>
    <w:rsid w:val="00FE0ABD"/>
    <w:rsid w:val="00FE0AF9"/>
    <w:rsid w:val="00FE0B1B"/>
    <w:rsid w:val="00FE0B42"/>
    <w:rsid w:val="00FE0BEC"/>
    <w:rsid w:val="00FE0C50"/>
    <w:rsid w:val="00FE0C6B"/>
    <w:rsid w:val="00FE0C73"/>
    <w:rsid w:val="00FE0CBC"/>
    <w:rsid w:val="00FE0CED"/>
    <w:rsid w:val="00FE0D21"/>
    <w:rsid w:val="00FE0D50"/>
    <w:rsid w:val="00FE0D77"/>
    <w:rsid w:val="00FE0D82"/>
    <w:rsid w:val="00FE0DBF"/>
    <w:rsid w:val="00FE0E13"/>
    <w:rsid w:val="00FE0E18"/>
    <w:rsid w:val="00FE0E2E"/>
    <w:rsid w:val="00FE0E2F"/>
    <w:rsid w:val="00FE0EF9"/>
    <w:rsid w:val="00FE0EFA"/>
    <w:rsid w:val="00FE0F1B"/>
    <w:rsid w:val="00FE0FDC"/>
    <w:rsid w:val="00FE10CD"/>
    <w:rsid w:val="00FE10E5"/>
    <w:rsid w:val="00FE111D"/>
    <w:rsid w:val="00FE11CA"/>
    <w:rsid w:val="00FE1216"/>
    <w:rsid w:val="00FE1253"/>
    <w:rsid w:val="00FE1349"/>
    <w:rsid w:val="00FE137B"/>
    <w:rsid w:val="00FE1577"/>
    <w:rsid w:val="00FE15DD"/>
    <w:rsid w:val="00FE164E"/>
    <w:rsid w:val="00FE16C6"/>
    <w:rsid w:val="00FE1751"/>
    <w:rsid w:val="00FE186B"/>
    <w:rsid w:val="00FE18EF"/>
    <w:rsid w:val="00FE18F6"/>
    <w:rsid w:val="00FE193E"/>
    <w:rsid w:val="00FE1946"/>
    <w:rsid w:val="00FE1960"/>
    <w:rsid w:val="00FE1964"/>
    <w:rsid w:val="00FE19B2"/>
    <w:rsid w:val="00FE19E3"/>
    <w:rsid w:val="00FE19FB"/>
    <w:rsid w:val="00FE1A01"/>
    <w:rsid w:val="00FE1A5A"/>
    <w:rsid w:val="00FE1AD9"/>
    <w:rsid w:val="00FE1AF6"/>
    <w:rsid w:val="00FE1B24"/>
    <w:rsid w:val="00FE1D07"/>
    <w:rsid w:val="00FE1DA3"/>
    <w:rsid w:val="00FE1DA6"/>
    <w:rsid w:val="00FE1E94"/>
    <w:rsid w:val="00FE1EFB"/>
    <w:rsid w:val="00FE1FD8"/>
    <w:rsid w:val="00FE2018"/>
    <w:rsid w:val="00FE2057"/>
    <w:rsid w:val="00FE2064"/>
    <w:rsid w:val="00FE2173"/>
    <w:rsid w:val="00FE21D3"/>
    <w:rsid w:val="00FE2203"/>
    <w:rsid w:val="00FE221E"/>
    <w:rsid w:val="00FE223A"/>
    <w:rsid w:val="00FE227D"/>
    <w:rsid w:val="00FE229E"/>
    <w:rsid w:val="00FE231C"/>
    <w:rsid w:val="00FE2432"/>
    <w:rsid w:val="00FE247A"/>
    <w:rsid w:val="00FE24E6"/>
    <w:rsid w:val="00FE2500"/>
    <w:rsid w:val="00FE25DB"/>
    <w:rsid w:val="00FE25F0"/>
    <w:rsid w:val="00FE26BB"/>
    <w:rsid w:val="00FE26C3"/>
    <w:rsid w:val="00FE273C"/>
    <w:rsid w:val="00FE2746"/>
    <w:rsid w:val="00FE277A"/>
    <w:rsid w:val="00FE284E"/>
    <w:rsid w:val="00FE29F0"/>
    <w:rsid w:val="00FE2A31"/>
    <w:rsid w:val="00FE2A45"/>
    <w:rsid w:val="00FE2AAA"/>
    <w:rsid w:val="00FE2B55"/>
    <w:rsid w:val="00FE2BDD"/>
    <w:rsid w:val="00FE2CB2"/>
    <w:rsid w:val="00FE2D3C"/>
    <w:rsid w:val="00FE2D5D"/>
    <w:rsid w:val="00FE2DCA"/>
    <w:rsid w:val="00FE2E6C"/>
    <w:rsid w:val="00FE2EDE"/>
    <w:rsid w:val="00FE2F02"/>
    <w:rsid w:val="00FE2FB3"/>
    <w:rsid w:val="00FE3173"/>
    <w:rsid w:val="00FE31A6"/>
    <w:rsid w:val="00FE31AF"/>
    <w:rsid w:val="00FE31B6"/>
    <w:rsid w:val="00FE31E7"/>
    <w:rsid w:val="00FE3210"/>
    <w:rsid w:val="00FE3255"/>
    <w:rsid w:val="00FE3285"/>
    <w:rsid w:val="00FE3295"/>
    <w:rsid w:val="00FE32D7"/>
    <w:rsid w:val="00FE32E3"/>
    <w:rsid w:val="00FE34C6"/>
    <w:rsid w:val="00FE3547"/>
    <w:rsid w:val="00FE35AD"/>
    <w:rsid w:val="00FE36AA"/>
    <w:rsid w:val="00FE3701"/>
    <w:rsid w:val="00FE37E2"/>
    <w:rsid w:val="00FE3833"/>
    <w:rsid w:val="00FE3858"/>
    <w:rsid w:val="00FE385F"/>
    <w:rsid w:val="00FE38D0"/>
    <w:rsid w:val="00FE38E7"/>
    <w:rsid w:val="00FE39F7"/>
    <w:rsid w:val="00FE3A04"/>
    <w:rsid w:val="00FE3A80"/>
    <w:rsid w:val="00FE3B23"/>
    <w:rsid w:val="00FE3B56"/>
    <w:rsid w:val="00FE3B80"/>
    <w:rsid w:val="00FE3BAA"/>
    <w:rsid w:val="00FE3BDF"/>
    <w:rsid w:val="00FE3C75"/>
    <w:rsid w:val="00FE3C96"/>
    <w:rsid w:val="00FE3C9B"/>
    <w:rsid w:val="00FE3D17"/>
    <w:rsid w:val="00FE3D3B"/>
    <w:rsid w:val="00FE3DCC"/>
    <w:rsid w:val="00FE3DFD"/>
    <w:rsid w:val="00FE3E4B"/>
    <w:rsid w:val="00FE3ECB"/>
    <w:rsid w:val="00FE4009"/>
    <w:rsid w:val="00FE409E"/>
    <w:rsid w:val="00FE40F6"/>
    <w:rsid w:val="00FE410F"/>
    <w:rsid w:val="00FE4270"/>
    <w:rsid w:val="00FE4280"/>
    <w:rsid w:val="00FE4299"/>
    <w:rsid w:val="00FE43D0"/>
    <w:rsid w:val="00FE4432"/>
    <w:rsid w:val="00FE44E2"/>
    <w:rsid w:val="00FE44F6"/>
    <w:rsid w:val="00FE4536"/>
    <w:rsid w:val="00FE45EA"/>
    <w:rsid w:val="00FE45FD"/>
    <w:rsid w:val="00FE46AB"/>
    <w:rsid w:val="00FE46DF"/>
    <w:rsid w:val="00FE46F9"/>
    <w:rsid w:val="00FE4722"/>
    <w:rsid w:val="00FE47C7"/>
    <w:rsid w:val="00FE47EC"/>
    <w:rsid w:val="00FE4820"/>
    <w:rsid w:val="00FE4831"/>
    <w:rsid w:val="00FE486B"/>
    <w:rsid w:val="00FE48AA"/>
    <w:rsid w:val="00FE48DA"/>
    <w:rsid w:val="00FE492A"/>
    <w:rsid w:val="00FE49C2"/>
    <w:rsid w:val="00FE49C7"/>
    <w:rsid w:val="00FE4A06"/>
    <w:rsid w:val="00FE4AA3"/>
    <w:rsid w:val="00FE4AA7"/>
    <w:rsid w:val="00FE4AE8"/>
    <w:rsid w:val="00FE4B18"/>
    <w:rsid w:val="00FE4B2B"/>
    <w:rsid w:val="00FE4B9F"/>
    <w:rsid w:val="00FE4BD5"/>
    <w:rsid w:val="00FE4BE5"/>
    <w:rsid w:val="00FE4C07"/>
    <w:rsid w:val="00FE4CA6"/>
    <w:rsid w:val="00FE4CE8"/>
    <w:rsid w:val="00FE4CFF"/>
    <w:rsid w:val="00FE4D26"/>
    <w:rsid w:val="00FE4DE6"/>
    <w:rsid w:val="00FE4E29"/>
    <w:rsid w:val="00FE4F37"/>
    <w:rsid w:val="00FE4F4F"/>
    <w:rsid w:val="00FE4FAC"/>
    <w:rsid w:val="00FE5040"/>
    <w:rsid w:val="00FE510B"/>
    <w:rsid w:val="00FE5191"/>
    <w:rsid w:val="00FE51C0"/>
    <w:rsid w:val="00FE51DB"/>
    <w:rsid w:val="00FE5220"/>
    <w:rsid w:val="00FE5224"/>
    <w:rsid w:val="00FE52F6"/>
    <w:rsid w:val="00FE5301"/>
    <w:rsid w:val="00FE5314"/>
    <w:rsid w:val="00FE5325"/>
    <w:rsid w:val="00FE5387"/>
    <w:rsid w:val="00FE53E0"/>
    <w:rsid w:val="00FE53EA"/>
    <w:rsid w:val="00FE548E"/>
    <w:rsid w:val="00FE54D0"/>
    <w:rsid w:val="00FE5590"/>
    <w:rsid w:val="00FE55D6"/>
    <w:rsid w:val="00FE5690"/>
    <w:rsid w:val="00FE56D9"/>
    <w:rsid w:val="00FE574D"/>
    <w:rsid w:val="00FE57F0"/>
    <w:rsid w:val="00FE58D4"/>
    <w:rsid w:val="00FE594E"/>
    <w:rsid w:val="00FE59CD"/>
    <w:rsid w:val="00FE5A05"/>
    <w:rsid w:val="00FE5A4E"/>
    <w:rsid w:val="00FE5A59"/>
    <w:rsid w:val="00FE5A88"/>
    <w:rsid w:val="00FE5B76"/>
    <w:rsid w:val="00FE5B7C"/>
    <w:rsid w:val="00FE5BB2"/>
    <w:rsid w:val="00FE5BC3"/>
    <w:rsid w:val="00FE5C16"/>
    <w:rsid w:val="00FE5C1B"/>
    <w:rsid w:val="00FE5C7F"/>
    <w:rsid w:val="00FE5D6E"/>
    <w:rsid w:val="00FE5DD6"/>
    <w:rsid w:val="00FE5DEC"/>
    <w:rsid w:val="00FE5F04"/>
    <w:rsid w:val="00FE5F09"/>
    <w:rsid w:val="00FE5F76"/>
    <w:rsid w:val="00FE5FCD"/>
    <w:rsid w:val="00FE6046"/>
    <w:rsid w:val="00FE604A"/>
    <w:rsid w:val="00FE60B8"/>
    <w:rsid w:val="00FE61B5"/>
    <w:rsid w:val="00FE623B"/>
    <w:rsid w:val="00FE6315"/>
    <w:rsid w:val="00FE636B"/>
    <w:rsid w:val="00FE6371"/>
    <w:rsid w:val="00FE6390"/>
    <w:rsid w:val="00FE63F8"/>
    <w:rsid w:val="00FE641A"/>
    <w:rsid w:val="00FE6420"/>
    <w:rsid w:val="00FE647A"/>
    <w:rsid w:val="00FE6482"/>
    <w:rsid w:val="00FE6483"/>
    <w:rsid w:val="00FE64E3"/>
    <w:rsid w:val="00FE64FC"/>
    <w:rsid w:val="00FE656E"/>
    <w:rsid w:val="00FE6584"/>
    <w:rsid w:val="00FE65A2"/>
    <w:rsid w:val="00FE65B9"/>
    <w:rsid w:val="00FE6672"/>
    <w:rsid w:val="00FE66DD"/>
    <w:rsid w:val="00FE6733"/>
    <w:rsid w:val="00FE6778"/>
    <w:rsid w:val="00FE67D6"/>
    <w:rsid w:val="00FE67E1"/>
    <w:rsid w:val="00FE67EE"/>
    <w:rsid w:val="00FE6800"/>
    <w:rsid w:val="00FE6840"/>
    <w:rsid w:val="00FE68A5"/>
    <w:rsid w:val="00FE68B0"/>
    <w:rsid w:val="00FE6930"/>
    <w:rsid w:val="00FE6955"/>
    <w:rsid w:val="00FE6957"/>
    <w:rsid w:val="00FE6A31"/>
    <w:rsid w:val="00FE6A67"/>
    <w:rsid w:val="00FE6A6F"/>
    <w:rsid w:val="00FE6A76"/>
    <w:rsid w:val="00FE6A7F"/>
    <w:rsid w:val="00FE6AAE"/>
    <w:rsid w:val="00FE6AB9"/>
    <w:rsid w:val="00FE6B5E"/>
    <w:rsid w:val="00FE6BDD"/>
    <w:rsid w:val="00FE6BEB"/>
    <w:rsid w:val="00FE6C66"/>
    <w:rsid w:val="00FE6C8D"/>
    <w:rsid w:val="00FE6C9E"/>
    <w:rsid w:val="00FE6D7A"/>
    <w:rsid w:val="00FE6DDA"/>
    <w:rsid w:val="00FE6DEB"/>
    <w:rsid w:val="00FE6E00"/>
    <w:rsid w:val="00FE6E26"/>
    <w:rsid w:val="00FE6E88"/>
    <w:rsid w:val="00FE6EDC"/>
    <w:rsid w:val="00FE6F5D"/>
    <w:rsid w:val="00FE6FFE"/>
    <w:rsid w:val="00FE706D"/>
    <w:rsid w:val="00FE7095"/>
    <w:rsid w:val="00FE7102"/>
    <w:rsid w:val="00FE712D"/>
    <w:rsid w:val="00FE7140"/>
    <w:rsid w:val="00FE7148"/>
    <w:rsid w:val="00FE7178"/>
    <w:rsid w:val="00FE71C2"/>
    <w:rsid w:val="00FE7207"/>
    <w:rsid w:val="00FE720B"/>
    <w:rsid w:val="00FE72A1"/>
    <w:rsid w:val="00FE7321"/>
    <w:rsid w:val="00FE733E"/>
    <w:rsid w:val="00FE734B"/>
    <w:rsid w:val="00FE7354"/>
    <w:rsid w:val="00FE7423"/>
    <w:rsid w:val="00FE7443"/>
    <w:rsid w:val="00FE7486"/>
    <w:rsid w:val="00FE74D0"/>
    <w:rsid w:val="00FE7502"/>
    <w:rsid w:val="00FE7610"/>
    <w:rsid w:val="00FE7619"/>
    <w:rsid w:val="00FE764E"/>
    <w:rsid w:val="00FE764F"/>
    <w:rsid w:val="00FE7739"/>
    <w:rsid w:val="00FE7746"/>
    <w:rsid w:val="00FE774E"/>
    <w:rsid w:val="00FE7791"/>
    <w:rsid w:val="00FE77A9"/>
    <w:rsid w:val="00FE7835"/>
    <w:rsid w:val="00FE79C7"/>
    <w:rsid w:val="00FE79D5"/>
    <w:rsid w:val="00FE7A71"/>
    <w:rsid w:val="00FE7ABD"/>
    <w:rsid w:val="00FE7B21"/>
    <w:rsid w:val="00FE7BE9"/>
    <w:rsid w:val="00FE7BF9"/>
    <w:rsid w:val="00FE7C8A"/>
    <w:rsid w:val="00FE7D31"/>
    <w:rsid w:val="00FE7DF3"/>
    <w:rsid w:val="00FE7DFE"/>
    <w:rsid w:val="00FE7E3A"/>
    <w:rsid w:val="00FE7E79"/>
    <w:rsid w:val="00FE7EF5"/>
    <w:rsid w:val="00FE7F0E"/>
    <w:rsid w:val="00FE7F1A"/>
    <w:rsid w:val="00FE7F8A"/>
    <w:rsid w:val="00FF0002"/>
    <w:rsid w:val="00FF0038"/>
    <w:rsid w:val="00FF007D"/>
    <w:rsid w:val="00FF00A9"/>
    <w:rsid w:val="00FF00B0"/>
    <w:rsid w:val="00FF0153"/>
    <w:rsid w:val="00FF016D"/>
    <w:rsid w:val="00FF01EB"/>
    <w:rsid w:val="00FF0205"/>
    <w:rsid w:val="00FF02CB"/>
    <w:rsid w:val="00FF03D9"/>
    <w:rsid w:val="00FF0439"/>
    <w:rsid w:val="00FF04CA"/>
    <w:rsid w:val="00FF05AF"/>
    <w:rsid w:val="00FF0655"/>
    <w:rsid w:val="00FF0669"/>
    <w:rsid w:val="00FF0724"/>
    <w:rsid w:val="00FF0729"/>
    <w:rsid w:val="00FF077B"/>
    <w:rsid w:val="00FF07B0"/>
    <w:rsid w:val="00FF0905"/>
    <w:rsid w:val="00FF0962"/>
    <w:rsid w:val="00FF09D9"/>
    <w:rsid w:val="00FF0A53"/>
    <w:rsid w:val="00FF0A83"/>
    <w:rsid w:val="00FF0AEE"/>
    <w:rsid w:val="00FF0B38"/>
    <w:rsid w:val="00FF0B6F"/>
    <w:rsid w:val="00FF0B9B"/>
    <w:rsid w:val="00FF0C52"/>
    <w:rsid w:val="00FF0CB1"/>
    <w:rsid w:val="00FF0D04"/>
    <w:rsid w:val="00FF0D15"/>
    <w:rsid w:val="00FF0D39"/>
    <w:rsid w:val="00FF0E47"/>
    <w:rsid w:val="00FF0EA0"/>
    <w:rsid w:val="00FF0EAA"/>
    <w:rsid w:val="00FF0F6E"/>
    <w:rsid w:val="00FF0F7D"/>
    <w:rsid w:val="00FF1066"/>
    <w:rsid w:val="00FF10FC"/>
    <w:rsid w:val="00FF11B2"/>
    <w:rsid w:val="00FF11EA"/>
    <w:rsid w:val="00FF1201"/>
    <w:rsid w:val="00FF1206"/>
    <w:rsid w:val="00FF123E"/>
    <w:rsid w:val="00FF1259"/>
    <w:rsid w:val="00FF1271"/>
    <w:rsid w:val="00FF1371"/>
    <w:rsid w:val="00FF142D"/>
    <w:rsid w:val="00FF1441"/>
    <w:rsid w:val="00FF1453"/>
    <w:rsid w:val="00FF147F"/>
    <w:rsid w:val="00FF14AF"/>
    <w:rsid w:val="00FF14B7"/>
    <w:rsid w:val="00FF14D1"/>
    <w:rsid w:val="00FF153C"/>
    <w:rsid w:val="00FF154C"/>
    <w:rsid w:val="00FF1556"/>
    <w:rsid w:val="00FF161D"/>
    <w:rsid w:val="00FF16AE"/>
    <w:rsid w:val="00FF16C6"/>
    <w:rsid w:val="00FF17CB"/>
    <w:rsid w:val="00FF1809"/>
    <w:rsid w:val="00FF18AE"/>
    <w:rsid w:val="00FF1902"/>
    <w:rsid w:val="00FF191D"/>
    <w:rsid w:val="00FF192E"/>
    <w:rsid w:val="00FF1A68"/>
    <w:rsid w:val="00FF1A71"/>
    <w:rsid w:val="00FF1A93"/>
    <w:rsid w:val="00FF1ACA"/>
    <w:rsid w:val="00FF1AE6"/>
    <w:rsid w:val="00FF1B17"/>
    <w:rsid w:val="00FF1C58"/>
    <w:rsid w:val="00FF1C6A"/>
    <w:rsid w:val="00FF1D15"/>
    <w:rsid w:val="00FF1D7B"/>
    <w:rsid w:val="00FF1DCF"/>
    <w:rsid w:val="00FF1DE9"/>
    <w:rsid w:val="00FF1EDF"/>
    <w:rsid w:val="00FF1F48"/>
    <w:rsid w:val="00FF1F50"/>
    <w:rsid w:val="00FF202C"/>
    <w:rsid w:val="00FF2137"/>
    <w:rsid w:val="00FF2156"/>
    <w:rsid w:val="00FF21C7"/>
    <w:rsid w:val="00FF21F8"/>
    <w:rsid w:val="00FF2258"/>
    <w:rsid w:val="00FF233E"/>
    <w:rsid w:val="00FF2473"/>
    <w:rsid w:val="00FF248C"/>
    <w:rsid w:val="00FF24B9"/>
    <w:rsid w:val="00FF24CF"/>
    <w:rsid w:val="00FF2504"/>
    <w:rsid w:val="00FF25BF"/>
    <w:rsid w:val="00FF261A"/>
    <w:rsid w:val="00FF261B"/>
    <w:rsid w:val="00FF26A7"/>
    <w:rsid w:val="00FF26B3"/>
    <w:rsid w:val="00FF2720"/>
    <w:rsid w:val="00FF27B8"/>
    <w:rsid w:val="00FF27C8"/>
    <w:rsid w:val="00FF2817"/>
    <w:rsid w:val="00FF2891"/>
    <w:rsid w:val="00FF2894"/>
    <w:rsid w:val="00FF2912"/>
    <w:rsid w:val="00FF298F"/>
    <w:rsid w:val="00FF29B0"/>
    <w:rsid w:val="00FF29DA"/>
    <w:rsid w:val="00FF2A93"/>
    <w:rsid w:val="00FF2AD7"/>
    <w:rsid w:val="00FF2BD0"/>
    <w:rsid w:val="00FF2D1D"/>
    <w:rsid w:val="00FF2D80"/>
    <w:rsid w:val="00FF2DAC"/>
    <w:rsid w:val="00FF2DDD"/>
    <w:rsid w:val="00FF2EC3"/>
    <w:rsid w:val="00FF2F25"/>
    <w:rsid w:val="00FF3070"/>
    <w:rsid w:val="00FF307D"/>
    <w:rsid w:val="00FF308C"/>
    <w:rsid w:val="00FF3108"/>
    <w:rsid w:val="00FF31E7"/>
    <w:rsid w:val="00FF326A"/>
    <w:rsid w:val="00FF32B8"/>
    <w:rsid w:val="00FF3315"/>
    <w:rsid w:val="00FF33A5"/>
    <w:rsid w:val="00FF33B1"/>
    <w:rsid w:val="00FF3452"/>
    <w:rsid w:val="00FF346B"/>
    <w:rsid w:val="00FF356C"/>
    <w:rsid w:val="00FF3571"/>
    <w:rsid w:val="00FF358D"/>
    <w:rsid w:val="00FF3591"/>
    <w:rsid w:val="00FF35A0"/>
    <w:rsid w:val="00FF3679"/>
    <w:rsid w:val="00FF36BA"/>
    <w:rsid w:val="00FF37B6"/>
    <w:rsid w:val="00FF3833"/>
    <w:rsid w:val="00FF3836"/>
    <w:rsid w:val="00FF383F"/>
    <w:rsid w:val="00FF38B0"/>
    <w:rsid w:val="00FF38CA"/>
    <w:rsid w:val="00FF38CF"/>
    <w:rsid w:val="00FF3976"/>
    <w:rsid w:val="00FF3A9F"/>
    <w:rsid w:val="00FF3AB7"/>
    <w:rsid w:val="00FF3ADB"/>
    <w:rsid w:val="00FF3B1B"/>
    <w:rsid w:val="00FF3B7C"/>
    <w:rsid w:val="00FF3B8A"/>
    <w:rsid w:val="00FF3CDB"/>
    <w:rsid w:val="00FF3DBE"/>
    <w:rsid w:val="00FF3E46"/>
    <w:rsid w:val="00FF3E5A"/>
    <w:rsid w:val="00FF3E9B"/>
    <w:rsid w:val="00FF3EF3"/>
    <w:rsid w:val="00FF3F51"/>
    <w:rsid w:val="00FF3F67"/>
    <w:rsid w:val="00FF3FB5"/>
    <w:rsid w:val="00FF4016"/>
    <w:rsid w:val="00FF409F"/>
    <w:rsid w:val="00FF415A"/>
    <w:rsid w:val="00FF43DA"/>
    <w:rsid w:val="00FF44EC"/>
    <w:rsid w:val="00FF4525"/>
    <w:rsid w:val="00FF4619"/>
    <w:rsid w:val="00FF463F"/>
    <w:rsid w:val="00FF476B"/>
    <w:rsid w:val="00FF476C"/>
    <w:rsid w:val="00FF47A9"/>
    <w:rsid w:val="00FF489B"/>
    <w:rsid w:val="00FF48D5"/>
    <w:rsid w:val="00FF48D8"/>
    <w:rsid w:val="00FF48EE"/>
    <w:rsid w:val="00FF4982"/>
    <w:rsid w:val="00FF4A45"/>
    <w:rsid w:val="00FF4A58"/>
    <w:rsid w:val="00FF4AD6"/>
    <w:rsid w:val="00FF4B28"/>
    <w:rsid w:val="00FF4C1E"/>
    <w:rsid w:val="00FF4D69"/>
    <w:rsid w:val="00FF4E2F"/>
    <w:rsid w:val="00FF4EAE"/>
    <w:rsid w:val="00FF4EDA"/>
    <w:rsid w:val="00FF4EF2"/>
    <w:rsid w:val="00FF4F06"/>
    <w:rsid w:val="00FF4F34"/>
    <w:rsid w:val="00FF4F63"/>
    <w:rsid w:val="00FF4F6B"/>
    <w:rsid w:val="00FF509E"/>
    <w:rsid w:val="00FF50A9"/>
    <w:rsid w:val="00FF50D9"/>
    <w:rsid w:val="00FF515D"/>
    <w:rsid w:val="00FF52D8"/>
    <w:rsid w:val="00FF52F8"/>
    <w:rsid w:val="00FF53F3"/>
    <w:rsid w:val="00FF543D"/>
    <w:rsid w:val="00FF5458"/>
    <w:rsid w:val="00FF54E7"/>
    <w:rsid w:val="00FF5550"/>
    <w:rsid w:val="00FF563D"/>
    <w:rsid w:val="00FF56BB"/>
    <w:rsid w:val="00FF56C1"/>
    <w:rsid w:val="00FF576E"/>
    <w:rsid w:val="00FF57B3"/>
    <w:rsid w:val="00FF5883"/>
    <w:rsid w:val="00FF5918"/>
    <w:rsid w:val="00FF591C"/>
    <w:rsid w:val="00FF5921"/>
    <w:rsid w:val="00FF5967"/>
    <w:rsid w:val="00FF5A1C"/>
    <w:rsid w:val="00FF5A1E"/>
    <w:rsid w:val="00FF5AB0"/>
    <w:rsid w:val="00FF5B57"/>
    <w:rsid w:val="00FF5BA2"/>
    <w:rsid w:val="00FF5CAA"/>
    <w:rsid w:val="00FF5CD2"/>
    <w:rsid w:val="00FF5CF8"/>
    <w:rsid w:val="00FF5D6C"/>
    <w:rsid w:val="00FF5D81"/>
    <w:rsid w:val="00FF5D9E"/>
    <w:rsid w:val="00FF5DBB"/>
    <w:rsid w:val="00FF5DD1"/>
    <w:rsid w:val="00FF5E72"/>
    <w:rsid w:val="00FF5E8A"/>
    <w:rsid w:val="00FF5E95"/>
    <w:rsid w:val="00FF5E9B"/>
    <w:rsid w:val="00FF5EA8"/>
    <w:rsid w:val="00FF5EE1"/>
    <w:rsid w:val="00FF5F39"/>
    <w:rsid w:val="00FF5F41"/>
    <w:rsid w:val="00FF5F51"/>
    <w:rsid w:val="00FF5F6C"/>
    <w:rsid w:val="00FF5F72"/>
    <w:rsid w:val="00FF6050"/>
    <w:rsid w:val="00FF6063"/>
    <w:rsid w:val="00FF60C4"/>
    <w:rsid w:val="00FF60C6"/>
    <w:rsid w:val="00FF6151"/>
    <w:rsid w:val="00FF620C"/>
    <w:rsid w:val="00FF6225"/>
    <w:rsid w:val="00FF624B"/>
    <w:rsid w:val="00FF6259"/>
    <w:rsid w:val="00FF6261"/>
    <w:rsid w:val="00FF62ED"/>
    <w:rsid w:val="00FF6316"/>
    <w:rsid w:val="00FF637F"/>
    <w:rsid w:val="00FF643E"/>
    <w:rsid w:val="00FF6495"/>
    <w:rsid w:val="00FF64C0"/>
    <w:rsid w:val="00FF64D8"/>
    <w:rsid w:val="00FF650F"/>
    <w:rsid w:val="00FF652C"/>
    <w:rsid w:val="00FF654E"/>
    <w:rsid w:val="00FF6584"/>
    <w:rsid w:val="00FF659E"/>
    <w:rsid w:val="00FF65B2"/>
    <w:rsid w:val="00FF666F"/>
    <w:rsid w:val="00FF6689"/>
    <w:rsid w:val="00FF66F5"/>
    <w:rsid w:val="00FF6707"/>
    <w:rsid w:val="00FF6714"/>
    <w:rsid w:val="00FF6784"/>
    <w:rsid w:val="00FF67D1"/>
    <w:rsid w:val="00FF686A"/>
    <w:rsid w:val="00FF68CA"/>
    <w:rsid w:val="00FF68D0"/>
    <w:rsid w:val="00FF694F"/>
    <w:rsid w:val="00FF6A11"/>
    <w:rsid w:val="00FF6AC8"/>
    <w:rsid w:val="00FF6B09"/>
    <w:rsid w:val="00FF6B9D"/>
    <w:rsid w:val="00FF6BFE"/>
    <w:rsid w:val="00FF6CA5"/>
    <w:rsid w:val="00FF6D42"/>
    <w:rsid w:val="00FF6D55"/>
    <w:rsid w:val="00FF6EA6"/>
    <w:rsid w:val="00FF6ECF"/>
    <w:rsid w:val="00FF6F14"/>
    <w:rsid w:val="00FF6F46"/>
    <w:rsid w:val="00FF6F5A"/>
    <w:rsid w:val="00FF6FBD"/>
    <w:rsid w:val="00FF6FDF"/>
    <w:rsid w:val="00FF7019"/>
    <w:rsid w:val="00FF709E"/>
    <w:rsid w:val="00FF70F7"/>
    <w:rsid w:val="00FF710B"/>
    <w:rsid w:val="00FF711B"/>
    <w:rsid w:val="00FF7131"/>
    <w:rsid w:val="00FF71BB"/>
    <w:rsid w:val="00FF72BE"/>
    <w:rsid w:val="00FF72C0"/>
    <w:rsid w:val="00FF72C1"/>
    <w:rsid w:val="00FF72CD"/>
    <w:rsid w:val="00FF72FC"/>
    <w:rsid w:val="00FF7369"/>
    <w:rsid w:val="00FF73D9"/>
    <w:rsid w:val="00FF73E1"/>
    <w:rsid w:val="00FF74A1"/>
    <w:rsid w:val="00FF74F9"/>
    <w:rsid w:val="00FF7509"/>
    <w:rsid w:val="00FF7526"/>
    <w:rsid w:val="00FF75A6"/>
    <w:rsid w:val="00FF75C2"/>
    <w:rsid w:val="00FF75C7"/>
    <w:rsid w:val="00FF75D6"/>
    <w:rsid w:val="00FF75E0"/>
    <w:rsid w:val="00FF7637"/>
    <w:rsid w:val="00FF76B4"/>
    <w:rsid w:val="00FF76C3"/>
    <w:rsid w:val="00FF77FA"/>
    <w:rsid w:val="00FF7869"/>
    <w:rsid w:val="00FF7873"/>
    <w:rsid w:val="00FF7982"/>
    <w:rsid w:val="00FF7A12"/>
    <w:rsid w:val="00FF7A49"/>
    <w:rsid w:val="00FF7A87"/>
    <w:rsid w:val="00FF7B4F"/>
    <w:rsid w:val="00FF7B70"/>
    <w:rsid w:val="00FF7BA4"/>
    <w:rsid w:val="00FF7CDA"/>
    <w:rsid w:val="00FF7D6B"/>
    <w:rsid w:val="00FF7E61"/>
    <w:rsid w:val="00FF7EF2"/>
    <w:rsid w:val="00FF7F5C"/>
    <w:rsid w:val="00FF7F85"/>
    <w:rsid w:val="0114E483"/>
    <w:rsid w:val="01294A12"/>
    <w:rsid w:val="01D0B011"/>
    <w:rsid w:val="024EAEA0"/>
    <w:rsid w:val="027CB3B2"/>
    <w:rsid w:val="0283B6C4"/>
    <w:rsid w:val="02F04F34"/>
    <w:rsid w:val="030F64C6"/>
    <w:rsid w:val="0346BAEA"/>
    <w:rsid w:val="037A7F9A"/>
    <w:rsid w:val="042333EC"/>
    <w:rsid w:val="042F59F9"/>
    <w:rsid w:val="04665791"/>
    <w:rsid w:val="04DC2717"/>
    <w:rsid w:val="05409161"/>
    <w:rsid w:val="05C6F72E"/>
    <w:rsid w:val="061B1E1D"/>
    <w:rsid w:val="066DDE10"/>
    <w:rsid w:val="068A49A5"/>
    <w:rsid w:val="06D6440C"/>
    <w:rsid w:val="0726DE6D"/>
    <w:rsid w:val="0729D862"/>
    <w:rsid w:val="07B778C3"/>
    <w:rsid w:val="07CC7336"/>
    <w:rsid w:val="07E1324D"/>
    <w:rsid w:val="08AEF046"/>
    <w:rsid w:val="08C0A36D"/>
    <w:rsid w:val="0916B21A"/>
    <w:rsid w:val="0934460F"/>
    <w:rsid w:val="09A40AB8"/>
    <w:rsid w:val="09D47198"/>
    <w:rsid w:val="09F183A3"/>
    <w:rsid w:val="09FA2C62"/>
    <w:rsid w:val="0A112034"/>
    <w:rsid w:val="0A19AA6E"/>
    <w:rsid w:val="0A2642EE"/>
    <w:rsid w:val="0A6C4B26"/>
    <w:rsid w:val="0AA44EAA"/>
    <w:rsid w:val="0AC27663"/>
    <w:rsid w:val="0AE4D82E"/>
    <w:rsid w:val="0B08FDA2"/>
    <w:rsid w:val="0B25F1E0"/>
    <w:rsid w:val="0B2955AE"/>
    <w:rsid w:val="0B66BD88"/>
    <w:rsid w:val="0B799DCA"/>
    <w:rsid w:val="0B811BB5"/>
    <w:rsid w:val="0B9984AB"/>
    <w:rsid w:val="0C21891F"/>
    <w:rsid w:val="0C373B20"/>
    <w:rsid w:val="0C52628C"/>
    <w:rsid w:val="0CB1206F"/>
    <w:rsid w:val="0CCC0300"/>
    <w:rsid w:val="0D0B2EE8"/>
    <w:rsid w:val="0D87DD37"/>
    <w:rsid w:val="0D95ECBB"/>
    <w:rsid w:val="0E342705"/>
    <w:rsid w:val="0E6FA41E"/>
    <w:rsid w:val="0E7A3227"/>
    <w:rsid w:val="0E7D96A4"/>
    <w:rsid w:val="0ED6A0DE"/>
    <w:rsid w:val="0EFA80F2"/>
    <w:rsid w:val="0F987DD0"/>
    <w:rsid w:val="1017311B"/>
    <w:rsid w:val="102ED375"/>
    <w:rsid w:val="108A75D7"/>
    <w:rsid w:val="11054DB6"/>
    <w:rsid w:val="119F451E"/>
    <w:rsid w:val="121FFD69"/>
    <w:rsid w:val="12F52583"/>
    <w:rsid w:val="1318E8CB"/>
    <w:rsid w:val="13196E9C"/>
    <w:rsid w:val="144A86EA"/>
    <w:rsid w:val="14BD0355"/>
    <w:rsid w:val="1575CE02"/>
    <w:rsid w:val="1580452B"/>
    <w:rsid w:val="15CD637A"/>
    <w:rsid w:val="1686487B"/>
    <w:rsid w:val="16C2E10E"/>
    <w:rsid w:val="16CD88CC"/>
    <w:rsid w:val="1715335B"/>
    <w:rsid w:val="1763DE14"/>
    <w:rsid w:val="1774E988"/>
    <w:rsid w:val="178BDEB8"/>
    <w:rsid w:val="17F76342"/>
    <w:rsid w:val="184098D0"/>
    <w:rsid w:val="18CA24A5"/>
    <w:rsid w:val="190F3055"/>
    <w:rsid w:val="1935FE72"/>
    <w:rsid w:val="195235A7"/>
    <w:rsid w:val="19606EB5"/>
    <w:rsid w:val="197E8DF1"/>
    <w:rsid w:val="19997243"/>
    <w:rsid w:val="1A85091B"/>
    <w:rsid w:val="1AAB1637"/>
    <w:rsid w:val="1AAD78AB"/>
    <w:rsid w:val="1AE38612"/>
    <w:rsid w:val="1AF0B70E"/>
    <w:rsid w:val="1B4E7E3A"/>
    <w:rsid w:val="1BC85431"/>
    <w:rsid w:val="1C0266D0"/>
    <w:rsid w:val="1C46946D"/>
    <w:rsid w:val="1C5511C6"/>
    <w:rsid w:val="1CB62E0D"/>
    <w:rsid w:val="1CF8E197"/>
    <w:rsid w:val="1D2F24F7"/>
    <w:rsid w:val="1DB47B08"/>
    <w:rsid w:val="1E40B3B0"/>
    <w:rsid w:val="1E4427A6"/>
    <w:rsid w:val="1E6B0C4F"/>
    <w:rsid w:val="1ED82BEC"/>
    <w:rsid w:val="1F1E92C3"/>
    <w:rsid w:val="1F392F89"/>
    <w:rsid w:val="206C370A"/>
    <w:rsid w:val="207CC995"/>
    <w:rsid w:val="215AB5E8"/>
    <w:rsid w:val="21952D0C"/>
    <w:rsid w:val="21977BBA"/>
    <w:rsid w:val="21C85C73"/>
    <w:rsid w:val="21D0E127"/>
    <w:rsid w:val="21FAC36F"/>
    <w:rsid w:val="224FD4D2"/>
    <w:rsid w:val="23200053"/>
    <w:rsid w:val="232D251F"/>
    <w:rsid w:val="23AC8B5B"/>
    <w:rsid w:val="23EF325B"/>
    <w:rsid w:val="23F5AE05"/>
    <w:rsid w:val="24C3A6D9"/>
    <w:rsid w:val="256992D5"/>
    <w:rsid w:val="25ACA27A"/>
    <w:rsid w:val="27547B2C"/>
    <w:rsid w:val="277D0AA5"/>
    <w:rsid w:val="2894488B"/>
    <w:rsid w:val="2914E1B9"/>
    <w:rsid w:val="2965A126"/>
    <w:rsid w:val="299BABA7"/>
    <w:rsid w:val="29F63CFB"/>
    <w:rsid w:val="2A012536"/>
    <w:rsid w:val="2A386E76"/>
    <w:rsid w:val="2A806EFE"/>
    <w:rsid w:val="2A8EDE57"/>
    <w:rsid w:val="2AB7CA1B"/>
    <w:rsid w:val="2BAE19CD"/>
    <w:rsid w:val="2BC32D3E"/>
    <w:rsid w:val="2C14DAD0"/>
    <w:rsid w:val="2C98F1CA"/>
    <w:rsid w:val="2CFA977D"/>
    <w:rsid w:val="2D534477"/>
    <w:rsid w:val="2D8A91C4"/>
    <w:rsid w:val="2DC29B77"/>
    <w:rsid w:val="2E6748BB"/>
    <w:rsid w:val="2F2D2233"/>
    <w:rsid w:val="2F93B17D"/>
    <w:rsid w:val="2FA21075"/>
    <w:rsid w:val="301EB0EE"/>
    <w:rsid w:val="304000ED"/>
    <w:rsid w:val="3093FCEC"/>
    <w:rsid w:val="30D8255B"/>
    <w:rsid w:val="3115BA52"/>
    <w:rsid w:val="317D3DC9"/>
    <w:rsid w:val="31BC8864"/>
    <w:rsid w:val="3291EE2A"/>
    <w:rsid w:val="3311C088"/>
    <w:rsid w:val="336C1DD5"/>
    <w:rsid w:val="33A1A7A0"/>
    <w:rsid w:val="33B036BA"/>
    <w:rsid w:val="341FA0DE"/>
    <w:rsid w:val="34465E75"/>
    <w:rsid w:val="3448FCBC"/>
    <w:rsid w:val="34685BA5"/>
    <w:rsid w:val="3476E01F"/>
    <w:rsid w:val="34BB8406"/>
    <w:rsid w:val="350D0097"/>
    <w:rsid w:val="3553A7C8"/>
    <w:rsid w:val="365D4C7B"/>
    <w:rsid w:val="36D0E418"/>
    <w:rsid w:val="373EB68A"/>
    <w:rsid w:val="382EFEE9"/>
    <w:rsid w:val="3907B12E"/>
    <w:rsid w:val="39313320"/>
    <w:rsid w:val="39899447"/>
    <w:rsid w:val="39FFC0D3"/>
    <w:rsid w:val="3A10078C"/>
    <w:rsid w:val="3AA8F599"/>
    <w:rsid w:val="3AAB650C"/>
    <w:rsid w:val="3AC56976"/>
    <w:rsid w:val="3AD79CA2"/>
    <w:rsid w:val="3B070AA1"/>
    <w:rsid w:val="3B936B0F"/>
    <w:rsid w:val="3BEEBF5A"/>
    <w:rsid w:val="3C0D0583"/>
    <w:rsid w:val="3C52FCED"/>
    <w:rsid w:val="3C617833"/>
    <w:rsid w:val="3C793991"/>
    <w:rsid w:val="3CC32C7D"/>
    <w:rsid w:val="3D78C6F6"/>
    <w:rsid w:val="3E2C6496"/>
    <w:rsid w:val="3EC1C090"/>
    <w:rsid w:val="3ED65363"/>
    <w:rsid w:val="3F33D3EF"/>
    <w:rsid w:val="3F3C32F3"/>
    <w:rsid w:val="3F921C27"/>
    <w:rsid w:val="3FBBFA0A"/>
    <w:rsid w:val="402415E1"/>
    <w:rsid w:val="40E9578B"/>
    <w:rsid w:val="41AECB86"/>
    <w:rsid w:val="41BB999E"/>
    <w:rsid w:val="420A8961"/>
    <w:rsid w:val="4237C120"/>
    <w:rsid w:val="4243A57A"/>
    <w:rsid w:val="4244A46C"/>
    <w:rsid w:val="4275C6FC"/>
    <w:rsid w:val="42BDCE54"/>
    <w:rsid w:val="42CBFEFB"/>
    <w:rsid w:val="43425ED3"/>
    <w:rsid w:val="43ADA96D"/>
    <w:rsid w:val="43BA0591"/>
    <w:rsid w:val="441665CA"/>
    <w:rsid w:val="443D19E6"/>
    <w:rsid w:val="4458E3C7"/>
    <w:rsid w:val="44E383A3"/>
    <w:rsid w:val="4556844E"/>
    <w:rsid w:val="4565DE1E"/>
    <w:rsid w:val="4588123B"/>
    <w:rsid w:val="45C6BC9C"/>
    <w:rsid w:val="471082F1"/>
    <w:rsid w:val="47BDC477"/>
    <w:rsid w:val="48071948"/>
    <w:rsid w:val="4845B872"/>
    <w:rsid w:val="49BCCA0F"/>
    <w:rsid w:val="4A81C4B0"/>
    <w:rsid w:val="4AB0E754"/>
    <w:rsid w:val="4C297136"/>
    <w:rsid w:val="4C7C7E27"/>
    <w:rsid w:val="4CB12696"/>
    <w:rsid w:val="4CBF5F36"/>
    <w:rsid w:val="4E1E0AE5"/>
    <w:rsid w:val="4E417063"/>
    <w:rsid w:val="4EA78FDE"/>
    <w:rsid w:val="4EAF79AD"/>
    <w:rsid w:val="4EE6717F"/>
    <w:rsid w:val="4EF6D4B3"/>
    <w:rsid w:val="4EF9689A"/>
    <w:rsid w:val="4F213EA4"/>
    <w:rsid w:val="4F277687"/>
    <w:rsid w:val="4F6665EB"/>
    <w:rsid w:val="4FBADB2C"/>
    <w:rsid w:val="4FFED3C2"/>
    <w:rsid w:val="5007AAEE"/>
    <w:rsid w:val="5095F414"/>
    <w:rsid w:val="5111A948"/>
    <w:rsid w:val="511E4235"/>
    <w:rsid w:val="515F3F69"/>
    <w:rsid w:val="5194FDE4"/>
    <w:rsid w:val="53073886"/>
    <w:rsid w:val="53555455"/>
    <w:rsid w:val="538CEFD8"/>
    <w:rsid w:val="5398DCEA"/>
    <w:rsid w:val="542D7538"/>
    <w:rsid w:val="54B66A19"/>
    <w:rsid w:val="54D14565"/>
    <w:rsid w:val="556BBF93"/>
    <w:rsid w:val="55CBB585"/>
    <w:rsid w:val="55E2A124"/>
    <w:rsid w:val="55EF4C05"/>
    <w:rsid w:val="56567DB7"/>
    <w:rsid w:val="56B4A86C"/>
    <w:rsid w:val="572802F7"/>
    <w:rsid w:val="573354D8"/>
    <w:rsid w:val="57514D75"/>
    <w:rsid w:val="578A47BD"/>
    <w:rsid w:val="57B3D3A6"/>
    <w:rsid w:val="57DB9207"/>
    <w:rsid w:val="580BF0E1"/>
    <w:rsid w:val="58A3937E"/>
    <w:rsid w:val="59536857"/>
    <w:rsid w:val="596E395B"/>
    <w:rsid w:val="59899D2B"/>
    <w:rsid w:val="598FC9CA"/>
    <w:rsid w:val="59BD892C"/>
    <w:rsid w:val="5A339A48"/>
    <w:rsid w:val="5B2D7140"/>
    <w:rsid w:val="5B799BDB"/>
    <w:rsid w:val="5B81F163"/>
    <w:rsid w:val="5C30C8D5"/>
    <w:rsid w:val="5CAE951B"/>
    <w:rsid w:val="5D0003A1"/>
    <w:rsid w:val="5D5C1CB1"/>
    <w:rsid w:val="5D71D0E3"/>
    <w:rsid w:val="5DFE8AF5"/>
    <w:rsid w:val="5E3F7F5F"/>
    <w:rsid w:val="5E4F0A8B"/>
    <w:rsid w:val="5E58419B"/>
    <w:rsid w:val="5EAFAA0D"/>
    <w:rsid w:val="5EC5357B"/>
    <w:rsid w:val="5EEE3BCD"/>
    <w:rsid w:val="5EFB0807"/>
    <w:rsid w:val="5FA00908"/>
    <w:rsid w:val="5FB06C22"/>
    <w:rsid w:val="5FCD80C2"/>
    <w:rsid w:val="606ADF9C"/>
    <w:rsid w:val="60750C85"/>
    <w:rsid w:val="608EE2DB"/>
    <w:rsid w:val="60E37A95"/>
    <w:rsid w:val="61495756"/>
    <w:rsid w:val="61819B56"/>
    <w:rsid w:val="61BDFAEB"/>
    <w:rsid w:val="62784E5C"/>
    <w:rsid w:val="62EB9F58"/>
    <w:rsid w:val="62ECB0F2"/>
    <w:rsid w:val="63036615"/>
    <w:rsid w:val="6306001F"/>
    <w:rsid w:val="634691F6"/>
    <w:rsid w:val="638A092A"/>
    <w:rsid w:val="6403C876"/>
    <w:rsid w:val="6418BA62"/>
    <w:rsid w:val="6478F6C4"/>
    <w:rsid w:val="649271BA"/>
    <w:rsid w:val="649944FC"/>
    <w:rsid w:val="64F57742"/>
    <w:rsid w:val="64FCD376"/>
    <w:rsid w:val="651F6831"/>
    <w:rsid w:val="655C7F3A"/>
    <w:rsid w:val="65CAB908"/>
    <w:rsid w:val="65CD1754"/>
    <w:rsid w:val="65DF4E46"/>
    <w:rsid w:val="66050D2A"/>
    <w:rsid w:val="66661180"/>
    <w:rsid w:val="6693F1B1"/>
    <w:rsid w:val="66E69591"/>
    <w:rsid w:val="670779A5"/>
    <w:rsid w:val="670D4393"/>
    <w:rsid w:val="6771D9C3"/>
    <w:rsid w:val="678DDF21"/>
    <w:rsid w:val="682157F3"/>
    <w:rsid w:val="683D337D"/>
    <w:rsid w:val="6888E500"/>
    <w:rsid w:val="693713F2"/>
    <w:rsid w:val="6992AFDE"/>
    <w:rsid w:val="69C3CDBA"/>
    <w:rsid w:val="69FF924A"/>
    <w:rsid w:val="6A18583B"/>
    <w:rsid w:val="6A50BF49"/>
    <w:rsid w:val="6A55FFC9"/>
    <w:rsid w:val="6A5F335F"/>
    <w:rsid w:val="6A7D65E5"/>
    <w:rsid w:val="6A8B3D5F"/>
    <w:rsid w:val="6B0F7027"/>
    <w:rsid w:val="6C489B03"/>
    <w:rsid w:val="6C9A544C"/>
    <w:rsid w:val="6CB76DCD"/>
    <w:rsid w:val="6CC0B777"/>
    <w:rsid w:val="6D2840FE"/>
    <w:rsid w:val="6D465A73"/>
    <w:rsid w:val="6DA42E19"/>
    <w:rsid w:val="6E5D9751"/>
    <w:rsid w:val="6E997127"/>
    <w:rsid w:val="6F94C788"/>
    <w:rsid w:val="6FC7B7FE"/>
    <w:rsid w:val="703C6A11"/>
    <w:rsid w:val="705BAFE7"/>
    <w:rsid w:val="70D83403"/>
    <w:rsid w:val="71274089"/>
    <w:rsid w:val="71DD695B"/>
    <w:rsid w:val="7259C6E5"/>
    <w:rsid w:val="72DC17A3"/>
    <w:rsid w:val="7330C3EE"/>
    <w:rsid w:val="74398DE5"/>
    <w:rsid w:val="74C30E7D"/>
    <w:rsid w:val="74FDA28B"/>
    <w:rsid w:val="7508A3A1"/>
    <w:rsid w:val="750AD15A"/>
    <w:rsid w:val="75EC5A36"/>
    <w:rsid w:val="75FE41EA"/>
    <w:rsid w:val="760CCF2B"/>
    <w:rsid w:val="763A5332"/>
    <w:rsid w:val="76405179"/>
    <w:rsid w:val="76448186"/>
    <w:rsid w:val="765BD67E"/>
    <w:rsid w:val="76ADF8CF"/>
    <w:rsid w:val="770B65AB"/>
    <w:rsid w:val="779BAAC4"/>
    <w:rsid w:val="780E0101"/>
    <w:rsid w:val="7851E3C9"/>
    <w:rsid w:val="78AD372A"/>
    <w:rsid w:val="78AF74A1"/>
    <w:rsid w:val="79115C9E"/>
    <w:rsid w:val="79262A32"/>
    <w:rsid w:val="7932F750"/>
    <w:rsid w:val="79CD81FE"/>
    <w:rsid w:val="7A40044E"/>
    <w:rsid w:val="7A4F002C"/>
    <w:rsid w:val="7A617B0A"/>
    <w:rsid w:val="7A6209FE"/>
    <w:rsid w:val="7A754B34"/>
    <w:rsid w:val="7B4F6585"/>
    <w:rsid w:val="7BCA1065"/>
    <w:rsid w:val="7C1A3528"/>
    <w:rsid w:val="7C303FBE"/>
    <w:rsid w:val="7C6BF4E2"/>
    <w:rsid w:val="7C778501"/>
    <w:rsid w:val="7CEFB3A3"/>
    <w:rsid w:val="7CFA2AE5"/>
    <w:rsid w:val="7DD5E8AF"/>
    <w:rsid w:val="7DE3BCD9"/>
    <w:rsid w:val="7E42ECE0"/>
    <w:rsid w:val="7E4CA54C"/>
    <w:rsid w:val="7E639F46"/>
    <w:rsid w:val="7E8C36D2"/>
    <w:rsid w:val="7F09FCFC"/>
    <w:rsid w:val="7FD8E6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110068"/>
  <w15:docId w15:val="{11DF8599-3C47-475E-9162-20A57310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260"/>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semiHidden/>
    <w:qFormat/>
    <w:rsid w:val="002E7385"/>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A92E17"/>
    <w:pPr>
      <w:numPr>
        <w:numId w:val="30"/>
      </w:numPr>
      <w:spacing w:after="120"/>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numPr>
        <w:numId w:val="8"/>
      </w:numPr>
    </w:pPr>
  </w:style>
  <w:style w:type="paragraph" w:customStyle="1" w:styleId="Heading2numbered">
    <w:name w:val="Heading 2 numbered"/>
    <w:basedOn w:val="Heading2"/>
    <w:next w:val="Normal"/>
    <w:qFormat/>
    <w:rsid w:val="005F5578"/>
    <w:pPr>
      <w:numPr>
        <w:ilvl w:val="1"/>
        <w:numId w:val="8"/>
      </w:numPr>
    </w:pPr>
  </w:style>
  <w:style w:type="numbering" w:customStyle="1" w:styleId="Bullet">
    <w:name w:val="Bullet"/>
    <w:uiPriority w:val="99"/>
    <w:rsid w:val="00DC2B59"/>
    <w:pPr>
      <w:numPr>
        <w:numId w:val="1"/>
      </w:numPr>
    </w:pPr>
  </w:style>
  <w:style w:type="numbering" w:customStyle="1" w:styleId="NumberedHeadings">
    <w:name w:val="Numbered Headings"/>
    <w:uiPriority w:val="99"/>
    <w:rsid w:val="005F5578"/>
    <w:pPr>
      <w:numPr>
        <w:numId w:val="2"/>
      </w:numPr>
    </w:pPr>
  </w:style>
  <w:style w:type="paragraph" w:styleId="ListBullet2">
    <w:name w:val="List Bullet 2"/>
    <w:basedOn w:val="Normal"/>
    <w:link w:val="ListBullet2Char"/>
    <w:uiPriority w:val="99"/>
    <w:unhideWhenUsed/>
    <w:qFormat/>
    <w:rsid w:val="00685ADD"/>
    <w:pPr>
      <w:numPr>
        <w:numId w:val="31"/>
      </w:numPr>
      <w:tabs>
        <w:tab w:val="num" w:pos="643"/>
      </w:tabs>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547B9B"/>
    <w:pPr>
      <w:tabs>
        <w:tab w:val="left" w:pos="851"/>
      </w:tabs>
      <w:ind w:left="284" w:hanging="284"/>
    </w:pPr>
    <w:rPr>
      <w:b w:val="0"/>
      <w:bCs/>
      <w:noProof/>
    </w:rPr>
  </w:style>
  <w:style w:type="paragraph" w:styleId="TOC1">
    <w:name w:val="toc 1"/>
    <w:basedOn w:val="Normal"/>
    <w:next w:val="Normal"/>
    <w:autoRedefine/>
    <w:uiPriority w:val="39"/>
    <w:rsid w:val="00936B74"/>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qFormat/>
    <w:rsid w:val="00DC2B59"/>
    <w:pPr>
      <w:contextualSpacing/>
    </w:pPr>
  </w:style>
  <w:style w:type="paragraph" w:styleId="ListBullet3">
    <w:name w:val="List Bullet 3"/>
    <w:basedOn w:val="Normal"/>
    <w:uiPriority w:val="99"/>
    <w:unhideWhenUsed/>
    <w:rsid w:val="00DC2B59"/>
    <w:p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3"/>
      </w:numPr>
    </w:pPr>
  </w:style>
  <w:style w:type="paragraph" w:customStyle="1" w:styleId="ListLetters">
    <w:name w:val="List Letters"/>
    <w:link w:val="ListLettersChar"/>
    <w:qFormat/>
    <w:rsid w:val="00CF34D6"/>
    <w:pPr>
      <w:numPr>
        <w:numId w:val="5"/>
      </w:numPr>
      <w:spacing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
    <w:rsid w:val="00CF34D6"/>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936B74"/>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4"/>
      </w:numPr>
    </w:pPr>
  </w:style>
  <w:style w:type="paragraph" w:customStyle="1" w:styleId="TableBullet2">
    <w:name w:val="Table Bullet 2"/>
    <w:basedOn w:val="ListBullet2"/>
    <w:link w:val="TableBullet2Char"/>
    <w:qFormat/>
    <w:rsid w:val="00E03B00"/>
    <w:pPr>
      <w:numPr>
        <w:ilvl w:val="1"/>
        <w:numId w:val="4"/>
      </w:numPr>
      <w:spacing w:after="0"/>
    </w:pPr>
  </w:style>
  <w:style w:type="character" w:customStyle="1" w:styleId="ListBulletChar">
    <w:name w:val="List Bullet Char"/>
    <w:basedOn w:val="DefaultParagraphFont"/>
    <w:link w:val="ListBullet"/>
    <w:uiPriority w:val="99"/>
    <w:rsid w:val="00A92E17"/>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4"/>
      </w:numPr>
    </w:pPr>
  </w:style>
  <w:style w:type="character" w:customStyle="1" w:styleId="ListBullet2Char">
    <w:name w:val="List Bullet 2 Char"/>
    <w:basedOn w:val="DefaultParagraphFont"/>
    <w:link w:val="ListBullet2"/>
    <w:uiPriority w:val="99"/>
    <w:rsid w:val="00685ADD"/>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497D80"/>
    <w:pPr>
      <w:keepLines/>
      <w:spacing w:after="0" w:line="240" w:lineRule="auto"/>
    </w:pPr>
    <w:rPr>
      <w:sz w:val="18"/>
      <w:szCs w:val="20"/>
    </w:rPr>
  </w:style>
  <w:style w:type="character" w:customStyle="1" w:styleId="FootnoteTextChar">
    <w:name w:val="Footnote Text Char"/>
    <w:basedOn w:val="DefaultParagraphFont"/>
    <w:link w:val="FootnoteText"/>
    <w:uiPriority w:val="99"/>
    <w:rsid w:val="00497D80"/>
    <w:rPr>
      <w:sz w:val="18"/>
      <w:szCs w:val="20"/>
      <w:lang w:val="en-AU"/>
    </w:rPr>
  </w:style>
  <w:style w:type="character" w:styleId="FootnoteReference">
    <w:name w:val="footnote reference"/>
    <w:basedOn w:val="DefaultParagraphFont"/>
    <w:uiPriority w:val="99"/>
    <w:unhideWhenUsed/>
    <w:rsid w:val="00E9393A"/>
    <w:rPr>
      <w:vertAlign w:val="superscript"/>
    </w:rPr>
  </w:style>
  <w:style w:type="paragraph" w:customStyle="1" w:styleId="Figure-Table-BoxHeading">
    <w:name w:val="Figure-Table-Box Heading"/>
    <w:link w:val="Figure-Table-BoxHeadingChar"/>
    <w:qFormat/>
    <w:rsid w:val="00CF34D6"/>
    <w:pPr>
      <w:numPr>
        <w:ilvl w:val="3"/>
        <w:numId w:val="8"/>
      </w:numPr>
      <w:spacing w:before="120" w:after="120" w:line="432" w:lineRule="auto"/>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numPr>
        <w:ilvl w:val="0"/>
        <w:numId w:val="0"/>
      </w:numPr>
      <w:ind w:left="851"/>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numPr>
        <w:ilvl w:val="2"/>
        <w:numId w:val="8"/>
      </w:numPr>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0">
    <w:name w:val="ListLetters"/>
    <w:uiPriority w:val="99"/>
    <w:rsid w:val="009B583F"/>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2B1C0E"/>
    <w:pPr>
      <w:numPr>
        <w:numId w:val="6"/>
      </w:numPr>
    </w:pPr>
  </w:style>
  <w:style w:type="paragraph" w:customStyle="1" w:styleId="Pull-outBullet2">
    <w:name w:val="Pull-out Bullet 2"/>
    <w:basedOn w:val="Pull-outBullet1"/>
    <w:qFormat/>
    <w:rsid w:val="00ED1FC3"/>
  </w:style>
  <w:style w:type="paragraph" w:customStyle="1" w:styleId="Pull-outListNumber1">
    <w:name w:val="Pull-out List Number 1"/>
    <w:basedOn w:val="Pull-outBullet2"/>
    <w:qFormat/>
    <w:rsid w:val="00BD19DB"/>
  </w:style>
  <w:style w:type="paragraph" w:customStyle="1" w:styleId="Pull-outListNumber2">
    <w:name w:val="Pull-out List Number 2"/>
    <w:basedOn w:val="Pull-outListNumber1"/>
    <w:qFormat/>
    <w:rsid w:val="00BD19DB"/>
    <w:pPr>
      <w:tabs>
        <w:tab w:val="num" w:pos="2880"/>
      </w:tabs>
      <w:ind w:left="765" w:hanging="567"/>
    </w:pPr>
  </w:style>
  <w:style w:type="numbering" w:customStyle="1" w:styleId="Pull-outlists">
    <w:name w:val="Pull-out lists"/>
    <w:uiPriority w:val="99"/>
    <w:rsid w:val="00BD19DB"/>
    <w:pPr>
      <w:numPr>
        <w:numId w:val="6"/>
      </w:numPr>
    </w:pPr>
  </w:style>
  <w:style w:type="paragraph" w:styleId="TOC4">
    <w:name w:val="toc 4"/>
    <w:basedOn w:val="Normal"/>
    <w:next w:val="Normal"/>
    <w:autoRedefine/>
    <w:uiPriority w:val="39"/>
    <w:rsid w:val="00A211EB"/>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936B74"/>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936B74"/>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semiHidden/>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F260CA"/>
    <w:rPr>
      <w:color w:val="FF4895" w:themeColor="accent2" w:themeTint="99"/>
    </w:rPr>
  </w:style>
  <w:style w:type="paragraph" w:styleId="TOC7">
    <w:name w:val="toc 7"/>
    <w:basedOn w:val="Normal"/>
    <w:next w:val="Normal"/>
    <w:autoRedefine/>
    <w:uiPriority w:val="39"/>
    <w:unhideWhenUsed/>
    <w:rsid w:val="00936B74"/>
    <w:pPr>
      <w:spacing w:before="40" w:after="40" w:line="288" w:lineRule="auto"/>
      <w:ind w:left="1321"/>
    </w:pPr>
  </w:style>
  <w:style w:type="paragraph" w:styleId="TOC8">
    <w:name w:val="toc 8"/>
    <w:basedOn w:val="Normal"/>
    <w:next w:val="Normal"/>
    <w:autoRedefine/>
    <w:uiPriority w:val="39"/>
    <w:unhideWhenUsed/>
    <w:rsid w:val="00936B74"/>
    <w:pPr>
      <w:spacing w:before="40" w:after="40" w:line="288" w:lineRule="auto"/>
      <w:ind w:left="1542"/>
    </w:pPr>
  </w:style>
  <w:style w:type="paragraph" w:styleId="TOC9">
    <w:name w:val="toc 9"/>
    <w:basedOn w:val="Normal"/>
    <w:next w:val="Normal"/>
    <w:autoRedefine/>
    <w:uiPriority w:val="39"/>
    <w:unhideWhenUsed/>
    <w:rsid w:val="00936B74"/>
    <w:pPr>
      <w:spacing w:before="40" w:after="40" w:line="288" w:lineRule="auto"/>
      <w:ind w:left="1758"/>
    </w:pPr>
  </w:style>
  <w:style w:type="character" w:styleId="CommentReference">
    <w:name w:val="annotation reference"/>
    <w:basedOn w:val="DefaultParagraphFont"/>
    <w:uiPriority w:val="99"/>
    <w:rsid w:val="00697BE3"/>
    <w:rPr>
      <w:sz w:val="16"/>
      <w:szCs w:val="16"/>
    </w:rPr>
  </w:style>
  <w:style w:type="paragraph" w:styleId="CommentText">
    <w:name w:val="annotation text"/>
    <w:basedOn w:val="Normal"/>
    <w:link w:val="CommentTextChar"/>
    <w:uiPriority w:val="99"/>
    <w:unhideWhenUsed/>
    <w:rsid w:val="00697BE3"/>
    <w:pPr>
      <w:spacing w:before="0" w:after="0" w:line="240" w:lineRule="auto"/>
    </w:pPr>
    <w:rPr>
      <w:rFonts w:ascii="Arial" w:eastAsia="Arial" w:hAnsi="Arial" w:cs="Arial"/>
      <w:sz w:val="20"/>
      <w:szCs w:val="20"/>
      <w:lang w:val="en-US"/>
    </w:rPr>
  </w:style>
  <w:style w:type="character" w:customStyle="1" w:styleId="CommentTextChar">
    <w:name w:val="Comment Text Char"/>
    <w:basedOn w:val="DefaultParagraphFont"/>
    <w:link w:val="CommentText"/>
    <w:uiPriority w:val="99"/>
    <w:rsid w:val="00697BE3"/>
    <w:rPr>
      <w:rFonts w:ascii="Arial" w:eastAsia="Arial" w:hAnsi="Arial" w:cs="Arial"/>
      <w:sz w:val="20"/>
      <w:szCs w:val="20"/>
    </w:rPr>
  </w:style>
  <w:style w:type="character" w:styleId="Mention">
    <w:name w:val="Mention"/>
    <w:basedOn w:val="DefaultParagraphFont"/>
    <w:uiPriority w:val="99"/>
    <w:unhideWhenUsed/>
    <w:rsid w:val="00697BE3"/>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217335"/>
    <w:pPr>
      <w:spacing w:before="160" w:after="160"/>
    </w:pPr>
    <w:rPr>
      <w:rFonts w:asciiTheme="minorHAnsi" w:eastAsiaTheme="minorHAnsi" w:hAnsiTheme="minorHAnsi" w:cstheme="minorBidi"/>
      <w:b/>
      <w:bCs/>
      <w:lang w:val="en-AU"/>
    </w:rPr>
  </w:style>
  <w:style w:type="character" w:customStyle="1" w:styleId="CommentSubjectChar">
    <w:name w:val="Comment Subject Char"/>
    <w:basedOn w:val="CommentTextChar"/>
    <w:link w:val="CommentSubject"/>
    <w:uiPriority w:val="99"/>
    <w:semiHidden/>
    <w:rsid w:val="00217335"/>
    <w:rPr>
      <w:rFonts w:ascii="Arial" w:eastAsia="Arial" w:hAnsi="Arial" w:cs="Arial"/>
      <w:b/>
      <w:bCs/>
      <w:sz w:val="20"/>
      <w:szCs w:val="20"/>
      <w:lang w:val="en-AU"/>
    </w:rPr>
  </w:style>
  <w:style w:type="table" w:styleId="ListTable4-Accent5">
    <w:name w:val="List Table 4 Accent 5"/>
    <w:basedOn w:val="TableNormal"/>
    <w:uiPriority w:val="49"/>
    <w:rsid w:val="00F74C2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52A489" w:themeColor="accent5" w:themeTint="99"/>
        <w:left w:val="single" w:sz="4" w:space="0" w:color="52A489" w:themeColor="accent5" w:themeTint="99"/>
        <w:bottom w:val="single" w:sz="4" w:space="0" w:color="52A489" w:themeColor="accent5" w:themeTint="99"/>
        <w:right w:val="single" w:sz="4" w:space="0" w:color="52A489" w:themeColor="accent5" w:themeTint="99"/>
        <w:insideH w:val="single" w:sz="4" w:space="0" w:color="52A489" w:themeColor="accent5" w:themeTint="99"/>
      </w:tblBorders>
    </w:tblPr>
    <w:tblStylePr w:type="firstRow">
      <w:rPr>
        <w:b/>
        <w:bCs/>
        <w:color w:val="FFFFFF" w:themeColor="background1"/>
      </w:rPr>
      <w:tblPr/>
      <w:tcPr>
        <w:tcBorders>
          <w:top w:val="single" w:sz="4" w:space="0" w:color="183028" w:themeColor="accent5"/>
          <w:left w:val="single" w:sz="4" w:space="0" w:color="183028" w:themeColor="accent5"/>
          <w:bottom w:val="single" w:sz="4" w:space="0" w:color="183028" w:themeColor="accent5"/>
          <w:right w:val="single" w:sz="4" w:space="0" w:color="183028" w:themeColor="accent5"/>
          <w:insideH w:val="nil"/>
        </w:tcBorders>
        <w:shd w:val="clear" w:color="auto" w:fill="183028" w:themeFill="accent5"/>
      </w:tcPr>
    </w:tblStylePr>
    <w:tblStylePr w:type="lastRow">
      <w:rPr>
        <w:b/>
        <w:bCs/>
      </w:rPr>
      <w:tblPr/>
      <w:tcPr>
        <w:tcBorders>
          <w:top w:val="double" w:sz="4" w:space="0" w:color="52A489" w:themeColor="accent5" w:themeTint="99"/>
        </w:tcBorders>
      </w:tcPr>
    </w:tblStylePr>
    <w:tblStylePr w:type="firstCol">
      <w:rPr>
        <w:b/>
        <w:bCs/>
      </w:rPr>
    </w:tblStylePr>
    <w:tblStylePr w:type="lastCol">
      <w:rPr>
        <w:b/>
        <w:bCs/>
      </w:rPr>
    </w:tblStylePr>
    <w:tblStylePr w:type="band1Vert">
      <w:tblPr/>
      <w:tcPr>
        <w:shd w:val="clear" w:color="auto" w:fill="C4E1D8" w:themeFill="accent5" w:themeFillTint="33"/>
      </w:tcPr>
    </w:tblStylePr>
    <w:tblStylePr w:type="band1Horz">
      <w:tblPr/>
      <w:tcPr>
        <w:shd w:val="clear" w:color="auto" w:fill="C4E1D8" w:themeFill="accent5" w:themeFillTint="33"/>
      </w:tcPr>
    </w:tblStylePr>
  </w:style>
  <w:style w:type="table" w:styleId="ListTable6Colorful-Accent3">
    <w:name w:val="List Table 6 Colorful Accent 3"/>
    <w:basedOn w:val="TableNormal"/>
    <w:uiPriority w:val="51"/>
    <w:rsid w:val="0090300B"/>
    <w:pPr>
      <w:spacing w:after="0" w:line="240" w:lineRule="auto"/>
    </w:pPr>
    <w:rPr>
      <w:color w:val="366477" w:themeColor="accent3" w:themeShade="BF"/>
    </w:rPr>
    <w:tblPr>
      <w:tblStyleRowBandSize w:val="1"/>
      <w:tblStyleColBandSize w:val="1"/>
      <w:tblBorders>
        <w:top w:val="single" w:sz="4" w:space="0" w:color="4986A0" w:themeColor="accent3"/>
        <w:bottom w:val="single" w:sz="4" w:space="0" w:color="4986A0" w:themeColor="accent3"/>
      </w:tblBorders>
    </w:tblPr>
    <w:tblStylePr w:type="firstRow">
      <w:rPr>
        <w:b/>
        <w:bCs/>
      </w:rPr>
      <w:tblPr/>
      <w:tcPr>
        <w:tcBorders>
          <w:bottom w:val="single" w:sz="4" w:space="0" w:color="4986A0" w:themeColor="accent3"/>
        </w:tcBorders>
      </w:tcPr>
    </w:tblStylePr>
    <w:tblStylePr w:type="lastRow">
      <w:rPr>
        <w:b/>
        <w:bCs/>
      </w:rPr>
      <w:tblPr/>
      <w:tcPr>
        <w:tcBorders>
          <w:top w:val="double" w:sz="4" w:space="0" w:color="4986A0" w:themeColor="accent3"/>
        </w:tcBorders>
      </w:tcPr>
    </w:tblStylePr>
    <w:tblStylePr w:type="firstCol">
      <w:rPr>
        <w:b/>
        <w:bCs/>
      </w:rPr>
    </w:tblStylePr>
    <w:tblStylePr w:type="lastCol">
      <w:rPr>
        <w:b/>
        <w:bCs/>
      </w:rPr>
    </w:tblStylePr>
    <w:tblStylePr w:type="band1Vert">
      <w:tblPr/>
      <w:tcPr>
        <w:shd w:val="clear" w:color="auto" w:fill="D8E7ED" w:themeFill="accent3" w:themeFillTint="33"/>
      </w:tcPr>
    </w:tblStylePr>
    <w:tblStylePr w:type="band1Horz">
      <w:tblPr/>
      <w:tcPr>
        <w:shd w:val="clear" w:color="auto" w:fill="D8E7ED" w:themeFill="accent3" w:themeFillTint="33"/>
      </w:tcPr>
    </w:tblStylePr>
  </w:style>
  <w:style w:type="paragraph" w:styleId="Revision">
    <w:name w:val="Revision"/>
    <w:hidden/>
    <w:uiPriority w:val="99"/>
    <w:semiHidden/>
    <w:rsid w:val="00170D40"/>
    <w:pPr>
      <w:spacing w:after="0" w:line="240" w:lineRule="auto"/>
    </w:pPr>
    <w:rPr>
      <w:lang w:val="en-AU"/>
    </w:rPr>
  </w:style>
  <w:style w:type="character" w:styleId="UnresolvedMention">
    <w:name w:val="Unresolved Mention"/>
    <w:basedOn w:val="DefaultParagraphFont"/>
    <w:uiPriority w:val="99"/>
    <w:semiHidden/>
    <w:unhideWhenUsed/>
    <w:rsid w:val="00962EC5"/>
    <w:rPr>
      <w:color w:val="605E5C"/>
      <w:shd w:val="clear" w:color="auto" w:fill="E1DFDD"/>
    </w:rPr>
  </w:style>
  <w:style w:type="character" w:styleId="FollowedHyperlink">
    <w:name w:val="FollowedHyperlink"/>
    <w:basedOn w:val="DefaultParagraphFont"/>
    <w:uiPriority w:val="99"/>
    <w:semiHidden/>
    <w:unhideWhenUsed/>
    <w:rsid w:val="00DA5431"/>
    <w:rPr>
      <w:color w:val="000000" w:themeColor="followedHyperlink"/>
      <w:u w:val="single"/>
    </w:rPr>
  </w:style>
  <w:style w:type="paragraph" w:styleId="NormalWeb">
    <w:name w:val="Normal (Web)"/>
    <w:basedOn w:val="Normal"/>
    <w:uiPriority w:val="99"/>
    <w:semiHidden/>
    <w:unhideWhenUsed/>
    <w:rsid w:val="00DE5E1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396">
      <w:bodyDiv w:val="1"/>
      <w:marLeft w:val="0"/>
      <w:marRight w:val="0"/>
      <w:marTop w:val="0"/>
      <w:marBottom w:val="0"/>
      <w:divBdr>
        <w:top w:val="none" w:sz="0" w:space="0" w:color="auto"/>
        <w:left w:val="none" w:sz="0" w:space="0" w:color="auto"/>
        <w:bottom w:val="none" w:sz="0" w:space="0" w:color="auto"/>
        <w:right w:val="none" w:sz="0" w:space="0" w:color="auto"/>
      </w:divBdr>
      <w:divsChild>
        <w:div w:id="1759248574">
          <w:marLeft w:val="446"/>
          <w:marRight w:val="0"/>
          <w:marTop w:val="120"/>
          <w:marBottom w:val="120"/>
          <w:divBdr>
            <w:top w:val="none" w:sz="0" w:space="0" w:color="auto"/>
            <w:left w:val="none" w:sz="0" w:space="0" w:color="auto"/>
            <w:bottom w:val="none" w:sz="0" w:space="0" w:color="auto"/>
            <w:right w:val="none" w:sz="0" w:space="0" w:color="auto"/>
          </w:divBdr>
        </w:div>
      </w:divsChild>
    </w:div>
    <w:div w:id="7756692">
      <w:bodyDiv w:val="1"/>
      <w:marLeft w:val="0"/>
      <w:marRight w:val="0"/>
      <w:marTop w:val="0"/>
      <w:marBottom w:val="0"/>
      <w:divBdr>
        <w:top w:val="none" w:sz="0" w:space="0" w:color="auto"/>
        <w:left w:val="none" w:sz="0" w:space="0" w:color="auto"/>
        <w:bottom w:val="none" w:sz="0" w:space="0" w:color="auto"/>
        <w:right w:val="none" w:sz="0" w:space="0" w:color="auto"/>
      </w:divBdr>
    </w:div>
    <w:div w:id="26571181">
      <w:bodyDiv w:val="1"/>
      <w:marLeft w:val="0"/>
      <w:marRight w:val="0"/>
      <w:marTop w:val="0"/>
      <w:marBottom w:val="0"/>
      <w:divBdr>
        <w:top w:val="none" w:sz="0" w:space="0" w:color="auto"/>
        <w:left w:val="none" w:sz="0" w:space="0" w:color="auto"/>
        <w:bottom w:val="none" w:sz="0" w:space="0" w:color="auto"/>
        <w:right w:val="none" w:sz="0" w:space="0" w:color="auto"/>
      </w:divBdr>
    </w:div>
    <w:div w:id="81417520">
      <w:bodyDiv w:val="1"/>
      <w:marLeft w:val="0"/>
      <w:marRight w:val="0"/>
      <w:marTop w:val="0"/>
      <w:marBottom w:val="0"/>
      <w:divBdr>
        <w:top w:val="none" w:sz="0" w:space="0" w:color="auto"/>
        <w:left w:val="none" w:sz="0" w:space="0" w:color="auto"/>
        <w:bottom w:val="none" w:sz="0" w:space="0" w:color="auto"/>
        <w:right w:val="none" w:sz="0" w:space="0" w:color="auto"/>
      </w:divBdr>
    </w:div>
    <w:div w:id="105003504">
      <w:bodyDiv w:val="1"/>
      <w:marLeft w:val="0"/>
      <w:marRight w:val="0"/>
      <w:marTop w:val="0"/>
      <w:marBottom w:val="0"/>
      <w:divBdr>
        <w:top w:val="none" w:sz="0" w:space="0" w:color="auto"/>
        <w:left w:val="none" w:sz="0" w:space="0" w:color="auto"/>
        <w:bottom w:val="none" w:sz="0" w:space="0" w:color="auto"/>
        <w:right w:val="none" w:sz="0" w:space="0" w:color="auto"/>
      </w:divBdr>
    </w:div>
    <w:div w:id="212431861">
      <w:bodyDiv w:val="1"/>
      <w:marLeft w:val="0"/>
      <w:marRight w:val="0"/>
      <w:marTop w:val="0"/>
      <w:marBottom w:val="0"/>
      <w:divBdr>
        <w:top w:val="none" w:sz="0" w:space="0" w:color="auto"/>
        <w:left w:val="none" w:sz="0" w:space="0" w:color="auto"/>
        <w:bottom w:val="none" w:sz="0" w:space="0" w:color="auto"/>
        <w:right w:val="none" w:sz="0" w:space="0" w:color="auto"/>
      </w:divBdr>
    </w:div>
    <w:div w:id="227112846">
      <w:bodyDiv w:val="1"/>
      <w:marLeft w:val="0"/>
      <w:marRight w:val="0"/>
      <w:marTop w:val="0"/>
      <w:marBottom w:val="0"/>
      <w:divBdr>
        <w:top w:val="none" w:sz="0" w:space="0" w:color="auto"/>
        <w:left w:val="none" w:sz="0" w:space="0" w:color="auto"/>
        <w:bottom w:val="none" w:sz="0" w:space="0" w:color="auto"/>
        <w:right w:val="none" w:sz="0" w:space="0" w:color="auto"/>
      </w:divBdr>
      <w:divsChild>
        <w:div w:id="887882068">
          <w:marLeft w:val="0"/>
          <w:marRight w:val="0"/>
          <w:marTop w:val="0"/>
          <w:marBottom w:val="0"/>
          <w:divBdr>
            <w:top w:val="none" w:sz="0" w:space="0" w:color="auto"/>
            <w:left w:val="none" w:sz="0" w:space="0" w:color="auto"/>
            <w:bottom w:val="none" w:sz="0" w:space="0" w:color="auto"/>
            <w:right w:val="none" w:sz="0" w:space="0" w:color="auto"/>
          </w:divBdr>
          <w:divsChild>
            <w:div w:id="15306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7117">
      <w:bodyDiv w:val="1"/>
      <w:marLeft w:val="0"/>
      <w:marRight w:val="0"/>
      <w:marTop w:val="0"/>
      <w:marBottom w:val="0"/>
      <w:divBdr>
        <w:top w:val="none" w:sz="0" w:space="0" w:color="auto"/>
        <w:left w:val="none" w:sz="0" w:space="0" w:color="auto"/>
        <w:bottom w:val="none" w:sz="0" w:space="0" w:color="auto"/>
        <w:right w:val="none" w:sz="0" w:space="0" w:color="auto"/>
      </w:divBdr>
    </w:div>
    <w:div w:id="288705022">
      <w:bodyDiv w:val="1"/>
      <w:marLeft w:val="0"/>
      <w:marRight w:val="0"/>
      <w:marTop w:val="0"/>
      <w:marBottom w:val="0"/>
      <w:divBdr>
        <w:top w:val="none" w:sz="0" w:space="0" w:color="auto"/>
        <w:left w:val="none" w:sz="0" w:space="0" w:color="auto"/>
        <w:bottom w:val="none" w:sz="0" w:space="0" w:color="auto"/>
        <w:right w:val="none" w:sz="0" w:space="0" w:color="auto"/>
      </w:divBdr>
    </w:div>
    <w:div w:id="290596360">
      <w:bodyDiv w:val="1"/>
      <w:marLeft w:val="0"/>
      <w:marRight w:val="0"/>
      <w:marTop w:val="0"/>
      <w:marBottom w:val="0"/>
      <w:divBdr>
        <w:top w:val="none" w:sz="0" w:space="0" w:color="auto"/>
        <w:left w:val="none" w:sz="0" w:space="0" w:color="auto"/>
        <w:bottom w:val="none" w:sz="0" w:space="0" w:color="auto"/>
        <w:right w:val="none" w:sz="0" w:space="0" w:color="auto"/>
      </w:divBdr>
      <w:divsChild>
        <w:div w:id="260643898">
          <w:marLeft w:val="288"/>
          <w:marRight w:val="0"/>
          <w:marTop w:val="0"/>
          <w:marBottom w:val="60"/>
          <w:divBdr>
            <w:top w:val="none" w:sz="0" w:space="0" w:color="auto"/>
            <w:left w:val="none" w:sz="0" w:space="0" w:color="auto"/>
            <w:bottom w:val="none" w:sz="0" w:space="0" w:color="auto"/>
            <w:right w:val="none" w:sz="0" w:space="0" w:color="auto"/>
          </w:divBdr>
        </w:div>
        <w:div w:id="334769576">
          <w:marLeft w:val="288"/>
          <w:marRight w:val="0"/>
          <w:marTop w:val="0"/>
          <w:marBottom w:val="60"/>
          <w:divBdr>
            <w:top w:val="none" w:sz="0" w:space="0" w:color="auto"/>
            <w:left w:val="none" w:sz="0" w:space="0" w:color="auto"/>
            <w:bottom w:val="none" w:sz="0" w:space="0" w:color="auto"/>
            <w:right w:val="none" w:sz="0" w:space="0" w:color="auto"/>
          </w:divBdr>
        </w:div>
        <w:div w:id="861482319">
          <w:marLeft w:val="288"/>
          <w:marRight w:val="0"/>
          <w:marTop w:val="0"/>
          <w:marBottom w:val="60"/>
          <w:divBdr>
            <w:top w:val="none" w:sz="0" w:space="0" w:color="auto"/>
            <w:left w:val="none" w:sz="0" w:space="0" w:color="auto"/>
            <w:bottom w:val="none" w:sz="0" w:space="0" w:color="auto"/>
            <w:right w:val="none" w:sz="0" w:space="0" w:color="auto"/>
          </w:divBdr>
        </w:div>
        <w:div w:id="1693144039">
          <w:marLeft w:val="288"/>
          <w:marRight w:val="0"/>
          <w:marTop w:val="0"/>
          <w:marBottom w:val="60"/>
          <w:divBdr>
            <w:top w:val="none" w:sz="0" w:space="0" w:color="auto"/>
            <w:left w:val="none" w:sz="0" w:space="0" w:color="auto"/>
            <w:bottom w:val="none" w:sz="0" w:space="0" w:color="auto"/>
            <w:right w:val="none" w:sz="0" w:space="0" w:color="auto"/>
          </w:divBdr>
        </w:div>
        <w:div w:id="2048094180">
          <w:marLeft w:val="288"/>
          <w:marRight w:val="0"/>
          <w:marTop w:val="0"/>
          <w:marBottom w:val="60"/>
          <w:divBdr>
            <w:top w:val="none" w:sz="0" w:space="0" w:color="auto"/>
            <w:left w:val="none" w:sz="0" w:space="0" w:color="auto"/>
            <w:bottom w:val="none" w:sz="0" w:space="0" w:color="auto"/>
            <w:right w:val="none" w:sz="0" w:space="0" w:color="auto"/>
          </w:divBdr>
        </w:div>
      </w:divsChild>
    </w:div>
    <w:div w:id="314839064">
      <w:bodyDiv w:val="1"/>
      <w:marLeft w:val="0"/>
      <w:marRight w:val="0"/>
      <w:marTop w:val="0"/>
      <w:marBottom w:val="0"/>
      <w:divBdr>
        <w:top w:val="none" w:sz="0" w:space="0" w:color="auto"/>
        <w:left w:val="none" w:sz="0" w:space="0" w:color="auto"/>
        <w:bottom w:val="none" w:sz="0" w:space="0" w:color="auto"/>
        <w:right w:val="none" w:sz="0" w:space="0" w:color="auto"/>
      </w:divBdr>
    </w:div>
    <w:div w:id="318996144">
      <w:bodyDiv w:val="1"/>
      <w:marLeft w:val="0"/>
      <w:marRight w:val="0"/>
      <w:marTop w:val="0"/>
      <w:marBottom w:val="0"/>
      <w:divBdr>
        <w:top w:val="none" w:sz="0" w:space="0" w:color="auto"/>
        <w:left w:val="none" w:sz="0" w:space="0" w:color="auto"/>
        <w:bottom w:val="none" w:sz="0" w:space="0" w:color="auto"/>
        <w:right w:val="none" w:sz="0" w:space="0" w:color="auto"/>
      </w:divBdr>
    </w:div>
    <w:div w:id="367264565">
      <w:bodyDiv w:val="1"/>
      <w:marLeft w:val="0"/>
      <w:marRight w:val="0"/>
      <w:marTop w:val="0"/>
      <w:marBottom w:val="0"/>
      <w:divBdr>
        <w:top w:val="none" w:sz="0" w:space="0" w:color="auto"/>
        <w:left w:val="none" w:sz="0" w:space="0" w:color="auto"/>
        <w:bottom w:val="none" w:sz="0" w:space="0" w:color="auto"/>
        <w:right w:val="none" w:sz="0" w:space="0" w:color="auto"/>
      </w:divBdr>
    </w:div>
    <w:div w:id="368454070">
      <w:bodyDiv w:val="1"/>
      <w:marLeft w:val="0"/>
      <w:marRight w:val="0"/>
      <w:marTop w:val="0"/>
      <w:marBottom w:val="0"/>
      <w:divBdr>
        <w:top w:val="none" w:sz="0" w:space="0" w:color="auto"/>
        <w:left w:val="none" w:sz="0" w:space="0" w:color="auto"/>
        <w:bottom w:val="none" w:sz="0" w:space="0" w:color="auto"/>
        <w:right w:val="none" w:sz="0" w:space="0" w:color="auto"/>
      </w:divBdr>
    </w:div>
    <w:div w:id="392393396">
      <w:bodyDiv w:val="1"/>
      <w:marLeft w:val="0"/>
      <w:marRight w:val="0"/>
      <w:marTop w:val="0"/>
      <w:marBottom w:val="0"/>
      <w:divBdr>
        <w:top w:val="none" w:sz="0" w:space="0" w:color="auto"/>
        <w:left w:val="none" w:sz="0" w:space="0" w:color="auto"/>
        <w:bottom w:val="none" w:sz="0" w:space="0" w:color="auto"/>
        <w:right w:val="none" w:sz="0" w:space="0" w:color="auto"/>
      </w:divBdr>
    </w:div>
    <w:div w:id="408429946">
      <w:bodyDiv w:val="1"/>
      <w:marLeft w:val="0"/>
      <w:marRight w:val="0"/>
      <w:marTop w:val="0"/>
      <w:marBottom w:val="0"/>
      <w:divBdr>
        <w:top w:val="none" w:sz="0" w:space="0" w:color="auto"/>
        <w:left w:val="none" w:sz="0" w:space="0" w:color="auto"/>
        <w:bottom w:val="none" w:sz="0" w:space="0" w:color="auto"/>
        <w:right w:val="none" w:sz="0" w:space="0" w:color="auto"/>
      </w:divBdr>
    </w:div>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469442748">
      <w:bodyDiv w:val="1"/>
      <w:marLeft w:val="0"/>
      <w:marRight w:val="0"/>
      <w:marTop w:val="0"/>
      <w:marBottom w:val="0"/>
      <w:divBdr>
        <w:top w:val="none" w:sz="0" w:space="0" w:color="auto"/>
        <w:left w:val="none" w:sz="0" w:space="0" w:color="auto"/>
        <w:bottom w:val="none" w:sz="0" w:space="0" w:color="auto"/>
        <w:right w:val="none" w:sz="0" w:space="0" w:color="auto"/>
      </w:divBdr>
      <w:divsChild>
        <w:div w:id="1387795144">
          <w:marLeft w:val="0"/>
          <w:marRight w:val="0"/>
          <w:marTop w:val="0"/>
          <w:marBottom w:val="0"/>
          <w:divBdr>
            <w:top w:val="none" w:sz="0" w:space="0" w:color="auto"/>
            <w:left w:val="none" w:sz="0" w:space="0" w:color="auto"/>
            <w:bottom w:val="none" w:sz="0" w:space="0" w:color="auto"/>
            <w:right w:val="none" w:sz="0" w:space="0" w:color="auto"/>
          </w:divBdr>
          <w:divsChild>
            <w:div w:id="9121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9414">
      <w:bodyDiv w:val="1"/>
      <w:marLeft w:val="0"/>
      <w:marRight w:val="0"/>
      <w:marTop w:val="0"/>
      <w:marBottom w:val="0"/>
      <w:divBdr>
        <w:top w:val="none" w:sz="0" w:space="0" w:color="auto"/>
        <w:left w:val="none" w:sz="0" w:space="0" w:color="auto"/>
        <w:bottom w:val="none" w:sz="0" w:space="0" w:color="auto"/>
        <w:right w:val="none" w:sz="0" w:space="0" w:color="auto"/>
      </w:divBdr>
    </w:div>
    <w:div w:id="699666745">
      <w:bodyDiv w:val="1"/>
      <w:marLeft w:val="0"/>
      <w:marRight w:val="0"/>
      <w:marTop w:val="0"/>
      <w:marBottom w:val="0"/>
      <w:divBdr>
        <w:top w:val="none" w:sz="0" w:space="0" w:color="auto"/>
        <w:left w:val="none" w:sz="0" w:space="0" w:color="auto"/>
        <w:bottom w:val="none" w:sz="0" w:space="0" w:color="auto"/>
        <w:right w:val="none" w:sz="0" w:space="0" w:color="auto"/>
      </w:divBdr>
    </w:div>
    <w:div w:id="712846849">
      <w:bodyDiv w:val="1"/>
      <w:marLeft w:val="0"/>
      <w:marRight w:val="0"/>
      <w:marTop w:val="0"/>
      <w:marBottom w:val="0"/>
      <w:divBdr>
        <w:top w:val="none" w:sz="0" w:space="0" w:color="auto"/>
        <w:left w:val="none" w:sz="0" w:space="0" w:color="auto"/>
        <w:bottom w:val="none" w:sz="0" w:space="0" w:color="auto"/>
        <w:right w:val="none" w:sz="0" w:space="0" w:color="auto"/>
      </w:divBdr>
    </w:div>
    <w:div w:id="760028415">
      <w:bodyDiv w:val="1"/>
      <w:marLeft w:val="0"/>
      <w:marRight w:val="0"/>
      <w:marTop w:val="0"/>
      <w:marBottom w:val="0"/>
      <w:divBdr>
        <w:top w:val="none" w:sz="0" w:space="0" w:color="auto"/>
        <w:left w:val="none" w:sz="0" w:space="0" w:color="auto"/>
        <w:bottom w:val="none" w:sz="0" w:space="0" w:color="auto"/>
        <w:right w:val="none" w:sz="0" w:space="0" w:color="auto"/>
      </w:divBdr>
    </w:div>
    <w:div w:id="781190875">
      <w:bodyDiv w:val="1"/>
      <w:marLeft w:val="0"/>
      <w:marRight w:val="0"/>
      <w:marTop w:val="0"/>
      <w:marBottom w:val="0"/>
      <w:divBdr>
        <w:top w:val="none" w:sz="0" w:space="0" w:color="auto"/>
        <w:left w:val="none" w:sz="0" w:space="0" w:color="auto"/>
        <w:bottom w:val="none" w:sz="0" w:space="0" w:color="auto"/>
        <w:right w:val="none" w:sz="0" w:space="0" w:color="auto"/>
      </w:divBdr>
    </w:div>
    <w:div w:id="941886524">
      <w:bodyDiv w:val="1"/>
      <w:marLeft w:val="0"/>
      <w:marRight w:val="0"/>
      <w:marTop w:val="0"/>
      <w:marBottom w:val="0"/>
      <w:divBdr>
        <w:top w:val="none" w:sz="0" w:space="0" w:color="auto"/>
        <w:left w:val="none" w:sz="0" w:space="0" w:color="auto"/>
        <w:bottom w:val="none" w:sz="0" w:space="0" w:color="auto"/>
        <w:right w:val="none" w:sz="0" w:space="0" w:color="auto"/>
      </w:divBdr>
    </w:div>
    <w:div w:id="1091269112">
      <w:bodyDiv w:val="1"/>
      <w:marLeft w:val="0"/>
      <w:marRight w:val="0"/>
      <w:marTop w:val="0"/>
      <w:marBottom w:val="0"/>
      <w:divBdr>
        <w:top w:val="none" w:sz="0" w:space="0" w:color="auto"/>
        <w:left w:val="none" w:sz="0" w:space="0" w:color="auto"/>
        <w:bottom w:val="none" w:sz="0" w:space="0" w:color="auto"/>
        <w:right w:val="none" w:sz="0" w:space="0" w:color="auto"/>
      </w:divBdr>
    </w:div>
    <w:div w:id="1159275171">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245382852">
      <w:bodyDiv w:val="1"/>
      <w:marLeft w:val="0"/>
      <w:marRight w:val="0"/>
      <w:marTop w:val="0"/>
      <w:marBottom w:val="0"/>
      <w:divBdr>
        <w:top w:val="none" w:sz="0" w:space="0" w:color="auto"/>
        <w:left w:val="none" w:sz="0" w:space="0" w:color="auto"/>
        <w:bottom w:val="none" w:sz="0" w:space="0" w:color="auto"/>
        <w:right w:val="none" w:sz="0" w:space="0" w:color="auto"/>
      </w:divBdr>
    </w:div>
    <w:div w:id="1263031604">
      <w:bodyDiv w:val="1"/>
      <w:marLeft w:val="0"/>
      <w:marRight w:val="0"/>
      <w:marTop w:val="0"/>
      <w:marBottom w:val="0"/>
      <w:divBdr>
        <w:top w:val="none" w:sz="0" w:space="0" w:color="auto"/>
        <w:left w:val="none" w:sz="0" w:space="0" w:color="auto"/>
        <w:bottom w:val="none" w:sz="0" w:space="0" w:color="auto"/>
        <w:right w:val="none" w:sz="0" w:space="0" w:color="auto"/>
      </w:divBdr>
    </w:div>
    <w:div w:id="1333334030">
      <w:bodyDiv w:val="1"/>
      <w:marLeft w:val="0"/>
      <w:marRight w:val="0"/>
      <w:marTop w:val="0"/>
      <w:marBottom w:val="0"/>
      <w:divBdr>
        <w:top w:val="none" w:sz="0" w:space="0" w:color="auto"/>
        <w:left w:val="none" w:sz="0" w:space="0" w:color="auto"/>
        <w:bottom w:val="none" w:sz="0" w:space="0" w:color="auto"/>
        <w:right w:val="none" w:sz="0" w:space="0" w:color="auto"/>
      </w:divBdr>
    </w:div>
    <w:div w:id="1348676689">
      <w:bodyDiv w:val="1"/>
      <w:marLeft w:val="0"/>
      <w:marRight w:val="0"/>
      <w:marTop w:val="0"/>
      <w:marBottom w:val="0"/>
      <w:divBdr>
        <w:top w:val="none" w:sz="0" w:space="0" w:color="auto"/>
        <w:left w:val="none" w:sz="0" w:space="0" w:color="auto"/>
        <w:bottom w:val="none" w:sz="0" w:space="0" w:color="auto"/>
        <w:right w:val="none" w:sz="0" w:space="0" w:color="auto"/>
      </w:divBdr>
    </w:div>
    <w:div w:id="1367296188">
      <w:bodyDiv w:val="1"/>
      <w:marLeft w:val="0"/>
      <w:marRight w:val="0"/>
      <w:marTop w:val="0"/>
      <w:marBottom w:val="0"/>
      <w:divBdr>
        <w:top w:val="none" w:sz="0" w:space="0" w:color="auto"/>
        <w:left w:val="none" w:sz="0" w:space="0" w:color="auto"/>
        <w:bottom w:val="none" w:sz="0" w:space="0" w:color="auto"/>
        <w:right w:val="none" w:sz="0" w:space="0" w:color="auto"/>
      </w:divBdr>
    </w:div>
    <w:div w:id="1396394123">
      <w:bodyDiv w:val="1"/>
      <w:marLeft w:val="0"/>
      <w:marRight w:val="0"/>
      <w:marTop w:val="0"/>
      <w:marBottom w:val="0"/>
      <w:divBdr>
        <w:top w:val="none" w:sz="0" w:space="0" w:color="auto"/>
        <w:left w:val="none" w:sz="0" w:space="0" w:color="auto"/>
        <w:bottom w:val="none" w:sz="0" w:space="0" w:color="auto"/>
        <w:right w:val="none" w:sz="0" w:space="0" w:color="auto"/>
      </w:divBdr>
    </w:div>
    <w:div w:id="1506214535">
      <w:bodyDiv w:val="1"/>
      <w:marLeft w:val="0"/>
      <w:marRight w:val="0"/>
      <w:marTop w:val="0"/>
      <w:marBottom w:val="0"/>
      <w:divBdr>
        <w:top w:val="none" w:sz="0" w:space="0" w:color="auto"/>
        <w:left w:val="none" w:sz="0" w:space="0" w:color="auto"/>
        <w:bottom w:val="none" w:sz="0" w:space="0" w:color="auto"/>
        <w:right w:val="none" w:sz="0" w:space="0" w:color="auto"/>
      </w:divBdr>
    </w:div>
    <w:div w:id="1551770158">
      <w:bodyDiv w:val="1"/>
      <w:marLeft w:val="0"/>
      <w:marRight w:val="0"/>
      <w:marTop w:val="0"/>
      <w:marBottom w:val="0"/>
      <w:divBdr>
        <w:top w:val="none" w:sz="0" w:space="0" w:color="auto"/>
        <w:left w:val="none" w:sz="0" w:space="0" w:color="auto"/>
        <w:bottom w:val="none" w:sz="0" w:space="0" w:color="auto"/>
        <w:right w:val="none" w:sz="0" w:space="0" w:color="auto"/>
      </w:divBdr>
    </w:div>
    <w:div w:id="1633438031">
      <w:bodyDiv w:val="1"/>
      <w:marLeft w:val="0"/>
      <w:marRight w:val="0"/>
      <w:marTop w:val="0"/>
      <w:marBottom w:val="0"/>
      <w:divBdr>
        <w:top w:val="none" w:sz="0" w:space="0" w:color="auto"/>
        <w:left w:val="none" w:sz="0" w:space="0" w:color="auto"/>
        <w:bottom w:val="none" w:sz="0" w:space="0" w:color="auto"/>
        <w:right w:val="none" w:sz="0" w:space="0" w:color="auto"/>
      </w:divBdr>
    </w:div>
    <w:div w:id="1650213367">
      <w:bodyDiv w:val="1"/>
      <w:marLeft w:val="0"/>
      <w:marRight w:val="0"/>
      <w:marTop w:val="0"/>
      <w:marBottom w:val="0"/>
      <w:divBdr>
        <w:top w:val="none" w:sz="0" w:space="0" w:color="auto"/>
        <w:left w:val="none" w:sz="0" w:space="0" w:color="auto"/>
        <w:bottom w:val="none" w:sz="0" w:space="0" w:color="auto"/>
        <w:right w:val="none" w:sz="0" w:space="0" w:color="auto"/>
      </w:divBdr>
    </w:div>
    <w:div w:id="1679771918">
      <w:bodyDiv w:val="1"/>
      <w:marLeft w:val="0"/>
      <w:marRight w:val="0"/>
      <w:marTop w:val="0"/>
      <w:marBottom w:val="0"/>
      <w:divBdr>
        <w:top w:val="none" w:sz="0" w:space="0" w:color="auto"/>
        <w:left w:val="none" w:sz="0" w:space="0" w:color="auto"/>
        <w:bottom w:val="none" w:sz="0" w:space="0" w:color="auto"/>
        <w:right w:val="none" w:sz="0" w:space="0" w:color="auto"/>
      </w:divBdr>
    </w:div>
    <w:div w:id="1691179511">
      <w:bodyDiv w:val="1"/>
      <w:marLeft w:val="0"/>
      <w:marRight w:val="0"/>
      <w:marTop w:val="0"/>
      <w:marBottom w:val="0"/>
      <w:divBdr>
        <w:top w:val="none" w:sz="0" w:space="0" w:color="auto"/>
        <w:left w:val="none" w:sz="0" w:space="0" w:color="auto"/>
        <w:bottom w:val="none" w:sz="0" w:space="0" w:color="auto"/>
        <w:right w:val="none" w:sz="0" w:space="0" w:color="auto"/>
      </w:divBdr>
    </w:div>
    <w:div w:id="1713530190">
      <w:bodyDiv w:val="1"/>
      <w:marLeft w:val="0"/>
      <w:marRight w:val="0"/>
      <w:marTop w:val="0"/>
      <w:marBottom w:val="0"/>
      <w:divBdr>
        <w:top w:val="none" w:sz="0" w:space="0" w:color="auto"/>
        <w:left w:val="none" w:sz="0" w:space="0" w:color="auto"/>
        <w:bottom w:val="none" w:sz="0" w:space="0" w:color="auto"/>
        <w:right w:val="none" w:sz="0" w:space="0" w:color="auto"/>
      </w:divBdr>
    </w:div>
    <w:div w:id="1779988036">
      <w:bodyDiv w:val="1"/>
      <w:marLeft w:val="0"/>
      <w:marRight w:val="0"/>
      <w:marTop w:val="0"/>
      <w:marBottom w:val="0"/>
      <w:divBdr>
        <w:top w:val="none" w:sz="0" w:space="0" w:color="auto"/>
        <w:left w:val="none" w:sz="0" w:space="0" w:color="auto"/>
        <w:bottom w:val="none" w:sz="0" w:space="0" w:color="auto"/>
        <w:right w:val="none" w:sz="0" w:space="0" w:color="auto"/>
      </w:divBdr>
    </w:div>
    <w:div w:id="1828934846">
      <w:bodyDiv w:val="1"/>
      <w:marLeft w:val="0"/>
      <w:marRight w:val="0"/>
      <w:marTop w:val="0"/>
      <w:marBottom w:val="0"/>
      <w:divBdr>
        <w:top w:val="none" w:sz="0" w:space="0" w:color="auto"/>
        <w:left w:val="none" w:sz="0" w:space="0" w:color="auto"/>
        <w:bottom w:val="none" w:sz="0" w:space="0" w:color="auto"/>
        <w:right w:val="none" w:sz="0" w:space="0" w:color="auto"/>
      </w:divBdr>
      <w:divsChild>
        <w:div w:id="1076436203">
          <w:marLeft w:val="0"/>
          <w:marRight w:val="0"/>
          <w:marTop w:val="0"/>
          <w:marBottom w:val="0"/>
          <w:divBdr>
            <w:top w:val="none" w:sz="0" w:space="0" w:color="auto"/>
            <w:left w:val="none" w:sz="0" w:space="0" w:color="auto"/>
            <w:bottom w:val="none" w:sz="0" w:space="0" w:color="auto"/>
            <w:right w:val="none" w:sz="0" w:space="0" w:color="auto"/>
          </w:divBdr>
          <w:divsChild>
            <w:div w:id="7197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4142">
      <w:bodyDiv w:val="1"/>
      <w:marLeft w:val="0"/>
      <w:marRight w:val="0"/>
      <w:marTop w:val="0"/>
      <w:marBottom w:val="0"/>
      <w:divBdr>
        <w:top w:val="none" w:sz="0" w:space="0" w:color="auto"/>
        <w:left w:val="none" w:sz="0" w:space="0" w:color="auto"/>
        <w:bottom w:val="none" w:sz="0" w:space="0" w:color="auto"/>
        <w:right w:val="none" w:sz="0" w:space="0" w:color="auto"/>
      </w:divBdr>
      <w:divsChild>
        <w:div w:id="480385639">
          <w:marLeft w:val="0"/>
          <w:marRight w:val="0"/>
          <w:marTop w:val="0"/>
          <w:marBottom w:val="0"/>
          <w:divBdr>
            <w:top w:val="none" w:sz="0" w:space="0" w:color="auto"/>
            <w:left w:val="none" w:sz="0" w:space="0" w:color="auto"/>
            <w:bottom w:val="none" w:sz="0" w:space="0" w:color="auto"/>
            <w:right w:val="none" w:sz="0" w:space="0" w:color="auto"/>
          </w:divBdr>
          <w:divsChild>
            <w:div w:id="12774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4753">
      <w:bodyDiv w:val="1"/>
      <w:marLeft w:val="0"/>
      <w:marRight w:val="0"/>
      <w:marTop w:val="0"/>
      <w:marBottom w:val="0"/>
      <w:divBdr>
        <w:top w:val="none" w:sz="0" w:space="0" w:color="auto"/>
        <w:left w:val="none" w:sz="0" w:space="0" w:color="auto"/>
        <w:bottom w:val="none" w:sz="0" w:space="0" w:color="auto"/>
        <w:right w:val="none" w:sz="0" w:space="0" w:color="auto"/>
      </w:divBdr>
    </w:div>
    <w:div w:id="1927886091">
      <w:bodyDiv w:val="1"/>
      <w:marLeft w:val="0"/>
      <w:marRight w:val="0"/>
      <w:marTop w:val="0"/>
      <w:marBottom w:val="0"/>
      <w:divBdr>
        <w:top w:val="none" w:sz="0" w:space="0" w:color="auto"/>
        <w:left w:val="none" w:sz="0" w:space="0" w:color="auto"/>
        <w:bottom w:val="none" w:sz="0" w:space="0" w:color="auto"/>
        <w:right w:val="none" w:sz="0" w:space="0" w:color="auto"/>
      </w:divBdr>
    </w:div>
    <w:div w:id="2036883218">
      <w:bodyDiv w:val="1"/>
      <w:marLeft w:val="0"/>
      <w:marRight w:val="0"/>
      <w:marTop w:val="0"/>
      <w:marBottom w:val="0"/>
      <w:divBdr>
        <w:top w:val="none" w:sz="0" w:space="0" w:color="auto"/>
        <w:left w:val="none" w:sz="0" w:space="0" w:color="auto"/>
        <w:bottom w:val="none" w:sz="0" w:space="0" w:color="auto"/>
        <w:right w:val="none" w:sz="0" w:space="0" w:color="auto"/>
      </w:divBdr>
    </w:div>
    <w:div w:id="2051953573">
      <w:bodyDiv w:val="1"/>
      <w:marLeft w:val="0"/>
      <w:marRight w:val="0"/>
      <w:marTop w:val="0"/>
      <w:marBottom w:val="0"/>
      <w:divBdr>
        <w:top w:val="none" w:sz="0" w:space="0" w:color="auto"/>
        <w:left w:val="none" w:sz="0" w:space="0" w:color="auto"/>
        <w:bottom w:val="none" w:sz="0" w:space="0" w:color="auto"/>
        <w:right w:val="none" w:sz="0" w:space="0" w:color="auto"/>
      </w:divBdr>
    </w:div>
    <w:div w:id="2086829962">
      <w:bodyDiv w:val="1"/>
      <w:marLeft w:val="0"/>
      <w:marRight w:val="0"/>
      <w:marTop w:val="0"/>
      <w:marBottom w:val="0"/>
      <w:divBdr>
        <w:top w:val="none" w:sz="0" w:space="0" w:color="auto"/>
        <w:left w:val="none" w:sz="0" w:space="0" w:color="auto"/>
        <w:bottom w:val="none" w:sz="0" w:space="0" w:color="auto"/>
        <w:right w:val="none" w:sz="0" w:space="0" w:color="auto"/>
      </w:divBdr>
    </w:div>
    <w:div w:id="2135513647">
      <w:bodyDiv w:val="1"/>
      <w:marLeft w:val="0"/>
      <w:marRight w:val="0"/>
      <w:marTop w:val="0"/>
      <w:marBottom w:val="0"/>
      <w:divBdr>
        <w:top w:val="none" w:sz="0" w:space="0" w:color="auto"/>
        <w:left w:val="none" w:sz="0" w:space="0" w:color="auto"/>
        <w:bottom w:val="none" w:sz="0" w:space="0" w:color="auto"/>
        <w:right w:val="none" w:sz="0" w:space="0" w:color="auto"/>
      </w:divBdr>
    </w:div>
    <w:div w:id="214558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nergyreform@esc.vic.gov.au" TargetMode="External"/><Relationship Id="rId21" Type="http://schemas.openxmlformats.org/officeDocument/2006/relationships/header" Target="header8.xml"/><Relationship Id="rId42" Type="http://schemas.openxmlformats.org/officeDocument/2006/relationships/chart" Target="charts/chart11.xml"/><Relationship Id="rId47" Type="http://schemas.openxmlformats.org/officeDocument/2006/relationships/image" Target="media/image3.png"/><Relationship Id="rId63" Type="http://schemas.openxmlformats.org/officeDocument/2006/relationships/hyperlink" Target="https://www.esc.vic.gov.au/electricity-and-gas/codes-guidelines-and-policies/energy-retail-code-practice/reviewing-energy-retail-code-practice" TargetMode="External"/><Relationship Id="rId68" Type="http://schemas.openxmlformats.org/officeDocument/2006/relationships/hyperlink" Target="https://www.esc.vic.gov.au/electricity-and-gas/codes-guidelines-and-policies/energy-retail-code-practice/reviewing-energy-retail-code-practice"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s://engage.vic.gov.au/energy-retail-code-of-practice-review" TargetMode="External"/><Relationship Id="rId32" Type="http://schemas.openxmlformats.org/officeDocument/2006/relationships/footer" Target="footer4.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footer" Target="footer14.xml"/><Relationship Id="rId66" Type="http://schemas.openxmlformats.org/officeDocument/2006/relationships/hyperlink" Target="https://www.esc.vic.gov.au/electricity-and-gas/codes-guidelines-and-policies/energy-retail-code-practice/reviewing-energy-retail-code-practice" TargetMode="External"/><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esc.vic.gov.au/sites/default/files/documents/Essential%20Services%20Commission%20Annual%20Report%202023-24.pdf" TargetMode="External"/><Relationship Id="rId19" Type="http://schemas.openxmlformats.org/officeDocument/2006/relationships/header" Target="header6.xml"/><Relationship Id="rId14" Type="http://schemas.openxmlformats.org/officeDocument/2006/relationships/hyperlink" Target="http://creativecommons.org/licenses/by/4.0/" TargetMode="External"/><Relationship Id="rId22" Type="http://schemas.openxmlformats.org/officeDocument/2006/relationships/footer" Target="footer2.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footer" Target="footer7.xml"/><Relationship Id="rId56" Type="http://schemas.openxmlformats.org/officeDocument/2006/relationships/footer" Target="footer12.xml"/><Relationship Id="rId64" Type="http://schemas.openxmlformats.org/officeDocument/2006/relationships/hyperlink" Target="https://www.esc.vic.gov.au/electricity-and-gas/codes-guidelines-and-policies/energy-retail-code-practice/reviewing-energy-retail-code-practice" TargetMode="External"/><Relationship Id="rId69"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www.esc.vic.gov.au/about-us/our-policies/our-submissions-policy" TargetMode="Externa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3.xml"/><Relationship Id="rId59" Type="http://schemas.openxmlformats.org/officeDocument/2006/relationships/header" Target="header13.xml"/><Relationship Id="rId67" Type="http://schemas.openxmlformats.org/officeDocument/2006/relationships/hyperlink" Target="https://www.esc.vic.gov.au/electricity-and-gas/codes-guidelines-and-policies/energy-retail-code-practice/reviewing-energy-retail-code-practice" TargetMode="External"/><Relationship Id="rId20" Type="http://schemas.openxmlformats.org/officeDocument/2006/relationships/header" Target="header7.xml"/><Relationship Id="rId41" Type="http://schemas.openxmlformats.org/officeDocument/2006/relationships/chart" Target="charts/chart10.xml"/><Relationship Id="rId54" Type="http://schemas.openxmlformats.org/officeDocument/2006/relationships/footer" Target="footer11.xml"/><Relationship Id="rId62" Type="http://schemas.openxmlformats.org/officeDocument/2006/relationships/footer" Target="footer16.xml"/><Relationship Id="rId70" Type="http://schemas.openxmlformats.org/officeDocument/2006/relationships/header" Target="header1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chart" Target="charts/chart5.xml"/><Relationship Id="rId49" Type="http://schemas.openxmlformats.org/officeDocument/2006/relationships/chart" Target="charts/chart14.xm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footer" Target="footer15.xml"/><Relationship Id="rId65" Type="http://schemas.openxmlformats.org/officeDocument/2006/relationships/hyperlink" Target="https://www.esc.vic.gov.au/electricity-and-gas/codes-guidelines-and-policies/energy-retail-code-practice/reviewing-energy-retail-code-practic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oter" Target="footer1.xml"/><Relationship Id="rId39" Type="http://schemas.openxmlformats.org/officeDocument/2006/relationships/chart" Target="charts/chart8.xml"/><Relationship Id="rId34" Type="http://schemas.openxmlformats.org/officeDocument/2006/relationships/chart" Target="charts/chart3.xml"/><Relationship Id="rId50" Type="http://schemas.openxmlformats.org/officeDocument/2006/relationships/footer" Target="footer8.xml"/><Relationship Id="rId55" Type="http://schemas.openxmlformats.org/officeDocument/2006/relationships/hyperlink" Target="https://www.aemc.gov.au/rule-changes/improving-application-concessions-bills"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footer" Target="footer17.xml"/></Relationships>
</file>

<file path=word/_rels/footnotes.xml.rels><?xml version="1.0" encoding="UTF-8" standalone="yes"?>
<Relationships xmlns="http://schemas.openxmlformats.org/package/2006/relationships"><Relationship Id="rId117" Type="http://schemas.openxmlformats.org/officeDocument/2006/relationships/hyperlink" Target="https://www.esc.vic.gov.au/electricity-and-gas/codes-guidelines-and-policies/energy-retail-code-practice" TargetMode="External"/><Relationship Id="rId21" Type="http://schemas.openxmlformats.org/officeDocument/2006/relationships/hyperlink" Target="https://www.aemc.gov.au/rule-changes/improving-ability-switch-better-offer" TargetMode="External"/><Relationship Id="rId42" Type="http://schemas.openxmlformats.org/officeDocument/2006/relationships/hyperlink" Target="https://www.vinnies.org.au/national-council/advocacy/energy/energy-vic" TargetMode="External"/><Relationship Id="rId63" Type="http://schemas.openxmlformats.org/officeDocument/2006/relationships/hyperlink" Target="https://www.energy.vic.gov.au/households/help-paying-your-energy-bills/energy-assistance-program" TargetMode="External"/><Relationship Id="rId84" Type="http://schemas.openxmlformats.org/officeDocument/2006/relationships/hyperlink" Target="https://www.vinnies.org.au/national-council/advocacy/energy/energy-vic" TargetMode="External"/><Relationship Id="rId138" Type="http://schemas.openxmlformats.org/officeDocument/2006/relationships/hyperlink" Target="https://www.esc.vic.gov.au/electricity-and-gas/codes-guidelines-and-policies/energy-retail-code-practice" TargetMode="External"/><Relationship Id="rId159" Type="http://schemas.openxmlformats.org/officeDocument/2006/relationships/hyperlink" Target="https://www.esc.vic.gov.au/electricity-and-gas/codes-guidelines-and-policies/energy-retail-code-practice/reviewing-energy-retail-code-practice" TargetMode="External"/><Relationship Id="rId170" Type="http://schemas.openxmlformats.org/officeDocument/2006/relationships/hyperlink" Target="https://www.esc.vic.gov.au/electricity-and-gas/codes-guidelines-and-policies/energy-retail-code-practice/reviewing-energy-retail-code-practice" TargetMode="External"/><Relationship Id="rId191" Type="http://schemas.openxmlformats.org/officeDocument/2006/relationships/hyperlink" Target="https://www.accc.gov.au/about-us/publications/serial-publications/inquiry-into-the-national-electricity-market-2018-25-reports/inquiry-into-the-national-electricity-market-report-december-2023" TargetMode="External"/><Relationship Id="rId205" Type="http://schemas.openxmlformats.org/officeDocument/2006/relationships/hyperlink" Target="https://www.esc.vic.gov.au/electricity-and-gas/codes-guidelines-and-policies/energy-retail-code-practice" TargetMode="External"/><Relationship Id="rId107" Type="http://schemas.openxmlformats.org/officeDocument/2006/relationships/hyperlink" Target="https://www.aemc.gov.au/rule-changes/improving-ability-switch-better-offer" TargetMode="External"/><Relationship Id="rId11" Type="http://schemas.openxmlformats.org/officeDocument/2006/relationships/hyperlink" Target="https://services.dffh.vic.gov.au/utility-relief-grant-scheme" TargetMode="External"/><Relationship Id="rId32" Type="http://schemas.openxmlformats.org/officeDocument/2006/relationships/hyperlink" Target="https://www.esc.vic.gov.au/electricity-and-gas/victorian-energy-market-reporting-hub/victorian-energy-market-insights" TargetMode="External"/><Relationship Id="rId53" Type="http://schemas.openxmlformats.org/officeDocument/2006/relationships/hyperlink" Target="https://www.esc.vic.gov.au/electricity-and-gas/codes-guidelines-and-policies/energy-retail-code-practice/reviewing-energy-retail-code-practice" TargetMode="External"/><Relationship Id="rId74" Type="http://schemas.openxmlformats.org/officeDocument/2006/relationships/hyperlink" Target="https://energyconsumersaustralia.com.au/consumer-sentiment-survey" TargetMode="External"/><Relationship Id="rId128" Type="http://schemas.openxmlformats.org/officeDocument/2006/relationships/hyperlink" Target="https://www.esc.vic.gov.au/sites/default/files/documents/Compliance%20and%20Performance%20Reporting%20Guideline%20%28version%209%29.pdf" TargetMode="External"/><Relationship Id="rId149" Type="http://schemas.openxmlformats.org/officeDocument/2006/relationships/hyperlink" Target="https://www.esc.vic.gov.au/electricity-and-gas/codes-guidelines-and-policies/energy-retail-code-practice" TargetMode="External"/><Relationship Id="rId5" Type="http://schemas.openxmlformats.org/officeDocument/2006/relationships/hyperlink" Target="https://www.esc.vic.gov.au/electricity-and-gas/market-performance-and-reporting/victorian-energy-market-report/energy-market-dashboard" TargetMode="External"/><Relationship Id="rId95" Type="http://schemas.openxmlformats.org/officeDocument/2006/relationships/hyperlink" Target="https://www.esc.vic.gov.au/electricity-and-gas/codes-guidelines-and-policies/energy-retail-code-practice" TargetMode="External"/><Relationship Id="rId160" Type="http://schemas.openxmlformats.org/officeDocument/2006/relationships/hyperlink" Target="https://www.esc.vic.gov.au/electricity-and-gas/codes-guidelines-and-policies/energy-retail-code-practice/reviewing-energy-retail-code-practice" TargetMode="External"/><Relationship Id="rId181" Type="http://schemas.openxmlformats.org/officeDocument/2006/relationships/hyperlink" Target="https://www.esc.vic.gov.au/electricity-and-gas/codes-guidelines-and-policies/energy-retail-code-practice/reviewing-energy-retail-code-practice" TargetMode="External"/><Relationship Id="rId216" Type="http://schemas.openxmlformats.org/officeDocument/2006/relationships/hyperlink" Target="https://www.esc.vic.gov.au/electricity-and-gas/victorian-energy-market-reporting-hub" TargetMode="External"/><Relationship Id="rId22" Type="http://schemas.openxmlformats.org/officeDocument/2006/relationships/hyperlink" Target="https://www.esc.vic.gov.au/sites/default/files/documents/LTR%20-%20Minister%20of%20Energy%20and%20Resources%20to%20ESC%20Chairperson%20-%2020241003.pdf" TargetMode="External"/><Relationship Id="rId43" Type="http://schemas.openxmlformats.org/officeDocument/2006/relationships/hyperlink" Target="https://www.vinnies.org.au/national-council/advocacy/energy/energy-vic" TargetMode="External"/><Relationship Id="rId64" Type="http://schemas.openxmlformats.org/officeDocument/2006/relationships/hyperlink" Target="https://www.esc.vic.gov.au/electricity-and-gas/victorian-energy-market-reporting-hub/victorian-energy-market-insights/energy-market-dashboard" TargetMode="External"/><Relationship Id="rId118" Type="http://schemas.openxmlformats.org/officeDocument/2006/relationships/hyperlink" Target="https://www.aer.gov.au/documents/aer-better-bills-guideline-version-2-january-2023" TargetMode="External"/><Relationship Id="rId139" Type="http://schemas.openxmlformats.org/officeDocument/2006/relationships/hyperlink" Target="https://www.esc.vic.gov.au/electricity-and-gas/codes-guidelines-and-policies/energy-retail-code-practice" TargetMode="External"/><Relationship Id="rId85" Type="http://schemas.openxmlformats.org/officeDocument/2006/relationships/hyperlink" Target="https://www.acoss.org.au/wp-content/uploads/2025/03/Heat-Survey-Report-v1.0-Digital.pdf" TargetMode="External"/><Relationship Id="rId150" Type="http://schemas.openxmlformats.org/officeDocument/2006/relationships/hyperlink" Target="https://www.aemc.gov.au/rule-changes/regulating-conditional-discounting" TargetMode="External"/><Relationship Id="rId171" Type="http://schemas.openxmlformats.org/officeDocument/2006/relationships/hyperlink" Target="https://www.esc.vic.gov.au/electricity-and-gas/codes-guidelines-and-policies/energy-retail-code-practice/reviewing-energy-retail-code-practice" TargetMode="External"/><Relationship Id="rId192" Type="http://schemas.openxmlformats.org/officeDocument/2006/relationships/hyperlink" Target="https://www.esc.vic.gov.au/electricity-and-gas/codes-guidelines-and-policies/energy-retail-code-practice/reviewing-energy-retail-code-practice" TargetMode="External"/><Relationship Id="rId206" Type="http://schemas.openxmlformats.org/officeDocument/2006/relationships/hyperlink" Target="https://www.fincap.org.uk/en/insights/the-wellbeing-effects-of-debt-and-debt-related-factors" TargetMode="External"/><Relationship Id="rId12" Type="http://schemas.openxmlformats.org/officeDocument/2006/relationships/hyperlink" Target="https://www.esc.vic.gov.au/electricity-and-gas/codes-guidelines-and-policies/energy-retail-code-practice" TargetMode="External"/><Relationship Id="rId33" Type="http://schemas.openxmlformats.org/officeDocument/2006/relationships/hyperlink" Target="https://www.accc.gov.au/about-us/publications/serial-publications/inquiry-into-the-national-electricity-market-2018-25-reports/inquiry-into-the-national-electricity-market-report-december-2024" TargetMode="External"/><Relationship Id="rId108" Type="http://schemas.openxmlformats.org/officeDocument/2006/relationships/hyperlink" Target="https://www.aemc.gov.au/rule-changes/assisting-hardship-customers" TargetMode="External"/><Relationship Id="rId129" Type="http://schemas.openxmlformats.org/officeDocument/2006/relationships/hyperlink" Target="https://www.esc.vic.gov.au/electricity-and-gas/inquiries-studies-and-reviews/payment-difficulty-framework-implementation-review-2021" TargetMode="External"/><Relationship Id="rId54" Type="http://schemas.openxmlformats.org/officeDocument/2006/relationships/hyperlink" Target="https://accan.org.au/accans-work/research/2121-direct-debit-in-telecommunications" TargetMode="External"/><Relationship Id="rId75" Type="http://schemas.openxmlformats.org/officeDocument/2006/relationships/hyperlink" Target="https://www.esc.vic.gov.au/sites/default/files/documents/Uniting%20-%20Submission%20ERCOP%20issues%20paper_Redacted.pdf" TargetMode="External"/><Relationship Id="rId96" Type="http://schemas.openxmlformats.org/officeDocument/2006/relationships/hyperlink" Target="https://www.esc.vic.gov.au/electricity-and-gas/victorian-energy-market-reporting-hub/victorian-energy-market-insights" TargetMode="External"/><Relationship Id="rId140" Type="http://schemas.openxmlformats.org/officeDocument/2006/relationships/hyperlink" Target="https://www.esc.vic.gov.au/electricity-and-gas/codes-guidelines-and-policies/energy-retail-code-practice" TargetMode="External"/><Relationship Id="rId161" Type="http://schemas.openxmlformats.org/officeDocument/2006/relationships/hyperlink" Target="https://www.esc.vic.gov.au/electricity-and-gas/codes-guidelines-and-policies/energy-retail-code-practice/reviewing-energy-retail-code-practice" TargetMode="External"/><Relationship Id="rId182" Type="http://schemas.openxmlformats.org/officeDocument/2006/relationships/hyperlink" Target="https://www.esc.vic.gov.au/electricity-and-gas/codes-guidelines-and-policies/energy-retail-code-practice/reviewing-energy-retail-code-practice" TargetMode="External"/><Relationship Id="rId6" Type="http://schemas.openxmlformats.org/officeDocument/2006/relationships/hyperlink" Target="https://www.esc.vic.gov.au/electricity-and-gas/victorian-energy-market-reporting-hub/victorian-energy-market-insights" TargetMode="External"/><Relationship Id="rId23" Type="http://schemas.openxmlformats.org/officeDocument/2006/relationships/hyperlink" Target="https://www.esc.vic.gov.au/electricity-and-gas/codes-guidelines-and-policies/energy-retail-code-practice/reviewing-energy-retail-code-practice" TargetMode="External"/><Relationship Id="rId119" Type="http://schemas.openxmlformats.org/officeDocument/2006/relationships/hyperlink" Target="https://www.esc.vic.gov.au/electricity-and-gas/codes-guidelines-and-policies/energy-retail-code-practice" TargetMode="External"/><Relationship Id="rId44" Type="http://schemas.openxmlformats.org/officeDocument/2006/relationships/hyperlink" Target="https://www.vinnies.org.au/national-council/advocacy/energy/energy-vic" TargetMode="External"/><Relationship Id="rId65" Type="http://schemas.openxmlformats.org/officeDocument/2006/relationships/hyperlink" Target="https://www.esc.vic.gov.au/electricity-and-gas/victorian-energy-market-reporting-hub/victorian-energy-market-insights/energy-market-dashboard" TargetMode="External"/><Relationship Id="rId86" Type="http://schemas.openxmlformats.org/officeDocument/2006/relationships/hyperlink" Target="https://www.esc.vic.gov.au/electricity-and-gas/victorian-energy-market-reporting-hub/victorian-energy-market-insights" TargetMode="External"/><Relationship Id="rId130" Type="http://schemas.openxmlformats.org/officeDocument/2006/relationships/hyperlink" Target="https://www.esc.vic.gov.au/sites/default/files/documents/Compliance%20and%20Performance%20Reporting%20Guideline%20%28version%209%29.pdf" TargetMode="External"/><Relationship Id="rId151" Type="http://schemas.openxmlformats.org/officeDocument/2006/relationships/hyperlink" Target="https://www.aemc.gov.au/rule-changes/improving-consumer-confidence-in-retail-energy-plans" TargetMode="External"/><Relationship Id="rId172" Type="http://schemas.openxmlformats.org/officeDocument/2006/relationships/hyperlink" Target="https://vcoss.org.au/essential-services/2023/05/the-missing-14/" TargetMode="External"/><Relationship Id="rId193" Type="http://schemas.openxmlformats.org/officeDocument/2006/relationships/hyperlink" Target="https://www.esc.vic.gov.au/electricity-and-gas/codes-guidelines-and-policies/energy-retail-code-practice/reviewing-energy-retail-code-practice" TargetMode="External"/><Relationship Id="rId207" Type="http://schemas.openxmlformats.org/officeDocument/2006/relationships/hyperlink" Target="https://accan.org.au/media-centre/hot-issues-blog/1825-still-waiting-the-cost-of-customer-service" TargetMode="External"/><Relationship Id="rId13" Type="http://schemas.openxmlformats.org/officeDocument/2006/relationships/hyperlink" Target="https://www.esc.vic.gov.au/electricity-and-gas/electricity-and-gas-codes-guidelines-and-policies" TargetMode="External"/><Relationship Id="rId109" Type="http://schemas.openxmlformats.org/officeDocument/2006/relationships/hyperlink" Target="https://www.aer.gov.au/documents/aer-better-bills-guideline-version-2-january-2023" TargetMode="External"/><Relationship Id="rId34" Type="http://schemas.openxmlformats.org/officeDocument/2006/relationships/hyperlink" Target="https://www.esc.vic.gov.au/electricity-and-gas/victorian-energy-market-reporting-hub/victorian-energy-market-insights" TargetMode="External"/><Relationship Id="rId55" Type="http://schemas.openxmlformats.org/officeDocument/2006/relationships/hyperlink" Target="https://www.esc.vic.gov.au/electricity-and-gas/codes-guidelines-and-policies/energy-retail-code-practice/reviewing-energy-retail-code-practice" TargetMode="External"/><Relationship Id="rId76" Type="http://schemas.openxmlformats.org/officeDocument/2006/relationships/hyperlink" Target="https://www.ewon.com.au/page/publications-and-submissions/annual-reports" TargetMode="External"/><Relationship Id="rId97" Type="http://schemas.openxmlformats.org/officeDocument/2006/relationships/hyperlink" Target="https://www.esc.vic.gov.au/electricity-and-gas/victorian-energy-market-reporting-hub/victorian-energy-market-insights" TargetMode="External"/><Relationship Id="rId120" Type="http://schemas.openxmlformats.org/officeDocument/2006/relationships/hyperlink" Target="https://www.esc.vic.gov.au/electricity-and-gas/codes-guidelines-and-policies/energy-retail-code-practice" TargetMode="External"/><Relationship Id="rId141" Type="http://schemas.openxmlformats.org/officeDocument/2006/relationships/hyperlink" Target="https://www.esc.vic.gov.au/electricity-and-gas/codes-guidelines-and-policies/energy-retail-code-practice" TargetMode="External"/><Relationship Id="rId7" Type="http://schemas.openxmlformats.org/officeDocument/2006/relationships/hyperlink" Target="https://www.esc.vic.gov.au/electricity-and-gas/victorian-energy-market-reporting-hub/victorian-energy-market-insights" TargetMode="External"/><Relationship Id="rId162" Type="http://schemas.openxmlformats.org/officeDocument/2006/relationships/hyperlink" Target="https://www.esc.vic.gov.au/electricity-and-gas/codes-guidelines-and-policies/energy-retail-code-practice/reviewing-energy-retail-code-practice" TargetMode="External"/><Relationship Id="rId183" Type="http://schemas.openxmlformats.org/officeDocument/2006/relationships/hyperlink" Target="https://www.aemc.gov.au/rule-changes/improving-application-concessions-bills" TargetMode="External"/><Relationship Id="rId24" Type="http://schemas.openxmlformats.org/officeDocument/2006/relationships/hyperlink" Target="https://www.esc.vic.gov.au/electricity-and-gas/electricity-and-gas-prices-tariffs-and-benchmarks" TargetMode="External"/><Relationship Id="rId45" Type="http://schemas.openxmlformats.org/officeDocument/2006/relationships/hyperlink" Target="https://www.accc.gov.au/about-us/publications/serial-publications/inquiry-into-the-national-electricity-market-2018-25-reports/inquiry-into-the-national-electricity-market-report-december-2024" TargetMode="External"/><Relationship Id="rId66" Type="http://schemas.openxmlformats.org/officeDocument/2006/relationships/hyperlink" Target="https://www.esc.vic.gov.au/electricity-and-gas/codes-guidelines-and-policies/energy-retail-code-practice/guideline-maximum-cap-pay-time-discounts" TargetMode="External"/><Relationship Id="rId87" Type="http://schemas.openxmlformats.org/officeDocument/2006/relationships/hyperlink" Target="https://www.esc.vic.gov.au/electricity-and-gas/codes-guidelines-and-policies/energy-retail-code/energy-retail-code-review-2016-customers-facing-payment-difficulties" TargetMode="External"/><Relationship Id="rId110" Type="http://schemas.openxmlformats.org/officeDocument/2006/relationships/hyperlink" Target="https://services.dffh.vic.gov.au/about-concessions" TargetMode="External"/><Relationship Id="rId131" Type="http://schemas.openxmlformats.org/officeDocument/2006/relationships/hyperlink" Target="https://www.esc.vic.gov.au/electricity-and-gas/codes-guidelines-and-policies/energy-retail-code-practice" TargetMode="External"/><Relationship Id="rId152" Type="http://schemas.openxmlformats.org/officeDocument/2006/relationships/hyperlink" Target="https://www.esc.vic.gov.au/electricity-and-gas/victorian-energy-market-reporting-hub/victorian-energy-market-insights/energy-market-dashboard" TargetMode="External"/><Relationship Id="rId173" Type="http://schemas.openxmlformats.org/officeDocument/2006/relationships/hyperlink" Target="https://cprc.org.au/report/mind-the-gap/" TargetMode="External"/><Relationship Id="rId194" Type="http://schemas.openxmlformats.org/officeDocument/2006/relationships/hyperlink" Target="https://www.esc.vic.gov.au/electricity-and-gas/codes-guidelines-and-policies/energy-retail-code-practice/reviewing-energy-retail-code-practice" TargetMode="External"/><Relationship Id="rId208" Type="http://schemas.openxmlformats.org/officeDocument/2006/relationships/hyperlink" Target="https://www.esc.vic.gov.au/electricity-and-gas/victorian-energy-market-reporting-hub/victorian-energy-market-insights/energy-market-dashboard" TargetMode="External"/><Relationship Id="rId19" Type="http://schemas.openxmlformats.org/officeDocument/2006/relationships/hyperlink" Target="https://www.energy.gov.au/energy-and-climate-change-ministerial-council/meetings-and-communiques" TargetMode="External"/><Relationship Id="rId14" Type="http://schemas.openxmlformats.org/officeDocument/2006/relationships/hyperlink" Target="https://www.esc.vic.gov.au/electricity-and-gas/electricity-and-gas-codes-guidelines-and-policies" TargetMode="External"/><Relationship Id="rId30" Type="http://schemas.openxmlformats.org/officeDocument/2006/relationships/hyperlink" Target="https://www.esc.vic.gov.au/sites/default/files/documents/GL%20-%20ESC%20-%20best%20offer%20guideline%20-%20final%20-%2020231117_4.pdf" TargetMode="External"/><Relationship Id="rId35" Type="http://schemas.openxmlformats.org/officeDocument/2006/relationships/hyperlink" Target="https://www.gazette.vic.gov.au/gazette/Gazettes2019/GG2019S208.pdf" TargetMode="External"/><Relationship Id="rId56" Type="http://schemas.openxmlformats.org/officeDocument/2006/relationships/hyperlink" Target="https://www.esc.vic.gov.au/electricity-and-gas/codes-guidelines-and-policies/energy-retail-code-practice/reviewing-energy-retail-code-practice" TargetMode="External"/><Relationship Id="rId77" Type="http://schemas.openxmlformats.org/officeDocument/2006/relationships/hyperlink" Target="https://www.aer.gov.au/system/files/AER%20-%20Better%20Bills%20Guideline%20%28Version%202%29%20-%20January%202023_0.pdf" TargetMode="External"/><Relationship Id="rId100" Type="http://schemas.openxmlformats.org/officeDocument/2006/relationships/hyperlink" Target="https://www.esc.vic.gov.au/electricity-and-gas/codes-guidelines-and-policies/energy-retail-code-practice/reviewing-energy-retail-code-practice" TargetMode="External"/><Relationship Id="rId105" Type="http://schemas.openxmlformats.org/officeDocument/2006/relationships/hyperlink" Target="https://www.aer.gov.au/documents/aer-game-changer-report-november-2023" TargetMode="External"/><Relationship Id="rId126" Type="http://schemas.openxmlformats.org/officeDocument/2006/relationships/hyperlink" Target="https://www.ofgem.gov.uk/energy-policy-and-regulation/industry-licensing/licences-and-licence-conditions" TargetMode="External"/><Relationship Id="rId147" Type="http://schemas.openxmlformats.org/officeDocument/2006/relationships/hyperlink" Target="https://www.aemc.gov.au/rule-changes/improving-consumer-confidence-in-retail-energy-plans" TargetMode="External"/><Relationship Id="rId168" Type="http://schemas.openxmlformats.org/officeDocument/2006/relationships/hyperlink" Target="https://www.esc.vic.gov.au/electricity-and-gas/codes-guidelines-and-policies/energy-retail-code-practice/reviewing-energy-retail-code-practice" TargetMode="External"/><Relationship Id="rId8" Type="http://schemas.openxmlformats.org/officeDocument/2006/relationships/hyperlink" Target="https://www.esc.vic.gov.au/electricity-and-gas/victorian-energy-market-reporting-hub/victorian-energy-market-insights" TargetMode="External"/><Relationship Id="rId51" Type="http://schemas.openxmlformats.org/officeDocument/2006/relationships/hyperlink" Target="https://www.esc.vic.gov.au/electricity-and-gas/codes-guidelines-and-policies/energy-retail-code-practice/reviewing-energy-retail-code-practice" TargetMode="External"/><Relationship Id="rId72" Type="http://schemas.openxmlformats.org/officeDocument/2006/relationships/hyperlink" Target="https://www.esc.vic.gov.au/electricity-and-gas/codes-guidelines-and-policies/energy-retail-code-practice" TargetMode="External"/><Relationship Id="rId93" Type="http://schemas.openxmlformats.org/officeDocument/2006/relationships/hyperlink" Target="https://www.youtube.com/watch?v=iCZsxGb-z8s&amp;t=2204s" TargetMode="External"/><Relationship Id="rId98" Type="http://schemas.openxmlformats.org/officeDocument/2006/relationships/hyperlink" Target="https://www.esc.vic.gov.au/electricity-and-gas/victorian-energy-market-reporting-hub/victorian-energy-market-insights" TargetMode="External"/><Relationship Id="rId121" Type="http://schemas.openxmlformats.org/officeDocument/2006/relationships/hyperlink" Target="https://www.esc.vic.gov.au/electricity-and-gas/victorian-energy-market-reporting-hub/victorian-energy-market-insights" TargetMode="External"/><Relationship Id="rId142" Type="http://schemas.openxmlformats.org/officeDocument/2006/relationships/hyperlink" Target="https://www.esc.vic.gov.au/electricity-and-gas/codes-guidelines-and-policies/energy-retail-code-practice/reviewing-energy-retail-code-practice" TargetMode="External"/><Relationship Id="rId163" Type="http://schemas.openxmlformats.org/officeDocument/2006/relationships/hyperlink" Target="https://www.esc.vic.gov.au/electricity-and-gas/codes-guidelines-and-policies/energy-retail-code-practice/reviewing-energy-retail-code-practice" TargetMode="External"/><Relationship Id="rId184" Type="http://schemas.openxmlformats.org/officeDocument/2006/relationships/hyperlink" Target="https://www.esc.vic.gov.au/electricity-and-gas/codes-guidelines-and-policies/energy-retail-code-practice/reviewing-energy-retail-code-practice" TargetMode="External"/><Relationship Id="rId189" Type="http://schemas.openxmlformats.org/officeDocument/2006/relationships/hyperlink" Target="https://www.esc.vic.gov.au/electricity-and-gas/inquiries-studies-and-reviews/electricity-and-gas-retail-markets-review-implementation-2018/ensuring-contracts-are-clear-and-fair-2019" TargetMode="External"/><Relationship Id="rId3" Type="http://schemas.openxmlformats.org/officeDocument/2006/relationships/hyperlink" Target="https://energyconsumersaustralia.com.au/consumer-sentiment-survey" TargetMode="External"/><Relationship Id="rId214" Type="http://schemas.openxmlformats.org/officeDocument/2006/relationships/hyperlink" Target="https://www.esc.vic.gov.au/about-us/our-policies/compliance-and-enforcement-policy" TargetMode="External"/><Relationship Id="rId25" Type="http://schemas.openxmlformats.org/officeDocument/2006/relationships/hyperlink" Target="https://www.aemc.gov.au/regulation/energy-rules/national-energy-retail-rules/regulation" TargetMode="External"/><Relationship Id="rId46" Type="http://schemas.openxmlformats.org/officeDocument/2006/relationships/hyperlink" Target="https://www.esc.vic.gov.au/electricity-and-gas/inquiries-studies-and-reviews/electricity-and-gas-retail-markets-review-implementation-2018/ensuring-contracts-are-clear-and-fair-2019" TargetMode="External"/><Relationship Id="rId67" Type="http://schemas.openxmlformats.org/officeDocument/2006/relationships/hyperlink" Target="https://www.esc.vic.gov.au/sites/default/files/documents/clear-and-fair-energy-contracts-draft-decision-20191210.pdf" TargetMode="External"/><Relationship Id="rId116" Type="http://schemas.openxmlformats.org/officeDocument/2006/relationships/hyperlink" Target="https://www.esc.vic.gov.au/electricity-and-gas/codes-guidelines-and-policies/energy-retail-code-practice" TargetMode="External"/><Relationship Id="rId137" Type="http://schemas.openxmlformats.org/officeDocument/2006/relationships/hyperlink" Target="https://www.esc.vic.gov.au/electricity-and-gas/codes-guidelines-and-policies/energy-retail-code-practice" TargetMode="External"/><Relationship Id="rId158" Type="http://schemas.openxmlformats.org/officeDocument/2006/relationships/hyperlink" Target="https://www.esc.vic.gov.au/electricity-and-gas/codes-guidelines-and-policies/energy-retail-code-practice/reviewing-energy-retail-code-practice" TargetMode="External"/><Relationship Id="rId20" Type="http://schemas.openxmlformats.org/officeDocument/2006/relationships/hyperlink" Target="https://www.energy.gov.au/energy-and-climate-change-ministerial-council/meetings-and-communiques" TargetMode="External"/><Relationship Id="rId41" Type="http://schemas.openxmlformats.org/officeDocument/2006/relationships/hyperlink" Target="https://www.accc.gov.au/about-us/publications/serial-publications/inquiry-into-the-national-electricity-market-2018-25-reports/inquiry-into-the-national-electricity-market-report-december-2024" TargetMode="External"/><Relationship Id="rId62" Type="http://schemas.openxmlformats.org/officeDocument/2006/relationships/hyperlink" Target="https://www.esc.vic.gov.au/electricity-and-gas/codes-guidelines-and-policies/energy-retail-code-practice/reviewing-energy-retail-code-practice" TargetMode="External"/><Relationship Id="rId83" Type="http://schemas.openxmlformats.org/officeDocument/2006/relationships/hyperlink" Target="https://www.esc.vic.gov.au/electricity-and-gas/victorian-energy-market-reporting-hub/victorian-energy-market-insights/energy-market-dashboard" TargetMode="External"/><Relationship Id="rId88" Type="http://schemas.openxmlformats.org/officeDocument/2006/relationships/hyperlink" Target="https://www.esc.vic.gov.au/electricity-and-gas/codes-guidelines-and-policies/energy-retail-code-practice" TargetMode="External"/><Relationship Id="rId111" Type="http://schemas.openxmlformats.org/officeDocument/2006/relationships/hyperlink" Target="https://services.dffh.vic.gov.au/sites/default/files/2021-08/Victorian%20concessions%20-%20guide%20to%20discounts%20and%20services.pdf" TargetMode="External"/><Relationship Id="rId132" Type="http://schemas.openxmlformats.org/officeDocument/2006/relationships/hyperlink" Target="https://www.esc.vic.gov.au/electricity-and-gas/codes-guidelines-and-policies/energy-retail-code-practice" TargetMode="External"/><Relationship Id="rId153" Type="http://schemas.openxmlformats.org/officeDocument/2006/relationships/hyperlink" Target="https://www.esc.vic.gov.au/sites/default/files/documents/Council%20of%20the%20Ageing%20Victoria%20-%20Submission_Redacted.pdf" TargetMode="External"/><Relationship Id="rId174" Type="http://schemas.openxmlformats.org/officeDocument/2006/relationships/hyperlink" Target="https://vcoss.org.au/essential-services/2023/05/the-missing-14/" TargetMode="External"/><Relationship Id="rId179" Type="http://schemas.openxmlformats.org/officeDocument/2006/relationships/hyperlink" Target="https://www.esc.vic.gov.au/electricity-and-gas/codes-guidelines-and-policies/energy-retail-code-practice/reviewing-energy-retail-code-practice" TargetMode="External"/><Relationship Id="rId195" Type="http://schemas.openxmlformats.org/officeDocument/2006/relationships/hyperlink" Target="https://www.esc.vic.gov.au/electricity-and-gas/inquiries-studies-and-reviews/electricity-and-gas-retail-markets-review-implementation-2018/ensuring-contracts-are-clear-and-fair-2019" TargetMode="External"/><Relationship Id="rId209" Type="http://schemas.openxmlformats.org/officeDocument/2006/relationships/hyperlink" Target="https://www.abs.gov.au/ausstats/abs@.nsf/DOSSbyTopic/297DB51F08B97920CA256BD000281897?OpenDocument" TargetMode="External"/><Relationship Id="rId190" Type="http://schemas.openxmlformats.org/officeDocument/2006/relationships/hyperlink" Target="https://www.esc.vic.gov.au/electricity-and-gas/codes-guidelines-and-policies/energy-retail-code-practice/guideline-maximum-cap-pay-time-discounts" TargetMode="External"/><Relationship Id="rId204" Type="http://schemas.openxmlformats.org/officeDocument/2006/relationships/hyperlink" Target="https://www.esc.vic.gov.au/electricity-and-gas/codes-guidelines-and-policies/energy-retail-code-practice/reviewing-energy-retail-code-practice" TargetMode="External"/><Relationship Id="rId15" Type="http://schemas.openxmlformats.org/officeDocument/2006/relationships/hyperlink" Target="https://www.esc.vic.gov.au/electricity-and-gas/codes-guidelines-and-policies/energy-retail-code-practice/guideline-1-2022-customers-white-label-arrangements-are-entitled-all-protections-energy-retail-code" TargetMode="External"/><Relationship Id="rId36" Type="http://schemas.openxmlformats.org/officeDocument/2006/relationships/hyperlink" Target="https://www.esc.vic.gov.au/electricity-and-gas/prices-tariffs-and-benchmarks/victorian-default-offer/victorian-default-offer-price-review-2025-26" TargetMode="External"/><Relationship Id="rId57" Type="http://schemas.openxmlformats.org/officeDocument/2006/relationships/hyperlink" Target="https://www.esc.vic.gov.au/electricity-and-gas/codes-guidelines-and-policies/energy-retail-code-practice/reviewing-energy-retail-code-practice" TargetMode="External"/><Relationship Id="rId106" Type="http://schemas.openxmlformats.org/officeDocument/2006/relationships/hyperlink" Target="https://www.aemc.gov.au/rule-changes/improving-ability-switch-better-offer" TargetMode="External"/><Relationship Id="rId127" Type="http://schemas.openxmlformats.org/officeDocument/2006/relationships/hyperlink" Target="https://www.esc.vic.gov.au/electricity-and-gas/market-performance-and-reporting/victorian-energy-market-report/energy-market-dashboard" TargetMode="External"/><Relationship Id="rId10" Type="http://schemas.openxmlformats.org/officeDocument/2006/relationships/hyperlink" Target="https://www.esc.vic.gov.au/electricity-and-gas/victorian-energy-market-reporting-hub/victorian-energy-market-insights" TargetMode="External"/><Relationship Id="rId31" Type="http://schemas.openxmlformats.org/officeDocument/2006/relationships/hyperlink" Target="https://www.esc.vic.gov.au/electricity-and-gas/codes-guidelines-and-policies/energy-retail-code-practice" TargetMode="External"/><Relationship Id="rId52" Type="http://schemas.openxmlformats.org/officeDocument/2006/relationships/hyperlink" Target="https://www.esc.vic.gov.au/electricity-and-gas/codes-guidelines-and-policies/energy-retail-code-practice/reviewing-energy-retail-code-practice" TargetMode="External"/><Relationship Id="rId73" Type="http://schemas.openxmlformats.org/officeDocument/2006/relationships/hyperlink" Target="https://vcoss.org.au/essential-services/2023/05/the-missing-14/" TargetMode="External"/><Relationship Id="rId78" Type="http://schemas.openxmlformats.org/officeDocument/2006/relationships/hyperlink" Target="https://www.esc.vic.gov.au/electricity-and-gas/codes-guidelines-and-policies/energy-retail-code-practice" TargetMode="External"/><Relationship Id="rId94" Type="http://schemas.openxmlformats.org/officeDocument/2006/relationships/hyperlink" Target="https://www.esc.vic.gov.au/electricity-and-gas/victorian-energy-market-reporting-hub/victorian-energy-market-insights" TargetMode="External"/><Relationship Id="rId99" Type="http://schemas.openxmlformats.org/officeDocument/2006/relationships/hyperlink" Target="https://www.esc.vic.gov.au/electricity-and-gas/codes-guidelines-and-policies/energy-retail-code-practice" TargetMode="External"/><Relationship Id="rId101" Type="http://schemas.openxmlformats.org/officeDocument/2006/relationships/hyperlink" Target="https://www.esc.vic.gov.au/electricity-and-gas/codes-guidelines-and-policies/energy-retail-code-practice/reviewing-energy-retail-code-practice" TargetMode="External"/><Relationship Id="rId122" Type="http://schemas.openxmlformats.org/officeDocument/2006/relationships/hyperlink" Target="https://www.esc.vic.gov.au/electricity-and-gas/victorian-energy-market-reporting-hub/victorian-energy-market-insights/energy-market-dashboard" TargetMode="External"/><Relationship Id="rId143" Type="http://schemas.openxmlformats.org/officeDocument/2006/relationships/hyperlink" Target="https://www.esc.vic.gov.au/electricity-and-gas/codes-guidelines-and-policies/energy-retail-code-practice/reviewing-energy-retail-code-practice" TargetMode="External"/><Relationship Id="rId148" Type="http://schemas.openxmlformats.org/officeDocument/2006/relationships/hyperlink" Target="https://www.esc.vic.gov.au/electricity-and-gas/codes-guidelines-and-policies/energy-retail-code-practice" TargetMode="External"/><Relationship Id="rId164" Type="http://schemas.openxmlformats.org/officeDocument/2006/relationships/hyperlink" Target="https://www.esc.vic.gov.au/electricity-and-gas/codes-guidelines-and-policies/energy-retail-code-practice/reviewing-energy-retail-code-practice" TargetMode="External"/><Relationship Id="rId169" Type="http://schemas.openxmlformats.org/officeDocument/2006/relationships/hyperlink" Target="https://www.esc.vic.gov.au/electricity-and-gas/codes-guidelines-and-policies/energy-retail-code-practice/reviewing-energy-retail-code-practice" TargetMode="External"/><Relationship Id="rId185" Type="http://schemas.openxmlformats.org/officeDocument/2006/relationships/hyperlink" Target="https://www.esc.vic.gov.au/electricity-and-gas/codes-guidelines-and-policies/energy-retail-code-practice/reviewing-energy-retail-code-practice" TargetMode="External"/><Relationship Id="rId4" Type="http://schemas.openxmlformats.org/officeDocument/2006/relationships/hyperlink" Target="https://www.esc.vic.gov.au/sites/default/files/documents/BIT%20Report.pdf" TargetMode="External"/><Relationship Id="rId9" Type="http://schemas.openxmlformats.org/officeDocument/2006/relationships/hyperlink" Target="https://www.esc.vic.gov.au/electricity-and-gas/victorian-energy-market-reporting-hub/victorian-energy-market-insights" TargetMode="External"/><Relationship Id="rId180" Type="http://schemas.openxmlformats.org/officeDocument/2006/relationships/hyperlink" Target="https://www.esc.vic.gov.au/electricity-and-gas/codes-guidelines-and-policies/energy-retail-code-practice/reviewing-energy-retail-code-practice" TargetMode="External"/><Relationship Id="rId210" Type="http://schemas.openxmlformats.org/officeDocument/2006/relationships/hyperlink" Target="https://www.ato.gov.au/forms-and-instructions/capital-gains-tax-concessions-for-small-business-guide-2015/basic-conditions-for-the-small-business-cgt-concessions/small-business-entity" TargetMode="External"/><Relationship Id="rId215" Type="http://schemas.openxmlformats.org/officeDocument/2006/relationships/hyperlink" Target="https://www.esc.vic.gov.au/about-us/our-policies/compliance-and-enforcement-policy" TargetMode="External"/><Relationship Id="rId26" Type="http://schemas.openxmlformats.org/officeDocument/2006/relationships/hyperlink" Target="https://www.esc.vic.gov.au/electricity-and-gas/victorian-energy-market-reporting-hub/victorian-energy-market-insights/energy-market-dashboard" TargetMode="External"/><Relationship Id="rId47" Type="http://schemas.openxmlformats.org/officeDocument/2006/relationships/hyperlink" Target="https://energyconsumersaustralia.com.au/publications/surveys-energy-consumer-sentiment-behaviour" TargetMode="External"/><Relationship Id="rId68" Type="http://schemas.openxmlformats.org/officeDocument/2006/relationships/hyperlink" Target="https://services.dffh.vic.gov.au/annual-electricity-concession" TargetMode="External"/><Relationship Id="rId89" Type="http://schemas.openxmlformats.org/officeDocument/2006/relationships/hyperlink" Target="https://www.esc.vic.gov.au/electricity-and-gas/inquiries-studies-and-reviews/payment-difficulty-framework-implementation-review-2021" TargetMode="External"/><Relationship Id="rId112" Type="http://schemas.openxmlformats.org/officeDocument/2006/relationships/hyperlink" Target="https://www.esc.vic.gov.au/electricity-and-gas/electricity-and-gas-codes-guidelines-and-policies" TargetMode="External"/><Relationship Id="rId133" Type="http://schemas.openxmlformats.org/officeDocument/2006/relationships/hyperlink" Target="https://asic.gov.au/regulatory-resources/find-a-document/reports/rep-785-better-banking-for-indigenous-consumers/" TargetMode="External"/><Relationship Id="rId154" Type="http://schemas.openxmlformats.org/officeDocument/2006/relationships/hyperlink" Target="https://www.esc.vic.gov.au/electricity-and-gas/codes-guidelines-and-policies/energy-retail-code-practice/reviewing-energy-retail-code-practice" TargetMode="External"/><Relationship Id="rId175" Type="http://schemas.openxmlformats.org/officeDocument/2006/relationships/hyperlink" Target="https://www.esc.vic.gov.au/electricity-and-gas/codes-guidelines-and-policies/energy-retail-code-practice" TargetMode="External"/><Relationship Id="rId196" Type="http://schemas.openxmlformats.org/officeDocument/2006/relationships/hyperlink" Target="https://www.accc.gov.au/about-us/publications/serial-publications/inquiry-into-the-national-electricity-market-2018-25-reports/inquiry-into-the-national-electricity-market-report-june-2024" TargetMode="External"/><Relationship Id="rId200" Type="http://schemas.openxmlformats.org/officeDocument/2006/relationships/hyperlink" Target="https://behaviouraleconomics.pmc.gov.au/projects/improving-energy-bills" TargetMode="External"/><Relationship Id="rId16" Type="http://schemas.openxmlformats.org/officeDocument/2006/relationships/hyperlink" Target="https://www.esc.vic.gov.au/electricity-and-gas/codes-guidelines-and-policies/energy-retail-code-practice" TargetMode="External"/><Relationship Id="rId37" Type="http://schemas.openxmlformats.org/officeDocument/2006/relationships/hyperlink" Target="https://www.esc.vic.gov.au/electricity-and-gas/codes-guidelines-and-policies/energy-retail-code-practice" TargetMode="External"/><Relationship Id="rId58" Type="http://schemas.openxmlformats.org/officeDocument/2006/relationships/hyperlink" Target="https://www.esc.vic.gov.au/electricity-and-gas/codes-guidelines-and-policies/energy-retail-code-practice" TargetMode="External"/><Relationship Id="rId79" Type="http://schemas.openxmlformats.org/officeDocument/2006/relationships/hyperlink" Target="https://www.esc.vic.gov.au/sites/default/files/documents/building-trust-through-new-customer-entitlements-in-the-retail-energy-market-retail-markets-review-20181030.pdf" TargetMode="External"/><Relationship Id="rId102" Type="http://schemas.openxmlformats.org/officeDocument/2006/relationships/hyperlink" Target="https://www.esc.vic.gov.au/electricity-and-gas/codes-guidelines-and-policies/energy-retail-code-practice/reviewing-energy-retail-code-practice" TargetMode="External"/><Relationship Id="rId123" Type="http://schemas.openxmlformats.org/officeDocument/2006/relationships/hyperlink" Target="https://www.esc.vic.gov.au/electricity-and-gas/electricity-and-gas-codes-guidelines-policies-and-manuals/compliance-and-performance-reporting-guideline" TargetMode="External"/><Relationship Id="rId144" Type="http://schemas.openxmlformats.org/officeDocument/2006/relationships/hyperlink" Target="https://www.esc.vic.gov.au/electricity-and-gas/codes-guidelines-and-policies/energy-retail-code-practice/reviewing-energy-retail-code-practice" TargetMode="External"/><Relationship Id="rId90" Type="http://schemas.openxmlformats.org/officeDocument/2006/relationships/hyperlink" Target="https://www.esc.vic.gov.au/electricity-and-gas/codes-guidelines-and-policies/energy-retail-code-practice/reviewing-energy-retail-code-practice" TargetMode="External"/><Relationship Id="rId165" Type="http://schemas.openxmlformats.org/officeDocument/2006/relationships/hyperlink" Target="https://www.esc.vic.gov.au/sites/default/files/documents/RPT%20-%20Victorian%20Energy%20Market%20Report%20-%20September%202023_3.pdf" TargetMode="External"/><Relationship Id="rId186" Type="http://schemas.openxmlformats.org/officeDocument/2006/relationships/hyperlink" Target="https://www.energy.gov.au/energy-and-climate-change-ministerial-council/meetings-and-communiques" TargetMode="External"/><Relationship Id="rId211" Type="http://schemas.openxmlformats.org/officeDocument/2006/relationships/hyperlink" Target="https://www.esc.vic.gov.au/electricity-and-gas/market-performance-and-reporting/victorian-energy-market-report/energy-market-dashboard" TargetMode="External"/><Relationship Id="rId27" Type="http://schemas.openxmlformats.org/officeDocument/2006/relationships/hyperlink" Target="https://www.ewov.com.au/about-us/who-we-are" TargetMode="External"/><Relationship Id="rId48" Type="http://schemas.openxmlformats.org/officeDocument/2006/relationships/hyperlink" Target="https://www.esc.vic.gov.au/electricity-and-gas/victorian-energy-market-reporting-hub/victorian-energy-market-insights" TargetMode="External"/><Relationship Id="rId69" Type="http://schemas.openxmlformats.org/officeDocument/2006/relationships/hyperlink" Target="https://cprc.org.au/report/mind-the-gap/" TargetMode="External"/><Relationship Id="rId113" Type="http://schemas.openxmlformats.org/officeDocument/2006/relationships/hyperlink" Target="https://www.esc.vic.gov.au/electricity-and-gas/electricity-and-gas-codes-guidelines-and-policies" TargetMode="External"/><Relationship Id="rId134" Type="http://schemas.openxmlformats.org/officeDocument/2006/relationships/hyperlink" Target="https://www.esc.vic.gov.au/electricity-and-gas/codes-guidelines-and-policies/energy-retail-code-practice" TargetMode="External"/><Relationship Id="rId80" Type="http://schemas.openxmlformats.org/officeDocument/2006/relationships/hyperlink" Target="https://www.esc.vic.gov.au/sites/default/files/documents/BIT%20Report.pdf" TargetMode="External"/><Relationship Id="rId155" Type="http://schemas.openxmlformats.org/officeDocument/2006/relationships/hyperlink" Target="https://www.esc.vic.gov.au/electricity-and-gas/codes-guidelines-and-policies/energy-retail-code-practice/reviewing-energy-retail-code-practice" TargetMode="External"/><Relationship Id="rId176" Type="http://schemas.openxmlformats.org/officeDocument/2006/relationships/hyperlink" Target="https://vcoss.org.au/essential-services/2023/05/the-missing-14/" TargetMode="External"/><Relationship Id="rId197" Type="http://schemas.openxmlformats.org/officeDocument/2006/relationships/hyperlink" Target="https://www.esc.vic.gov.au/electricity-and-gas/victorian-energy-market-reporting-hub/victorian-energy-market-insights/energy-market-dashboard" TargetMode="External"/><Relationship Id="rId201" Type="http://schemas.openxmlformats.org/officeDocument/2006/relationships/hyperlink" Target="https://www.aer.gov.au/documents/aer-better-bills-guideline-version-2-january-2023" TargetMode="External"/><Relationship Id="rId17" Type="http://schemas.openxmlformats.org/officeDocument/2006/relationships/hyperlink" Target="https://www.esc.vic.gov.au/electricity-and-gas/codes-guidelines-and-policies/energy-retail-code-practice" TargetMode="External"/><Relationship Id="rId38" Type="http://schemas.openxmlformats.org/officeDocument/2006/relationships/hyperlink" Target="https://www.esc.vic.gov.au/electricity-and-gas/prices-tariffs-and-benchmarks/victorian-default-offer" TargetMode="External"/><Relationship Id="rId59" Type="http://schemas.openxmlformats.org/officeDocument/2006/relationships/hyperlink" Target="https://www.esc.vic.gov.au/electricity-and-gas/codes-guidelines-and-policies/energy-retail-code-practice/reviewing-energy-retail-code-practice" TargetMode="External"/><Relationship Id="rId103" Type="http://schemas.openxmlformats.org/officeDocument/2006/relationships/hyperlink" Target="https://www.esc.vic.gov.au/electricity-and-gas/codes-guidelines-and-policies/energy-retail-code-practice/reviewing-energy-retail-code-practice" TargetMode="External"/><Relationship Id="rId124" Type="http://schemas.openxmlformats.org/officeDocument/2006/relationships/hyperlink" Target="https://www.esc.vic.gov.au/electricity-and-gas/codes-guidelines-and-policies/energy-retail-code-practice" TargetMode="External"/><Relationship Id="rId70" Type="http://schemas.openxmlformats.org/officeDocument/2006/relationships/hyperlink" Target="https://vcoss.org.au/essential-services/2023/05/the-missing-14/" TargetMode="External"/><Relationship Id="rId91" Type="http://schemas.openxmlformats.org/officeDocument/2006/relationships/hyperlink" Target="https://www.esc.vic.gov.au/electricity-and-gas/codes-guidelines-and-policies/energy-retail-code-practice/reviewing-energy-retail-code-practice" TargetMode="External"/><Relationship Id="rId145" Type="http://schemas.openxmlformats.org/officeDocument/2006/relationships/hyperlink" Target="https://www.esc.vic.gov.au/electricity-and-gas/codes-guidelines-and-policies/energy-retail-code-practice/reviewing-energy-retail-code-practice" TargetMode="External"/><Relationship Id="rId166" Type="http://schemas.openxmlformats.org/officeDocument/2006/relationships/hyperlink" Target="https://www.esc.vic.gov.au/sites/default/files/documents/GL%20-%20ESC%20-%20best%20offer%20guideline%20-%20final%20-%2020231117_3.pdf" TargetMode="External"/><Relationship Id="rId187" Type="http://schemas.openxmlformats.org/officeDocument/2006/relationships/hyperlink" Target="https://www.esc.vic.gov.au/electricity-and-gas/codes-guidelines-and-policies/energy-retail-code-practice/reviewing-energy-retail-code-practice" TargetMode="External"/><Relationship Id="rId1" Type="http://schemas.openxmlformats.org/officeDocument/2006/relationships/hyperlink" Target="https://vcoss.org.au/essential-services/2023/05/the-missing-14/" TargetMode="External"/><Relationship Id="rId212" Type="http://schemas.openxmlformats.org/officeDocument/2006/relationships/hyperlink" Target="https://www.esc.vic.gov.au/consumer-information" TargetMode="External"/><Relationship Id="rId28" Type="http://schemas.openxmlformats.org/officeDocument/2006/relationships/hyperlink" Target="https://www.esc.vic.gov.au/electricity-and-gas/codes-guidelines-and-policies/energy-retail-code-practice" TargetMode="External"/><Relationship Id="rId49" Type="http://schemas.openxmlformats.org/officeDocument/2006/relationships/hyperlink" Target="https://www.esc.vic.gov.au/sites/default/files/documents/Honeycomb%20-%20%20Energy%20Market%20Insights%20July%202021%2019.07.21.pdf" TargetMode="External"/><Relationship Id="rId114" Type="http://schemas.openxmlformats.org/officeDocument/2006/relationships/hyperlink" Target="https://www.esc.vic.gov.au/electricity-and-gas/codes-guidelines-and-policies/energy-retail-code-practice" TargetMode="External"/><Relationship Id="rId60" Type="http://schemas.openxmlformats.org/officeDocument/2006/relationships/hyperlink" Target="https://www.esc.vic.gov.au/electricity-and-gas/codes-guidelines-and-policies/energy-retail-code-practice/reviewing-energy-retail-code-practice" TargetMode="External"/><Relationship Id="rId81" Type="http://schemas.openxmlformats.org/officeDocument/2006/relationships/hyperlink" Target="https://www.esc.vic.gov.au/electricity-and-gas/prices-tariffs-and-benchmarks/victorian-default-offer/victorian-default-offer-price-review-2024-25" TargetMode="External"/><Relationship Id="rId135" Type="http://schemas.openxmlformats.org/officeDocument/2006/relationships/hyperlink" Target="https://www.esc.vic.gov.au/electricity-and-gas/codes-guidelines-and-policies/energy-retail-code-practice" TargetMode="External"/><Relationship Id="rId156" Type="http://schemas.openxmlformats.org/officeDocument/2006/relationships/hyperlink" Target="https://www.esc.vic.gov.au/electricity-and-gas/codes-guidelines-and-policies/energy-retail-code-practice/reviewing-energy-retail-code-practice" TargetMode="External"/><Relationship Id="rId177" Type="http://schemas.openxmlformats.org/officeDocument/2006/relationships/hyperlink" Target="https://cprc.org.au/report/mind-the-gap/" TargetMode="External"/><Relationship Id="rId198" Type="http://schemas.openxmlformats.org/officeDocument/2006/relationships/hyperlink" Target="https://www.esc.vic.gov.au/sites/default/files/documents/clear-and-fair-energy-contracts-draft-decision-20191210.pdf" TargetMode="External"/><Relationship Id="rId202" Type="http://schemas.openxmlformats.org/officeDocument/2006/relationships/hyperlink" Target="https://www.esc.vic.gov.au/electricity-and-gas/codes-guidelines-and-policies/energy-retail-code-practice/reviewing-energy-retail-code-practice" TargetMode="External"/><Relationship Id="rId18" Type="http://schemas.openxmlformats.org/officeDocument/2006/relationships/hyperlink" Target="https://www.esc.vic.gov.au/electricity-and-gas/codes-guidelines-and-policies/energy-retail-code-practice" TargetMode="External"/><Relationship Id="rId39" Type="http://schemas.openxmlformats.org/officeDocument/2006/relationships/hyperlink" Target="https://www.energy.vic.gov.au/about-energy/energy-licencing-exemptions/electricity-exemptions" TargetMode="External"/><Relationship Id="rId50" Type="http://schemas.openxmlformats.org/officeDocument/2006/relationships/hyperlink" Target="https://energyconsumersaustralia.com.au/consumer-sentiment-survey" TargetMode="External"/><Relationship Id="rId104" Type="http://schemas.openxmlformats.org/officeDocument/2006/relationships/hyperlink" Target="https://www.aer.gov.au/system/files/2023-11/Game%20Changer%20Report%20-%20November%202023.pdf" TargetMode="External"/><Relationship Id="rId125" Type="http://schemas.openxmlformats.org/officeDocument/2006/relationships/hyperlink" Target="https://www.esc.vic.gov.au/electricity-and-gas/codes-guidelines-and-policies/energy-retail-code-practice" TargetMode="External"/><Relationship Id="rId146" Type="http://schemas.openxmlformats.org/officeDocument/2006/relationships/hyperlink" Target="https://www.esc.vic.gov.au/electricity-and-gas/codes-guidelines-and-policies/energy-retail-code-practice" TargetMode="External"/><Relationship Id="rId167" Type="http://schemas.openxmlformats.org/officeDocument/2006/relationships/hyperlink" Target="https://www.esc.vic.gov.au/electricity-and-gas/codes-guidelines-and-policies/energy-retail-code-practice/reviewing-energy-retail-code-practice" TargetMode="External"/><Relationship Id="rId188" Type="http://schemas.openxmlformats.org/officeDocument/2006/relationships/hyperlink" Target="https://www.esc.vic.gov.au/electricity-and-gas/codes-guidelines-and-policies/energy-retail-code-practice" TargetMode="External"/><Relationship Id="rId71" Type="http://schemas.openxmlformats.org/officeDocument/2006/relationships/hyperlink" Target="https://melbourneinstitute.unimelb.edu.au/__data/assets/pdf_file/0009/4971096/Energy-Charter_Report_Final.pdf" TargetMode="External"/><Relationship Id="rId92" Type="http://schemas.openxmlformats.org/officeDocument/2006/relationships/hyperlink" Target="https://www.esc.vic.gov.au/electricity-and-gas/codes-guidelines-and-policies/energy-retail-code-practice/reviewing-energy-retail-code-practice" TargetMode="External"/><Relationship Id="rId213" Type="http://schemas.openxmlformats.org/officeDocument/2006/relationships/hyperlink" Target="https://www.esc.vic.gov.au/about-us/our-policies/compliance-and-enforcement-policy" TargetMode="External"/><Relationship Id="rId2" Type="http://schemas.openxmlformats.org/officeDocument/2006/relationships/hyperlink" Target="https://cprc.org.au/report/mind-the-gap/" TargetMode="External"/><Relationship Id="rId29" Type="http://schemas.openxmlformats.org/officeDocument/2006/relationships/hyperlink" Target="https://www.esc.vic.gov.au/electricity-and-gas/market-performance-and-reporting/victorian-energy-market-report/energy-market-dashboard" TargetMode="External"/><Relationship Id="rId40" Type="http://schemas.openxmlformats.org/officeDocument/2006/relationships/hyperlink" Target="https://www.esc.vic.gov.au/electricity-and-gas/information-for-electricity-and-gas-consumers/embedded-networks" TargetMode="External"/><Relationship Id="rId115" Type="http://schemas.openxmlformats.org/officeDocument/2006/relationships/hyperlink" Target="https://www.esc.vic.gov.au/electricity-and-gas/codes-guidelines-and-policies/energy-retail-code-practice" TargetMode="External"/><Relationship Id="rId136" Type="http://schemas.openxmlformats.org/officeDocument/2006/relationships/hyperlink" Target="https://www.esc.vic.gov.au/electricity-and-gas/codes-guidelines-and-policies/energy-retail-code-practice" TargetMode="External"/><Relationship Id="rId157" Type="http://schemas.openxmlformats.org/officeDocument/2006/relationships/hyperlink" Target="https://www.esc.vic.gov.au/electricity-and-gas/codes-guidelines-and-policies/energy-retail-code-practice/reviewing-energy-retail-code-practice" TargetMode="External"/><Relationship Id="rId178" Type="http://schemas.openxmlformats.org/officeDocument/2006/relationships/hyperlink" Target="https://www.esc.vic.gov.au/electricity-and-gas/codes-guidelines-and-policies/energy-retail-code-practice/reviewing-energy-retail-code-practice" TargetMode="External"/><Relationship Id="rId61" Type="http://schemas.openxmlformats.org/officeDocument/2006/relationships/hyperlink" Target="https://www.esc.vic.gov.au/electricity-and-gas/codes-guidelines-and-policies/energy-retail-code-practice/reviewing-energy-retail-code-practice" TargetMode="External"/><Relationship Id="rId82" Type="http://schemas.openxmlformats.org/officeDocument/2006/relationships/hyperlink" Target="https://www.esc.vic.gov.au/sites/default/files/documents/energy-retail-code-revised-minimum-disconnection-amount-october-2017-20180117.pdf" TargetMode="External"/><Relationship Id="rId199" Type="http://schemas.openxmlformats.org/officeDocument/2006/relationships/hyperlink" Target="https://www.esc.vic.gov.au/electricity-and-gas/victorian-energy-market-reporting-hub/victorian-energy-market-insights/energy-market-dashboard" TargetMode="External"/><Relationship Id="rId203" Type="http://schemas.openxmlformats.org/officeDocument/2006/relationships/hyperlink" Target="https://www.esc.vic.gov.au/electricity-and-gas/codes-guidelines-and-policies/energy-retail-code-practice/reviewing-energy-retail-code-practi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https://escvic-my.sharepoint.com/personal/nick_horsburgh_esc_vic_gov_au/Documents/Documents/Energy%20retailers%20market%20share%20cal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planning/RIS%20data%20for%20graphs/RIS%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planning/RIS%20data%20for%20graphs/RIS%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planning/RIS%20data%20for%20graphs/RIS%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planning/RIS%20data%20for%20graphs/RIS%20graph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planning/RIS%20data%20for%20graphs/RIS%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planning/RIS%20data%20for%20graphs/RIS%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planning/RIS%20data%20for%20graphs/RIS%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scvic.sharepoint.com/teams/ERCoP/Shared%20Documents/8.%20RIS%20Documents/RIS%20planning/RIS%20data%20for%20graphs/RIS%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03937007874015"/>
          <c:y val="9.3866682434298368E-2"/>
          <c:w val="0.83140507436570432"/>
          <c:h val="0.6194199885639875"/>
        </c:manualLayout>
      </c:layout>
      <c:barChart>
        <c:barDir val="col"/>
        <c:grouping val="stacked"/>
        <c:varyColors val="0"/>
        <c:ser>
          <c:idx val="0"/>
          <c:order val="0"/>
          <c:tx>
            <c:strRef>
              <c:f>Sheet1!$C$10</c:f>
              <c:strCache>
                <c:ptCount val="1"/>
                <c:pt idx="0">
                  <c:v>Big 3 retailers</c:v>
                </c:pt>
              </c:strCache>
            </c:strRef>
          </c:tx>
          <c:spPr>
            <a:solidFill>
              <a:schemeClr val="accent1"/>
            </a:solidFill>
            <a:ln>
              <a:solidFill>
                <a:schemeClr val="accent1"/>
              </a:solidFill>
            </a:ln>
            <a:effectLst/>
          </c:spPr>
          <c:invertIfNegative val="0"/>
          <c:cat>
            <c:strRef>
              <c:f>Sheet1!$D$9:$G$9</c:f>
              <c:strCache>
                <c:ptCount val="4"/>
                <c:pt idx="0">
                  <c:v>Electricity (residential)</c:v>
                </c:pt>
                <c:pt idx="1">
                  <c:v>Electricity (small business)</c:v>
                </c:pt>
                <c:pt idx="2">
                  <c:v>Gas (residential)</c:v>
                </c:pt>
                <c:pt idx="3">
                  <c:v>Gas (small business)</c:v>
                </c:pt>
              </c:strCache>
            </c:strRef>
          </c:cat>
          <c:val>
            <c:numRef>
              <c:f>Sheet1!$D$10:$G$10</c:f>
              <c:numCache>
                <c:formatCode>General</c:formatCode>
                <c:ptCount val="4"/>
                <c:pt idx="0">
                  <c:v>57</c:v>
                </c:pt>
                <c:pt idx="1">
                  <c:v>56.8</c:v>
                </c:pt>
                <c:pt idx="2">
                  <c:v>58.9</c:v>
                </c:pt>
                <c:pt idx="3">
                  <c:v>78</c:v>
                </c:pt>
              </c:numCache>
            </c:numRef>
          </c:val>
          <c:extLst>
            <c:ext xmlns:c16="http://schemas.microsoft.com/office/drawing/2014/chart" uri="{C3380CC4-5D6E-409C-BE32-E72D297353CC}">
              <c16:uniqueId val="{00000000-05D2-4D24-91F1-F87962DBE057}"/>
            </c:ext>
          </c:extLst>
        </c:ser>
        <c:ser>
          <c:idx val="1"/>
          <c:order val="1"/>
          <c:tx>
            <c:strRef>
              <c:f>Sheet1!$C$11</c:f>
              <c:strCache>
                <c:ptCount val="1"/>
                <c:pt idx="0">
                  <c:v>Large retailers </c:v>
                </c:pt>
              </c:strCache>
            </c:strRef>
          </c:tx>
          <c:spPr>
            <a:solidFill>
              <a:schemeClr val="accent3"/>
            </a:solidFill>
            <a:ln>
              <a:solidFill>
                <a:schemeClr val="accent3"/>
              </a:solidFill>
            </a:ln>
            <a:effectLst/>
          </c:spPr>
          <c:invertIfNegative val="0"/>
          <c:cat>
            <c:strRef>
              <c:f>Sheet1!$D$9:$G$9</c:f>
              <c:strCache>
                <c:ptCount val="4"/>
                <c:pt idx="0">
                  <c:v>Electricity (residential)</c:v>
                </c:pt>
                <c:pt idx="1">
                  <c:v>Electricity (small business)</c:v>
                </c:pt>
                <c:pt idx="2">
                  <c:v>Gas (residential)</c:v>
                </c:pt>
                <c:pt idx="3">
                  <c:v>Gas (small business)</c:v>
                </c:pt>
              </c:strCache>
            </c:strRef>
          </c:cat>
          <c:val>
            <c:numRef>
              <c:f>Sheet1!$D$11:$G$11</c:f>
              <c:numCache>
                <c:formatCode>General</c:formatCode>
                <c:ptCount val="4"/>
                <c:pt idx="0">
                  <c:v>20.100000000000001</c:v>
                </c:pt>
                <c:pt idx="1">
                  <c:v>22.6</c:v>
                </c:pt>
                <c:pt idx="2">
                  <c:v>20.7</c:v>
                </c:pt>
                <c:pt idx="3">
                  <c:v>12</c:v>
                </c:pt>
              </c:numCache>
            </c:numRef>
          </c:val>
          <c:extLst>
            <c:ext xmlns:c16="http://schemas.microsoft.com/office/drawing/2014/chart" uri="{C3380CC4-5D6E-409C-BE32-E72D297353CC}">
              <c16:uniqueId val="{00000001-05D2-4D24-91F1-F87962DBE057}"/>
            </c:ext>
          </c:extLst>
        </c:ser>
        <c:ser>
          <c:idx val="2"/>
          <c:order val="2"/>
          <c:tx>
            <c:strRef>
              <c:f>Sheet1!$C$12</c:f>
              <c:strCache>
                <c:ptCount val="1"/>
                <c:pt idx="0">
                  <c:v>Medium retailers</c:v>
                </c:pt>
              </c:strCache>
            </c:strRef>
          </c:tx>
          <c:spPr>
            <a:solidFill>
              <a:schemeClr val="accent4"/>
            </a:solidFill>
            <a:ln>
              <a:solidFill>
                <a:schemeClr val="accent4"/>
              </a:solidFill>
            </a:ln>
            <a:effectLst/>
          </c:spPr>
          <c:invertIfNegative val="0"/>
          <c:cat>
            <c:strRef>
              <c:f>Sheet1!$D$9:$G$9</c:f>
              <c:strCache>
                <c:ptCount val="4"/>
                <c:pt idx="0">
                  <c:v>Electricity (residential)</c:v>
                </c:pt>
                <c:pt idx="1">
                  <c:v>Electricity (small business)</c:v>
                </c:pt>
                <c:pt idx="2">
                  <c:v>Gas (residential)</c:v>
                </c:pt>
                <c:pt idx="3">
                  <c:v>Gas (small business)</c:v>
                </c:pt>
              </c:strCache>
            </c:strRef>
          </c:cat>
          <c:val>
            <c:numRef>
              <c:f>Sheet1!$D$12:$G$12</c:f>
              <c:numCache>
                <c:formatCode>General</c:formatCode>
                <c:ptCount val="4"/>
                <c:pt idx="0">
                  <c:v>20</c:v>
                </c:pt>
                <c:pt idx="1">
                  <c:v>16</c:v>
                </c:pt>
                <c:pt idx="2">
                  <c:v>19.100000000000001</c:v>
                </c:pt>
                <c:pt idx="3">
                  <c:v>8.8000000000000007</c:v>
                </c:pt>
              </c:numCache>
            </c:numRef>
          </c:val>
          <c:extLst>
            <c:ext xmlns:c16="http://schemas.microsoft.com/office/drawing/2014/chart" uri="{C3380CC4-5D6E-409C-BE32-E72D297353CC}">
              <c16:uniqueId val="{00000002-05D2-4D24-91F1-F87962DBE057}"/>
            </c:ext>
          </c:extLst>
        </c:ser>
        <c:ser>
          <c:idx val="3"/>
          <c:order val="3"/>
          <c:tx>
            <c:strRef>
              <c:f>Sheet1!$C$13</c:f>
              <c:strCache>
                <c:ptCount val="1"/>
                <c:pt idx="0">
                  <c:v>Small retailers</c:v>
                </c:pt>
              </c:strCache>
            </c:strRef>
          </c:tx>
          <c:spPr>
            <a:solidFill>
              <a:schemeClr val="accent2"/>
            </a:solidFill>
            <a:ln>
              <a:solidFill>
                <a:schemeClr val="accent2"/>
              </a:solidFill>
            </a:ln>
            <a:effectLst/>
          </c:spPr>
          <c:invertIfNegative val="0"/>
          <c:cat>
            <c:strRef>
              <c:f>Sheet1!$D$9:$G$9</c:f>
              <c:strCache>
                <c:ptCount val="4"/>
                <c:pt idx="0">
                  <c:v>Electricity (residential)</c:v>
                </c:pt>
                <c:pt idx="1">
                  <c:v>Electricity (small business)</c:v>
                </c:pt>
                <c:pt idx="2">
                  <c:v>Gas (residential)</c:v>
                </c:pt>
                <c:pt idx="3">
                  <c:v>Gas (small business)</c:v>
                </c:pt>
              </c:strCache>
            </c:strRef>
          </c:cat>
          <c:val>
            <c:numRef>
              <c:f>Sheet1!$D$13:$G$13</c:f>
              <c:numCache>
                <c:formatCode>General</c:formatCode>
                <c:ptCount val="4"/>
                <c:pt idx="0">
                  <c:v>2.9</c:v>
                </c:pt>
                <c:pt idx="1">
                  <c:v>4.5999999999999996</c:v>
                </c:pt>
                <c:pt idx="2">
                  <c:v>1.31</c:v>
                </c:pt>
                <c:pt idx="3">
                  <c:v>1.1000000000000001</c:v>
                </c:pt>
              </c:numCache>
            </c:numRef>
          </c:val>
          <c:extLst>
            <c:ext xmlns:c16="http://schemas.microsoft.com/office/drawing/2014/chart" uri="{C3380CC4-5D6E-409C-BE32-E72D297353CC}">
              <c16:uniqueId val="{00000003-05D2-4D24-91F1-F87962DBE057}"/>
            </c:ext>
          </c:extLst>
        </c:ser>
        <c:dLbls>
          <c:showLegendKey val="0"/>
          <c:showVal val="0"/>
          <c:showCatName val="0"/>
          <c:showSerName val="0"/>
          <c:showPercent val="0"/>
          <c:showBubbleSize val="0"/>
        </c:dLbls>
        <c:gapWidth val="150"/>
        <c:overlap val="100"/>
        <c:axId val="1075078752"/>
        <c:axId val="1075079232"/>
      </c:barChart>
      <c:catAx>
        <c:axId val="107507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75079232"/>
        <c:crosses val="autoZero"/>
        <c:auto val="1"/>
        <c:lblAlgn val="ctr"/>
        <c:lblOffset val="100"/>
        <c:noMultiLvlLbl val="0"/>
      </c:catAx>
      <c:valAx>
        <c:axId val="10750792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market share</a:t>
                </a:r>
              </a:p>
            </c:rich>
          </c:tx>
          <c:layout>
            <c:manualLayout>
              <c:xMode val="edge"/>
              <c:yMode val="edge"/>
              <c:x val="4.5007376669169423E-2"/>
              <c:y val="0.223233276016369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75078752"/>
        <c:crosses val="autoZero"/>
        <c:crossBetween val="between"/>
      </c:valAx>
      <c:spPr>
        <a:noFill/>
        <a:ln>
          <a:noFill/>
        </a:ln>
        <a:effectLst/>
      </c:spPr>
    </c:plotArea>
    <c:legend>
      <c:legendPos val="b"/>
      <c:layout>
        <c:manualLayout>
          <c:xMode val="edge"/>
          <c:yMode val="edge"/>
          <c:x val="0.1544802152895445"/>
          <c:y val="0.85852426534918425"/>
          <c:w val="0.6802396354325807"/>
          <c:h val="0.131671813082188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10'!$D$4</c:f>
              <c:strCache>
                <c:ptCount val="1"/>
                <c:pt idx="0">
                  <c:v>Electricity</c:v>
                </c:pt>
              </c:strCache>
            </c:strRef>
          </c:tx>
          <c:spPr>
            <a:ln w="28575" cap="rnd">
              <a:solidFill>
                <a:schemeClr val="accent1"/>
              </a:solidFill>
              <a:round/>
            </a:ln>
            <a:effectLst/>
          </c:spPr>
          <c:marker>
            <c:symbol val="none"/>
          </c:marker>
          <c:cat>
            <c:multiLvlStrRef>
              <c:f>'Fig 10'!$B$5:$C$14</c:f>
              <c:multiLvlStrCache>
                <c:ptCount val="10"/>
                <c:lvl>
                  <c:pt idx="0">
                    <c:v>Jul-Sep</c:v>
                  </c:pt>
                  <c:pt idx="1">
                    <c:v>Oct-Dec</c:v>
                  </c:pt>
                  <c:pt idx="2">
                    <c:v>Jan-Mar</c:v>
                  </c:pt>
                  <c:pt idx="3">
                    <c:v>Apr-Jun</c:v>
                  </c:pt>
                  <c:pt idx="4">
                    <c:v>Jul-Sep</c:v>
                  </c:pt>
                  <c:pt idx="5">
                    <c:v>Oct-Dec</c:v>
                  </c:pt>
                  <c:pt idx="6">
                    <c:v>Jan-Mar</c:v>
                  </c:pt>
                  <c:pt idx="7">
                    <c:v>Apr-Jun</c:v>
                  </c:pt>
                  <c:pt idx="8">
                    <c:v>Jul-Sep</c:v>
                  </c:pt>
                  <c:pt idx="9">
                    <c:v>Oct-Dec</c:v>
                  </c:pt>
                </c:lvl>
                <c:lvl>
                  <c:pt idx="0">
                    <c:v>2022-23</c:v>
                  </c:pt>
                  <c:pt idx="4">
                    <c:v>2023-24</c:v>
                  </c:pt>
                  <c:pt idx="8">
                    <c:v>2024-25</c:v>
                  </c:pt>
                </c:lvl>
              </c:multiLvlStrCache>
            </c:multiLvlStrRef>
          </c:cat>
          <c:val>
            <c:numRef>
              <c:f>'Fig 10'!$D$5:$D$14</c:f>
              <c:numCache>
                <c:formatCode>_-"$"* #,##0_-;\-"$"* #,##0_-;_-"$"* "-"??_-;_-@_-</c:formatCode>
                <c:ptCount val="10"/>
                <c:pt idx="0">
                  <c:v>1206.8815659566374</c:v>
                </c:pt>
                <c:pt idx="1">
                  <c:v>1234.1098149025458</c:v>
                </c:pt>
                <c:pt idx="2">
                  <c:v>1278.4050552437275</c:v>
                </c:pt>
                <c:pt idx="3">
                  <c:v>1258.4643500336913</c:v>
                </c:pt>
                <c:pt idx="4">
                  <c:v>1243.4103858337314</c:v>
                </c:pt>
                <c:pt idx="5">
                  <c:v>1282.902398530445</c:v>
                </c:pt>
                <c:pt idx="6">
                  <c:v>1362.974746776262</c:v>
                </c:pt>
                <c:pt idx="7">
                  <c:v>1356.0080845837658</c:v>
                </c:pt>
                <c:pt idx="8">
                  <c:v>1367.5367915003951</c:v>
                </c:pt>
                <c:pt idx="9">
                  <c:v>1591.7075887777526</c:v>
                </c:pt>
              </c:numCache>
            </c:numRef>
          </c:val>
          <c:smooth val="0"/>
          <c:extLst>
            <c:ext xmlns:c16="http://schemas.microsoft.com/office/drawing/2014/chart" uri="{C3380CC4-5D6E-409C-BE32-E72D297353CC}">
              <c16:uniqueId val="{00000000-6242-4BE3-BB4B-CABF7104BA2B}"/>
            </c:ext>
          </c:extLst>
        </c:ser>
        <c:ser>
          <c:idx val="1"/>
          <c:order val="1"/>
          <c:tx>
            <c:strRef>
              <c:f>'Fig 10'!$E$4</c:f>
              <c:strCache>
                <c:ptCount val="1"/>
                <c:pt idx="0">
                  <c:v>Gas</c:v>
                </c:pt>
              </c:strCache>
            </c:strRef>
          </c:tx>
          <c:spPr>
            <a:ln w="28575" cap="rnd">
              <a:solidFill>
                <a:schemeClr val="accent2"/>
              </a:solidFill>
              <a:round/>
            </a:ln>
            <a:effectLst/>
          </c:spPr>
          <c:marker>
            <c:symbol val="none"/>
          </c:marker>
          <c:cat>
            <c:multiLvlStrRef>
              <c:f>'Fig 10'!$B$5:$C$14</c:f>
              <c:multiLvlStrCache>
                <c:ptCount val="10"/>
                <c:lvl>
                  <c:pt idx="0">
                    <c:v>Jul-Sep</c:v>
                  </c:pt>
                  <c:pt idx="1">
                    <c:v>Oct-Dec</c:v>
                  </c:pt>
                  <c:pt idx="2">
                    <c:v>Jan-Mar</c:v>
                  </c:pt>
                  <c:pt idx="3">
                    <c:v>Apr-Jun</c:v>
                  </c:pt>
                  <c:pt idx="4">
                    <c:v>Jul-Sep</c:v>
                  </c:pt>
                  <c:pt idx="5">
                    <c:v>Oct-Dec</c:v>
                  </c:pt>
                  <c:pt idx="6">
                    <c:v>Jan-Mar</c:v>
                  </c:pt>
                  <c:pt idx="7">
                    <c:v>Apr-Jun</c:v>
                  </c:pt>
                  <c:pt idx="8">
                    <c:v>Jul-Sep</c:v>
                  </c:pt>
                  <c:pt idx="9">
                    <c:v>Oct-Dec</c:v>
                  </c:pt>
                </c:lvl>
                <c:lvl>
                  <c:pt idx="0">
                    <c:v>2022-23</c:v>
                  </c:pt>
                  <c:pt idx="4">
                    <c:v>2023-24</c:v>
                  </c:pt>
                  <c:pt idx="8">
                    <c:v>2024-25</c:v>
                  </c:pt>
                </c:lvl>
              </c:multiLvlStrCache>
            </c:multiLvlStrRef>
          </c:cat>
          <c:val>
            <c:numRef>
              <c:f>'Fig 10'!$E$5:$E$14</c:f>
              <c:numCache>
                <c:formatCode>_-"$"* #,##0_-;\-"$"* #,##0_-;_-"$"* "-"??_-;_-@_-</c:formatCode>
                <c:ptCount val="10"/>
                <c:pt idx="0">
                  <c:v>927.47296824893067</c:v>
                </c:pt>
                <c:pt idx="1">
                  <c:v>1108.1956501056738</c:v>
                </c:pt>
                <c:pt idx="2">
                  <c:v>1492.4497726174388</c:v>
                </c:pt>
                <c:pt idx="3">
                  <c:v>1176.0920224100748</c:v>
                </c:pt>
                <c:pt idx="4">
                  <c:v>1023.8071599601211</c:v>
                </c:pt>
                <c:pt idx="5">
                  <c:v>1243.9592949870787</c:v>
                </c:pt>
                <c:pt idx="6">
                  <c:v>1633.6776670041429</c:v>
                </c:pt>
                <c:pt idx="7">
                  <c:v>1366.8406560982194</c:v>
                </c:pt>
                <c:pt idx="8">
                  <c:v>1118.7506509274406</c:v>
                </c:pt>
                <c:pt idx="9">
                  <c:v>1388.8488610187651</c:v>
                </c:pt>
              </c:numCache>
            </c:numRef>
          </c:val>
          <c:smooth val="0"/>
          <c:extLst>
            <c:ext xmlns:c16="http://schemas.microsoft.com/office/drawing/2014/chart" uri="{C3380CC4-5D6E-409C-BE32-E72D297353CC}">
              <c16:uniqueId val="{00000001-6242-4BE3-BB4B-CABF7104BA2B}"/>
            </c:ext>
          </c:extLst>
        </c:ser>
        <c:dLbls>
          <c:showLegendKey val="0"/>
          <c:showVal val="0"/>
          <c:showCatName val="0"/>
          <c:showSerName val="0"/>
          <c:showPercent val="0"/>
          <c:showBubbleSize val="0"/>
        </c:dLbls>
        <c:smooth val="0"/>
        <c:axId val="795406672"/>
        <c:axId val="795413392"/>
      </c:lineChart>
      <c:catAx>
        <c:axId val="79540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413392"/>
        <c:crosses val="autoZero"/>
        <c:auto val="1"/>
        <c:lblAlgn val="ctr"/>
        <c:lblOffset val="100"/>
        <c:noMultiLvlLbl val="0"/>
      </c:catAx>
      <c:valAx>
        <c:axId val="7954133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406672"/>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11'!$E$23</c:f>
              <c:strCache>
                <c:ptCount val="1"/>
                <c:pt idx="0">
                  <c:v>Number of customers</c:v>
                </c:pt>
              </c:strCache>
            </c:strRef>
          </c:tx>
          <c:spPr>
            <a:ln w="28575" cap="rnd">
              <a:solidFill>
                <a:schemeClr val="accent1"/>
              </a:solidFill>
              <a:round/>
            </a:ln>
            <a:effectLst/>
          </c:spPr>
          <c:marker>
            <c:symbol val="none"/>
          </c:marker>
          <c:cat>
            <c:multiLvlStrRef>
              <c:f>'Fig 11'!$C$24:$D$53</c:f>
              <c:multiLvlStrCache>
                <c:ptCount val="30"/>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lvl>
                <c:lvl>
                  <c:pt idx="0">
                    <c:v>2022-23</c:v>
                  </c:pt>
                  <c:pt idx="12">
                    <c:v>2023-24</c:v>
                  </c:pt>
                  <c:pt idx="24">
                    <c:v>2024-25</c:v>
                  </c:pt>
                </c:lvl>
              </c:multiLvlStrCache>
            </c:multiLvlStrRef>
          </c:cat>
          <c:val>
            <c:numRef>
              <c:f>'Fig 11'!$E$24:$E$53</c:f>
              <c:numCache>
                <c:formatCode>General</c:formatCode>
                <c:ptCount val="30"/>
                <c:pt idx="0">
                  <c:v>107321</c:v>
                </c:pt>
                <c:pt idx="1">
                  <c:v>120853</c:v>
                </c:pt>
                <c:pt idx="2">
                  <c:v>117086</c:v>
                </c:pt>
                <c:pt idx="3">
                  <c:v>107938</c:v>
                </c:pt>
                <c:pt idx="4">
                  <c:v>85068</c:v>
                </c:pt>
                <c:pt idx="5">
                  <c:v>71574</c:v>
                </c:pt>
                <c:pt idx="6">
                  <c:v>57965</c:v>
                </c:pt>
                <c:pt idx="7">
                  <c:v>51579</c:v>
                </c:pt>
                <c:pt idx="8">
                  <c:v>47793</c:v>
                </c:pt>
                <c:pt idx="9">
                  <c:v>49998</c:v>
                </c:pt>
                <c:pt idx="10">
                  <c:v>71013</c:v>
                </c:pt>
                <c:pt idx="11">
                  <c:v>129181</c:v>
                </c:pt>
                <c:pt idx="12">
                  <c:v>130363</c:v>
                </c:pt>
                <c:pt idx="13">
                  <c:v>142879</c:v>
                </c:pt>
                <c:pt idx="14">
                  <c:v>146013</c:v>
                </c:pt>
                <c:pt idx="15">
                  <c:v>128462</c:v>
                </c:pt>
                <c:pt idx="16">
                  <c:v>106432</c:v>
                </c:pt>
                <c:pt idx="17">
                  <c:v>89973</c:v>
                </c:pt>
                <c:pt idx="18">
                  <c:v>74242</c:v>
                </c:pt>
                <c:pt idx="19">
                  <c:v>66611</c:v>
                </c:pt>
                <c:pt idx="20">
                  <c:v>61220</c:v>
                </c:pt>
                <c:pt idx="21">
                  <c:v>61357</c:v>
                </c:pt>
                <c:pt idx="22">
                  <c:v>84768</c:v>
                </c:pt>
                <c:pt idx="23">
                  <c:v>113907</c:v>
                </c:pt>
                <c:pt idx="24">
                  <c:v>138838</c:v>
                </c:pt>
                <c:pt idx="25">
                  <c:v>161413</c:v>
                </c:pt>
                <c:pt idx="26">
                  <c:v>151206</c:v>
                </c:pt>
                <c:pt idx="27">
                  <c:v>132647</c:v>
                </c:pt>
                <c:pt idx="28">
                  <c:v>110050</c:v>
                </c:pt>
                <c:pt idx="29">
                  <c:v>84820</c:v>
                </c:pt>
              </c:numCache>
            </c:numRef>
          </c:val>
          <c:smooth val="0"/>
          <c:extLst>
            <c:ext xmlns:c16="http://schemas.microsoft.com/office/drawing/2014/chart" uri="{C3380CC4-5D6E-409C-BE32-E72D297353CC}">
              <c16:uniqueId val="{00000000-D001-4244-80F0-FCFF1DDB9BB6}"/>
            </c:ext>
          </c:extLst>
        </c:ser>
        <c:dLbls>
          <c:showLegendKey val="0"/>
          <c:showVal val="0"/>
          <c:showCatName val="0"/>
          <c:showSerName val="0"/>
          <c:showPercent val="0"/>
          <c:showBubbleSize val="0"/>
        </c:dLbls>
        <c:marker val="1"/>
        <c:smooth val="0"/>
        <c:axId val="1057211872"/>
        <c:axId val="1057212832"/>
      </c:lineChart>
      <c:lineChart>
        <c:grouping val="standard"/>
        <c:varyColors val="0"/>
        <c:ser>
          <c:idx val="1"/>
          <c:order val="1"/>
          <c:tx>
            <c:strRef>
              <c:f>'Fig 11'!$F$23</c:f>
              <c:strCache>
                <c:ptCount val="1"/>
                <c:pt idx="0">
                  <c:v>Average arrears ($)</c:v>
                </c:pt>
              </c:strCache>
            </c:strRef>
          </c:tx>
          <c:spPr>
            <a:ln w="28575" cap="rnd">
              <a:solidFill>
                <a:schemeClr val="accent2"/>
              </a:solidFill>
              <a:round/>
            </a:ln>
            <a:effectLst/>
          </c:spPr>
          <c:marker>
            <c:symbol val="none"/>
          </c:marker>
          <c:cat>
            <c:multiLvlStrRef>
              <c:f>'Fig 11'!$C$24:$D$53</c:f>
              <c:multiLvlStrCache>
                <c:ptCount val="30"/>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lvl>
                <c:lvl>
                  <c:pt idx="0">
                    <c:v>2022-23</c:v>
                  </c:pt>
                  <c:pt idx="12">
                    <c:v>2023-24</c:v>
                  </c:pt>
                  <c:pt idx="24">
                    <c:v>2024-25</c:v>
                  </c:pt>
                </c:lvl>
              </c:multiLvlStrCache>
            </c:multiLvlStrRef>
          </c:cat>
          <c:val>
            <c:numRef>
              <c:f>'Fig 11'!$F$24:$F$53</c:f>
              <c:numCache>
                <c:formatCode>0</c:formatCode>
                <c:ptCount val="30"/>
                <c:pt idx="0">
                  <c:v>923.73793038826716</c:v>
                </c:pt>
                <c:pt idx="1">
                  <c:v>918.67277751654353</c:v>
                </c:pt>
                <c:pt idx="2">
                  <c:v>940.0081968419812</c:v>
                </c:pt>
                <c:pt idx="3">
                  <c:v>978.98312245921841</c:v>
                </c:pt>
                <c:pt idx="4">
                  <c:v>1109.9862350785761</c:v>
                </c:pt>
                <c:pt idx="5">
                  <c:v>1235.6175927792267</c:v>
                </c:pt>
                <c:pt idx="6">
                  <c:v>1405.7906307717114</c:v>
                </c:pt>
                <c:pt idx="7">
                  <c:v>1507.2720517478413</c:v>
                </c:pt>
                <c:pt idx="8">
                  <c:v>1564.2866353327638</c:v>
                </c:pt>
                <c:pt idx="9">
                  <c:v>1435.957716042418</c:v>
                </c:pt>
                <c:pt idx="10">
                  <c:v>1165.1214910542615</c:v>
                </c:pt>
                <c:pt idx="11">
                  <c:v>927.19686013354487</c:v>
                </c:pt>
                <c:pt idx="12">
                  <c:v>997.71259321928744</c:v>
                </c:pt>
                <c:pt idx="13">
                  <c:v>1028.7634360528418</c:v>
                </c:pt>
                <c:pt idx="14">
                  <c:v>1044.9454506082336</c:v>
                </c:pt>
                <c:pt idx="15">
                  <c:v>1115.462849325032</c:v>
                </c:pt>
                <c:pt idx="16">
                  <c:v>1238.4062232185231</c:v>
                </c:pt>
                <c:pt idx="17">
                  <c:v>1378.0088124176805</c:v>
                </c:pt>
                <c:pt idx="18">
                  <c:v>1567.4764872888663</c:v>
                </c:pt>
                <c:pt idx="19">
                  <c:v>1634.8918510362544</c:v>
                </c:pt>
                <c:pt idx="20">
                  <c:v>1698.6646626873085</c:v>
                </c:pt>
                <c:pt idx="21">
                  <c:v>1650.5049112514282</c:v>
                </c:pt>
                <c:pt idx="22">
                  <c:v>1317.0737313506982</c:v>
                </c:pt>
                <c:pt idx="23">
                  <c:v>1132.9433256925317</c:v>
                </c:pt>
                <c:pt idx="24">
                  <c:v>1106.8798516189358</c:v>
                </c:pt>
                <c:pt idx="25">
                  <c:v>1107.0064025177644</c:v>
                </c:pt>
                <c:pt idx="26">
                  <c:v>1142.3656986456213</c:v>
                </c:pt>
                <c:pt idx="27">
                  <c:v>1246.4341207079699</c:v>
                </c:pt>
                <c:pt idx="28">
                  <c:v>1349.617140019629</c:v>
                </c:pt>
                <c:pt idx="29">
                  <c:v>1570.4953223286968</c:v>
                </c:pt>
              </c:numCache>
            </c:numRef>
          </c:val>
          <c:smooth val="0"/>
          <c:extLst>
            <c:ext xmlns:c16="http://schemas.microsoft.com/office/drawing/2014/chart" uri="{C3380CC4-5D6E-409C-BE32-E72D297353CC}">
              <c16:uniqueId val="{00000001-D001-4244-80F0-FCFF1DDB9BB6}"/>
            </c:ext>
          </c:extLst>
        </c:ser>
        <c:dLbls>
          <c:showLegendKey val="0"/>
          <c:showVal val="0"/>
          <c:showCatName val="0"/>
          <c:showSerName val="0"/>
          <c:showPercent val="0"/>
          <c:showBubbleSize val="0"/>
        </c:dLbls>
        <c:marker val="1"/>
        <c:smooth val="0"/>
        <c:axId val="196804959"/>
        <c:axId val="196797279"/>
      </c:lineChart>
      <c:catAx>
        <c:axId val="105721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212832"/>
        <c:crosses val="autoZero"/>
        <c:auto val="1"/>
        <c:lblAlgn val="ctr"/>
        <c:lblOffset val="100"/>
        <c:noMultiLvlLbl val="0"/>
      </c:catAx>
      <c:valAx>
        <c:axId val="1057212832"/>
        <c:scaling>
          <c:orientation val="minMax"/>
          <c:max val="16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211872"/>
        <c:crosses val="autoZero"/>
        <c:crossBetween val="between"/>
        <c:majorUnit val="40000"/>
      </c:valAx>
      <c:valAx>
        <c:axId val="196797279"/>
        <c:scaling>
          <c:orientation val="minMax"/>
          <c:max val="2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804959"/>
        <c:crosses val="max"/>
        <c:crossBetween val="between"/>
        <c:majorUnit val="400"/>
      </c:valAx>
      <c:catAx>
        <c:axId val="196804959"/>
        <c:scaling>
          <c:orientation val="minMax"/>
        </c:scaling>
        <c:delete val="1"/>
        <c:axPos val="b"/>
        <c:numFmt formatCode="General" sourceLinked="1"/>
        <c:majorTickMark val="out"/>
        <c:minorTickMark val="none"/>
        <c:tickLblPos val="nextTo"/>
        <c:crossAx val="1967972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12'!$D$26</c:f>
              <c:strCache>
                <c:ptCount val="1"/>
                <c:pt idx="0">
                  <c:v>Residential</c:v>
                </c:pt>
              </c:strCache>
            </c:strRef>
          </c:tx>
          <c:spPr>
            <a:solidFill>
              <a:schemeClr val="accent1"/>
            </a:solidFill>
            <a:ln>
              <a:noFill/>
            </a:ln>
            <a:effectLst/>
          </c:spPr>
          <c:invertIfNegative val="0"/>
          <c:cat>
            <c:numRef>
              <c:f>'Fig 12'!$C$27:$C$30</c:f>
              <c:numCache>
                <c:formatCode>General</c:formatCode>
                <c:ptCount val="4"/>
                <c:pt idx="0">
                  <c:v>2020</c:v>
                </c:pt>
                <c:pt idx="1">
                  <c:v>2021</c:v>
                </c:pt>
                <c:pt idx="2">
                  <c:v>2022</c:v>
                </c:pt>
                <c:pt idx="3">
                  <c:v>2023</c:v>
                </c:pt>
              </c:numCache>
            </c:numRef>
          </c:cat>
          <c:val>
            <c:numRef>
              <c:f>'Fig 12'!$D$27:$D$30</c:f>
              <c:numCache>
                <c:formatCode>0%</c:formatCode>
                <c:ptCount val="4"/>
                <c:pt idx="0">
                  <c:v>0.26</c:v>
                </c:pt>
                <c:pt idx="1">
                  <c:v>0.14000000000000001</c:v>
                </c:pt>
                <c:pt idx="2">
                  <c:v>0.08</c:v>
                </c:pt>
                <c:pt idx="3">
                  <c:v>0.05</c:v>
                </c:pt>
              </c:numCache>
            </c:numRef>
          </c:val>
          <c:extLst>
            <c:ext xmlns:c16="http://schemas.microsoft.com/office/drawing/2014/chart" uri="{C3380CC4-5D6E-409C-BE32-E72D297353CC}">
              <c16:uniqueId val="{00000000-D579-4403-B047-52BE8C441B91}"/>
            </c:ext>
          </c:extLst>
        </c:ser>
        <c:ser>
          <c:idx val="1"/>
          <c:order val="1"/>
          <c:tx>
            <c:strRef>
              <c:f>'Fig 12'!$E$26</c:f>
              <c:strCache>
                <c:ptCount val="1"/>
                <c:pt idx="0">
                  <c:v>Small businesses</c:v>
                </c:pt>
              </c:strCache>
            </c:strRef>
          </c:tx>
          <c:spPr>
            <a:solidFill>
              <a:schemeClr val="accent2"/>
            </a:solidFill>
            <a:ln>
              <a:noFill/>
            </a:ln>
            <a:effectLst/>
          </c:spPr>
          <c:invertIfNegative val="0"/>
          <c:cat>
            <c:numRef>
              <c:f>'Fig 12'!$C$27:$C$30</c:f>
              <c:numCache>
                <c:formatCode>General</c:formatCode>
                <c:ptCount val="4"/>
                <c:pt idx="0">
                  <c:v>2020</c:v>
                </c:pt>
                <c:pt idx="1">
                  <c:v>2021</c:v>
                </c:pt>
                <c:pt idx="2">
                  <c:v>2022</c:v>
                </c:pt>
                <c:pt idx="3">
                  <c:v>2023</c:v>
                </c:pt>
              </c:numCache>
            </c:numRef>
          </c:cat>
          <c:val>
            <c:numRef>
              <c:f>'Fig 12'!$E$27:$E$30</c:f>
              <c:numCache>
                <c:formatCode>0%</c:formatCode>
                <c:ptCount val="4"/>
                <c:pt idx="0">
                  <c:v>7.0000000000000007E-2</c:v>
                </c:pt>
                <c:pt idx="1">
                  <c:v>0.04</c:v>
                </c:pt>
                <c:pt idx="2">
                  <c:v>0.02</c:v>
                </c:pt>
                <c:pt idx="3">
                  <c:v>0.02</c:v>
                </c:pt>
              </c:numCache>
            </c:numRef>
          </c:val>
          <c:extLst>
            <c:ext xmlns:c16="http://schemas.microsoft.com/office/drawing/2014/chart" uri="{C3380CC4-5D6E-409C-BE32-E72D297353CC}">
              <c16:uniqueId val="{00000001-D579-4403-B047-52BE8C441B91}"/>
            </c:ext>
          </c:extLst>
        </c:ser>
        <c:dLbls>
          <c:showLegendKey val="0"/>
          <c:showVal val="0"/>
          <c:showCatName val="0"/>
          <c:showSerName val="0"/>
          <c:showPercent val="0"/>
          <c:showBubbleSize val="0"/>
        </c:dLbls>
        <c:gapWidth val="219"/>
        <c:overlap val="-27"/>
        <c:axId val="578488896"/>
        <c:axId val="578487456"/>
      </c:barChart>
      <c:catAx>
        <c:axId val="57848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487456"/>
        <c:crosses val="autoZero"/>
        <c:auto val="1"/>
        <c:lblAlgn val="ctr"/>
        <c:lblOffset val="100"/>
        <c:noMultiLvlLbl val="0"/>
      </c:catAx>
      <c:valAx>
        <c:axId val="578487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48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Electricity: Average arrears at disconnection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5056989247311832E-2"/>
          <c:y val="0.12304616210413312"/>
          <c:w val="0.87990716845878136"/>
          <c:h val="0.45328428643389274"/>
        </c:manualLayout>
      </c:layout>
      <c:barChart>
        <c:barDir val="col"/>
        <c:grouping val="clustered"/>
        <c:varyColors val="0"/>
        <c:ser>
          <c:idx val="0"/>
          <c:order val="0"/>
          <c:tx>
            <c:v>Arrears</c:v>
          </c:tx>
          <c:spPr>
            <a:solidFill>
              <a:schemeClr val="accent1"/>
            </a:solidFill>
            <a:ln>
              <a:noFill/>
            </a:ln>
            <a:effectLst/>
          </c:spPr>
          <c:invertIfNegative val="0"/>
          <c:dLbls>
            <c:dLbl>
              <c:idx val="13"/>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F0-47D7-857A-67CD4BA7ABC5}"/>
                </c:ext>
              </c:extLst>
            </c:dLbl>
            <c:dLbl>
              <c:idx val="14"/>
              <c:layout>
                <c:manualLayout>
                  <c:x val="-1.2255890885018614E-16"/>
                  <c:y val="-4.3209876543209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F0-47D7-857A-67CD4BA7ABC5}"/>
                </c:ext>
              </c:extLst>
            </c:dLbl>
            <c:dLbl>
              <c:idx val="15"/>
              <c:layout>
                <c:manualLayout>
                  <c:x val="0"/>
                  <c:y val="-7.716049382716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F0-47D7-857A-67CD4BA7ABC5}"/>
                </c:ext>
              </c:extLst>
            </c:dLbl>
            <c:dLbl>
              <c:idx val="16"/>
              <c:layout>
                <c:manualLayout>
                  <c:x val="0"/>
                  <c:y val="-8.3333333333333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F0-47D7-857A-67CD4BA7ABC5}"/>
                </c:ext>
              </c:extLst>
            </c:dLbl>
            <c:dLbl>
              <c:idx val="17"/>
              <c:layout>
                <c:manualLayout>
                  <c:x val="0"/>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F0-47D7-857A-67CD4BA7ABC5}"/>
                </c:ext>
              </c:extLst>
            </c:dLbl>
            <c:dLbl>
              <c:idx val="18"/>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F0-47D7-857A-67CD4BA7ABC5}"/>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13'!$I$2:$I$21</c:f>
              <c:strCache>
                <c:ptCount val="20"/>
                <c:pt idx="0">
                  <c:v>Veolia Energy
(1 disconnections)</c:v>
                </c:pt>
                <c:pt idx="1">
                  <c:v>Origin Energy
(6 disconnections)</c:v>
                </c:pt>
                <c:pt idx="2">
                  <c:v>OVO Energy
(14 disconnections)</c:v>
                </c:pt>
                <c:pt idx="3">
                  <c:v>Momentum Energy
(218 disconnections)</c:v>
                </c:pt>
                <c:pt idx="4">
                  <c:v>Red Energy
(290 disconnections)</c:v>
                </c:pt>
                <c:pt idx="5">
                  <c:v>Lumo Energy
(244 disconnections)</c:v>
                </c:pt>
                <c:pt idx="6">
                  <c:v>Energy Locals
(20 disconnections)</c:v>
                </c:pt>
                <c:pt idx="7">
                  <c:v>ENGIE
(633 disconnections)</c:v>
                </c:pt>
                <c:pt idx="8">
                  <c:v>AGL
(4736 disconnections)</c:v>
                </c:pt>
                <c:pt idx="9">
                  <c:v>EnergyAustralia
(92 disconnections)</c:v>
                </c:pt>
                <c:pt idx="10">
                  <c:v>Dodo
(211 disconnections)</c:v>
                </c:pt>
                <c:pt idx="11">
                  <c:v>Alinta Energy
(1114 disconnections)</c:v>
                </c:pt>
                <c:pt idx="12">
                  <c:v>Tango Energy
(665 disconnections)</c:v>
                </c:pt>
                <c:pt idx="13">
                  <c:v>Discover Energy
(4 disconnections)</c:v>
                </c:pt>
                <c:pt idx="14">
                  <c:v>Real Utilities
(6 disconnections)</c:v>
                </c:pt>
                <c:pt idx="15">
                  <c:v>Globird Energy
(42 disconnections)</c:v>
                </c:pt>
                <c:pt idx="16">
                  <c:v>1st Energy
(457 disconnections)</c:v>
                </c:pt>
                <c:pt idx="17">
                  <c:v>Amber Electric
(139 disconnections)</c:v>
                </c:pt>
                <c:pt idx="18">
                  <c:v>Sumo Power
(149 disconnections)</c:v>
                </c:pt>
                <c:pt idx="19">
                  <c:v>Next Business Energy
(1 disconnections)</c:v>
                </c:pt>
              </c:strCache>
            </c:strRef>
          </c:cat>
          <c:val>
            <c:numRef>
              <c:f>'figure 13'!$G$2:$G$21</c:f>
              <c:numCache>
                <c:formatCode>_-"$"* #,##0_-;\-"$"* #,##0_-;_-"$"* "-"??_-;_-@_-</c:formatCode>
                <c:ptCount val="20"/>
                <c:pt idx="0">
                  <c:v>5000.01</c:v>
                </c:pt>
                <c:pt idx="1">
                  <c:v>4500.0066666666698</c:v>
                </c:pt>
                <c:pt idx="2">
                  <c:v>3689.2892857142901</c:v>
                </c:pt>
                <c:pt idx="3">
                  <c:v>3435.7822018348602</c:v>
                </c:pt>
                <c:pt idx="4">
                  <c:v>3387.7605172413801</c:v>
                </c:pt>
                <c:pt idx="5">
                  <c:v>3201.2307377049201</c:v>
                </c:pt>
                <c:pt idx="6">
                  <c:v>3050.0010000000002</c:v>
                </c:pt>
                <c:pt idx="7">
                  <c:v>2728.8324328593999</c:v>
                </c:pt>
                <c:pt idx="8">
                  <c:v>2576.4051921452701</c:v>
                </c:pt>
                <c:pt idx="9">
                  <c:v>2442.3929347826102</c:v>
                </c:pt>
                <c:pt idx="10">
                  <c:v>2336.0203317535502</c:v>
                </c:pt>
                <c:pt idx="11">
                  <c:v>2293.2245691202902</c:v>
                </c:pt>
                <c:pt idx="12">
                  <c:v>2199.92557894737</c:v>
                </c:pt>
                <c:pt idx="13">
                  <c:v>2075</c:v>
                </c:pt>
                <c:pt idx="14">
                  <c:v>1600</c:v>
                </c:pt>
                <c:pt idx="15">
                  <c:v>1245.2380952381</c:v>
                </c:pt>
                <c:pt idx="16">
                  <c:v>1167.61503282276</c:v>
                </c:pt>
                <c:pt idx="17">
                  <c:v>1090.2878417266199</c:v>
                </c:pt>
                <c:pt idx="18">
                  <c:v>940.26865771812095</c:v>
                </c:pt>
                <c:pt idx="19">
                  <c:v>650</c:v>
                </c:pt>
              </c:numCache>
            </c:numRef>
          </c:val>
          <c:extLst>
            <c:ext xmlns:c16="http://schemas.microsoft.com/office/drawing/2014/chart" uri="{C3380CC4-5D6E-409C-BE32-E72D297353CC}">
              <c16:uniqueId val="{00000006-78F0-47D7-857A-67CD4BA7ABC5}"/>
            </c:ext>
          </c:extLst>
        </c:ser>
        <c:dLbls>
          <c:showLegendKey val="0"/>
          <c:showVal val="0"/>
          <c:showCatName val="0"/>
          <c:showSerName val="0"/>
          <c:showPercent val="0"/>
          <c:showBubbleSize val="0"/>
        </c:dLbls>
        <c:gapWidth val="80"/>
        <c:overlap val="-27"/>
        <c:axId val="1939886399"/>
        <c:axId val="1939884959"/>
      </c:barChart>
      <c:lineChart>
        <c:grouping val="standard"/>
        <c:varyColors val="0"/>
        <c:ser>
          <c:idx val="1"/>
          <c:order val="1"/>
          <c:tx>
            <c:v>$300</c:v>
          </c:tx>
          <c:spPr>
            <a:ln w="28575" cap="rnd">
              <a:solidFill>
                <a:schemeClr val="accent2"/>
              </a:solidFill>
              <a:round/>
            </a:ln>
            <a:effectLst/>
          </c:spPr>
          <c:marker>
            <c:symbol val="none"/>
          </c:marker>
          <c:val>
            <c:numRef>
              <c:f>'figure 13'!$J$2:$J$21</c:f>
              <c:numCache>
                <c:formatCode>General</c:formatCode>
                <c:ptCount val="20"/>
                <c:pt idx="0">
                  <c:v>300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numCache>
            </c:numRef>
          </c:val>
          <c:smooth val="0"/>
          <c:extLst>
            <c:ext xmlns:c16="http://schemas.microsoft.com/office/drawing/2014/chart" uri="{C3380CC4-5D6E-409C-BE32-E72D297353CC}">
              <c16:uniqueId val="{00000007-78F0-47D7-857A-67CD4BA7ABC5}"/>
            </c:ext>
          </c:extLst>
        </c:ser>
        <c:ser>
          <c:idx val="2"/>
          <c:order val="2"/>
          <c:tx>
            <c:v>$500</c:v>
          </c:tx>
          <c:spPr>
            <a:ln w="28575" cap="rnd">
              <a:solidFill>
                <a:srgbClr val="FDDA24"/>
              </a:solidFill>
              <a:round/>
            </a:ln>
            <a:effectLst/>
          </c:spPr>
          <c:marker>
            <c:symbol val="none"/>
          </c:marker>
          <c:val>
            <c:numRef>
              <c:f>'figure 13'!$K$2:$K$21</c:f>
              <c:numCache>
                <c:formatCode>General</c:formatCode>
                <c:ptCount val="20"/>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numCache>
            </c:numRef>
          </c:val>
          <c:smooth val="0"/>
          <c:extLst>
            <c:ext xmlns:c16="http://schemas.microsoft.com/office/drawing/2014/chart" uri="{C3380CC4-5D6E-409C-BE32-E72D297353CC}">
              <c16:uniqueId val="{00000008-78F0-47D7-857A-67CD4BA7ABC5}"/>
            </c:ext>
          </c:extLst>
        </c:ser>
        <c:ser>
          <c:idx val="3"/>
          <c:order val="3"/>
          <c:tx>
            <c:v>Market average</c:v>
          </c:tx>
          <c:spPr>
            <a:ln w="28575" cap="rnd">
              <a:solidFill>
                <a:srgbClr val="CE0058"/>
              </a:solidFill>
              <a:round/>
            </a:ln>
            <a:effectLst/>
          </c:spPr>
          <c:marker>
            <c:symbol val="none"/>
          </c:marker>
          <c:dLbls>
            <c:dLbl>
              <c:idx val="0"/>
              <c:tx>
                <c:rich>
                  <a:bodyPr/>
                  <a:lstStyle/>
                  <a:p>
                    <a:fld id="{5574DA3E-95ED-47A3-9163-3E981525F92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78F0-47D7-857A-67CD4BA7ABC5}"/>
                </c:ext>
              </c:extLst>
            </c:dLbl>
            <c:dLbl>
              <c:idx val="1"/>
              <c:tx>
                <c:rich>
                  <a:bodyPr/>
                  <a:lstStyle/>
                  <a:p>
                    <a:fld id="{F866350F-5D50-4DB3-9477-E894A5C98E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78F0-47D7-857A-67CD4BA7ABC5}"/>
                </c:ext>
              </c:extLst>
            </c:dLbl>
            <c:dLbl>
              <c:idx val="2"/>
              <c:tx>
                <c:rich>
                  <a:bodyPr/>
                  <a:lstStyle/>
                  <a:p>
                    <a:fld id="{240FD6D4-6107-4C2D-A814-11D143B6A0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78F0-47D7-857A-67CD4BA7ABC5}"/>
                </c:ext>
              </c:extLst>
            </c:dLbl>
            <c:dLbl>
              <c:idx val="3"/>
              <c:tx>
                <c:rich>
                  <a:bodyPr/>
                  <a:lstStyle/>
                  <a:p>
                    <a:fld id="{E26E623A-03CC-48C0-BF04-2848777B818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78F0-47D7-857A-67CD4BA7ABC5}"/>
                </c:ext>
              </c:extLst>
            </c:dLbl>
            <c:dLbl>
              <c:idx val="4"/>
              <c:tx>
                <c:rich>
                  <a:bodyPr/>
                  <a:lstStyle/>
                  <a:p>
                    <a:fld id="{761ADC47-A804-49CC-883F-CEF07696FE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78F0-47D7-857A-67CD4BA7ABC5}"/>
                </c:ext>
              </c:extLst>
            </c:dLbl>
            <c:dLbl>
              <c:idx val="5"/>
              <c:tx>
                <c:rich>
                  <a:bodyPr/>
                  <a:lstStyle/>
                  <a:p>
                    <a:fld id="{0BD55A4E-8E39-43BD-A1DD-CA9F316309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78F0-47D7-857A-67CD4BA7ABC5}"/>
                </c:ext>
              </c:extLst>
            </c:dLbl>
            <c:dLbl>
              <c:idx val="6"/>
              <c:tx>
                <c:rich>
                  <a:bodyPr/>
                  <a:lstStyle/>
                  <a:p>
                    <a:fld id="{64E1E8CF-921A-4ADE-A1FE-BADB8ADB91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78F0-47D7-857A-67CD4BA7ABC5}"/>
                </c:ext>
              </c:extLst>
            </c:dLbl>
            <c:dLbl>
              <c:idx val="7"/>
              <c:tx>
                <c:rich>
                  <a:bodyPr/>
                  <a:lstStyle/>
                  <a:p>
                    <a:fld id="{DD86E028-9500-402B-AE9C-00DEE35703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78F0-47D7-857A-67CD4BA7ABC5}"/>
                </c:ext>
              </c:extLst>
            </c:dLbl>
            <c:dLbl>
              <c:idx val="8"/>
              <c:tx>
                <c:rich>
                  <a:bodyPr/>
                  <a:lstStyle/>
                  <a:p>
                    <a:fld id="{22650406-E4A0-49AF-88B0-C3CFC52003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78F0-47D7-857A-67CD4BA7ABC5}"/>
                </c:ext>
              </c:extLst>
            </c:dLbl>
            <c:dLbl>
              <c:idx val="9"/>
              <c:tx>
                <c:rich>
                  <a:bodyPr/>
                  <a:lstStyle/>
                  <a:p>
                    <a:fld id="{002D6F45-6412-4BD5-A863-01CD4C54A0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78F0-47D7-857A-67CD4BA7ABC5}"/>
                </c:ext>
              </c:extLst>
            </c:dLbl>
            <c:dLbl>
              <c:idx val="10"/>
              <c:tx>
                <c:rich>
                  <a:bodyPr/>
                  <a:lstStyle/>
                  <a:p>
                    <a:fld id="{B54C5234-BF01-4F1F-BFE5-A36CA676AE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78F0-47D7-857A-67CD4BA7ABC5}"/>
                </c:ext>
              </c:extLst>
            </c:dLbl>
            <c:dLbl>
              <c:idx val="11"/>
              <c:tx>
                <c:rich>
                  <a:bodyPr/>
                  <a:lstStyle/>
                  <a:p>
                    <a:fld id="{0B61D35D-D888-4611-8C93-6A1BD09A86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78F0-47D7-857A-67CD4BA7ABC5}"/>
                </c:ext>
              </c:extLst>
            </c:dLbl>
            <c:dLbl>
              <c:idx val="12"/>
              <c:tx>
                <c:rich>
                  <a:bodyPr/>
                  <a:lstStyle/>
                  <a:p>
                    <a:fld id="{CE344612-FE76-4153-82FA-F4B12319BE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78F0-47D7-857A-67CD4BA7ABC5}"/>
                </c:ext>
              </c:extLst>
            </c:dLbl>
            <c:dLbl>
              <c:idx val="13"/>
              <c:tx>
                <c:rich>
                  <a:bodyPr/>
                  <a:lstStyle/>
                  <a:p>
                    <a:fld id="{E603B0B0-5128-4B8F-A154-8AACCCDD19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78F0-47D7-857A-67CD4BA7ABC5}"/>
                </c:ext>
              </c:extLst>
            </c:dLbl>
            <c:dLbl>
              <c:idx val="14"/>
              <c:tx>
                <c:rich>
                  <a:bodyPr/>
                  <a:lstStyle/>
                  <a:p>
                    <a:fld id="{887BC853-2D84-45C1-9453-683E57E428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8F0-47D7-857A-67CD4BA7ABC5}"/>
                </c:ext>
              </c:extLst>
            </c:dLbl>
            <c:dLbl>
              <c:idx val="15"/>
              <c:tx>
                <c:rich>
                  <a:bodyPr/>
                  <a:lstStyle/>
                  <a:p>
                    <a:fld id="{C19967DC-23A1-45C0-82D0-5027C3AA45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78F0-47D7-857A-67CD4BA7ABC5}"/>
                </c:ext>
              </c:extLst>
            </c:dLbl>
            <c:dLbl>
              <c:idx val="16"/>
              <c:tx>
                <c:rich>
                  <a:bodyPr/>
                  <a:lstStyle/>
                  <a:p>
                    <a:fld id="{0816CB59-4084-4ECC-AD3A-538F465A9C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8F0-47D7-857A-67CD4BA7ABC5}"/>
                </c:ext>
              </c:extLst>
            </c:dLbl>
            <c:dLbl>
              <c:idx val="17"/>
              <c:tx>
                <c:rich>
                  <a:bodyPr/>
                  <a:lstStyle/>
                  <a:p>
                    <a:fld id="{102B48B8-9344-4455-ADD3-AB6375B114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8F0-47D7-857A-67CD4BA7ABC5}"/>
                </c:ext>
              </c:extLst>
            </c:dLbl>
            <c:dLbl>
              <c:idx val="18"/>
              <c:tx>
                <c:rich>
                  <a:bodyPr/>
                  <a:lstStyle/>
                  <a:p>
                    <a:fld id="{862539C0-42C2-4DFF-A5B5-ED7A195AF8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8F0-47D7-857A-67CD4BA7ABC5}"/>
                </c:ext>
              </c:extLst>
            </c:dLbl>
            <c:dLbl>
              <c:idx val="19"/>
              <c:layout>
                <c:manualLayout>
                  <c:x val="-3.1754265934936909E-2"/>
                  <c:y val="-2.7777777777777776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CE0058"/>
                        </a:solidFill>
                        <a:latin typeface="Arial" panose="020B0604020202020204" pitchFamily="34" charset="0"/>
                        <a:ea typeface="+mn-ea"/>
                        <a:cs typeface="Arial" panose="020B0604020202020204" pitchFamily="34" charset="0"/>
                      </a:defRPr>
                    </a:pPr>
                    <a:fld id="{ED89627C-B5DC-4DB0-8C98-EDECAB5D7E7C}" type="CELLRANGE">
                      <a:rPr lang="en-US"/>
                      <a:pPr>
                        <a:defRPr b="1">
                          <a:solidFill>
                            <a:srgbClr val="CE0058"/>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E0058"/>
                      </a:solidFill>
                      <a:latin typeface="Arial" panose="020B0604020202020204" pitchFamily="34" charset="0"/>
                      <a:ea typeface="+mn-ea"/>
                      <a:cs typeface="Arial" panose="020B0604020202020204" pitchFamily="34" charset="0"/>
                    </a:defRPr>
                  </a:pPr>
                  <a:endParaRPr lang="en-AU"/>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78F0-47D7-857A-67CD4BA7AB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'figure 13'!$H$2:$H$21</c:f>
              <c:numCache>
                <c:formatCode>_-"$"* #,##0_-;\-"$"* #,##0_-;_-"$"* "-"??_-;_-@_-</c:formatCode>
                <c:ptCount val="20"/>
                <c:pt idx="0">
                  <c:v>2457.1677328024798</c:v>
                </c:pt>
                <c:pt idx="1">
                  <c:v>2457.1677328024798</c:v>
                </c:pt>
                <c:pt idx="2">
                  <c:v>2457.1677328024798</c:v>
                </c:pt>
                <c:pt idx="3">
                  <c:v>2457.1677328024798</c:v>
                </c:pt>
                <c:pt idx="4">
                  <c:v>2457.1677328024798</c:v>
                </c:pt>
                <c:pt idx="5">
                  <c:v>2457.1677328024798</c:v>
                </c:pt>
                <c:pt idx="6">
                  <c:v>2457.1677328024798</c:v>
                </c:pt>
                <c:pt idx="7">
                  <c:v>2457.1677328024798</c:v>
                </c:pt>
                <c:pt idx="8">
                  <c:v>2457.1677328024798</c:v>
                </c:pt>
                <c:pt idx="9">
                  <c:v>2457.1677328024798</c:v>
                </c:pt>
                <c:pt idx="10">
                  <c:v>2457.1677328024798</c:v>
                </c:pt>
                <c:pt idx="11">
                  <c:v>2457.1677328024798</c:v>
                </c:pt>
                <c:pt idx="12">
                  <c:v>2457.1677328024798</c:v>
                </c:pt>
                <c:pt idx="13">
                  <c:v>2457.1677328024798</c:v>
                </c:pt>
                <c:pt idx="14">
                  <c:v>2457.1677328024798</c:v>
                </c:pt>
                <c:pt idx="15">
                  <c:v>2457.1677328024798</c:v>
                </c:pt>
                <c:pt idx="16">
                  <c:v>2457.1677328024798</c:v>
                </c:pt>
                <c:pt idx="17">
                  <c:v>2457.1677328024798</c:v>
                </c:pt>
                <c:pt idx="18">
                  <c:v>2457.1677328024798</c:v>
                </c:pt>
                <c:pt idx="19">
                  <c:v>2457.1677328024798</c:v>
                </c:pt>
              </c:numCache>
            </c:numRef>
          </c:val>
          <c:smooth val="0"/>
          <c:extLst>
            <c:ext xmlns:c15="http://schemas.microsoft.com/office/drawing/2012/chart" uri="{02D57815-91ED-43cb-92C2-25804820EDAC}">
              <c15:datalabelsRange>
                <c15:f>'figure 13'!$L$2:$L$21</c15:f>
                <c15:dlblRangeCache>
                  <c:ptCount val="20"/>
                  <c:pt idx="19">
                    <c:v> $2,457 </c:v>
                  </c:pt>
                </c15:dlblRangeCache>
              </c15:datalabelsRange>
            </c:ext>
            <c:ext xmlns:c16="http://schemas.microsoft.com/office/drawing/2014/chart" uri="{C3380CC4-5D6E-409C-BE32-E72D297353CC}">
              <c16:uniqueId val="{0000001D-78F0-47D7-857A-67CD4BA7ABC5}"/>
            </c:ext>
          </c:extLst>
        </c:ser>
        <c:dLbls>
          <c:showLegendKey val="0"/>
          <c:showVal val="0"/>
          <c:showCatName val="0"/>
          <c:showSerName val="0"/>
          <c:showPercent val="0"/>
          <c:showBubbleSize val="0"/>
        </c:dLbls>
        <c:marker val="1"/>
        <c:smooth val="0"/>
        <c:axId val="1939886399"/>
        <c:axId val="1939884959"/>
      </c:lineChart>
      <c:catAx>
        <c:axId val="193988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39884959"/>
        <c:crosses val="autoZero"/>
        <c:auto val="1"/>
        <c:lblAlgn val="ctr"/>
        <c:lblOffset val="100"/>
        <c:noMultiLvlLbl val="0"/>
      </c:catAx>
      <c:valAx>
        <c:axId val="193988495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39886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13'!$E$33</c:f>
              <c:strCache>
                <c:ptCount val="1"/>
                <c:pt idx="0">
                  <c:v>Number of customers</c:v>
                </c:pt>
              </c:strCache>
            </c:strRef>
          </c:tx>
          <c:spPr>
            <a:ln w="28575" cap="rnd">
              <a:solidFill>
                <a:schemeClr val="accent1"/>
              </a:solidFill>
              <a:round/>
            </a:ln>
            <a:effectLst/>
          </c:spPr>
          <c:marker>
            <c:symbol val="none"/>
          </c:marker>
          <c:cat>
            <c:multiLvlStrRef>
              <c:f>'Fig 13'!$C$34:$D$63</c:f>
              <c:multiLvlStrCache>
                <c:ptCount val="30"/>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lvl>
                <c:lvl>
                  <c:pt idx="0">
                    <c:v>2022-23</c:v>
                  </c:pt>
                  <c:pt idx="12">
                    <c:v>2023-24</c:v>
                  </c:pt>
                </c:lvl>
              </c:multiLvlStrCache>
            </c:multiLvlStrRef>
          </c:cat>
          <c:val>
            <c:numRef>
              <c:f>'Fig 13'!$E$34:$E$63</c:f>
              <c:numCache>
                <c:formatCode>General</c:formatCode>
                <c:ptCount val="30"/>
                <c:pt idx="0">
                  <c:v>107321</c:v>
                </c:pt>
                <c:pt idx="1">
                  <c:v>120853</c:v>
                </c:pt>
                <c:pt idx="2">
                  <c:v>117086</c:v>
                </c:pt>
                <c:pt idx="3">
                  <c:v>107938</c:v>
                </c:pt>
                <c:pt idx="4">
                  <c:v>85068</c:v>
                </c:pt>
                <c:pt idx="5">
                  <c:v>71574</c:v>
                </c:pt>
                <c:pt idx="6">
                  <c:v>57965</c:v>
                </c:pt>
                <c:pt idx="7">
                  <c:v>51579</c:v>
                </c:pt>
                <c:pt idx="8">
                  <c:v>47793</c:v>
                </c:pt>
                <c:pt idx="9">
                  <c:v>49998</c:v>
                </c:pt>
                <c:pt idx="10">
                  <c:v>71013</c:v>
                </c:pt>
                <c:pt idx="11">
                  <c:v>129181</c:v>
                </c:pt>
                <c:pt idx="12">
                  <c:v>130363</c:v>
                </c:pt>
                <c:pt idx="13">
                  <c:v>142879</c:v>
                </c:pt>
                <c:pt idx="14">
                  <c:v>146013</c:v>
                </c:pt>
                <c:pt idx="15">
                  <c:v>128462</c:v>
                </c:pt>
                <c:pt idx="16">
                  <c:v>106432</c:v>
                </c:pt>
                <c:pt idx="17">
                  <c:v>89973</c:v>
                </c:pt>
                <c:pt idx="18">
                  <c:v>74242</c:v>
                </c:pt>
                <c:pt idx="19">
                  <c:v>66611</c:v>
                </c:pt>
                <c:pt idx="20">
                  <c:v>61220</c:v>
                </c:pt>
                <c:pt idx="21">
                  <c:v>61357</c:v>
                </c:pt>
                <c:pt idx="22">
                  <c:v>84768</c:v>
                </c:pt>
                <c:pt idx="23">
                  <c:v>113907</c:v>
                </c:pt>
                <c:pt idx="24">
                  <c:v>138838</c:v>
                </c:pt>
                <c:pt idx="25">
                  <c:v>161413</c:v>
                </c:pt>
                <c:pt idx="26">
                  <c:v>151206</c:v>
                </c:pt>
                <c:pt idx="27">
                  <c:v>132647</c:v>
                </c:pt>
                <c:pt idx="28">
                  <c:v>110050</c:v>
                </c:pt>
                <c:pt idx="29">
                  <c:v>84820</c:v>
                </c:pt>
              </c:numCache>
            </c:numRef>
          </c:val>
          <c:smooth val="0"/>
          <c:extLst>
            <c:ext xmlns:c16="http://schemas.microsoft.com/office/drawing/2014/chart" uri="{C3380CC4-5D6E-409C-BE32-E72D297353CC}">
              <c16:uniqueId val="{00000000-AB13-4E86-A9D3-01FCA19B7333}"/>
            </c:ext>
          </c:extLst>
        </c:ser>
        <c:dLbls>
          <c:showLegendKey val="0"/>
          <c:showVal val="0"/>
          <c:showCatName val="0"/>
          <c:showSerName val="0"/>
          <c:showPercent val="0"/>
          <c:showBubbleSize val="0"/>
        </c:dLbls>
        <c:marker val="1"/>
        <c:smooth val="0"/>
        <c:axId val="1799294560"/>
        <c:axId val="1799295040"/>
      </c:lineChart>
      <c:lineChart>
        <c:grouping val="standard"/>
        <c:varyColors val="0"/>
        <c:ser>
          <c:idx val="1"/>
          <c:order val="1"/>
          <c:tx>
            <c:strRef>
              <c:f>'Fig 13'!$F$33</c:f>
              <c:strCache>
                <c:ptCount val="1"/>
                <c:pt idx="0">
                  <c:v>Average arrears ($)</c:v>
                </c:pt>
              </c:strCache>
            </c:strRef>
          </c:tx>
          <c:spPr>
            <a:ln w="28575" cap="rnd">
              <a:solidFill>
                <a:schemeClr val="accent4"/>
              </a:solidFill>
              <a:round/>
            </a:ln>
            <a:effectLst/>
          </c:spPr>
          <c:marker>
            <c:symbol val="none"/>
          </c:marker>
          <c:cat>
            <c:strRef>
              <c:f>'Fig 13'!$C$34:$C$63</c:f>
              <c:strCache>
                <c:ptCount val="13"/>
                <c:pt idx="0">
                  <c:v>2022-23</c:v>
                </c:pt>
                <c:pt idx="12">
                  <c:v>2023-24</c:v>
                </c:pt>
              </c:strCache>
            </c:strRef>
          </c:cat>
          <c:val>
            <c:numRef>
              <c:f>'Fig 13'!$F$34:$F$63</c:f>
              <c:numCache>
                <c:formatCode>_-"$"* #,##0_-;\-"$"* #,##0_-;_-"$"* "-"??_-;_-@_-</c:formatCode>
                <c:ptCount val="30"/>
                <c:pt idx="0">
                  <c:v>923.73793038826716</c:v>
                </c:pt>
                <c:pt idx="1">
                  <c:v>918.67277751654353</c:v>
                </c:pt>
                <c:pt idx="2">
                  <c:v>940.0081968419812</c:v>
                </c:pt>
                <c:pt idx="3">
                  <c:v>978.98312245921841</c:v>
                </c:pt>
                <c:pt idx="4">
                  <c:v>1109.9862350785761</c:v>
                </c:pt>
                <c:pt idx="5">
                  <c:v>1235.6175927792267</c:v>
                </c:pt>
                <c:pt idx="6">
                  <c:v>1405.7906307717114</c:v>
                </c:pt>
                <c:pt idx="7">
                  <c:v>1507.2720517478413</c:v>
                </c:pt>
                <c:pt idx="8">
                  <c:v>1564.2866353327638</c:v>
                </c:pt>
                <c:pt idx="9">
                  <c:v>1435.957716042418</c:v>
                </c:pt>
                <c:pt idx="10">
                  <c:v>1165.1214910542615</c:v>
                </c:pt>
                <c:pt idx="11">
                  <c:v>927.19686013354487</c:v>
                </c:pt>
                <c:pt idx="12">
                  <c:v>997.71259321928744</c:v>
                </c:pt>
                <c:pt idx="13">
                  <c:v>1028.7634360528418</c:v>
                </c:pt>
                <c:pt idx="14">
                  <c:v>1044.9454506082336</c:v>
                </c:pt>
                <c:pt idx="15">
                  <c:v>1115.462849325032</c:v>
                </c:pt>
                <c:pt idx="16">
                  <c:v>1238.4062232185231</c:v>
                </c:pt>
                <c:pt idx="17">
                  <c:v>1378.0088124176805</c:v>
                </c:pt>
                <c:pt idx="18">
                  <c:v>1567.4764872888663</c:v>
                </c:pt>
                <c:pt idx="19">
                  <c:v>1634.8918510362544</c:v>
                </c:pt>
                <c:pt idx="20">
                  <c:v>1698.6646626873085</c:v>
                </c:pt>
                <c:pt idx="21">
                  <c:v>1650.5049112514282</c:v>
                </c:pt>
                <c:pt idx="22">
                  <c:v>1317.0737313506982</c:v>
                </c:pt>
                <c:pt idx="23">
                  <c:v>1132.9433256925317</c:v>
                </c:pt>
                <c:pt idx="24">
                  <c:v>1106.8798516189358</c:v>
                </c:pt>
                <c:pt idx="25">
                  <c:v>1107.0064025177644</c:v>
                </c:pt>
                <c:pt idx="26">
                  <c:v>1142.3656986456213</c:v>
                </c:pt>
                <c:pt idx="27">
                  <c:v>1246.4341207079699</c:v>
                </c:pt>
                <c:pt idx="28">
                  <c:v>1349.617140019629</c:v>
                </c:pt>
                <c:pt idx="29">
                  <c:v>1570.4953223286968</c:v>
                </c:pt>
              </c:numCache>
            </c:numRef>
          </c:val>
          <c:smooth val="0"/>
          <c:extLst>
            <c:ext xmlns:c16="http://schemas.microsoft.com/office/drawing/2014/chart" uri="{C3380CC4-5D6E-409C-BE32-E72D297353CC}">
              <c16:uniqueId val="{00000001-AB13-4E86-A9D3-01FCA19B7333}"/>
            </c:ext>
          </c:extLst>
        </c:ser>
        <c:ser>
          <c:idx val="2"/>
          <c:order val="2"/>
          <c:tx>
            <c:strRef>
              <c:f>'Fig 13'!$G$33</c:f>
              <c:strCache>
                <c:ptCount val="1"/>
                <c:pt idx="0">
                  <c:v>Potential debt threshold</c:v>
                </c:pt>
              </c:strCache>
            </c:strRef>
          </c:tx>
          <c:spPr>
            <a:ln w="38100" cap="rnd">
              <a:solidFill>
                <a:srgbClr val="CE0058"/>
              </a:solidFill>
              <a:prstDash val="dash"/>
              <a:round/>
            </a:ln>
            <a:effectLst/>
          </c:spPr>
          <c:marker>
            <c:symbol val="none"/>
          </c:marker>
          <c:cat>
            <c:strRef>
              <c:f>'Fig 13'!$C$34:$C$63</c:f>
              <c:strCache>
                <c:ptCount val="13"/>
                <c:pt idx="0">
                  <c:v>2022-23</c:v>
                </c:pt>
                <c:pt idx="12">
                  <c:v>2023-24</c:v>
                </c:pt>
              </c:strCache>
            </c:strRef>
          </c:cat>
          <c:val>
            <c:numRef>
              <c:f>'Fig 13'!$G$34:$G$63</c:f>
              <c:numCache>
                <c:formatCode>_-"$"* #,##0_-;\-"$"* #,##0_-;_-"$"* "-"??_-;_-@_-</c:formatCode>
                <c:ptCount val="30"/>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numCache>
            </c:numRef>
          </c:val>
          <c:smooth val="0"/>
          <c:extLst>
            <c:ext xmlns:c16="http://schemas.microsoft.com/office/drawing/2014/chart" uri="{C3380CC4-5D6E-409C-BE32-E72D297353CC}">
              <c16:uniqueId val="{00000002-AB13-4E86-A9D3-01FCA19B7333}"/>
            </c:ext>
          </c:extLst>
        </c:ser>
        <c:dLbls>
          <c:showLegendKey val="0"/>
          <c:showVal val="0"/>
          <c:showCatName val="0"/>
          <c:showSerName val="0"/>
          <c:showPercent val="0"/>
          <c:showBubbleSize val="0"/>
        </c:dLbls>
        <c:marker val="1"/>
        <c:smooth val="0"/>
        <c:axId val="1799288320"/>
        <c:axId val="1799284480"/>
      </c:lineChart>
      <c:catAx>
        <c:axId val="17992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9295040"/>
        <c:crosses val="autoZero"/>
        <c:auto val="1"/>
        <c:lblAlgn val="ctr"/>
        <c:lblOffset val="100"/>
        <c:noMultiLvlLbl val="0"/>
      </c:catAx>
      <c:valAx>
        <c:axId val="1799295040"/>
        <c:scaling>
          <c:orientation val="minMax"/>
          <c:max val="16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9294560"/>
        <c:crosses val="autoZero"/>
        <c:crossBetween val="between"/>
        <c:majorUnit val="40000"/>
      </c:valAx>
      <c:valAx>
        <c:axId val="1799284480"/>
        <c:scaling>
          <c:orientation val="minMax"/>
        </c:scaling>
        <c:delete val="0"/>
        <c:axPos val="r"/>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9288320"/>
        <c:crosses val="max"/>
        <c:crossBetween val="between"/>
        <c:majorUnit val="400"/>
      </c:valAx>
      <c:catAx>
        <c:axId val="1799288320"/>
        <c:scaling>
          <c:orientation val="minMax"/>
        </c:scaling>
        <c:delete val="1"/>
        <c:axPos val="b"/>
        <c:numFmt formatCode="General" sourceLinked="1"/>
        <c:majorTickMark val="none"/>
        <c:minorTickMark val="none"/>
        <c:tickLblPos val="nextTo"/>
        <c:crossAx val="1799284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'2'!$B$28</c:f>
              <c:strCache>
                <c:ptCount val="1"/>
                <c:pt idx="0">
                  <c:v>Market (excl. POT)</c:v>
                </c:pt>
              </c:strCache>
            </c:strRef>
          </c:tx>
          <c:spPr>
            <a:solidFill>
              <a:schemeClr val="accent1"/>
            </a:solidFill>
            <a:ln>
              <a:noFill/>
            </a:ln>
            <a:effectLst/>
          </c:spPr>
          <c:invertIfNegative val="0"/>
          <c:cat>
            <c:strRef>
              <c:f>'2'!$A$29:$A$50</c:f>
              <c:strCache>
                <c:ptCount val="22"/>
                <c:pt idx="0">
                  <c:v>1st Energy</c:v>
                </c:pt>
                <c:pt idx="1">
                  <c:v>AGL</c:v>
                </c:pt>
                <c:pt idx="2">
                  <c:v>Alinta Energy</c:v>
                </c:pt>
                <c:pt idx="3">
                  <c:v>Diamond Energy</c:v>
                </c:pt>
                <c:pt idx="4">
                  <c:v>Dodo Power &amp; Gas</c:v>
                </c:pt>
                <c:pt idx="5">
                  <c:v>EnergyAustralia</c:v>
                </c:pt>
                <c:pt idx="6">
                  <c:v>GloBird Energy</c:v>
                </c:pt>
                <c:pt idx="7">
                  <c:v>Lumo Energy</c:v>
                </c:pt>
                <c:pt idx="8">
                  <c:v>Origin Energy</c:v>
                </c:pt>
                <c:pt idx="9">
                  <c:v>Powershop</c:v>
                </c:pt>
                <c:pt idx="10">
                  <c:v>Red Energy</c:v>
                </c:pt>
                <c:pt idx="11">
                  <c:v>Energy Locals</c:v>
                </c:pt>
                <c:pt idx="12">
                  <c:v>Arcline by RACV</c:v>
                </c:pt>
                <c:pt idx="13">
                  <c:v>CovaU</c:v>
                </c:pt>
                <c:pt idx="14">
                  <c:v>Kogan Energy</c:v>
                </c:pt>
                <c:pt idx="15">
                  <c:v>Momentum Energy</c:v>
                </c:pt>
                <c:pt idx="16">
                  <c:v>OVO Energy</c:v>
                </c:pt>
                <c:pt idx="17">
                  <c:v>Engie</c:v>
                </c:pt>
                <c:pt idx="18">
                  <c:v>Tango Energy</c:v>
                </c:pt>
                <c:pt idx="19">
                  <c:v>Flow Power</c:v>
                </c:pt>
                <c:pt idx="20">
                  <c:v>Nectr</c:v>
                </c:pt>
                <c:pt idx="21">
                  <c:v>Pacific Blue</c:v>
                </c:pt>
              </c:strCache>
            </c:strRef>
          </c:cat>
          <c:val>
            <c:numRef>
              <c:f>'2'!$B$29:$B$50</c:f>
              <c:numCache>
                <c:formatCode>0</c:formatCode>
                <c:ptCount val="22"/>
                <c:pt idx="0">
                  <c:v>1221.704</c:v>
                </c:pt>
                <c:pt idx="1">
                  <c:v>1461.5808</c:v>
                </c:pt>
                <c:pt idx="2">
                  <c:v>1348.5615999999998</c:v>
                </c:pt>
                <c:pt idx="3">
                  <c:v>1612.5212000000001</c:v>
                </c:pt>
                <c:pt idx="4">
                  <c:v>1625.3432</c:v>
                </c:pt>
                <c:pt idx="5">
                  <c:v>1461.589536</c:v>
                </c:pt>
                <c:pt idx="6">
                  <c:v>1815.088</c:v>
                </c:pt>
                <c:pt idx="7">
                  <c:v>1418.5491999999997</c:v>
                </c:pt>
                <c:pt idx="8">
                  <c:v>1461.5808</c:v>
                </c:pt>
                <c:pt idx="9">
                  <c:v>1439.0659999999998</c:v>
                </c:pt>
                <c:pt idx="10">
                  <c:v>1421.5555999999999</c:v>
                </c:pt>
                <c:pt idx="11">
                  <c:v>1426.48</c:v>
                </c:pt>
                <c:pt idx="12">
                  <c:v>1392.9200000000003</c:v>
                </c:pt>
                <c:pt idx="13">
                  <c:v>1627.174</c:v>
                </c:pt>
                <c:pt idx="14">
                  <c:v>1313.8048000000001</c:v>
                </c:pt>
                <c:pt idx="15">
                  <c:v>1328.8792000000001</c:v>
                </c:pt>
                <c:pt idx="16">
                  <c:v>1277.1000000000001</c:v>
                </c:pt>
                <c:pt idx="17">
                  <c:v>1477.738912</c:v>
                </c:pt>
                <c:pt idx="18">
                  <c:v>1440.8879999999999</c:v>
                </c:pt>
                <c:pt idx="19">
                  <c:v>1647.4996000000003</c:v>
                </c:pt>
                <c:pt idx="20">
                  <c:v>1660.8971999999999</c:v>
                </c:pt>
                <c:pt idx="21">
                  <c:v>1440.8879999999999</c:v>
                </c:pt>
              </c:numCache>
            </c:numRef>
          </c:val>
          <c:extLst>
            <c:ext xmlns:c16="http://schemas.microsoft.com/office/drawing/2014/chart" uri="{C3380CC4-5D6E-409C-BE32-E72D297353CC}">
              <c16:uniqueId val="{00000000-48C1-4DEF-95F8-42E05251D5C3}"/>
            </c:ext>
          </c:extLst>
        </c:ser>
        <c:ser>
          <c:idx val="1"/>
          <c:order val="1"/>
          <c:tx>
            <c:strRef>
              <c:f>'2'!$C$28</c:f>
              <c:strCache>
                <c:ptCount val="1"/>
                <c:pt idx="0">
                  <c:v>Market (incl. POT)</c:v>
                </c:pt>
              </c:strCache>
            </c:strRef>
          </c:tx>
          <c:spPr>
            <a:solidFill>
              <a:schemeClr val="accent2"/>
            </a:solidFill>
            <a:ln>
              <a:noFill/>
            </a:ln>
            <a:effectLst/>
          </c:spPr>
          <c:invertIfNegative val="0"/>
          <c:cat>
            <c:strRef>
              <c:f>'2'!$A$29:$A$50</c:f>
              <c:strCache>
                <c:ptCount val="22"/>
                <c:pt idx="0">
                  <c:v>1st Energy</c:v>
                </c:pt>
                <c:pt idx="1">
                  <c:v>AGL</c:v>
                </c:pt>
                <c:pt idx="2">
                  <c:v>Alinta Energy</c:v>
                </c:pt>
                <c:pt idx="3">
                  <c:v>Diamond Energy</c:v>
                </c:pt>
                <c:pt idx="4">
                  <c:v>Dodo Power &amp; Gas</c:v>
                </c:pt>
                <c:pt idx="5">
                  <c:v>EnergyAustralia</c:v>
                </c:pt>
                <c:pt idx="6">
                  <c:v>GloBird Energy</c:v>
                </c:pt>
                <c:pt idx="7">
                  <c:v>Lumo Energy</c:v>
                </c:pt>
                <c:pt idx="8">
                  <c:v>Origin Energy</c:v>
                </c:pt>
                <c:pt idx="9">
                  <c:v>Powershop</c:v>
                </c:pt>
                <c:pt idx="10">
                  <c:v>Red Energy</c:v>
                </c:pt>
                <c:pt idx="11">
                  <c:v>Energy Locals</c:v>
                </c:pt>
                <c:pt idx="12">
                  <c:v>Arcline by RACV</c:v>
                </c:pt>
                <c:pt idx="13">
                  <c:v>CovaU</c:v>
                </c:pt>
                <c:pt idx="14">
                  <c:v>Kogan Energy</c:v>
                </c:pt>
                <c:pt idx="15">
                  <c:v>Momentum Energy</c:v>
                </c:pt>
                <c:pt idx="16">
                  <c:v>OVO Energy</c:v>
                </c:pt>
                <c:pt idx="17">
                  <c:v>Engie</c:v>
                </c:pt>
                <c:pt idx="18">
                  <c:v>Tango Energy</c:v>
                </c:pt>
                <c:pt idx="19">
                  <c:v>Flow Power</c:v>
                </c:pt>
                <c:pt idx="20">
                  <c:v>Nectr</c:v>
                </c:pt>
                <c:pt idx="21">
                  <c:v>Pacific Blue</c:v>
                </c:pt>
              </c:strCache>
            </c:strRef>
          </c:cat>
          <c:val>
            <c:numRef>
              <c:f>'2'!$C$29:$C$50</c:f>
              <c:numCache>
                <c:formatCode>0</c:formatCode>
                <c:ptCount val="22"/>
                <c:pt idx="0">
                  <c:v>1181.8399999999999</c:v>
                </c:pt>
                <c:pt idx="1">
                  <c:v>1461.5808</c:v>
                </c:pt>
                <c:pt idx="2">
                  <c:v>1348.5615999999998</c:v>
                </c:pt>
                <c:pt idx="3">
                  <c:v>1580.2707760000001</c:v>
                </c:pt>
                <c:pt idx="4">
                  <c:v>1625.3432</c:v>
                </c:pt>
                <c:pt idx="5">
                  <c:v>1461.589536</c:v>
                </c:pt>
                <c:pt idx="6">
                  <c:v>1778.7862399999999</c:v>
                </c:pt>
                <c:pt idx="7">
                  <c:v>1418.5491999999997</c:v>
                </c:pt>
                <c:pt idx="8">
                  <c:v>1461.5808</c:v>
                </c:pt>
                <c:pt idx="9">
                  <c:v>1439.0659999999998</c:v>
                </c:pt>
                <c:pt idx="10">
                  <c:v>1421.5555999999999</c:v>
                </c:pt>
                <c:pt idx="11">
                  <c:v>1426.48</c:v>
                </c:pt>
                <c:pt idx="12">
                  <c:v>1392.9200000000003</c:v>
                </c:pt>
                <c:pt idx="13">
                  <c:v>1627.174</c:v>
                </c:pt>
                <c:pt idx="14">
                  <c:v>1313.8048000000001</c:v>
                </c:pt>
                <c:pt idx="15">
                  <c:v>1328.8792000000001</c:v>
                </c:pt>
                <c:pt idx="16">
                  <c:v>1277.1000000000001</c:v>
                </c:pt>
                <c:pt idx="17">
                  <c:v>1477.738912</c:v>
                </c:pt>
                <c:pt idx="18">
                  <c:v>1440.8879999999999</c:v>
                </c:pt>
                <c:pt idx="19">
                  <c:v>1647.4996000000003</c:v>
                </c:pt>
                <c:pt idx="20">
                  <c:v>1660.8971999999999</c:v>
                </c:pt>
                <c:pt idx="21">
                  <c:v>1440.8879999999999</c:v>
                </c:pt>
              </c:numCache>
            </c:numRef>
          </c:val>
          <c:extLst>
            <c:ext xmlns:c16="http://schemas.microsoft.com/office/drawing/2014/chart" uri="{C3380CC4-5D6E-409C-BE32-E72D297353CC}">
              <c16:uniqueId val="{00000001-48C1-4DEF-95F8-42E05251D5C3}"/>
            </c:ext>
          </c:extLst>
        </c:ser>
        <c:dLbls>
          <c:showLegendKey val="0"/>
          <c:showVal val="0"/>
          <c:showCatName val="0"/>
          <c:showSerName val="0"/>
          <c:showPercent val="0"/>
          <c:showBubbleSize val="0"/>
        </c:dLbls>
        <c:gapWidth val="150"/>
        <c:axId val="931613040"/>
        <c:axId val="931609200"/>
      </c:barChart>
      <c:lineChart>
        <c:grouping val="standard"/>
        <c:varyColors val="0"/>
        <c:ser>
          <c:idx val="2"/>
          <c:order val="2"/>
          <c:tx>
            <c:strRef>
              <c:f>'2'!$D$28</c:f>
              <c:strCache>
                <c:ptCount val="1"/>
                <c:pt idx="0">
                  <c:v>VDO</c:v>
                </c:pt>
              </c:strCache>
            </c:strRef>
          </c:tx>
          <c:spPr>
            <a:ln w="28575" cap="rnd">
              <a:solidFill>
                <a:schemeClr val="accent3"/>
              </a:solidFill>
              <a:round/>
            </a:ln>
            <a:effectLst/>
          </c:spPr>
          <c:marker>
            <c:symbol val="none"/>
          </c:marker>
          <c:dLbls>
            <c:dLbl>
              <c:idx val="21"/>
              <c:layout>
                <c:manualLayout>
                  <c:x val="-3.8888888888888994E-2"/>
                  <c:y val="-4.4444444444444446E-2"/>
                </c:manualLayout>
              </c:layout>
              <c:tx>
                <c:rich>
                  <a:bodyPr/>
                  <a:lstStyle/>
                  <a:p>
                    <a:fld id="{CBC295A8-C446-441F-B290-E63988A5ABCF}" type="SERIESNAME">
                      <a:rPr lang="en-US"/>
                      <a:pPr/>
                      <a:t>[SERIES NAME]</a:t>
                    </a:fld>
                    <a:r>
                      <a:rPr lang="en-US" baseline="0"/>
                      <a:t>, $</a:t>
                    </a:r>
                    <a:fld id="{BA625792-31E5-4845-8C21-1DDCA394C591}"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8C1-4DEF-95F8-42E05251D5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'2'!$A$29:$A$50</c:f>
              <c:strCache>
                <c:ptCount val="22"/>
                <c:pt idx="0">
                  <c:v>1st Energy</c:v>
                </c:pt>
                <c:pt idx="1">
                  <c:v>AGL</c:v>
                </c:pt>
                <c:pt idx="2">
                  <c:v>Alinta Energy</c:v>
                </c:pt>
                <c:pt idx="3">
                  <c:v>Diamond Energy</c:v>
                </c:pt>
                <c:pt idx="4">
                  <c:v>Dodo Power &amp; Gas</c:v>
                </c:pt>
                <c:pt idx="5">
                  <c:v>EnergyAustralia</c:v>
                </c:pt>
                <c:pt idx="6">
                  <c:v>GloBird Energy</c:v>
                </c:pt>
                <c:pt idx="7">
                  <c:v>Lumo Energy</c:v>
                </c:pt>
                <c:pt idx="8">
                  <c:v>Origin Energy</c:v>
                </c:pt>
                <c:pt idx="9">
                  <c:v>Powershop</c:v>
                </c:pt>
                <c:pt idx="10">
                  <c:v>Red Energy</c:v>
                </c:pt>
                <c:pt idx="11">
                  <c:v>Energy Locals</c:v>
                </c:pt>
                <c:pt idx="12">
                  <c:v>Arcline by RACV</c:v>
                </c:pt>
                <c:pt idx="13">
                  <c:v>CovaU</c:v>
                </c:pt>
                <c:pt idx="14">
                  <c:v>Kogan Energy</c:v>
                </c:pt>
                <c:pt idx="15">
                  <c:v>Momentum Energy</c:v>
                </c:pt>
                <c:pt idx="16">
                  <c:v>OVO Energy</c:v>
                </c:pt>
                <c:pt idx="17">
                  <c:v>Engie</c:v>
                </c:pt>
                <c:pt idx="18">
                  <c:v>Tango Energy</c:v>
                </c:pt>
                <c:pt idx="19">
                  <c:v>Flow Power</c:v>
                </c:pt>
                <c:pt idx="20">
                  <c:v>Nectr</c:v>
                </c:pt>
                <c:pt idx="21">
                  <c:v>Pacific Blue</c:v>
                </c:pt>
              </c:strCache>
            </c:strRef>
          </c:cat>
          <c:val>
            <c:numRef>
              <c:f>'2'!$D$29:$D$50</c:f>
              <c:numCache>
                <c:formatCode>0</c:formatCode>
                <c:ptCount val="22"/>
                <c:pt idx="0">
                  <c:v>1655</c:v>
                </c:pt>
                <c:pt idx="1">
                  <c:v>1655</c:v>
                </c:pt>
                <c:pt idx="2">
                  <c:v>1655</c:v>
                </c:pt>
                <c:pt idx="3">
                  <c:v>1655</c:v>
                </c:pt>
                <c:pt idx="4">
                  <c:v>1655</c:v>
                </c:pt>
                <c:pt idx="5">
                  <c:v>1655</c:v>
                </c:pt>
                <c:pt idx="6">
                  <c:v>1655</c:v>
                </c:pt>
                <c:pt idx="7">
                  <c:v>1655</c:v>
                </c:pt>
                <c:pt idx="8">
                  <c:v>1655</c:v>
                </c:pt>
                <c:pt idx="9">
                  <c:v>1655</c:v>
                </c:pt>
                <c:pt idx="10">
                  <c:v>1655</c:v>
                </c:pt>
                <c:pt idx="11">
                  <c:v>1655</c:v>
                </c:pt>
                <c:pt idx="12">
                  <c:v>1655</c:v>
                </c:pt>
                <c:pt idx="13">
                  <c:v>1655</c:v>
                </c:pt>
                <c:pt idx="14">
                  <c:v>1655</c:v>
                </c:pt>
                <c:pt idx="15">
                  <c:v>1655</c:v>
                </c:pt>
                <c:pt idx="16">
                  <c:v>1655</c:v>
                </c:pt>
                <c:pt idx="17">
                  <c:v>1655</c:v>
                </c:pt>
                <c:pt idx="18">
                  <c:v>1655</c:v>
                </c:pt>
                <c:pt idx="19">
                  <c:v>1655</c:v>
                </c:pt>
                <c:pt idx="20">
                  <c:v>1655</c:v>
                </c:pt>
                <c:pt idx="21">
                  <c:v>1655</c:v>
                </c:pt>
              </c:numCache>
            </c:numRef>
          </c:val>
          <c:smooth val="0"/>
          <c:extLst>
            <c:ext xmlns:c16="http://schemas.microsoft.com/office/drawing/2014/chart" uri="{C3380CC4-5D6E-409C-BE32-E72D297353CC}">
              <c16:uniqueId val="{00000003-48C1-4DEF-95F8-42E05251D5C3}"/>
            </c:ext>
          </c:extLst>
        </c:ser>
        <c:dLbls>
          <c:showLegendKey val="0"/>
          <c:showVal val="0"/>
          <c:showCatName val="0"/>
          <c:showSerName val="0"/>
          <c:showPercent val="0"/>
          <c:showBubbleSize val="0"/>
        </c:dLbls>
        <c:marker val="1"/>
        <c:smooth val="0"/>
        <c:axId val="931613040"/>
        <c:axId val="931609200"/>
      </c:lineChart>
      <c:catAx>
        <c:axId val="93161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609200"/>
        <c:crosses val="autoZero"/>
        <c:auto val="1"/>
        <c:lblAlgn val="ctr"/>
        <c:lblOffset val="100"/>
        <c:noMultiLvlLbl val="0"/>
      </c:catAx>
      <c:valAx>
        <c:axId val="931609200"/>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per annum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613040"/>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'3'!$C$16</c:f>
              <c:strCache>
                <c:ptCount val="1"/>
                <c:pt idx="0">
                  <c:v>Lower end savings</c:v>
                </c:pt>
              </c:strCache>
            </c:strRef>
          </c:tx>
          <c:spPr>
            <a:noFill/>
            <a:ln>
              <a:noFill/>
            </a:ln>
            <a:effectLst/>
          </c:spPr>
          <c:invertIfNegative val="0"/>
          <c:cat>
            <c:numRef>
              <c:f>'3'!$B$17:$B$25</c:f>
              <c:numCache>
                <c:formatCode>General</c:formatCode>
                <c:ptCount val="9"/>
                <c:pt idx="0">
                  <c:v>0</c:v>
                </c:pt>
                <c:pt idx="1">
                  <c:v>1</c:v>
                </c:pt>
                <c:pt idx="2">
                  <c:v>2</c:v>
                </c:pt>
                <c:pt idx="3">
                  <c:v>3</c:v>
                </c:pt>
                <c:pt idx="4">
                  <c:v>4</c:v>
                </c:pt>
                <c:pt idx="5">
                  <c:v>5</c:v>
                </c:pt>
                <c:pt idx="6">
                  <c:v>6</c:v>
                </c:pt>
                <c:pt idx="7">
                  <c:v>7</c:v>
                </c:pt>
                <c:pt idx="8">
                  <c:v>8</c:v>
                </c:pt>
              </c:numCache>
            </c:numRef>
          </c:cat>
          <c:val>
            <c:numRef>
              <c:f>'3'!$C$17:$C$25</c:f>
              <c:numCache>
                <c:formatCode>General</c:formatCode>
                <c:ptCount val="9"/>
                <c:pt idx="0">
                  <c:v>56</c:v>
                </c:pt>
                <c:pt idx="1">
                  <c:v>53</c:v>
                </c:pt>
                <c:pt idx="2">
                  <c:v>89</c:v>
                </c:pt>
                <c:pt idx="3">
                  <c:v>153</c:v>
                </c:pt>
                <c:pt idx="4">
                  <c:v>133</c:v>
                </c:pt>
                <c:pt idx="5">
                  <c:v>44</c:v>
                </c:pt>
                <c:pt idx="6">
                  <c:v>99</c:v>
                </c:pt>
                <c:pt idx="7">
                  <c:v>72</c:v>
                </c:pt>
                <c:pt idx="8">
                  <c:v>88</c:v>
                </c:pt>
              </c:numCache>
            </c:numRef>
          </c:val>
          <c:extLst>
            <c:ext xmlns:c16="http://schemas.microsoft.com/office/drawing/2014/chart" uri="{C3380CC4-5D6E-409C-BE32-E72D297353CC}">
              <c16:uniqueId val="{00000000-DDCD-42D9-9C40-A7052D59E24F}"/>
            </c:ext>
          </c:extLst>
        </c:ser>
        <c:ser>
          <c:idx val="1"/>
          <c:order val="1"/>
          <c:tx>
            <c:strRef>
              <c:f>'3'!$D$16</c:f>
              <c:strCache>
                <c:ptCount val="1"/>
                <c:pt idx="0">
                  <c:v>Higher end savings</c:v>
                </c:pt>
              </c:strCache>
            </c:strRef>
          </c:tx>
          <c:spPr>
            <a:solidFill>
              <a:schemeClr val="accent1"/>
            </a:solidFill>
            <a:ln w="0">
              <a:solidFill>
                <a:srgbClr val="0070C0"/>
              </a:solidFill>
              <a:bevel/>
            </a:ln>
            <a:effectLst/>
          </c:spPr>
          <c:invertIfNegative val="0"/>
          <c:cat>
            <c:numRef>
              <c:f>'3'!$B$17:$B$25</c:f>
              <c:numCache>
                <c:formatCode>General</c:formatCode>
                <c:ptCount val="9"/>
                <c:pt idx="0">
                  <c:v>0</c:v>
                </c:pt>
                <c:pt idx="1">
                  <c:v>1</c:v>
                </c:pt>
                <c:pt idx="2">
                  <c:v>2</c:v>
                </c:pt>
                <c:pt idx="3">
                  <c:v>3</c:v>
                </c:pt>
                <c:pt idx="4">
                  <c:v>4</c:v>
                </c:pt>
                <c:pt idx="5">
                  <c:v>5</c:v>
                </c:pt>
                <c:pt idx="6">
                  <c:v>6</c:v>
                </c:pt>
                <c:pt idx="7">
                  <c:v>7</c:v>
                </c:pt>
                <c:pt idx="8">
                  <c:v>8</c:v>
                </c:pt>
              </c:numCache>
            </c:numRef>
          </c:cat>
          <c:val>
            <c:numRef>
              <c:f>'3'!$D$17:$D$25</c:f>
              <c:numCache>
                <c:formatCode>General</c:formatCode>
                <c:ptCount val="9"/>
                <c:pt idx="0">
                  <c:v>402</c:v>
                </c:pt>
                <c:pt idx="1">
                  <c:v>402</c:v>
                </c:pt>
                <c:pt idx="2">
                  <c:v>442</c:v>
                </c:pt>
                <c:pt idx="3">
                  <c:v>463</c:v>
                </c:pt>
                <c:pt idx="4">
                  <c:v>473</c:v>
                </c:pt>
                <c:pt idx="5">
                  <c:v>511</c:v>
                </c:pt>
                <c:pt idx="6">
                  <c:v>488</c:v>
                </c:pt>
                <c:pt idx="7">
                  <c:v>603</c:v>
                </c:pt>
                <c:pt idx="8">
                  <c:v>603</c:v>
                </c:pt>
              </c:numCache>
            </c:numRef>
          </c:val>
          <c:extLst>
            <c:ext xmlns:c16="http://schemas.microsoft.com/office/drawing/2014/chart" uri="{C3380CC4-5D6E-409C-BE32-E72D297353CC}">
              <c16:uniqueId val="{00000001-DDCD-42D9-9C40-A7052D59E24F}"/>
            </c:ext>
          </c:extLst>
        </c:ser>
        <c:dLbls>
          <c:showLegendKey val="0"/>
          <c:showVal val="0"/>
          <c:showCatName val="0"/>
          <c:showSerName val="0"/>
          <c:showPercent val="0"/>
          <c:showBubbleSize val="0"/>
        </c:dLbls>
        <c:gapWidth val="54"/>
        <c:overlap val="100"/>
        <c:axId val="1397972543"/>
        <c:axId val="1397971103"/>
      </c:barChart>
      <c:catAx>
        <c:axId val="1397972543"/>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AU"/>
                  <a:t>Minimum tariff age (years)</a:t>
                </a:r>
              </a:p>
            </c:rich>
          </c:tx>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in"/>
        <c:tickLblPos val="nextTo"/>
        <c:spPr>
          <a:noFill/>
          <a:ln w="1905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971103"/>
        <c:crosses val="autoZero"/>
        <c:auto val="1"/>
        <c:lblAlgn val="ctr"/>
        <c:lblOffset val="100"/>
        <c:noMultiLvlLbl val="0"/>
      </c:catAx>
      <c:valAx>
        <c:axId val="1397971103"/>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savings</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972543"/>
        <c:crossesAt val="1"/>
        <c:crossBetween val="between"/>
        <c:majorUnit val="2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2'!$L$27</c:f>
              <c:strCache>
                <c:ptCount val="1"/>
                <c:pt idx="0">
                  <c:v>Market (excl. POT)</c:v>
                </c:pt>
              </c:strCache>
            </c:strRef>
          </c:tx>
          <c:spPr>
            <a:solidFill>
              <a:schemeClr val="accent1"/>
            </a:solidFill>
            <a:ln>
              <a:noFill/>
            </a:ln>
            <a:effectLst/>
          </c:spPr>
          <c:invertIfNegative val="0"/>
          <c:cat>
            <c:strRef>
              <c:f>'Fig 2'!$K$28:$K$45</c:f>
              <c:strCache>
                <c:ptCount val="18"/>
                <c:pt idx="0">
                  <c:v>AGL</c:v>
                </c:pt>
                <c:pt idx="1">
                  <c:v>Alinta Energy</c:v>
                </c:pt>
                <c:pt idx="2">
                  <c:v>Dodo Power &amp; Gas</c:v>
                </c:pt>
                <c:pt idx="3">
                  <c:v>EnergyAustralia</c:v>
                </c:pt>
                <c:pt idx="4">
                  <c:v>Lumo Energy</c:v>
                </c:pt>
                <c:pt idx="5">
                  <c:v>Origin Energy</c:v>
                </c:pt>
                <c:pt idx="6">
                  <c:v>Red Energy</c:v>
                </c:pt>
                <c:pt idx="7">
                  <c:v>Engie</c:v>
                </c:pt>
                <c:pt idx="8">
                  <c:v>GloBird Energy</c:v>
                </c:pt>
                <c:pt idx="9">
                  <c:v>1st Energy</c:v>
                </c:pt>
                <c:pt idx="10">
                  <c:v>Tango Energy</c:v>
                </c:pt>
                <c:pt idx="11">
                  <c:v>Momentum Energy</c:v>
                </c:pt>
                <c:pt idx="12">
                  <c:v>Sumo Power</c:v>
                </c:pt>
                <c:pt idx="13">
                  <c:v>CovaU</c:v>
                </c:pt>
                <c:pt idx="14">
                  <c:v>Powershop</c:v>
                </c:pt>
                <c:pt idx="15">
                  <c:v>Kogan</c:v>
                </c:pt>
                <c:pt idx="16">
                  <c:v>Energy Locals</c:v>
                </c:pt>
                <c:pt idx="17">
                  <c:v>Arcline by RACV</c:v>
                </c:pt>
              </c:strCache>
            </c:strRef>
          </c:cat>
          <c:val>
            <c:numRef>
              <c:f>'Fig 2'!$L$28:$L$45</c:f>
              <c:numCache>
                <c:formatCode>0</c:formatCode>
                <c:ptCount val="18"/>
                <c:pt idx="0">
                  <c:v>2114.4324999999999</c:v>
                </c:pt>
                <c:pt idx="1">
                  <c:v>2086.4079999999999</c:v>
                </c:pt>
                <c:pt idx="2">
                  <c:v>2281.9300000000003</c:v>
                </c:pt>
                <c:pt idx="3">
                  <c:v>2203.1959999999999</c:v>
                </c:pt>
                <c:pt idx="4">
                  <c:v>2181.2249999999999</c:v>
                </c:pt>
                <c:pt idx="5">
                  <c:v>2388.8785000000003</c:v>
                </c:pt>
                <c:pt idx="6">
                  <c:v>2337.27</c:v>
                </c:pt>
                <c:pt idx="7">
                  <c:v>2315.5969200000004</c:v>
                </c:pt>
                <c:pt idx="8">
                  <c:v>2093.2717499999999</c:v>
                </c:pt>
                <c:pt idx="9">
                  <c:v>2793.5017000000003</c:v>
                </c:pt>
                <c:pt idx="10">
                  <c:v>2300.7749999999996</c:v>
                </c:pt>
                <c:pt idx="11">
                  <c:v>2080.1990000000001</c:v>
                </c:pt>
                <c:pt idx="12">
                  <c:v>1895.375</c:v>
                </c:pt>
                <c:pt idx="13">
                  <c:v>2359.6910000000003</c:v>
                </c:pt>
                <c:pt idx="14">
                  <c:v>2054.971</c:v>
                </c:pt>
                <c:pt idx="15">
                  <c:v>2054.971</c:v>
                </c:pt>
                <c:pt idx="16">
                  <c:v>2332.8774999999996</c:v>
                </c:pt>
                <c:pt idx="17">
                  <c:v>2332.8774999999996</c:v>
                </c:pt>
              </c:numCache>
            </c:numRef>
          </c:val>
          <c:extLst>
            <c:ext xmlns:c16="http://schemas.microsoft.com/office/drawing/2014/chart" uri="{C3380CC4-5D6E-409C-BE32-E72D297353CC}">
              <c16:uniqueId val="{00000000-2BB5-4613-9D96-60BCA769E797}"/>
            </c:ext>
          </c:extLst>
        </c:ser>
        <c:ser>
          <c:idx val="1"/>
          <c:order val="1"/>
          <c:tx>
            <c:strRef>
              <c:f>'Fig 2'!$M$27</c:f>
              <c:strCache>
                <c:ptCount val="1"/>
                <c:pt idx="0">
                  <c:v>Market (incl. POT)</c:v>
                </c:pt>
              </c:strCache>
            </c:strRef>
          </c:tx>
          <c:spPr>
            <a:solidFill>
              <a:schemeClr val="accent2"/>
            </a:solidFill>
            <a:ln>
              <a:noFill/>
            </a:ln>
            <a:effectLst/>
          </c:spPr>
          <c:invertIfNegative val="0"/>
          <c:cat>
            <c:strRef>
              <c:f>'Fig 2'!$K$28:$K$45</c:f>
              <c:strCache>
                <c:ptCount val="18"/>
                <c:pt idx="0">
                  <c:v>AGL</c:v>
                </c:pt>
                <c:pt idx="1">
                  <c:v>Alinta Energy</c:v>
                </c:pt>
                <c:pt idx="2">
                  <c:v>Dodo Power &amp; Gas</c:v>
                </c:pt>
                <c:pt idx="3">
                  <c:v>EnergyAustralia</c:v>
                </c:pt>
                <c:pt idx="4">
                  <c:v>Lumo Energy</c:v>
                </c:pt>
                <c:pt idx="5">
                  <c:v>Origin Energy</c:v>
                </c:pt>
                <c:pt idx="6">
                  <c:v>Red Energy</c:v>
                </c:pt>
                <c:pt idx="7">
                  <c:v>Engie</c:v>
                </c:pt>
                <c:pt idx="8">
                  <c:v>GloBird Energy</c:v>
                </c:pt>
                <c:pt idx="9">
                  <c:v>1st Energy</c:v>
                </c:pt>
                <c:pt idx="10">
                  <c:v>Tango Energy</c:v>
                </c:pt>
                <c:pt idx="11">
                  <c:v>Momentum Energy</c:v>
                </c:pt>
                <c:pt idx="12">
                  <c:v>Sumo Power</c:v>
                </c:pt>
                <c:pt idx="13">
                  <c:v>CovaU</c:v>
                </c:pt>
                <c:pt idx="14">
                  <c:v>Powershop</c:v>
                </c:pt>
                <c:pt idx="15">
                  <c:v>Kogan</c:v>
                </c:pt>
                <c:pt idx="16">
                  <c:v>Energy Locals</c:v>
                </c:pt>
                <c:pt idx="17">
                  <c:v>Arcline by RACV</c:v>
                </c:pt>
              </c:strCache>
            </c:strRef>
          </c:cat>
          <c:val>
            <c:numRef>
              <c:f>'Fig 2'!$M$28:$M$45</c:f>
              <c:numCache>
                <c:formatCode>0</c:formatCode>
                <c:ptCount val="18"/>
                <c:pt idx="0">
                  <c:v>2114.4324999999999</c:v>
                </c:pt>
                <c:pt idx="1">
                  <c:v>2086.4079999999999</c:v>
                </c:pt>
                <c:pt idx="2">
                  <c:v>2281.9300000000003</c:v>
                </c:pt>
                <c:pt idx="3">
                  <c:v>2203.1959999999999</c:v>
                </c:pt>
                <c:pt idx="4">
                  <c:v>2181.2249999999999</c:v>
                </c:pt>
                <c:pt idx="5">
                  <c:v>2388.8785000000003</c:v>
                </c:pt>
                <c:pt idx="6">
                  <c:v>2337.27</c:v>
                </c:pt>
                <c:pt idx="7">
                  <c:v>2315.5969200000004</c:v>
                </c:pt>
                <c:pt idx="8">
                  <c:v>2051.4063149999997</c:v>
                </c:pt>
                <c:pt idx="9">
                  <c:v>2704.9660000000003</c:v>
                </c:pt>
                <c:pt idx="10">
                  <c:v>2300.7749999999996</c:v>
                </c:pt>
                <c:pt idx="11">
                  <c:v>2080.1990000000001</c:v>
                </c:pt>
                <c:pt idx="12">
                  <c:v>1895.375</c:v>
                </c:pt>
                <c:pt idx="13">
                  <c:v>2359.6910000000003</c:v>
                </c:pt>
                <c:pt idx="14">
                  <c:v>2054.971</c:v>
                </c:pt>
                <c:pt idx="15">
                  <c:v>2054.971</c:v>
                </c:pt>
                <c:pt idx="16">
                  <c:v>2332.8774999999996</c:v>
                </c:pt>
                <c:pt idx="17">
                  <c:v>2332.8774999999996</c:v>
                </c:pt>
              </c:numCache>
            </c:numRef>
          </c:val>
          <c:extLst>
            <c:ext xmlns:c16="http://schemas.microsoft.com/office/drawing/2014/chart" uri="{C3380CC4-5D6E-409C-BE32-E72D297353CC}">
              <c16:uniqueId val="{00000001-2BB5-4613-9D96-60BCA769E797}"/>
            </c:ext>
          </c:extLst>
        </c:ser>
        <c:dLbls>
          <c:showLegendKey val="0"/>
          <c:showVal val="0"/>
          <c:showCatName val="0"/>
          <c:showSerName val="0"/>
          <c:showPercent val="0"/>
          <c:showBubbleSize val="0"/>
        </c:dLbls>
        <c:gapWidth val="219"/>
        <c:overlap val="-27"/>
        <c:axId val="1656073983"/>
        <c:axId val="1656091743"/>
      </c:barChart>
      <c:lineChart>
        <c:grouping val="standard"/>
        <c:varyColors val="0"/>
        <c:ser>
          <c:idx val="2"/>
          <c:order val="2"/>
          <c:tx>
            <c:strRef>
              <c:f>'Fig 2'!$N$27</c:f>
              <c:strCache>
                <c:ptCount val="1"/>
                <c:pt idx="0">
                  <c:v>Standing offer</c:v>
                </c:pt>
              </c:strCache>
            </c:strRef>
          </c:tx>
          <c:spPr>
            <a:ln w="28575" cap="rnd">
              <a:solidFill>
                <a:schemeClr val="accent3"/>
              </a:solidFill>
              <a:round/>
            </a:ln>
            <a:effectLst/>
          </c:spPr>
          <c:marker>
            <c:symbol val="none"/>
          </c:marker>
          <c:cat>
            <c:strRef>
              <c:f>'Fig 2'!$K$28:$K$45</c:f>
              <c:strCache>
                <c:ptCount val="18"/>
                <c:pt idx="0">
                  <c:v>AGL</c:v>
                </c:pt>
                <c:pt idx="1">
                  <c:v>Alinta Energy</c:v>
                </c:pt>
                <c:pt idx="2">
                  <c:v>Dodo Power &amp; Gas</c:v>
                </c:pt>
                <c:pt idx="3">
                  <c:v>EnergyAustralia</c:v>
                </c:pt>
                <c:pt idx="4">
                  <c:v>Lumo Energy</c:v>
                </c:pt>
                <c:pt idx="5">
                  <c:v>Origin Energy</c:v>
                </c:pt>
                <c:pt idx="6">
                  <c:v>Red Energy</c:v>
                </c:pt>
                <c:pt idx="7">
                  <c:v>Engie</c:v>
                </c:pt>
                <c:pt idx="8">
                  <c:v>GloBird Energy</c:v>
                </c:pt>
                <c:pt idx="9">
                  <c:v>1st Energy</c:v>
                </c:pt>
                <c:pt idx="10">
                  <c:v>Tango Energy</c:v>
                </c:pt>
                <c:pt idx="11">
                  <c:v>Momentum Energy</c:v>
                </c:pt>
                <c:pt idx="12">
                  <c:v>Sumo Power</c:v>
                </c:pt>
                <c:pt idx="13">
                  <c:v>CovaU</c:v>
                </c:pt>
                <c:pt idx="14">
                  <c:v>Powershop</c:v>
                </c:pt>
                <c:pt idx="15">
                  <c:v>Kogan</c:v>
                </c:pt>
                <c:pt idx="16">
                  <c:v>Energy Locals</c:v>
                </c:pt>
                <c:pt idx="17">
                  <c:v>Arcline by RACV</c:v>
                </c:pt>
              </c:strCache>
            </c:strRef>
          </c:cat>
          <c:val>
            <c:numRef>
              <c:f>'Fig 2'!$N$28:$N$45</c:f>
              <c:numCache>
                <c:formatCode>0</c:formatCode>
                <c:ptCount val="18"/>
                <c:pt idx="0">
                  <c:v>2935.3935000000001</c:v>
                </c:pt>
                <c:pt idx="1">
                  <c:v>2542.654</c:v>
                </c:pt>
                <c:pt idx="2">
                  <c:v>2651.0389999999998</c:v>
                </c:pt>
                <c:pt idx="3">
                  <c:v>2753.9949999999999</c:v>
                </c:pt>
                <c:pt idx="4">
                  <c:v>2607.1139999999996</c:v>
                </c:pt>
                <c:pt idx="5">
                  <c:v>2681.9649999999997</c:v>
                </c:pt>
                <c:pt idx="6">
                  <c:v>2476.6139999999996</c:v>
                </c:pt>
                <c:pt idx="7">
                  <c:v>2756.6630000000005</c:v>
                </c:pt>
                <c:pt idx="8">
                  <c:v>2737.35</c:v>
                </c:pt>
                <c:pt idx="9">
                  <c:v>3396.36</c:v>
                </c:pt>
                <c:pt idx="10">
                  <c:v>2774.5550000000003</c:v>
                </c:pt>
                <c:pt idx="11">
                  <c:v>3420.6594999999998</c:v>
                </c:pt>
                <c:pt idx="12">
                  <c:v>3644.0249999999996</c:v>
                </c:pt>
                <c:pt idx="13">
                  <c:v>3414.22</c:v>
                </c:pt>
                <c:pt idx="14">
                  <c:v>2861.7045000000003</c:v>
                </c:pt>
                <c:pt idx="15">
                  <c:v>#N/A</c:v>
                </c:pt>
                <c:pt idx="16">
                  <c:v>#N/A</c:v>
                </c:pt>
                <c:pt idx="17">
                  <c:v>#N/A</c:v>
                </c:pt>
              </c:numCache>
            </c:numRef>
          </c:val>
          <c:smooth val="0"/>
          <c:extLst>
            <c:ext xmlns:c16="http://schemas.microsoft.com/office/drawing/2014/chart" uri="{C3380CC4-5D6E-409C-BE32-E72D297353CC}">
              <c16:uniqueId val="{00000002-2BB5-4613-9D96-60BCA769E797}"/>
            </c:ext>
          </c:extLst>
        </c:ser>
        <c:dLbls>
          <c:showLegendKey val="0"/>
          <c:showVal val="0"/>
          <c:showCatName val="0"/>
          <c:showSerName val="0"/>
          <c:showPercent val="0"/>
          <c:showBubbleSize val="0"/>
        </c:dLbls>
        <c:marker val="1"/>
        <c:smooth val="0"/>
        <c:axId val="1656073983"/>
        <c:axId val="1656091743"/>
      </c:lineChart>
      <c:catAx>
        <c:axId val="165607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091743"/>
        <c:crosses val="autoZero"/>
        <c:auto val="1"/>
        <c:lblAlgn val="ctr"/>
        <c:lblOffset val="100"/>
        <c:noMultiLvlLbl val="0"/>
      </c:catAx>
      <c:valAx>
        <c:axId val="1656091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annum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073983"/>
        <c:crosses val="autoZero"/>
        <c:crossBetween val="between"/>
        <c:majorUnit val="8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3'!$D$30</c:f>
              <c:strCache>
                <c:ptCount val="1"/>
                <c:pt idx="0">
                  <c:v>Older plans (2+ years)</c:v>
                </c:pt>
              </c:strCache>
            </c:strRef>
          </c:tx>
          <c:spPr>
            <a:solidFill>
              <a:schemeClr val="accent1"/>
            </a:solidFill>
            <a:ln>
              <a:noFill/>
            </a:ln>
            <a:effectLst/>
          </c:spPr>
          <c:invertIfNegative val="0"/>
          <c:cat>
            <c:multiLvlStrRef>
              <c:f>'Fig 3'!$B$31:$C$35</c:f>
              <c:multiLvlStrCache>
                <c:ptCount val="5"/>
                <c:lvl>
                  <c:pt idx="0">
                    <c:v>NEM</c:v>
                  </c:pt>
                  <c:pt idx="1">
                    <c:v>NSW</c:v>
                  </c:pt>
                  <c:pt idx="2">
                    <c:v>SEQ</c:v>
                  </c:pt>
                  <c:pt idx="3">
                    <c:v>SA</c:v>
                  </c:pt>
                  <c:pt idx="4">
                    <c:v>VIC</c:v>
                  </c:pt>
                </c:lvl>
                <c:lvl>
                  <c:pt idx="0">
                    <c:v>Flat Without demand</c:v>
                  </c:pt>
                </c:lvl>
              </c:multiLvlStrCache>
            </c:multiLvlStrRef>
          </c:cat>
          <c:val>
            <c:numRef>
              <c:f>'Fig 3'!$D$31:$D$35</c:f>
              <c:numCache>
                <c:formatCode>0</c:formatCode>
                <c:ptCount val="5"/>
                <c:pt idx="0">
                  <c:v>2188</c:v>
                </c:pt>
                <c:pt idx="1">
                  <c:v>2318</c:v>
                </c:pt>
                <c:pt idx="2">
                  <c:v>2224</c:v>
                </c:pt>
                <c:pt idx="3">
                  <c:v>2631</c:v>
                </c:pt>
                <c:pt idx="4">
                  <c:v>1823</c:v>
                </c:pt>
              </c:numCache>
            </c:numRef>
          </c:val>
          <c:extLst>
            <c:ext xmlns:c16="http://schemas.microsoft.com/office/drawing/2014/chart" uri="{C3380CC4-5D6E-409C-BE32-E72D297353CC}">
              <c16:uniqueId val="{00000000-6F11-4911-B088-2BC8BD98E34D}"/>
            </c:ext>
          </c:extLst>
        </c:ser>
        <c:ser>
          <c:idx val="1"/>
          <c:order val="1"/>
          <c:tx>
            <c:strRef>
              <c:f>'Fig 3'!$E$30</c:f>
              <c:strCache>
                <c:ptCount val="1"/>
                <c:pt idx="0">
                  <c:v>Older plans (1-2 years)</c:v>
                </c:pt>
              </c:strCache>
            </c:strRef>
          </c:tx>
          <c:spPr>
            <a:solidFill>
              <a:srgbClr val="ED8B00"/>
            </a:solidFill>
            <a:ln>
              <a:noFill/>
            </a:ln>
            <a:effectLst/>
          </c:spPr>
          <c:invertIfNegative val="0"/>
          <c:cat>
            <c:multiLvlStrRef>
              <c:f>'Fig 3'!$B$31:$C$35</c:f>
              <c:multiLvlStrCache>
                <c:ptCount val="5"/>
                <c:lvl>
                  <c:pt idx="0">
                    <c:v>NEM</c:v>
                  </c:pt>
                  <c:pt idx="1">
                    <c:v>NSW</c:v>
                  </c:pt>
                  <c:pt idx="2">
                    <c:v>SEQ</c:v>
                  </c:pt>
                  <c:pt idx="3">
                    <c:v>SA</c:v>
                  </c:pt>
                  <c:pt idx="4">
                    <c:v>VIC</c:v>
                  </c:pt>
                </c:lvl>
                <c:lvl>
                  <c:pt idx="0">
                    <c:v>Flat Without demand</c:v>
                  </c:pt>
                </c:lvl>
              </c:multiLvlStrCache>
            </c:multiLvlStrRef>
          </c:cat>
          <c:val>
            <c:numRef>
              <c:f>'Fig 3'!$E$31:$E$35</c:f>
              <c:numCache>
                <c:formatCode>0</c:formatCode>
                <c:ptCount val="5"/>
                <c:pt idx="0">
                  <c:v>2025</c:v>
                </c:pt>
                <c:pt idx="1">
                  <c:v>2148</c:v>
                </c:pt>
                <c:pt idx="2">
                  <c:v>2158</c:v>
                </c:pt>
                <c:pt idx="3">
                  <c:v>2277</c:v>
                </c:pt>
                <c:pt idx="4">
                  <c:v>1594</c:v>
                </c:pt>
              </c:numCache>
            </c:numRef>
          </c:val>
          <c:extLst>
            <c:ext xmlns:c16="http://schemas.microsoft.com/office/drawing/2014/chart" uri="{C3380CC4-5D6E-409C-BE32-E72D297353CC}">
              <c16:uniqueId val="{00000001-6F11-4911-B088-2BC8BD98E34D}"/>
            </c:ext>
          </c:extLst>
        </c:ser>
        <c:ser>
          <c:idx val="2"/>
          <c:order val="2"/>
          <c:tx>
            <c:strRef>
              <c:f>'Fig 3'!$F$30</c:f>
              <c:strCache>
                <c:ptCount val="1"/>
                <c:pt idx="0">
                  <c:v>Newer plans (&lt;1 year)</c:v>
                </c:pt>
              </c:strCache>
            </c:strRef>
          </c:tx>
          <c:spPr>
            <a:solidFill>
              <a:srgbClr val="CE0058"/>
            </a:solidFill>
            <a:ln>
              <a:noFill/>
            </a:ln>
            <a:effectLst/>
          </c:spPr>
          <c:invertIfNegative val="0"/>
          <c:cat>
            <c:multiLvlStrRef>
              <c:f>'Fig 3'!$B$31:$C$35</c:f>
              <c:multiLvlStrCache>
                <c:ptCount val="5"/>
                <c:lvl>
                  <c:pt idx="0">
                    <c:v>NEM</c:v>
                  </c:pt>
                  <c:pt idx="1">
                    <c:v>NSW</c:v>
                  </c:pt>
                  <c:pt idx="2">
                    <c:v>SEQ</c:v>
                  </c:pt>
                  <c:pt idx="3">
                    <c:v>SA</c:v>
                  </c:pt>
                  <c:pt idx="4">
                    <c:v>VIC</c:v>
                  </c:pt>
                </c:lvl>
                <c:lvl>
                  <c:pt idx="0">
                    <c:v>Flat Without demand</c:v>
                  </c:pt>
                </c:lvl>
              </c:multiLvlStrCache>
            </c:multiLvlStrRef>
          </c:cat>
          <c:val>
            <c:numRef>
              <c:f>'Fig 3'!$F$31:$F$35</c:f>
              <c:numCache>
                <c:formatCode>0</c:formatCode>
                <c:ptCount val="5"/>
                <c:pt idx="0">
                  <c:v>1871</c:v>
                </c:pt>
                <c:pt idx="1">
                  <c:v>2021</c:v>
                </c:pt>
                <c:pt idx="2">
                  <c:v>2025</c:v>
                </c:pt>
                <c:pt idx="3">
                  <c:v>2297</c:v>
                </c:pt>
                <c:pt idx="4">
                  <c:v>1532</c:v>
                </c:pt>
              </c:numCache>
            </c:numRef>
          </c:val>
          <c:extLst>
            <c:ext xmlns:c16="http://schemas.microsoft.com/office/drawing/2014/chart" uri="{C3380CC4-5D6E-409C-BE32-E72D297353CC}">
              <c16:uniqueId val="{00000002-6F11-4911-B088-2BC8BD98E34D}"/>
            </c:ext>
          </c:extLst>
        </c:ser>
        <c:dLbls>
          <c:showLegendKey val="0"/>
          <c:showVal val="0"/>
          <c:showCatName val="0"/>
          <c:showSerName val="0"/>
          <c:showPercent val="0"/>
          <c:showBubbleSize val="0"/>
        </c:dLbls>
        <c:gapWidth val="219"/>
        <c:overlap val="-27"/>
        <c:axId val="1644869375"/>
        <c:axId val="1644870815"/>
      </c:barChart>
      <c:catAx>
        <c:axId val="164486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870815"/>
        <c:crosses val="autoZero"/>
        <c:auto val="1"/>
        <c:lblAlgn val="ctr"/>
        <c:lblOffset val="100"/>
        <c:noMultiLvlLbl val="0"/>
      </c:catAx>
      <c:valAx>
        <c:axId val="1644870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price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8693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'6'!$D$19</c:f>
              <c:strCache>
                <c:ptCount val="1"/>
                <c:pt idx="0">
                  <c:v>Median effective price (c/kWh)</c:v>
                </c:pt>
              </c:strCache>
            </c:strRef>
          </c:tx>
          <c:spPr>
            <a:solidFill>
              <a:schemeClr val="accent1"/>
            </a:solidFill>
            <a:ln>
              <a:noFill/>
            </a:ln>
            <a:effectLst/>
          </c:spPr>
          <c:invertIfNegative val="0"/>
          <c:cat>
            <c:strRef>
              <c:f>'6'!$C$20:$C$30</c:f>
              <c:strCache>
                <c:ptCount val="11"/>
                <c:pt idx="0">
                  <c:v>0&gt;1</c:v>
                </c:pt>
                <c:pt idx="1">
                  <c:v>1&gt;2</c:v>
                </c:pt>
                <c:pt idx="2">
                  <c:v>2&gt;3</c:v>
                </c:pt>
                <c:pt idx="3">
                  <c:v>3&gt;4</c:v>
                </c:pt>
                <c:pt idx="4">
                  <c:v>4&gt;5</c:v>
                </c:pt>
                <c:pt idx="5">
                  <c:v>5&gt;6   </c:v>
                </c:pt>
                <c:pt idx="6">
                  <c:v>6&gt;7</c:v>
                </c:pt>
                <c:pt idx="7">
                  <c:v>7&gt;8</c:v>
                </c:pt>
                <c:pt idx="8">
                  <c:v>8&gt;9</c:v>
                </c:pt>
                <c:pt idx="9">
                  <c:v>9&gt;10</c:v>
                </c:pt>
                <c:pt idx="10">
                  <c:v>10+</c:v>
                </c:pt>
              </c:strCache>
            </c:strRef>
          </c:cat>
          <c:val>
            <c:numRef>
              <c:f>'6'!$D$20:$D$30</c:f>
              <c:numCache>
                <c:formatCode>General</c:formatCode>
                <c:ptCount val="11"/>
                <c:pt idx="0">
                  <c:v>39.700000000000003</c:v>
                </c:pt>
                <c:pt idx="1">
                  <c:v>42.7</c:v>
                </c:pt>
                <c:pt idx="2">
                  <c:v>42.8</c:v>
                </c:pt>
                <c:pt idx="3">
                  <c:v>46.1</c:v>
                </c:pt>
                <c:pt idx="4">
                  <c:v>46.9</c:v>
                </c:pt>
                <c:pt idx="5">
                  <c:v>45.5</c:v>
                </c:pt>
                <c:pt idx="6">
                  <c:v>48.6</c:v>
                </c:pt>
                <c:pt idx="7">
                  <c:v>50.9</c:v>
                </c:pt>
                <c:pt idx="8">
                  <c:v>49.1</c:v>
                </c:pt>
                <c:pt idx="9">
                  <c:v>53.9</c:v>
                </c:pt>
                <c:pt idx="10">
                  <c:v>51.2</c:v>
                </c:pt>
              </c:numCache>
            </c:numRef>
          </c:val>
          <c:extLst>
            <c:ext xmlns:c16="http://schemas.microsoft.com/office/drawing/2014/chart" uri="{C3380CC4-5D6E-409C-BE32-E72D297353CC}">
              <c16:uniqueId val="{00000000-2BB5-483A-A6E7-8B82E28F5DAD}"/>
            </c:ext>
          </c:extLst>
        </c:ser>
        <c:dLbls>
          <c:showLegendKey val="0"/>
          <c:showVal val="0"/>
          <c:showCatName val="0"/>
          <c:showSerName val="0"/>
          <c:showPercent val="0"/>
          <c:showBubbleSize val="0"/>
        </c:dLbls>
        <c:gapWidth val="50"/>
        <c:overlap val="-27"/>
        <c:axId val="935871072"/>
        <c:axId val="935871552"/>
      </c:barChart>
      <c:catAx>
        <c:axId val="93587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Contract age (in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871552"/>
        <c:crosses val="autoZero"/>
        <c:auto val="1"/>
        <c:lblAlgn val="ctr"/>
        <c:lblOffset val="100"/>
        <c:noMultiLvlLbl val="0"/>
      </c:catAx>
      <c:valAx>
        <c:axId val="935871552"/>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Median effective price c/kWh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87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8402206355295095E-2"/>
          <c:y val="5.7384588437050646E-2"/>
          <c:w val="0.95180413642637851"/>
          <c:h val="0.61929048005766374"/>
        </c:manualLayout>
      </c:layout>
      <c:barChart>
        <c:barDir val="col"/>
        <c:grouping val="clustered"/>
        <c:varyColors val="0"/>
        <c:ser>
          <c:idx val="0"/>
          <c:order val="0"/>
          <c:tx>
            <c:strRef>
              <c:f>'Fig 5'!$C$28</c:f>
              <c:strCache>
                <c:ptCount val="1"/>
                <c:pt idx="0">
                  <c:v>All households</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5'!$D$27:$I$27</c:f>
              <c:strCache>
                <c:ptCount val="6"/>
                <c:pt idx="0">
                  <c:v>Savings didn't make it worth it</c:v>
                </c:pt>
                <c:pt idx="1">
                  <c:v>Couldn't find a better product for me</c:v>
                </c:pt>
                <c:pt idx="2">
                  <c:v>It was too complicated</c:v>
                </c:pt>
                <c:pt idx="3">
                  <c:v>It was too confusing</c:v>
                </c:pt>
                <c:pt idx="4">
                  <c:v>It was too time consuming</c:v>
                </c:pt>
                <c:pt idx="5">
                  <c:v>Lack of available offers/competition</c:v>
                </c:pt>
              </c:strCache>
            </c:strRef>
          </c:cat>
          <c:val>
            <c:numRef>
              <c:f>'Fig 5'!$D$28:$I$28</c:f>
              <c:numCache>
                <c:formatCode>0%</c:formatCode>
                <c:ptCount val="6"/>
                <c:pt idx="0">
                  <c:v>0.38</c:v>
                </c:pt>
                <c:pt idx="1">
                  <c:v>0.28000000000000003</c:v>
                </c:pt>
                <c:pt idx="2">
                  <c:v>0.25</c:v>
                </c:pt>
                <c:pt idx="3">
                  <c:v>0.27</c:v>
                </c:pt>
                <c:pt idx="4">
                  <c:v>0.25</c:v>
                </c:pt>
                <c:pt idx="5">
                  <c:v>0.17</c:v>
                </c:pt>
              </c:numCache>
            </c:numRef>
          </c:val>
          <c:extLst>
            <c:ext xmlns:c16="http://schemas.microsoft.com/office/drawing/2014/chart" uri="{C3380CC4-5D6E-409C-BE32-E72D297353CC}">
              <c16:uniqueId val="{00000000-C89D-4D9D-9705-98B34865C6FA}"/>
            </c:ext>
          </c:extLst>
        </c:ser>
        <c:ser>
          <c:idx val="1"/>
          <c:order val="1"/>
          <c:tx>
            <c:strRef>
              <c:f>'Fig 5'!$C$29</c:f>
              <c:strCache>
                <c:ptCount val="1"/>
                <c:pt idx="0">
                  <c:v>Financially comfortable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5'!$D$27:$I$27</c:f>
              <c:strCache>
                <c:ptCount val="6"/>
                <c:pt idx="0">
                  <c:v>Savings didn't make it worth it</c:v>
                </c:pt>
                <c:pt idx="1">
                  <c:v>Couldn't find a better product for me</c:v>
                </c:pt>
                <c:pt idx="2">
                  <c:v>It was too complicated</c:v>
                </c:pt>
                <c:pt idx="3">
                  <c:v>It was too confusing</c:v>
                </c:pt>
                <c:pt idx="4">
                  <c:v>It was too time consuming</c:v>
                </c:pt>
                <c:pt idx="5">
                  <c:v>Lack of available offers/competition</c:v>
                </c:pt>
              </c:strCache>
            </c:strRef>
          </c:cat>
          <c:val>
            <c:numRef>
              <c:f>'Fig 5'!$D$29:$I$29</c:f>
              <c:numCache>
                <c:formatCode>0%</c:formatCode>
                <c:ptCount val="6"/>
                <c:pt idx="0">
                  <c:v>0.43</c:v>
                </c:pt>
                <c:pt idx="1">
                  <c:v>0.3</c:v>
                </c:pt>
                <c:pt idx="2">
                  <c:v>0.17</c:v>
                </c:pt>
                <c:pt idx="3">
                  <c:v>0.18</c:v>
                </c:pt>
                <c:pt idx="4">
                  <c:v>0.22</c:v>
                </c:pt>
                <c:pt idx="5">
                  <c:v>0.13</c:v>
                </c:pt>
              </c:numCache>
            </c:numRef>
          </c:val>
          <c:extLst>
            <c:ext xmlns:c16="http://schemas.microsoft.com/office/drawing/2014/chart" uri="{C3380CC4-5D6E-409C-BE32-E72D297353CC}">
              <c16:uniqueId val="{00000001-C89D-4D9D-9705-98B34865C6FA}"/>
            </c:ext>
          </c:extLst>
        </c:ser>
        <c:ser>
          <c:idx val="2"/>
          <c:order val="2"/>
          <c:tx>
            <c:strRef>
              <c:f>'Fig 5'!$C$30</c:f>
              <c:strCache>
                <c:ptCount val="1"/>
                <c:pt idx="0">
                  <c:v>Under financial pressure</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5'!$D$27:$I$27</c:f>
              <c:strCache>
                <c:ptCount val="6"/>
                <c:pt idx="0">
                  <c:v>Savings didn't make it worth it</c:v>
                </c:pt>
                <c:pt idx="1">
                  <c:v>Couldn't find a better product for me</c:v>
                </c:pt>
                <c:pt idx="2">
                  <c:v>It was too complicated</c:v>
                </c:pt>
                <c:pt idx="3">
                  <c:v>It was too confusing</c:v>
                </c:pt>
                <c:pt idx="4">
                  <c:v>It was too time consuming</c:v>
                </c:pt>
                <c:pt idx="5">
                  <c:v>Lack of available offers/competition</c:v>
                </c:pt>
              </c:strCache>
            </c:strRef>
          </c:cat>
          <c:val>
            <c:numRef>
              <c:f>'Fig 5'!$D$30:$I$30</c:f>
              <c:numCache>
                <c:formatCode>0%</c:formatCode>
                <c:ptCount val="6"/>
                <c:pt idx="0">
                  <c:v>0.32</c:v>
                </c:pt>
                <c:pt idx="1">
                  <c:v>0.22</c:v>
                </c:pt>
                <c:pt idx="2">
                  <c:v>0.31</c:v>
                </c:pt>
                <c:pt idx="3">
                  <c:v>0.34</c:v>
                </c:pt>
                <c:pt idx="4">
                  <c:v>0.25</c:v>
                </c:pt>
                <c:pt idx="5">
                  <c:v>0.21</c:v>
                </c:pt>
              </c:numCache>
            </c:numRef>
          </c:val>
          <c:extLst>
            <c:ext xmlns:c16="http://schemas.microsoft.com/office/drawing/2014/chart" uri="{C3380CC4-5D6E-409C-BE32-E72D297353CC}">
              <c16:uniqueId val="{00000002-C89D-4D9D-9705-98B34865C6FA}"/>
            </c:ext>
          </c:extLst>
        </c:ser>
        <c:dLbls>
          <c:showLegendKey val="0"/>
          <c:showVal val="1"/>
          <c:showCatName val="0"/>
          <c:showSerName val="0"/>
          <c:showPercent val="0"/>
          <c:showBubbleSize val="0"/>
        </c:dLbls>
        <c:gapWidth val="150"/>
        <c:overlap val="-25"/>
        <c:axId val="153598304"/>
        <c:axId val="153598784"/>
      </c:barChart>
      <c:catAx>
        <c:axId val="15359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98784"/>
        <c:crosses val="autoZero"/>
        <c:auto val="1"/>
        <c:lblAlgn val="ctr"/>
        <c:lblOffset val="100"/>
        <c:noMultiLvlLbl val="0"/>
      </c:catAx>
      <c:valAx>
        <c:axId val="153598784"/>
        <c:scaling>
          <c:orientation val="minMax"/>
        </c:scaling>
        <c:delete val="1"/>
        <c:axPos val="l"/>
        <c:numFmt formatCode="0%" sourceLinked="1"/>
        <c:majorTickMark val="none"/>
        <c:minorTickMark val="none"/>
        <c:tickLblPos val="nextTo"/>
        <c:crossAx val="153598304"/>
        <c:crosses val="autoZero"/>
        <c:crossBetween val="between"/>
      </c:valAx>
      <c:spPr>
        <a:noFill/>
        <a:ln>
          <a:noFill/>
        </a:ln>
        <a:effectLst/>
      </c:spPr>
    </c:plotArea>
    <c:legend>
      <c:legendPos val="t"/>
      <c:layout>
        <c:manualLayout>
          <c:xMode val="edge"/>
          <c:yMode val="edge"/>
          <c:x val="0.12729112390487277"/>
          <c:y val="0.90009206040139966"/>
          <c:w val="0.8139310809682937"/>
          <c:h val="6.11547301934252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'8'!$C$5</c:f>
              <c:strCache>
                <c:ptCount val="1"/>
                <c:pt idx="0">
                  <c:v>Electricity</c:v>
                </c:pt>
              </c:strCache>
            </c:strRef>
          </c:tx>
          <c:spPr>
            <a:ln w="28575" cap="rnd">
              <a:solidFill>
                <a:schemeClr val="accent1"/>
              </a:solidFill>
              <a:round/>
            </a:ln>
            <a:effectLst/>
          </c:spPr>
          <c:marker>
            <c:symbol val="none"/>
          </c:marker>
          <c:dLbls>
            <c:dLbl>
              <c:idx val="0"/>
              <c:layout>
                <c:manualLayout>
                  <c:x val="-3.8611111111111138E-2"/>
                  <c:y val="-7.6423519976669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2F-4854-897F-956F915F0EF5}"/>
                </c:ext>
              </c:extLst>
            </c:dLbl>
            <c:dLbl>
              <c:idx val="1"/>
              <c:layout>
                <c:manualLayout>
                  <c:x val="-5.8055555555555603E-2"/>
                  <c:y val="-9.4942038495188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2F-4854-897F-956F915F0EF5}"/>
                </c:ext>
              </c:extLst>
            </c:dLbl>
            <c:dLbl>
              <c:idx val="2"/>
              <c:layout>
                <c:manualLayout>
                  <c:x val="-8.8611111111111113E-2"/>
                  <c:y val="-4.8645742198891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2F-4854-897F-956F915F0EF5}"/>
                </c:ext>
              </c:extLst>
            </c:dLbl>
            <c:dLbl>
              <c:idx val="3"/>
              <c:layout>
                <c:manualLayout>
                  <c:x val="-0.14694444444444454"/>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2F-4854-897F-956F915F0E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'8'!$B$6:$B$9</c:f>
              <c:strCache>
                <c:ptCount val="4"/>
                <c:pt idx="0">
                  <c:v>2021-22</c:v>
                </c:pt>
                <c:pt idx="1">
                  <c:v>2022-23</c:v>
                </c:pt>
                <c:pt idx="2">
                  <c:v>2023-24</c:v>
                </c:pt>
                <c:pt idx="3">
                  <c:v>2024-25</c:v>
                </c:pt>
              </c:strCache>
            </c:strRef>
          </c:cat>
          <c:val>
            <c:numRef>
              <c:f>'8'!$C$6:$C$9</c:f>
              <c:numCache>
                <c:formatCode>General</c:formatCode>
                <c:ptCount val="4"/>
                <c:pt idx="0">
                  <c:v>62857</c:v>
                </c:pt>
                <c:pt idx="1">
                  <c:v>69692</c:v>
                </c:pt>
                <c:pt idx="2">
                  <c:v>79250</c:v>
                </c:pt>
                <c:pt idx="3">
                  <c:v>87170</c:v>
                </c:pt>
              </c:numCache>
            </c:numRef>
          </c:val>
          <c:smooth val="0"/>
          <c:extLst>
            <c:ext xmlns:c16="http://schemas.microsoft.com/office/drawing/2014/chart" uri="{C3380CC4-5D6E-409C-BE32-E72D297353CC}">
              <c16:uniqueId val="{00000004-EB2F-4854-897F-956F915F0EF5}"/>
            </c:ext>
          </c:extLst>
        </c:ser>
        <c:ser>
          <c:idx val="1"/>
          <c:order val="1"/>
          <c:tx>
            <c:strRef>
              <c:f>'8'!$D$5</c:f>
              <c:strCache>
                <c:ptCount val="1"/>
                <c:pt idx="0">
                  <c:v>Gas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'8'!$B$6:$B$9</c:f>
              <c:strCache>
                <c:ptCount val="4"/>
                <c:pt idx="0">
                  <c:v>2021-22</c:v>
                </c:pt>
                <c:pt idx="1">
                  <c:v>2022-23</c:v>
                </c:pt>
                <c:pt idx="2">
                  <c:v>2023-24</c:v>
                </c:pt>
                <c:pt idx="3">
                  <c:v>2024-25</c:v>
                </c:pt>
              </c:strCache>
            </c:strRef>
          </c:cat>
          <c:val>
            <c:numRef>
              <c:f>'8'!$D$6:$D$9</c:f>
              <c:numCache>
                <c:formatCode>General</c:formatCode>
                <c:ptCount val="4"/>
                <c:pt idx="0">
                  <c:v>47960</c:v>
                </c:pt>
                <c:pt idx="1">
                  <c:v>58660</c:v>
                </c:pt>
                <c:pt idx="2">
                  <c:v>66072</c:v>
                </c:pt>
                <c:pt idx="3">
                  <c:v>83990</c:v>
                </c:pt>
              </c:numCache>
            </c:numRef>
          </c:val>
          <c:smooth val="0"/>
          <c:extLst>
            <c:ext xmlns:c16="http://schemas.microsoft.com/office/drawing/2014/chart" uri="{C3380CC4-5D6E-409C-BE32-E72D297353CC}">
              <c16:uniqueId val="{00000005-EB2F-4854-897F-956F915F0EF5}"/>
            </c:ext>
          </c:extLst>
        </c:ser>
        <c:dLbls>
          <c:dLblPos val="b"/>
          <c:showLegendKey val="0"/>
          <c:showVal val="1"/>
          <c:showCatName val="0"/>
          <c:showSerName val="0"/>
          <c:showPercent val="0"/>
          <c:showBubbleSize val="0"/>
        </c:dLbls>
        <c:smooth val="0"/>
        <c:axId val="1886185280"/>
        <c:axId val="1886178560"/>
      </c:lineChart>
      <c:catAx>
        <c:axId val="18861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178560"/>
        <c:crosses val="autoZero"/>
        <c:auto val="1"/>
        <c:lblAlgn val="ctr"/>
        <c:lblOffset val="100"/>
        <c:noMultiLvlLbl val="0"/>
      </c:catAx>
      <c:valAx>
        <c:axId val="188617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185280"/>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9'!$E$4</c:f>
              <c:strCache>
                <c:ptCount val="1"/>
                <c:pt idx="0">
                  <c:v>Electricity</c:v>
                </c:pt>
              </c:strCache>
            </c:strRef>
          </c:tx>
          <c:spPr>
            <a:ln w="28575" cap="rnd">
              <a:solidFill>
                <a:schemeClr val="accent1"/>
              </a:solidFill>
              <a:round/>
            </a:ln>
            <a:effectLst/>
          </c:spPr>
          <c:marker>
            <c:symbol val="none"/>
          </c:marker>
          <c:cat>
            <c:multiLvlStrRef>
              <c:f>'Fig 9'!$C$5:$D$14</c:f>
              <c:multiLvlStrCache>
                <c:ptCount val="10"/>
                <c:lvl>
                  <c:pt idx="0">
                    <c:v>Jul-Sep</c:v>
                  </c:pt>
                  <c:pt idx="1">
                    <c:v>Oct-Dec</c:v>
                  </c:pt>
                  <c:pt idx="2">
                    <c:v>Jan-Mar</c:v>
                  </c:pt>
                  <c:pt idx="3">
                    <c:v>Apr-Jun</c:v>
                  </c:pt>
                  <c:pt idx="4">
                    <c:v>Jul-Sep</c:v>
                  </c:pt>
                  <c:pt idx="5">
                    <c:v>Oct-Dec</c:v>
                  </c:pt>
                  <c:pt idx="6">
                    <c:v>Jan-Mar</c:v>
                  </c:pt>
                  <c:pt idx="7">
                    <c:v>Apr-Jun</c:v>
                  </c:pt>
                  <c:pt idx="8">
                    <c:v>Jul-Sep</c:v>
                  </c:pt>
                  <c:pt idx="9">
                    <c:v>Oct-Dec</c:v>
                  </c:pt>
                </c:lvl>
                <c:lvl>
                  <c:pt idx="0">
                    <c:v>2022-23</c:v>
                  </c:pt>
                  <c:pt idx="4">
                    <c:v>2023-24</c:v>
                  </c:pt>
                  <c:pt idx="8">
                    <c:v>2024-25</c:v>
                  </c:pt>
                </c:lvl>
              </c:multiLvlStrCache>
            </c:multiLvlStrRef>
          </c:cat>
          <c:val>
            <c:numRef>
              <c:f>'Fig 9'!$E$5:$E$14</c:f>
              <c:numCache>
                <c:formatCode>0</c:formatCode>
                <c:ptCount val="10"/>
                <c:pt idx="0">
                  <c:v>110868.33333333333</c:v>
                </c:pt>
                <c:pt idx="1">
                  <c:v>111663.66666666667</c:v>
                </c:pt>
                <c:pt idx="2">
                  <c:v>105517.66666666667</c:v>
                </c:pt>
                <c:pt idx="3">
                  <c:v>105138.33333333333</c:v>
                </c:pt>
                <c:pt idx="4">
                  <c:v>124679</c:v>
                </c:pt>
                <c:pt idx="5">
                  <c:v>135175.66666666666</c:v>
                </c:pt>
                <c:pt idx="6">
                  <c:v>127687.66666666667</c:v>
                </c:pt>
                <c:pt idx="7">
                  <c:v>129918.66666666667</c:v>
                </c:pt>
                <c:pt idx="8">
                  <c:v>144043.33333333334</c:v>
                </c:pt>
                <c:pt idx="9">
                  <c:v>114780</c:v>
                </c:pt>
              </c:numCache>
            </c:numRef>
          </c:val>
          <c:smooth val="0"/>
          <c:extLst>
            <c:ext xmlns:c16="http://schemas.microsoft.com/office/drawing/2014/chart" uri="{C3380CC4-5D6E-409C-BE32-E72D297353CC}">
              <c16:uniqueId val="{00000000-1BAA-4E5A-90E8-4E70AE1BC864}"/>
            </c:ext>
          </c:extLst>
        </c:ser>
        <c:ser>
          <c:idx val="1"/>
          <c:order val="1"/>
          <c:tx>
            <c:strRef>
              <c:f>'Fig 9'!$F$4</c:f>
              <c:strCache>
                <c:ptCount val="1"/>
                <c:pt idx="0">
                  <c:v>Gas</c:v>
                </c:pt>
              </c:strCache>
            </c:strRef>
          </c:tx>
          <c:spPr>
            <a:ln w="28575" cap="rnd">
              <a:solidFill>
                <a:schemeClr val="accent2"/>
              </a:solidFill>
              <a:round/>
            </a:ln>
            <a:effectLst/>
          </c:spPr>
          <c:marker>
            <c:symbol val="none"/>
          </c:marker>
          <c:cat>
            <c:multiLvlStrRef>
              <c:f>'Fig 9'!$C$5:$D$14</c:f>
              <c:multiLvlStrCache>
                <c:ptCount val="10"/>
                <c:lvl>
                  <c:pt idx="0">
                    <c:v>Jul-Sep</c:v>
                  </c:pt>
                  <c:pt idx="1">
                    <c:v>Oct-Dec</c:v>
                  </c:pt>
                  <c:pt idx="2">
                    <c:v>Jan-Mar</c:v>
                  </c:pt>
                  <c:pt idx="3">
                    <c:v>Apr-Jun</c:v>
                  </c:pt>
                  <c:pt idx="4">
                    <c:v>Jul-Sep</c:v>
                  </c:pt>
                  <c:pt idx="5">
                    <c:v>Oct-Dec</c:v>
                  </c:pt>
                  <c:pt idx="6">
                    <c:v>Jan-Mar</c:v>
                  </c:pt>
                  <c:pt idx="7">
                    <c:v>Apr-Jun</c:v>
                  </c:pt>
                  <c:pt idx="8">
                    <c:v>Jul-Sep</c:v>
                  </c:pt>
                  <c:pt idx="9">
                    <c:v>Oct-Dec</c:v>
                  </c:pt>
                </c:lvl>
                <c:lvl>
                  <c:pt idx="0">
                    <c:v>2022-23</c:v>
                  </c:pt>
                  <c:pt idx="4">
                    <c:v>2023-24</c:v>
                  </c:pt>
                  <c:pt idx="8">
                    <c:v>2024-25</c:v>
                  </c:pt>
                </c:lvl>
              </c:multiLvlStrCache>
            </c:multiLvlStrRef>
          </c:cat>
          <c:val>
            <c:numRef>
              <c:f>'Fig 9'!$F$5:$F$14</c:f>
              <c:numCache>
                <c:formatCode>0</c:formatCode>
                <c:ptCount val="10"/>
                <c:pt idx="0">
                  <c:v>115086.66666666667</c:v>
                </c:pt>
                <c:pt idx="1">
                  <c:v>88193.333333333328</c:v>
                </c:pt>
                <c:pt idx="2">
                  <c:v>52445.666666666664</c:v>
                </c:pt>
                <c:pt idx="3">
                  <c:v>83397.333333333328</c:v>
                </c:pt>
                <c:pt idx="4">
                  <c:v>139751.66666666666</c:v>
                </c:pt>
                <c:pt idx="5">
                  <c:v>108289</c:v>
                </c:pt>
                <c:pt idx="6">
                  <c:v>67357.666666666672</c:v>
                </c:pt>
                <c:pt idx="7">
                  <c:v>86677.333333333328</c:v>
                </c:pt>
                <c:pt idx="8">
                  <c:v>150485.66666666666</c:v>
                </c:pt>
                <c:pt idx="9">
                  <c:v>109172.33333333333</c:v>
                </c:pt>
              </c:numCache>
            </c:numRef>
          </c:val>
          <c:smooth val="0"/>
          <c:extLst>
            <c:ext xmlns:c16="http://schemas.microsoft.com/office/drawing/2014/chart" uri="{C3380CC4-5D6E-409C-BE32-E72D297353CC}">
              <c16:uniqueId val="{00000001-1BAA-4E5A-90E8-4E70AE1BC864}"/>
            </c:ext>
          </c:extLst>
        </c:ser>
        <c:dLbls>
          <c:showLegendKey val="0"/>
          <c:showVal val="0"/>
          <c:showCatName val="0"/>
          <c:showSerName val="0"/>
          <c:showPercent val="0"/>
          <c:showBubbleSize val="0"/>
        </c:dLbls>
        <c:smooth val="0"/>
        <c:axId val="118383072"/>
        <c:axId val="118395552"/>
      </c:lineChart>
      <c:catAx>
        <c:axId val="1183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5552"/>
        <c:crosses val="autoZero"/>
        <c:auto val="1"/>
        <c:lblAlgn val="ctr"/>
        <c:lblOffset val="100"/>
        <c:noMultiLvlLbl val="0"/>
      </c:catAx>
      <c:valAx>
        <c:axId val="118395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83072"/>
        <c:crosses val="autoZero"/>
        <c:crossBetween val="between"/>
        <c:majorUnit val="3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7DAF995-FC61-4825-818A-576939154D3C}">
    <t:Anchor>
      <t:Comment id="178366847"/>
    </t:Anchor>
    <t:History>
      <t:Event id="{57DED833-81BC-43B4-B4AC-02022FC22528}" time="2025-03-31T11:33:13.771Z">
        <t:Attribution userId="S::Luis.Bogliolo@esc.vic.gov.au::a2803cb5-1a71-4861-96ae-44456c470c15" userProvider="AD" userName="Luis Bogliolo (ESC)"/>
        <t:Anchor>
          <t:Comment id="178366847"/>
        </t:Anchor>
        <t:Create/>
      </t:Event>
      <t:Event id="{387608C1-8AAF-4C9B-9E78-7EAE092C0A99}" time="2025-03-31T11:33:13.771Z">
        <t:Attribution userId="S::Luis.Bogliolo@esc.vic.gov.au::a2803cb5-1a71-4861-96ae-44456c470c15" userProvider="AD" userName="Luis Bogliolo (ESC)"/>
        <t:Anchor>
          <t:Comment id="178366847"/>
        </t:Anchor>
        <t:Assign userId="S::Reid.Hutchins@esc.vic.gov.au::f4ee5828-6206-469c-9d2c-b26b950e4032" userProvider="AD" userName="Reid Hutchins (ESC)"/>
      </t:Event>
      <t:Event id="{584D8FA9-DD60-4B7A-870C-657E6943D8FE}" time="2025-03-31T11:33:13.771Z">
        <t:Attribution userId="S::Luis.Bogliolo@esc.vic.gov.au::a2803cb5-1a71-4861-96ae-44456c470c15" userProvider="AD" userName="Luis Bogliolo (ESC)"/>
        <t:Anchor>
          <t:Comment id="178366847"/>
        </t:Anchor>
        <t:SetTitle title="@Reid Hutchins (ESC) can we include here some of the data EWOSA, EWON or EWOQ shared with you?"/>
      </t:Event>
      <t:Event id="{B174C5E3-58E3-4C37-805B-D952FA001740}" time="2025-04-08T02:14:50.979Z">
        <t:Attribution userId="S::Nick.Horsburgh@esc.vic.gov.au::fb7db180-a5ff-4705-9444-a0ccfe869467" userProvider="AD" userName="Nick Horsburgh (ESC)"/>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7FFFCC3E4C42669754D74AE9ACD1A6"/>
        <w:category>
          <w:name w:val="General"/>
          <w:gallery w:val="placeholder"/>
        </w:category>
        <w:types>
          <w:type w:val="bbPlcHdr"/>
        </w:types>
        <w:behaviors>
          <w:behavior w:val="content"/>
        </w:behaviors>
        <w:guid w:val="{1DF5E685-046C-4885-92CE-584535BF234B}"/>
      </w:docPartPr>
      <w:docPartBody>
        <w:p w:rsidR="008C4DE6" w:rsidRDefault="008C4DE6">
          <w:pPr>
            <w:pStyle w:val="497FFFCC3E4C42669754D74AE9ACD1A6"/>
          </w:pPr>
          <w:r w:rsidRPr="008249C5">
            <w:rPr>
              <w:rStyle w:val="PlaceholderText"/>
            </w:rPr>
            <w:t>[</w:t>
          </w:r>
          <w:r>
            <w:rPr>
              <w:rStyle w:val="PlaceholderText"/>
            </w:rPr>
            <w:t>Subtitle</w:t>
          </w:r>
          <w:r w:rsidRPr="008249C5">
            <w:rPr>
              <w:rStyle w:val="PlaceholderText"/>
            </w:rPr>
            <w:t>]</w:t>
          </w:r>
        </w:p>
      </w:docPartBody>
    </w:docPart>
    <w:docPart>
      <w:docPartPr>
        <w:name w:val="26784A1D736647D8B114B513D6A59510"/>
        <w:category>
          <w:name w:val="General"/>
          <w:gallery w:val="placeholder"/>
        </w:category>
        <w:types>
          <w:type w:val="bbPlcHdr"/>
        </w:types>
        <w:behaviors>
          <w:behavior w:val="content"/>
        </w:behaviors>
        <w:guid w:val="{36BB0435-05DF-4372-BBC1-9C70CB465966}"/>
      </w:docPartPr>
      <w:docPartBody>
        <w:p w:rsidR="008C4DE6" w:rsidRDefault="008C4DE6">
          <w:pPr>
            <w:pStyle w:val="26784A1D736647D8B114B513D6A59510"/>
          </w:pPr>
          <w:r w:rsidRPr="005F3D90">
            <w:rPr>
              <w:highlight w:val="lightGray"/>
            </w:rPr>
            <w:t>[Title]</w:t>
          </w:r>
        </w:p>
      </w:docPartBody>
    </w:docPart>
    <w:docPart>
      <w:docPartPr>
        <w:name w:val="C3B5F2BDCEE444C89923D06CD3C3F258"/>
        <w:category>
          <w:name w:val="General"/>
          <w:gallery w:val="placeholder"/>
        </w:category>
        <w:types>
          <w:type w:val="bbPlcHdr"/>
        </w:types>
        <w:behaviors>
          <w:behavior w:val="content"/>
        </w:behaviors>
        <w:guid w:val="{5C612B0C-6141-4EE6-8371-E57C5835C17A}"/>
      </w:docPartPr>
      <w:docPartBody>
        <w:p w:rsidR="008C4DE6" w:rsidRDefault="008C4DE6">
          <w:pPr>
            <w:pStyle w:val="C3B5F2BDCEE444C89923D06CD3C3F258"/>
          </w:pPr>
          <w:r w:rsidRPr="00563AD8">
            <w:rPr>
              <w:highlight w:val="lightGray"/>
            </w:rPr>
            <w:t>[Subtitle]</w:t>
          </w:r>
        </w:p>
      </w:docPartBody>
    </w:docPart>
    <w:docPart>
      <w:docPartPr>
        <w:name w:val="AED240F9F4284DE780CFD1F88DF04FC6"/>
        <w:category>
          <w:name w:val="General"/>
          <w:gallery w:val="placeholder"/>
        </w:category>
        <w:types>
          <w:type w:val="bbPlcHdr"/>
        </w:types>
        <w:behaviors>
          <w:behavior w:val="content"/>
        </w:behaviors>
        <w:guid w:val="{6A6BA8AB-CD4D-4EE3-9D50-6D4E93CBB2CE}"/>
      </w:docPartPr>
      <w:docPartBody>
        <w:p w:rsidR="008C4DE6" w:rsidRDefault="008C4DE6">
          <w:pPr>
            <w:pStyle w:val="AED240F9F4284DE780CFD1F88DF04FC6"/>
          </w:pPr>
          <w:r w:rsidRPr="00360763">
            <w:rPr>
              <w:highlight w:val="lightGray"/>
            </w:rPr>
            <w:t>[Click to select a year]</w:t>
          </w:r>
        </w:p>
      </w:docPartBody>
    </w:docPart>
    <w:docPart>
      <w:docPartPr>
        <w:name w:val="487FBD851FCC403582D343AFA8BA353C"/>
        <w:category>
          <w:name w:val="General"/>
          <w:gallery w:val="placeholder"/>
        </w:category>
        <w:types>
          <w:type w:val="bbPlcHdr"/>
        </w:types>
        <w:behaviors>
          <w:behavior w:val="content"/>
        </w:behaviors>
        <w:guid w:val="{186A3B9A-252A-4D57-8A11-1B108806FF7F}"/>
      </w:docPartPr>
      <w:docPartBody>
        <w:p w:rsidR="008C4DE6" w:rsidRDefault="008C4DE6">
          <w:pPr>
            <w:pStyle w:val="487FBD851FCC403582D343AFA8BA353C"/>
          </w:pPr>
          <w:r w:rsidRPr="005F3D90">
            <w:rPr>
              <w:highlight w:val="lightGray"/>
            </w:rPr>
            <w:t>[Title]</w:t>
          </w:r>
        </w:p>
      </w:docPartBody>
    </w:docPart>
    <w:docPart>
      <w:docPartPr>
        <w:name w:val="58A60AF94E8F418CA9D9039AA656CE76"/>
        <w:category>
          <w:name w:val="General"/>
          <w:gallery w:val="placeholder"/>
        </w:category>
        <w:types>
          <w:type w:val="bbPlcHdr"/>
        </w:types>
        <w:behaviors>
          <w:behavior w:val="content"/>
        </w:behaviors>
        <w:guid w:val="{E2842075-A29F-4CC6-9CEC-D18EF8841095}"/>
      </w:docPartPr>
      <w:docPartBody>
        <w:p w:rsidR="008C4DE6" w:rsidRDefault="008C4DE6">
          <w:pPr>
            <w:pStyle w:val="58A60AF94E8F418CA9D9039AA656CE76"/>
          </w:pPr>
          <w:r w:rsidRPr="00AD2E14">
            <w:rPr>
              <w:b/>
              <w:highlight w:val="lightGray"/>
            </w:rPr>
            <w:t>[Title]</w:t>
          </w:r>
        </w:p>
      </w:docPartBody>
    </w:docPart>
    <w:docPart>
      <w:docPartPr>
        <w:name w:val="BB9BE0546DA0479FA14CF498A9260DD0"/>
        <w:category>
          <w:name w:val="General"/>
          <w:gallery w:val="placeholder"/>
        </w:category>
        <w:types>
          <w:type w:val="bbPlcHdr"/>
        </w:types>
        <w:behaviors>
          <w:behavior w:val="content"/>
        </w:behaviors>
        <w:guid w:val="{AD1B8798-C67F-4C68-A7F7-6DF9D399539D}"/>
      </w:docPartPr>
      <w:docPartBody>
        <w:p w:rsidR="008C4DE6" w:rsidRDefault="008C4DE6">
          <w:pPr>
            <w:pStyle w:val="BB9BE0546DA0479FA14CF498A9260DD0"/>
          </w:pPr>
          <w:r w:rsidRPr="00AD2E14">
            <w:rPr>
              <w:b/>
              <w:highlight w:val="lightGray"/>
            </w:rPr>
            <w:t>[Title]</w:t>
          </w:r>
        </w:p>
      </w:docPartBody>
    </w:docPart>
    <w:docPart>
      <w:docPartPr>
        <w:name w:val="DE407C7242934821B6B7E496277840E9"/>
        <w:category>
          <w:name w:val="General"/>
          <w:gallery w:val="placeholder"/>
        </w:category>
        <w:types>
          <w:type w:val="bbPlcHdr"/>
        </w:types>
        <w:behaviors>
          <w:behavior w:val="content"/>
        </w:behaviors>
        <w:guid w:val="{287B18D0-6C82-4A05-83D6-9170B6018E36}"/>
      </w:docPartPr>
      <w:docPartBody>
        <w:p w:rsidR="008C4DE6" w:rsidRDefault="008C4DE6">
          <w:pPr>
            <w:pStyle w:val="DE407C7242934821B6B7E496277840E9"/>
          </w:pPr>
          <w:r w:rsidRPr="00AD2E14">
            <w:rPr>
              <w:b/>
              <w:highlight w:val="lightGray"/>
            </w:rPr>
            <w:t>[Title]</w:t>
          </w:r>
        </w:p>
      </w:docPartBody>
    </w:docPart>
    <w:docPart>
      <w:docPartPr>
        <w:name w:val="1918F803DB1F4EB5B91778A01051B62E"/>
        <w:category>
          <w:name w:val="General"/>
          <w:gallery w:val="placeholder"/>
        </w:category>
        <w:types>
          <w:type w:val="bbPlcHdr"/>
        </w:types>
        <w:behaviors>
          <w:behavior w:val="content"/>
        </w:behaviors>
        <w:guid w:val="{E861BFB6-6782-4770-8559-66F34CE42636}"/>
      </w:docPartPr>
      <w:docPartBody>
        <w:p w:rsidR="008D630E" w:rsidRDefault="008C4DE6">
          <w:pPr>
            <w:pStyle w:val="1918F803DB1F4EB5B91778A01051B62E"/>
          </w:pPr>
          <w:r>
            <w:t xml:space="preserve">  </w:t>
          </w:r>
        </w:p>
      </w:docPartBody>
    </w:docPart>
    <w:docPart>
      <w:docPartPr>
        <w:name w:val="704EB09424BA4728968BE670064B76CD"/>
        <w:category>
          <w:name w:val="General"/>
          <w:gallery w:val="placeholder"/>
        </w:category>
        <w:types>
          <w:type w:val="bbPlcHdr"/>
        </w:types>
        <w:behaviors>
          <w:behavior w:val="content"/>
        </w:behaviors>
        <w:guid w:val="{0AF07922-D297-4EA2-9B0D-19185D6C56D7}"/>
      </w:docPartPr>
      <w:docPartBody>
        <w:p w:rsidR="000F5E02" w:rsidRDefault="000F5E02">
          <w:pPr>
            <w:pStyle w:val="704EB09424BA4728968BE670064B76CD"/>
          </w:pPr>
          <w:r w:rsidRPr="00AD2E14">
            <w:rPr>
              <w:b/>
              <w:highlight w:val="lightGray"/>
            </w:rPr>
            <w:t>[Title]</w:t>
          </w:r>
        </w:p>
      </w:docPartBody>
    </w:docPart>
    <w:docPart>
      <w:docPartPr>
        <w:name w:val="70AA1454EBE34AB3BC62AC0728AFC376"/>
        <w:category>
          <w:name w:val="General"/>
          <w:gallery w:val="placeholder"/>
        </w:category>
        <w:types>
          <w:type w:val="bbPlcHdr"/>
        </w:types>
        <w:behaviors>
          <w:behavior w:val="content"/>
        </w:behaviors>
        <w:guid w:val="{CB46FE83-E977-4600-87F5-DBCFC950455A}"/>
      </w:docPartPr>
      <w:docPartBody>
        <w:p w:rsidR="000F5E02" w:rsidRDefault="000F5E02">
          <w:pPr>
            <w:pStyle w:val="70AA1454EBE34AB3BC62AC0728AFC376"/>
          </w:pPr>
          <w:r w:rsidRPr="00AD2E14">
            <w:rPr>
              <w:b/>
              <w:highlight w:val="lightGray"/>
            </w:rPr>
            <w:t>[Title]</w:t>
          </w:r>
        </w:p>
      </w:docPartBody>
    </w:docPart>
    <w:docPart>
      <w:docPartPr>
        <w:name w:val="8E9F98D41CA24362BEBEFF1A0404560D"/>
        <w:category>
          <w:name w:val="General"/>
          <w:gallery w:val="placeholder"/>
        </w:category>
        <w:types>
          <w:type w:val="bbPlcHdr"/>
        </w:types>
        <w:behaviors>
          <w:behavior w:val="content"/>
        </w:behaviors>
        <w:guid w:val="{91E31929-18E1-4C6A-882D-E28BCF35D8E2}"/>
      </w:docPartPr>
      <w:docPartBody>
        <w:p w:rsidR="000F5E02" w:rsidRDefault="000F5E02">
          <w:pPr>
            <w:pStyle w:val="8E9F98D41CA24362BEBEFF1A0404560D"/>
          </w:pPr>
          <w:r w:rsidRPr="00AD2E14">
            <w:rPr>
              <w:b/>
              <w:highlight w:val="lightGray"/>
            </w:rPr>
            <w:t>[Title]</w:t>
          </w:r>
        </w:p>
      </w:docPartBody>
    </w:docPart>
    <w:docPart>
      <w:docPartPr>
        <w:name w:val="5B52F0DB737743E3956EDCBBAC2FBBC6"/>
        <w:category>
          <w:name w:val="General"/>
          <w:gallery w:val="placeholder"/>
        </w:category>
        <w:types>
          <w:type w:val="bbPlcHdr"/>
        </w:types>
        <w:behaviors>
          <w:behavior w:val="content"/>
        </w:behaviors>
        <w:guid w:val="{067F5336-1C81-46F0-8FC6-25D2F94ACF43}"/>
      </w:docPartPr>
      <w:docPartBody>
        <w:p w:rsidR="000F5E02" w:rsidRDefault="000F5E02">
          <w:pPr>
            <w:pStyle w:val="5B52F0DB737743E3956EDCBBAC2FBBC6"/>
          </w:pPr>
          <w:r w:rsidRPr="00AD2E14">
            <w:rPr>
              <w:b/>
              <w:highlight w:val="lightGray"/>
            </w:rPr>
            <w:t>[Title]</w:t>
          </w:r>
        </w:p>
      </w:docPartBody>
    </w:docPart>
    <w:docPart>
      <w:docPartPr>
        <w:name w:val="9296F82BF22A45289D9BBB4F728635AE"/>
        <w:category>
          <w:name w:val="General"/>
          <w:gallery w:val="placeholder"/>
        </w:category>
        <w:types>
          <w:type w:val="bbPlcHdr"/>
        </w:types>
        <w:behaviors>
          <w:behavior w:val="content"/>
        </w:behaviors>
        <w:guid w:val="{D957B624-89D5-42EE-A703-376452A87079}"/>
      </w:docPartPr>
      <w:docPartBody>
        <w:p w:rsidR="000F5E02" w:rsidRDefault="000F5E02">
          <w:pPr>
            <w:pStyle w:val="9296F82BF22A45289D9BBB4F728635AE"/>
          </w:pPr>
          <w:r w:rsidRPr="00AD2E14">
            <w:rPr>
              <w:b/>
              <w:highlight w:val="lightGray"/>
            </w:rPr>
            <w:t>[Title]</w:t>
          </w:r>
        </w:p>
      </w:docPartBody>
    </w:docPart>
    <w:docPart>
      <w:docPartPr>
        <w:name w:val="ABBE08F6613F4BE789B710CCE2E696F5"/>
        <w:category>
          <w:name w:val="General"/>
          <w:gallery w:val="placeholder"/>
        </w:category>
        <w:types>
          <w:type w:val="bbPlcHdr"/>
        </w:types>
        <w:behaviors>
          <w:behavior w:val="content"/>
        </w:behaviors>
        <w:guid w:val="{4298F3D1-4DF4-496F-8B14-DF02B8574B0C}"/>
      </w:docPartPr>
      <w:docPartBody>
        <w:p w:rsidR="000F5E02" w:rsidRDefault="000F5E02">
          <w:pPr>
            <w:pStyle w:val="ABBE08F6613F4BE789B710CCE2E696F5"/>
          </w:pPr>
          <w:r w:rsidRPr="00AD2E14">
            <w:rPr>
              <w:b/>
              <w:highlight w:val="lightGray"/>
            </w:rPr>
            <w:t>[Title]</w:t>
          </w:r>
        </w:p>
      </w:docPartBody>
    </w:docPart>
    <w:docPart>
      <w:docPartPr>
        <w:name w:val="4547650A36FA48BC861E67943C461F56"/>
        <w:category>
          <w:name w:val="General"/>
          <w:gallery w:val="placeholder"/>
        </w:category>
        <w:types>
          <w:type w:val="bbPlcHdr"/>
        </w:types>
        <w:behaviors>
          <w:behavior w:val="content"/>
        </w:behaviors>
        <w:guid w:val="{0017BA4E-5ECB-4970-81D0-70C420E6707B}"/>
      </w:docPartPr>
      <w:docPartBody>
        <w:p w:rsidR="000F5E02" w:rsidRDefault="000F5E02">
          <w:pPr>
            <w:pStyle w:val="4547650A36FA48BC861E67943C461F56"/>
          </w:pPr>
          <w:r w:rsidRPr="00AD2E14">
            <w:rPr>
              <w:b/>
              <w:highlight w:val="lightGray"/>
            </w:rPr>
            <w:t>[Title]</w:t>
          </w:r>
        </w:p>
      </w:docPartBody>
    </w:docPart>
    <w:docPart>
      <w:docPartPr>
        <w:name w:val="A782394BD75D41F19B6560CB5BD697F4"/>
        <w:category>
          <w:name w:val="General"/>
          <w:gallery w:val="placeholder"/>
        </w:category>
        <w:types>
          <w:type w:val="bbPlcHdr"/>
        </w:types>
        <w:behaviors>
          <w:behavior w:val="content"/>
        </w:behaviors>
        <w:guid w:val="{E15CA954-F943-4CF3-AFC5-FF24194D3716}"/>
      </w:docPartPr>
      <w:docPartBody>
        <w:p w:rsidR="000F5E02" w:rsidRDefault="000F5E02">
          <w:pPr>
            <w:pStyle w:val="A782394BD75D41F19B6560CB5BD697F4"/>
          </w:pPr>
          <w:r w:rsidRPr="00AD2E14">
            <w:rPr>
              <w:b/>
              <w:highlight w:val="lightGray"/>
            </w:rPr>
            <w:t>[Title]</w:t>
          </w:r>
        </w:p>
      </w:docPartBody>
    </w:docPart>
    <w:docPart>
      <w:docPartPr>
        <w:name w:val="B9C2AF5D95A04278AC8BC49BB770E0EA"/>
        <w:category>
          <w:name w:val="General"/>
          <w:gallery w:val="placeholder"/>
        </w:category>
        <w:types>
          <w:type w:val="bbPlcHdr"/>
        </w:types>
        <w:behaviors>
          <w:behavior w:val="content"/>
        </w:behaviors>
        <w:guid w:val="{34CA55EC-F1FB-41DC-BD03-4682091C225F}"/>
      </w:docPartPr>
      <w:docPartBody>
        <w:p w:rsidR="000F5E02" w:rsidRDefault="000F5E02">
          <w:pPr>
            <w:pStyle w:val="B9C2AF5D95A04278AC8BC49BB770E0EA"/>
          </w:pPr>
          <w:r w:rsidRPr="00AD2E14">
            <w:rPr>
              <w:b/>
              <w:highlight w:val="lightGray"/>
            </w:rPr>
            <w:t>[Title]</w:t>
          </w:r>
        </w:p>
      </w:docPartBody>
    </w:docPart>
    <w:docPart>
      <w:docPartPr>
        <w:name w:val="71D793C7365647CA9CC47A3AEA57D5B4"/>
        <w:category>
          <w:name w:val="General"/>
          <w:gallery w:val="placeholder"/>
        </w:category>
        <w:types>
          <w:type w:val="bbPlcHdr"/>
        </w:types>
        <w:behaviors>
          <w:behavior w:val="content"/>
        </w:behaviors>
        <w:guid w:val="{D40138C6-01A9-4C62-B462-A9532CF29B14}"/>
      </w:docPartPr>
      <w:docPartBody>
        <w:p w:rsidR="000F5E02" w:rsidRDefault="000F5E02">
          <w:pPr>
            <w:pStyle w:val="71D793C7365647CA9CC47A3AEA57D5B4"/>
          </w:pPr>
          <w:r w:rsidRPr="00AD2E14">
            <w:rPr>
              <w:b/>
              <w:highlight w:val="lightGray"/>
            </w:rPr>
            <w:t>[Title]</w:t>
          </w:r>
        </w:p>
      </w:docPartBody>
    </w:docPart>
    <w:docPart>
      <w:docPartPr>
        <w:name w:val="2E342F81E6A34C828DA3B4A687589AE1"/>
        <w:category>
          <w:name w:val="General"/>
          <w:gallery w:val="placeholder"/>
        </w:category>
        <w:types>
          <w:type w:val="bbPlcHdr"/>
        </w:types>
        <w:behaviors>
          <w:behavior w:val="content"/>
        </w:behaviors>
        <w:guid w:val="{7B478DE2-FC3B-4C4F-9B2E-B2AAEE238DAF}"/>
      </w:docPartPr>
      <w:docPartBody>
        <w:p w:rsidR="000F5E02" w:rsidRDefault="000F5E02">
          <w:pPr>
            <w:pStyle w:val="2E342F81E6A34C828DA3B4A687589AE1"/>
          </w:pPr>
          <w:r w:rsidRPr="00AD2E14">
            <w:rPr>
              <w:b/>
              <w:highlight w:val="lightGray"/>
            </w:rPr>
            <w:t>[Title]</w:t>
          </w:r>
        </w:p>
      </w:docPartBody>
    </w:docPart>
    <w:docPart>
      <w:docPartPr>
        <w:name w:val="F40A49403B7943AB8AC9245E0C455D45"/>
        <w:category>
          <w:name w:val="General"/>
          <w:gallery w:val="placeholder"/>
        </w:category>
        <w:types>
          <w:type w:val="bbPlcHdr"/>
        </w:types>
        <w:behaviors>
          <w:behavior w:val="content"/>
        </w:behaviors>
        <w:guid w:val="{3686F0B7-ED99-4E0C-AA34-BA4BEBEFF77E}"/>
      </w:docPartPr>
      <w:docPartBody>
        <w:p w:rsidR="000F5E02" w:rsidRDefault="000F5E02">
          <w:pPr>
            <w:pStyle w:val="F40A49403B7943AB8AC9245E0C455D45"/>
          </w:pPr>
          <w:r w:rsidRPr="00AD2E14">
            <w:rPr>
              <w:b/>
              <w:highlight w:val="lightGray"/>
            </w:rPr>
            <w:t>[Title]</w:t>
          </w:r>
        </w:p>
      </w:docPartBody>
    </w:docPart>
    <w:docPart>
      <w:docPartPr>
        <w:name w:val="C9C78C658A6E4957BC0196B2E7A42D2E"/>
        <w:category>
          <w:name w:val="General"/>
          <w:gallery w:val="placeholder"/>
        </w:category>
        <w:types>
          <w:type w:val="bbPlcHdr"/>
        </w:types>
        <w:behaviors>
          <w:behavior w:val="content"/>
        </w:behaviors>
        <w:guid w:val="{F2E73AB3-479B-4A9F-8F95-73413F0825CE}"/>
      </w:docPartPr>
      <w:docPartBody>
        <w:p w:rsidR="000F5E02" w:rsidRDefault="000F5E02">
          <w:pPr>
            <w:pStyle w:val="C9C78C658A6E4957BC0196B2E7A42D2E"/>
          </w:pPr>
          <w:r w:rsidRPr="00AD2E14">
            <w:rPr>
              <w:b/>
              <w:highlight w:val="lightGray"/>
            </w:rPr>
            <w:t>[Title]</w:t>
          </w:r>
        </w:p>
      </w:docPartBody>
    </w:docPart>
    <w:docPart>
      <w:docPartPr>
        <w:name w:val="C74D147125D44988ACC250E0F059B548"/>
        <w:category>
          <w:name w:val="General"/>
          <w:gallery w:val="placeholder"/>
        </w:category>
        <w:types>
          <w:type w:val="bbPlcHdr"/>
        </w:types>
        <w:behaviors>
          <w:behavior w:val="content"/>
        </w:behaviors>
        <w:guid w:val="{F5653C5D-ABAE-44D1-A5E2-7EDE3885998B}"/>
      </w:docPartPr>
      <w:docPartBody>
        <w:p w:rsidR="000F5E02" w:rsidRDefault="000F5E02">
          <w:pPr>
            <w:pStyle w:val="C74D147125D44988ACC250E0F059B548"/>
          </w:pPr>
          <w:r w:rsidRPr="00AD2E14">
            <w:rPr>
              <w:b/>
              <w:highlight w:val="lightGray"/>
            </w:rPr>
            <w:t>[Title]</w:t>
          </w:r>
        </w:p>
      </w:docPartBody>
    </w:docPart>
    <w:docPart>
      <w:docPartPr>
        <w:name w:val="3EBF2CEC528D4A71A4291A8B0E92D56A"/>
        <w:category>
          <w:name w:val="General"/>
          <w:gallery w:val="placeholder"/>
        </w:category>
        <w:types>
          <w:type w:val="bbPlcHdr"/>
        </w:types>
        <w:behaviors>
          <w:behavior w:val="content"/>
        </w:behaviors>
        <w:guid w:val="{FE787A50-72DD-44F4-9EEB-D50875CD6E82}"/>
      </w:docPartPr>
      <w:docPartBody>
        <w:p w:rsidR="00167A6C" w:rsidRDefault="008C4DE6">
          <w:pPr>
            <w:pStyle w:val="3EBF2CEC528D4A71A4291A8B0E92D56A"/>
          </w:pPr>
          <w:r w:rsidRPr="00DA005C">
            <w:t>[Title, use ‘Title’ type style. Content will automatically link to internal footer]</w:t>
          </w:r>
        </w:p>
      </w:docPartBody>
    </w:docPart>
    <w:docPart>
      <w:docPartPr>
        <w:name w:val="55E1E0B0838341FF863F119841426D80"/>
        <w:category>
          <w:name w:val="General"/>
          <w:gallery w:val="placeholder"/>
        </w:category>
        <w:types>
          <w:type w:val="bbPlcHdr"/>
        </w:types>
        <w:behaviors>
          <w:behavior w:val="content"/>
        </w:behaviors>
        <w:guid w:val="{672A7B2C-5C69-4254-BF67-C73B645FED5C}"/>
      </w:docPartPr>
      <w:docPartBody>
        <w:p w:rsidR="00167A6C" w:rsidRDefault="00167A6C">
          <w:pPr>
            <w:pStyle w:val="55E1E0B0838341FF863F119841426D80"/>
          </w:pPr>
          <w:r>
            <w:t>[</w:t>
          </w:r>
          <w:r w:rsidRPr="00615C49">
            <w:t>Click or tap to enter a date</w:t>
          </w:r>
          <w:r>
            <w:t>, or click to manually type custom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ssistant">
    <w:charset w:val="B1"/>
    <w:family w:val="auto"/>
    <w:pitch w:val="variable"/>
    <w:sig w:usb0="A00008FF" w:usb1="4000204B" w:usb2="00000000" w:usb3="00000000" w:csb0="0000002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DE6"/>
    <w:rsid w:val="000115F7"/>
    <w:rsid w:val="00012843"/>
    <w:rsid w:val="00042E1E"/>
    <w:rsid w:val="000A7F74"/>
    <w:rsid w:val="000F2AAB"/>
    <w:rsid w:val="000F5E02"/>
    <w:rsid w:val="00104727"/>
    <w:rsid w:val="001127E0"/>
    <w:rsid w:val="001219E2"/>
    <w:rsid w:val="0013599C"/>
    <w:rsid w:val="0014461D"/>
    <w:rsid w:val="00152E9B"/>
    <w:rsid w:val="00161221"/>
    <w:rsid w:val="00167A6C"/>
    <w:rsid w:val="00172D7A"/>
    <w:rsid w:val="0019412A"/>
    <w:rsid w:val="002B08DC"/>
    <w:rsid w:val="002D39C2"/>
    <w:rsid w:val="002E3EE2"/>
    <w:rsid w:val="00302549"/>
    <w:rsid w:val="003B46FE"/>
    <w:rsid w:val="003B5580"/>
    <w:rsid w:val="00411307"/>
    <w:rsid w:val="00422B47"/>
    <w:rsid w:val="00492277"/>
    <w:rsid w:val="00536824"/>
    <w:rsid w:val="0053701A"/>
    <w:rsid w:val="00555B42"/>
    <w:rsid w:val="005629EF"/>
    <w:rsid w:val="00567489"/>
    <w:rsid w:val="0060625C"/>
    <w:rsid w:val="006306ED"/>
    <w:rsid w:val="00634A83"/>
    <w:rsid w:val="006431D7"/>
    <w:rsid w:val="006609BB"/>
    <w:rsid w:val="006636E8"/>
    <w:rsid w:val="00685DF8"/>
    <w:rsid w:val="006C6C0B"/>
    <w:rsid w:val="006D52EC"/>
    <w:rsid w:val="007129F5"/>
    <w:rsid w:val="00760D8F"/>
    <w:rsid w:val="00765990"/>
    <w:rsid w:val="007725F7"/>
    <w:rsid w:val="00772A95"/>
    <w:rsid w:val="007B3815"/>
    <w:rsid w:val="00817BB9"/>
    <w:rsid w:val="00844A67"/>
    <w:rsid w:val="00844FDE"/>
    <w:rsid w:val="00846483"/>
    <w:rsid w:val="008C4DE6"/>
    <w:rsid w:val="008D630E"/>
    <w:rsid w:val="008D669D"/>
    <w:rsid w:val="008D7C32"/>
    <w:rsid w:val="008E7C7E"/>
    <w:rsid w:val="009750BE"/>
    <w:rsid w:val="0098687C"/>
    <w:rsid w:val="009C4D94"/>
    <w:rsid w:val="009D4C6A"/>
    <w:rsid w:val="009E13BD"/>
    <w:rsid w:val="009F0AAF"/>
    <w:rsid w:val="009F7480"/>
    <w:rsid w:val="00A35CE7"/>
    <w:rsid w:val="00A540DF"/>
    <w:rsid w:val="00B10352"/>
    <w:rsid w:val="00B24FBC"/>
    <w:rsid w:val="00B330D7"/>
    <w:rsid w:val="00B35D82"/>
    <w:rsid w:val="00B96557"/>
    <w:rsid w:val="00BB2095"/>
    <w:rsid w:val="00BC4A22"/>
    <w:rsid w:val="00BC61C3"/>
    <w:rsid w:val="00BE4157"/>
    <w:rsid w:val="00C55D36"/>
    <w:rsid w:val="00C609C7"/>
    <w:rsid w:val="00C75747"/>
    <w:rsid w:val="00CA18FB"/>
    <w:rsid w:val="00CA3ED7"/>
    <w:rsid w:val="00CC28A5"/>
    <w:rsid w:val="00CC5F72"/>
    <w:rsid w:val="00D13DA1"/>
    <w:rsid w:val="00D37D87"/>
    <w:rsid w:val="00D90110"/>
    <w:rsid w:val="00D95509"/>
    <w:rsid w:val="00E52364"/>
    <w:rsid w:val="00E703AD"/>
    <w:rsid w:val="00E71BEA"/>
    <w:rsid w:val="00E81636"/>
    <w:rsid w:val="00E86760"/>
    <w:rsid w:val="00E973CE"/>
    <w:rsid w:val="00EA2C6F"/>
    <w:rsid w:val="00EB75FD"/>
    <w:rsid w:val="00EF6472"/>
    <w:rsid w:val="00EF7A8E"/>
    <w:rsid w:val="00F66420"/>
    <w:rsid w:val="00F672F7"/>
    <w:rsid w:val="00F86F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1A47B0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7FFFCC3E4C42669754D74AE9ACD1A6">
    <w:name w:val="497FFFCC3E4C42669754D74AE9ACD1A6"/>
  </w:style>
  <w:style w:type="paragraph" w:customStyle="1" w:styleId="26784A1D736647D8B114B513D6A59510">
    <w:name w:val="26784A1D736647D8B114B513D6A59510"/>
  </w:style>
  <w:style w:type="paragraph" w:customStyle="1" w:styleId="C3B5F2BDCEE444C89923D06CD3C3F258">
    <w:name w:val="C3B5F2BDCEE444C89923D06CD3C3F258"/>
  </w:style>
  <w:style w:type="paragraph" w:customStyle="1" w:styleId="AED240F9F4284DE780CFD1F88DF04FC6">
    <w:name w:val="AED240F9F4284DE780CFD1F88DF04FC6"/>
  </w:style>
  <w:style w:type="paragraph" w:customStyle="1" w:styleId="487FBD851FCC403582D343AFA8BA353C">
    <w:name w:val="487FBD851FCC403582D343AFA8BA353C"/>
  </w:style>
  <w:style w:type="paragraph" w:customStyle="1" w:styleId="58A60AF94E8F418CA9D9039AA656CE76">
    <w:name w:val="58A60AF94E8F418CA9D9039AA656CE76"/>
  </w:style>
  <w:style w:type="paragraph" w:customStyle="1" w:styleId="BB9BE0546DA0479FA14CF498A9260DD0">
    <w:name w:val="BB9BE0546DA0479FA14CF498A9260DD0"/>
  </w:style>
  <w:style w:type="paragraph" w:customStyle="1" w:styleId="DE407C7242934821B6B7E496277840E9">
    <w:name w:val="DE407C7242934821B6B7E496277840E9"/>
  </w:style>
  <w:style w:type="paragraph" w:customStyle="1" w:styleId="1918F803DB1F4EB5B91778A01051B62E">
    <w:name w:val="1918F803DB1F4EB5B91778A01051B62E"/>
    <w:pPr>
      <w:spacing w:line="278" w:lineRule="auto"/>
    </w:pPr>
    <w:rPr>
      <w:kern w:val="2"/>
      <w:sz w:val="24"/>
      <w:szCs w:val="24"/>
      <w14:ligatures w14:val="standardContextual"/>
    </w:rPr>
  </w:style>
  <w:style w:type="paragraph" w:customStyle="1" w:styleId="704EB09424BA4728968BE670064B76CD">
    <w:name w:val="704EB09424BA4728968BE670064B76CD"/>
    <w:pPr>
      <w:spacing w:line="278" w:lineRule="auto"/>
    </w:pPr>
    <w:rPr>
      <w:kern w:val="2"/>
      <w:sz w:val="24"/>
      <w:szCs w:val="24"/>
      <w14:ligatures w14:val="standardContextual"/>
    </w:rPr>
  </w:style>
  <w:style w:type="paragraph" w:customStyle="1" w:styleId="70AA1454EBE34AB3BC62AC0728AFC376">
    <w:name w:val="70AA1454EBE34AB3BC62AC0728AFC376"/>
    <w:pPr>
      <w:spacing w:line="278" w:lineRule="auto"/>
    </w:pPr>
    <w:rPr>
      <w:kern w:val="2"/>
      <w:sz w:val="24"/>
      <w:szCs w:val="24"/>
      <w14:ligatures w14:val="standardContextual"/>
    </w:rPr>
  </w:style>
  <w:style w:type="paragraph" w:customStyle="1" w:styleId="8E9F98D41CA24362BEBEFF1A0404560D">
    <w:name w:val="8E9F98D41CA24362BEBEFF1A0404560D"/>
    <w:pPr>
      <w:spacing w:line="278" w:lineRule="auto"/>
    </w:pPr>
    <w:rPr>
      <w:kern w:val="2"/>
      <w:sz w:val="24"/>
      <w:szCs w:val="24"/>
      <w14:ligatures w14:val="standardContextual"/>
    </w:rPr>
  </w:style>
  <w:style w:type="paragraph" w:customStyle="1" w:styleId="5B52F0DB737743E3956EDCBBAC2FBBC6">
    <w:name w:val="5B52F0DB737743E3956EDCBBAC2FBBC6"/>
    <w:pPr>
      <w:spacing w:line="278" w:lineRule="auto"/>
    </w:pPr>
    <w:rPr>
      <w:kern w:val="2"/>
      <w:sz w:val="24"/>
      <w:szCs w:val="24"/>
      <w14:ligatures w14:val="standardContextual"/>
    </w:rPr>
  </w:style>
  <w:style w:type="paragraph" w:customStyle="1" w:styleId="9296F82BF22A45289D9BBB4F728635AE">
    <w:name w:val="9296F82BF22A45289D9BBB4F728635AE"/>
    <w:pPr>
      <w:spacing w:line="278" w:lineRule="auto"/>
    </w:pPr>
    <w:rPr>
      <w:kern w:val="2"/>
      <w:sz w:val="24"/>
      <w:szCs w:val="24"/>
      <w14:ligatures w14:val="standardContextual"/>
    </w:rPr>
  </w:style>
  <w:style w:type="paragraph" w:customStyle="1" w:styleId="ABBE08F6613F4BE789B710CCE2E696F5">
    <w:name w:val="ABBE08F6613F4BE789B710CCE2E696F5"/>
    <w:pPr>
      <w:spacing w:line="278" w:lineRule="auto"/>
    </w:pPr>
    <w:rPr>
      <w:kern w:val="2"/>
      <w:sz w:val="24"/>
      <w:szCs w:val="24"/>
      <w14:ligatures w14:val="standardContextual"/>
    </w:rPr>
  </w:style>
  <w:style w:type="paragraph" w:customStyle="1" w:styleId="4547650A36FA48BC861E67943C461F56">
    <w:name w:val="4547650A36FA48BC861E67943C461F56"/>
    <w:pPr>
      <w:spacing w:line="278" w:lineRule="auto"/>
    </w:pPr>
    <w:rPr>
      <w:kern w:val="2"/>
      <w:sz w:val="24"/>
      <w:szCs w:val="24"/>
      <w14:ligatures w14:val="standardContextual"/>
    </w:rPr>
  </w:style>
  <w:style w:type="paragraph" w:customStyle="1" w:styleId="A782394BD75D41F19B6560CB5BD697F4">
    <w:name w:val="A782394BD75D41F19B6560CB5BD697F4"/>
    <w:pPr>
      <w:spacing w:line="278" w:lineRule="auto"/>
    </w:pPr>
    <w:rPr>
      <w:kern w:val="2"/>
      <w:sz w:val="24"/>
      <w:szCs w:val="24"/>
      <w14:ligatures w14:val="standardContextual"/>
    </w:rPr>
  </w:style>
  <w:style w:type="paragraph" w:customStyle="1" w:styleId="B9C2AF5D95A04278AC8BC49BB770E0EA">
    <w:name w:val="B9C2AF5D95A04278AC8BC49BB770E0EA"/>
    <w:pPr>
      <w:spacing w:line="278" w:lineRule="auto"/>
    </w:pPr>
    <w:rPr>
      <w:kern w:val="2"/>
      <w:sz w:val="24"/>
      <w:szCs w:val="24"/>
      <w14:ligatures w14:val="standardContextual"/>
    </w:rPr>
  </w:style>
  <w:style w:type="paragraph" w:customStyle="1" w:styleId="71D793C7365647CA9CC47A3AEA57D5B4">
    <w:name w:val="71D793C7365647CA9CC47A3AEA57D5B4"/>
    <w:pPr>
      <w:spacing w:line="278" w:lineRule="auto"/>
    </w:pPr>
    <w:rPr>
      <w:kern w:val="2"/>
      <w:sz w:val="24"/>
      <w:szCs w:val="24"/>
      <w14:ligatures w14:val="standardContextual"/>
    </w:rPr>
  </w:style>
  <w:style w:type="paragraph" w:customStyle="1" w:styleId="2E342F81E6A34C828DA3B4A687589AE1">
    <w:name w:val="2E342F81E6A34C828DA3B4A687589AE1"/>
    <w:pPr>
      <w:spacing w:line="278" w:lineRule="auto"/>
    </w:pPr>
    <w:rPr>
      <w:kern w:val="2"/>
      <w:sz w:val="24"/>
      <w:szCs w:val="24"/>
      <w14:ligatures w14:val="standardContextual"/>
    </w:rPr>
  </w:style>
  <w:style w:type="paragraph" w:customStyle="1" w:styleId="F40A49403B7943AB8AC9245E0C455D45">
    <w:name w:val="F40A49403B7943AB8AC9245E0C455D45"/>
    <w:pPr>
      <w:spacing w:line="278" w:lineRule="auto"/>
    </w:pPr>
    <w:rPr>
      <w:kern w:val="2"/>
      <w:sz w:val="24"/>
      <w:szCs w:val="24"/>
      <w14:ligatures w14:val="standardContextual"/>
    </w:rPr>
  </w:style>
  <w:style w:type="paragraph" w:customStyle="1" w:styleId="C9C78C658A6E4957BC0196B2E7A42D2E">
    <w:name w:val="C9C78C658A6E4957BC0196B2E7A42D2E"/>
    <w:pPr>
      <w:spacing w:line="278" w:lineRule="auto"/>
    </w:pPr>
    <w:rPr>
      <w:kern w:val="2"/>
      <w:sz w:val="24"/>
      <w:szCs w:val="24"/>
      <w14:ligatures w14:val="standardContextual"/>
    </w:rPr>
  </w:style>
  <w:style w:type="paragraph" w:customStyle="1" w:styleId="C74D147125D44988ACC250E0F059B548">
    <w:name w:val="C74D147125D44988ACC250E0F059B548"/>
    <w:pPr>
      <w:spacing w:line="278" w:lineRule="auto"/>
    </w:pPr>
    <w:rPr>
      <w:kern w:val="2"/>
      <w:sz w:val="24"/>
      <w:szCs w:val="24"/>
      <w14:ligatures w14:val="standardContextual"/>
    </w:rPr>
  </w:style>
  <w:style w:type="paragraph" w:customStyle="1" w:styleId="3EBF2CEC528D4A71A4291A8B0E92D56A">
    <w:name w:val="3EBF2CEC528D4A71A4291A8B0E92D56A"/>
    <w:pPr>
      <w:spacing w:line="278" w:lineRule="auto"/>
    </w:pPr>
    <w:rPr>
      <w:kern w:val="2"/>
      <w:sz w:val="24"/>
      <w:szCs w:val="24"/>
      <w14:ligatures w14:val="standardContextual"/>
    </w:rPr>
  </w:style>
  <w:style w:type="paragraph" w:customStyle="1" w:styleId="55E1E0B0838341FF863F119841426D80">
    <w:name w:val="55E1E0B0838341FF863F119841426D8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25e6dae-555a-478a-bb82-9d3d1979b532">
      <Terms xmlns="http://schemas.microsoft.com/office/infopath/2007/PartnerControls"/>
    </lcf76f155ced4ddcb4097134ff3c332f>
    <TaxCatchAll xmlns="def2b995-bb8d-4782-966f-7bf8cbc2df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C9151B9071D2442800834EBDA6DC0E7" ma:contentTypeVersion="14" ma:contentTypeDescription="Create a new document." ma:contentTypeScope="" ma:versionID="c0d1d6986435ccfe6f2646c6ca04c2ca">
  <xsd:schema xmlns:xsd="http://www.w3.org/2001/XMLSchema" xmlns:xs="http://www.w3.org/2001/XMLSchema" xmlns:p="http://schemas.microsoft.com/office/2006/metadata/properties" xmlns:ns2="325e6dae-555a-478a-bb82-9d3d1979b532" xmlns:ns3="def2b995-bb8d-4782-966f-7bf8cbc2df2c" targetNamespace="http://schemas.microsoft.com/office/2006/metadata/properties" ma:root="true" ma:fieldsID="06bdff25491081e67c82089a7027bb6c" ns2:_="" ns3:_="">
    <xsd:import namespace="325e6dae-555a-478a-bb82-9d3d1979b532"/>
    <xsd:import namespace="def2b995-bb8d-4782-966f-7bf8cbc2df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e6dae-555a-478a-bb82-9d3d1979b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2b995-bb8d-4782-966f-7bf8cbc2df2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6874bfc-9c24-4fb5-8c7b-237a30384912}" ma:internalName="TaxCatchAll" ma:showField="CatchAllData" ma:web="def2b995-bb8d-4782-966f-7bf8cbc2df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D2F2E1-757A-432D-A315-B049B90FD321}">
  <ds:schemaRefs>
    <ds:schemaRef ds:uri="http://schemas.microsoft.com/office/2006/metadata/properties"/>
    <ds:schemaRef ds:uri="http://schemas.microsoft.com/office/infopath/2007/PartnerControls"/>
    <ds:schemaRef ds:uri="325e6dae-555a-478a-bb82-9d3d1979b532"/>
    <ds:schemaRef ds:uri="def2b995-bb8d-4782-966f-7bf8cbc2df2c"/>
  </ds:schemaRefs>
</ds:datastoreItem>
</file>

<file path=customXml/itemProps2.xml><?xml version="1.0" encoding="utf-8"?>
<ds:datastoreItem xmlns:ds="http://schemas.openxmlformats.org/officeDocument/2006/customXml" ds:itemID="{5D2BB9FC-2B38-45E7-B053-851DAF59C673}">
  <ds:schemaRefs>
    <ds:schemaRef ds:uri="http://schemas.microsoft.com/sharepoint/v3/contenttype/forms"/>
  </ds:schemaRefs>
</ds:datastoreItem>
</file>

<file path=customXml/itemProps3.xml><?xml version="1.0" encoding="utf-8"?>
<ds:datastoreItem xmlns:ds="http://schemas.openxmlformats.org/officeDocument/2006/customXml" ds:itemID="{DD897EA1-FDE9-4134-A2A2-2566CF18171F}">
  <ds:schemaRefs>
    <ds:schemaRef ds:uri="http://schemas.openxmlformats.org/officeDocument/2006/bibliography"/>
  </ds:schemaRefs>
</ds:datastoreItem>
</file>

<file path=customXml/itemProps4.xml><?xml version="1.0" encoding="utf-8"?>
<ds:datastoreItem xmlns:ds="http://schemas.openxmlformats.org/officeDocument/2006/customXml" ds:itemID="{9CADF96B-4835-4D87-B479-A66C80D52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e6dae-555a-478a-bb82-9d3d1979b532"/>
    <ds:schemaRef ds:uri="def2b995-bb8d-4782-966f-7bf8cbc2d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177</Pages>
  <Words>52175</Words>
  <Characters>297402</Characters>
  <Application>Microsoft Office Word</Application>
  <DocSecurity>0</DocSecurity>
  <Lines>2478</Lines>
  <Paragraphs>697</Paragraphs>
  <ScaleCrop>false</ScaleCrop>
  <Company/>
  <LinksUpToDate>false</LinksUpToDate>
  <CharactersWithSpaces>348880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Consumer Reforms</dc:title>
  <dc:subject/>
  <dc:creator>Nick Horsburgh (ESC)</dc:creator>
  <cp:keywords/>
  <dc:description>Regulatory Impact Statement</dc:description>
  <cp:lastModifiedBy>William Yu (ESC)</cp:lastModifiedBy>
  <cp:revision>16</cp:revision>
  <cp:lastPrinted>2025-05-21T05:12:00Z</cp:lastPrinted>
  <dcterms:created xsi:type="dcterms:W3CDTF">2025-05-14T03:05:00Z</dcterms:created>
  <dcterms:modified xsi:type="dcterms:W3CDTF">2025-05-21T05:13:00Z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5561370,4d6bb2d5,3eed9644,44bb82b3,4db82955,7cc522cb,d989d0d,216cfc48,46a2d8e5,23993747,18c9b733,3f632d60,143e62e,38e4bd35,11877f46,3f4ff943,282d845c,325eb17d,35aeb4a5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ontentTypeId">
    <vt:lpwstr>0x0101005C9151B9071D2442800834EBDA6DC0E7</vt:lpwstr>
  </property>
  <property fmtid="{D5CDD505-2E9C-101B-9397-08002B2CF9AE}" pid="6" name="MediaServiceImageTags">
    <vt:lpwstr/>
  </property>
  <property fmtid="{D5CDD505-2E9C-101B-9397-08002B2CF9AE}" pid="7" name="GrammarlyDocumentId">
    <vt:lpwstr>702301bc-7ffb-4f66-9a61-13c482494fe0</vt:lpwstr>
  </property>
  <property fmtid="{D5CDD505-2E9C-101B-9397-08002B2CF9AE}" pid="8" name="MSIP_Label_90e7f466-423d-4722-af16-ba0e3ba437ba_Enabled">
    <vt:lpwstr>true</vt:lpwstr>
  </property>
  <property fmtid="{D5CDD505-2E9C-101B-9397-08002B2CF9AE}" pid="9" name="MSIP_Label_90e7f466-423d-4722-af16-ba0e3ba437ba_SetDate">
    <vt:lpwstr>2025-05-21T05:10:27Z</vt:lpwstr>
  </property>
  <property fmtid="{D5CDD505-2E9C-101B-9397-08002B2CF9AE}" pid="10" name="MSIP_Label_90e7f466-423d-4722-af16-ba0e3ba437ba_Method">
    <vt:lpwstr>Privileged</vt:lpwstr>
  </property>
  <property fmtid="{D5CDD505-2E9C-101B-9397-08002B2CF9AE}" pid="11" name="MSIP_Label_90e7f466-423d-4722-af16-ba0e3ba437ba_Name">
    <vt:lpwstr>No Marking</vt:lpwstr>
  </property>
  <property fmtid="{D5CDD505-2E9C-101B-9397-08002B2CF9AE}" pid="12" name="MSIP_Label_90e7f466-423d-4722-af16-ba0e3ba437ba_SiteId">
    <vt:lpwstr>5f894de5-5651-487a-aaff-5a8c899b254d</vt:lpwstr>
  </property>
  <property fmtid="{D5CDD505-2E9C-101B-9397-08002B2CF9AE}" pid="13" name="MSIP_Label_90e7f466-423d-4722-af16-ba0e3ba437ba_ActionId">
    <vt:lpwstr>22ae56d0-560a-4432-97ea-1f42932ed07f</vt:lpwstr>
  </property>
  <property fmtid="{D5CDD505-2E9C-101B-9397-08002B2CF9AE}" pid="14" name="MSIP_Label_90e7f466-423d-4722-af16-ba0e3ba437ba_ContentBits">
    <vt:lpwstr>0</vt:lpwstr>
  </property>
  <property fmtid="{D5CDD505-2E9C-101B-9397-08002B2CF9AE}" pid="15" name="MSIP_Label_90e7f466-423d-4722-af16-ba0e3ba437ba_Tag">
    <vt:lpwstr>10, 0, 1, 1</vt:lpwstr>
  </property>
</Properties>
</file>