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0988875" w:displacedByCustomXml="next"/>
    <w:bookmarkStart w:id="2" w:name="_Toc481138187" w:displacedByCustomXml="next"/>
    <w:bookmarkStart w:id="3" w:name="_Toc481138395" w:displacedByCustomXml="next"/>
    <w:bookmarkStart w:id="4" w:name="_Hlk481497640" w:displacedByCustomXml="next"/>
    <w:sdt>
      <w:sdtPr>
        <w:rPr>
          <w:lang w:val="en-AU"/>
        </w:rPr>
        <w:id w:val="-1806228930"/>
        <w:docPartObj>
          <w:docPartGallery w:val="Cover Pages"/>
          <w:docPartUnique/>
        </w:docPartObj>
      </w:sdtPr>
      <w:sdtEndPr/>
      <w:sdtContent>
        <w:p w14:paraId="12D0D7AC" w14:textId="77777777" w:rsidR="00067DD9" w:rsidRDefault="00067DD9" w:rsidP="00633068">
          <w:pPr>
            <w:pStyle w:val="NoSpacing"/>
            <w:sectPr w:rsidR="00067DD9" w:rsidSect="00703C67">
              <w:headerReference w:type="even" r:id="rId13"/>
              <w:headerReference w:type="default" r:id="rId14"/>
              <w:headerReference w:type="first" r:id="rId15"/>
              <w:type w:val="continuous"/>
              <w:pgSz w:w="11906" w:h="16838" w:code="9"/>
              <w:pgMar w:top="1134" w:right="1134" w:bottom="1134" w:left="1134" w:header="709" w:footer="692" w:gutter="0"/>
              <w:pgNumType w:start="0"/>
              <w:cols w:space="708"/>
              <w:docGrid w:linePitch="360"/>
            </w:sectPr>
          </w:pPr>
          <w:r>
            <w:t xml:space="preserve">  </w:t>
          </w:r>
        </w:p>
        <w:p w14:paraId="1460ABC2" w14:textId="77777777" w:rsidR="00067DD9" w:rsidRPr="0063494B" w:rsidRDefault="00681739" w:rsidP="00633068">
          <w:pPr>
            <w:pStyle w:val="Title"/>
          </w:pPr>
          <w:sdt>
            <w:sdtPr>
              <w:rPr>
                <w:color w:val="4986A0" w:themeColor="accent3"/>
                <w:szCs w:val="52"/>
                <w:lang w:val="en-US"/>
              </w:rPr>
              <w:alias w:val="Title"/>
              <w:tag w:val=""/>
              <w:id w:val="-1656833702"/>
              <w:placeholder>
                <w:docPart w:val="5DA38A00A0094FAD9AA8EB35DA68F0D9"/>
              </w:placeholder>
              <w:dataBinding w:prefixMappings="xmlns:ns0='http://purl.org/dc/elements/1.1/' xmlns:ns1='http://schemas.openxmlformats.org/package/2006/metadata/core-properties' " w:xpath="/ns1:coreProperties[1]/ns0:title[1]" w:storeItemID="{6C3C8BC8-F283-45AE-878A-BAB7291924A1}"/>
              <w:text/>
            </w:sdtPr>
            <w:sdtEndPr/>
            <w:sdtContent>
              <w:r w:rsidR="0078741B" w:rsidRPr="0078741B">
                <w:rPr>
                  <w:color w:val="4986A0" w:themeColor="accent3"/>
                  <w:szCs w:val="52"/>
                  <w:lang w:val="en-US"/>
                </w:rPr>
                <w:t>Draft New Customer Contributions Framework</w:t>
              </w:r>
            </w:sdtContent>
          </w:sdt>
        </w:p>
        <w:p w14:paraId="3ADF3227" w14:textId="77777777" w:rsidR="00067DD9" w:rsidRDefault="0078741B" w:rsidP="000A7FD9">
          <w:pPr>
            <w:pStyle w:val="Subtitle"/>
          </w:pPr>
          <w:r>
            <w:rPr>
              <w:lang w:val="en-US"/>
            </w:rPr>
            <w:t>14 October 2025</w:t>
          </w:r>
        </w:p>
        <w:p w14:paraId="1A88538D" w14:textId="77777777" w:rsidR="001F5ED7" w:rsidRDefault="00067DD9" w:rsidP="00633068">
          <w:pPr>
            <w:pStyle w:val="NoSpacing"/>
            <w:rPr>
              <w:rFonts w:ascii="Tahoma" w:eastAsiaTheme="majorEastAsia" w:hAnsi="Tahoma" w:cstheme="majorBidi"/>
              <w:color w:val="4986A0" w:themeColor="text2"/>
              <w:kern w:val="28"/>
              <w:sz w:val="52"/>
              <w:szCs w:val="52"/>
            </w:rPr>
          </w:pPr>
          <w:r>
            <w:br w:type="page"/>
          </w:r>
        </w:p>
        <w:p w14:paraId="3418DF3C" w14:textId="03430F0F" w:rsidR="00067DD9" w:rsidRDefault="00067DD9" w:rsidP="00633068">
          <w:pPr>
            <w:pStyle w:val="NoSpacing"/>
            <w:sectPr w:rsidR="00067DD9" w:rsidSect="00703C67">
              <w:headerReference w:type="even" r:id="rId16"/>
              <w:headerReference w:type="default" r:id="rId17"/>
              <w:headerReference w:type="first" r:id="rId18"/>
              <w:type w:val="continuous"/>
              <w:pgSz w:w="11906" w:h="16838" w:code="9"/>
              <w:pgMar w:top="1134" w:right="1134" w:bottom="1134" w:left="1134" w:header="709" w:footer="692" w:gutter="0"/>
              <w:pgNumType w:start="0"/>
              <w:cols w:space="708"/>
              <w:docGrid w:linePitch="360"/>
            </w:sectPr>
          </w:pPr>
        </w:p>
        <w:p w14:paraId="3138D8ED" w14:textId="693481C3" w:rsidR="00067DD9" w:rsidRDefault="00681739">
          <w:pPr>
            <w:spacing w:line="259" w:lineRule="auto"/>
          </w:pPr>
        </w:p>
      </w:sdtContent>
    </w:sdt>
    <w:p w14:paraId="1BC6F7D3" w14:textId="77777777" w:rsidR="00D04C6D" w:rsidRDefault="00D04C6D" w:rsidP="00D04C6D"/>
    <w:p w14:paraId="3B1E282E" w14:textId="77777777" w:rsidR="00D04C6D" w:rsidRPr="003A62D8" w:rsidRDefault="00D04C6D" w:rsidP="002B12F4">
      <w:pPr>
        <w:spacing w:before="240"/>
        <w:rPr>
          <w:rFonts w:ascii="Tahoma" w:hAnsi="Tahoma" w:cs="Tahoma"/>
          <w:b/>
          <w:bCs/>
          <w:sz w:val="26"/>
          <w:szCs w:val="26"/>
        </w:rPr>
      </w:pPr>
      <w:r w:rsidRPr="003A62D8">
        <w:rPr>
          <w:rFonts w:ascii="Tahoma" w:hAnsi="Tahoma" w:cs="Tahoma"/>
          <w:b/>
          <w:bCs/>
          <w:sz w:val="26"/>
          <w:szCs w:val="26"/>
        </w:rPr>
        <w:t>Acknowledgement</w:t>
      </w:r>
    </w:p>
    <w:p w14:paraId="0EF82DFA" w14:textId="77777777" w:rsidR="00D04C6D" w:rsidRDefault="00D04C6D" w:rsidP="00D04C6D">
      <w:r>
        <w:t>We acknowledge the Traditional Owners of the lands and waterways on which we work and live.</w:t>
      </w:r>
    </w:p>
    <w:p w14:paraId="62088B50" w14:textId="77777777" w:rsidR="00D04C6D" w:rsidRDefault="00D04C6D" w:rsidP="00D04C6D">
      <w:r>
        <w:t>We acknowledge all Aboriginal and Torres Strait Islander communities, and pay our respects to Elders past and present.</w:t>
      </w:r>
    </w:p>
    <w:p w14:paraId="7CD55E71" w14:textId="77777777" w:rsidR="00D04C6D" w:rsidRDefault="00D04C6D" w:rsidP="00D04C6D">
      <w:r>
        <w:t>As the First Peoples of this land, belonging to the world’s oldest living cultures, we recognise and value their knowledge, and ongoing role in shaping and enriching the story of Victoria.  </w:t>
      </w:r>
    </w:p>
    <w:p w14:paraId="209501D9" w14:textId="77777777" w:rsidR="00F83935" w:rsidRDefault="00F83935" w:rsidP="000D4547">
      <w:pPr>
        <w:pStyle w:val="NoSpacing"/>
        <w:rPr>
          <w:b/>
        </w:rPr>
      </w:pPr>
    </w:p>
    <w:p w14:paraId="0F74B1C9" w14:textId="77777777" w:rsidR="00D04C6D" w:rsidRDefault="00D04C6D" w:rsidP="00F83935">
      <w:pPr>
        <w:spacing w:line="259" w:lineRule="auto"/>
        <w:rPr>
          <w:rStyle w:val="Strong"/>
        </w:rPr>
      </w:pPr>
    </w:p>
    <w:p w14:paraId="0AD5183B" w14:textId="77777777" w:rsidR="00D04C6D" w:rsidRDefault="00D04C6D" w:rsidP="00F83935">
      <w:pPr>
        <w:spacing w:line="259" w:lineRule="auto"/>
        <w:rPr>
          <w:rStyle w:val="Strong"/>
        </w:rPr>
      </w:pPr>
    </w:p>
    <w:p w14:paraId="2C0F495B" w14:textId="77777777" w:rsidR="00D04C6D" w:rsidRDefault="00D04C6D" w:rsidP="00F83935">
      <w:pPr>
        <w:spacing w:line="259" w:lineRule="auto"/>
        <w:rPr>
          <w:rStyle w:val="Strong"/>
        </w:rPr>
      </w:pPr>
    </w:p>
    <w:p w14:paraId="617DEB31" w14:textId="77777777" w:rsidR="00D04C6D" w:rsidRDefault="00D04C6D" w:rsidP="00F83935">
      <w:pPr>
        <w:spacing w:line="259" w:lineRule="auto"/>
        <w:rPr>
          <w:rStyle w:val="Strong"/>
        </w:rPr>
      </w:pPr>
    </w:p>
    <w:p w14:paraId="36B4AD6A" w14:textId="77777777" w:rsidR="00881E07" w:rsidRPr="00F83935" w:rsidRDefault="00881E07" w:rsidP="00F83935">
      <w:pPr>
        <w:spacing w:line="259" w:lineRule="auto"/>
        <w:rPr>
          <w:rStyle w:val="Strong"/>
          <w:b w:val="0"/>
          <w:bCs w:val="0"/>
        </w:rPr>
      </w:pPr>
      <w:proofErr w:type="gramStart"/>
      <w:r w:rsidRPr="00710792">
        <w:rPr>
          <w:rStyle w:val="Strong"/>
        </w:rPr>
        <w:t>An appropriate citation</w:t>
      </w:r>
      <w:proofErr w:type="gramEnd"/>
      <w:r w:rsidRPr="00710792">
        <w:rPr>
          <w:rStyle w:val="Strong"/>
        </w:rPr>
        <w:t xml:space="preserve"> for this paper is:</w:t>
      </w:r>
      <w:bookmarkEnd w:id="3"/>
      <w:bookmarkEnd w:id="2"/>
      <w:bookmarkEnd w:id="1"/>
    </w:p>
    <w:p w14:paraId="4C6D8397" w14:textId="45A28722" w:rsidR="00943BDE" w:rsidRDefault="00881E07" w:rsidP="00943BDE">
      <w:r>
        <w:t>Essential Services Commission</w:t>
      </w:r>
      <w:r w:rsidR="003904B9">
        <w:t xml:space="preserve"> </w:t>
      </w:r>
      <w:sdt>
        <w:sdtPr>
          <w:alias w:val="Year"/>
          <w:tag w:val="Year"/>
          <w:id w:val="-1184668763"/>
          <w:placeholder>
            <w:docPart w:val="F0144DCCD14F4430B410C534DEC49CFC"/>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083B5B">
            <w:t>2025</w:t>
          </w:r>
        </w:sdtContent>
      </w:sdt>
      <w:r>
        <w:t xml:space="preserve">, </w:t>
      </w:r>
      <w:sdt>
        <w:sdtPr>
          <w:rPr>
            <w:i/>
          </w:rPr>
          <w:alias w:val="Title"/>
          <w:tag w:val=""/>
          <w:id w:val="1260560542"/>
          <w:placeholder>
            <w:docPart w:val="26784A1D736647D8B114B513D6A59510"/>
          </w:placeholder>
          <w:dataBinding w:prefixMappings="xmlns:ns0='http://purl.org/dc/elements/1.1/' xmlns:ns1='http://schemas.openxmlformats.org/package/2006/metadata/core-properties' " w:xpath="/ns1:coreProperties[1]/ns0:title[1]" w:storeItemID="{6C3C8BC8-F283-45AE-878A-BAB7291924A1}"/>
          <w:text/>
        </w:sdtPr>
        <w:sdtEndPr/>
        <w:sdtContent>
          <w:r w:rsidR="000968B4" w:rsidRPr="00E11C37">
            <w:rPr>
              <w:i/>
            </w:rPr>
            <w:t>Draft New Customer Contributions Framework</w:t>
          </w:r>
        </w:sdtContent>
      </w:sdt>
      <w:r w:rsidR="00012434" w:rsidRPr="00E11C37">
        <w:rPr>
          <w:i/>
        </w:rPr>
        <w:t>,</w:t>
      </w:r>
      <w:r w:rsidR="00633068" w:rsidRPr="00EC78FE">
        <w:t xml:space="preserve"> </w:t>
      </w:r>
      <w:sdt>
        <w:sdtPr>
          <w:alias w:val="Date"/>
          <w:tag w:val="Year"/>
          <w:id w:val="-733004738"/>
          <w:placeholder>
            <w:docPart w:val="5C728E8350B54FA3A62DC405E9AAF949"/>
          </w:placeholder>
          <w:date w:fullDate="2025-10-14T00:00:00Z">
            <w:dateFormat w:val="d MMMM "/>
            <w:lid w:val="en-US"/>
            <w:storeMappedDataAs w:val="dateTime"/>
            <w:calendar w:val="gregorian"/>
          </w:date>
        </w:sdtPr>
        <w:sdtEndPr/>
        <w:sdtContent>
          <w:r w:rsidR="00A521A8" w:rsidRPr="00EC78FE">
            <w:rPr>
              <w:lang w:val="en-US"/>
            </w:rPr>
            <w:t xml:space="preserve">14 October </w:t>
          </w:r>
        </w:sdtContent>
      </w:sdt>
    </w:p>
    <w:p w14:paraId="205E07A8" w14:textId="77777777" w:rsidR="00710792" w:rsidRDefault="00710792" w:rsidP="00710792">
      <w:pPr>
        <w:rPr>
          <w:rStyle w:val="Strong"/>
        </w:rPr>
      </w:pPr>
      <w:bookmarkStart w:id="5" w:name="_Toc480988876"/>
      <w:bookmarkStart w:id="6" w:name="_Toc481138188"/>
      <w:bookmarkStart w:id="7" w:name="_Toc481138396"/>
    </w:p>
    <w:bookmarkEnd w:id="5"/>
    <w:bookmarkEnd w:id="6"/>
    <w:bookmarkEnd w:id="7"/>
    <w:p w14:paraId="52587CAA" w14:textId="0726F361" w:rsidR="0050064B" w:rsidRDefault="00881E07" w:rsidP="00943BDE">
      <w:r>
        <w:t xml:space="preserve">© </w:t>
      </w:r>
      <w:r w:rsidR="00563AD8">
        <w:t>Essential Services Commission</w:t>
      </w:r>
      <w:r w:rsidR="00012434">
        <w:t>,</w:t>
      </w:r>
      <w:r w:rsidR="00563AD8">
        <w:t xml:space="preserve"> </w:t>
      </w:r>
      <w:sdt>
        <w:sdtPr>
          <w:alias w:val="Year"/>
          <w:tag w:val="Year"/>
          <w:id w:val="1606076632"/>
          <w:placeholder>
            <w:docPart w:val="AED240F9F4284DE780CFD1F88DF04FC6"/>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083B5B">
            <w:t>2025</w:t>
          </w:r>
        </w:sdtContent>
      </w:sdt>
    </w:p>
    <w:p w14:paraId="27B36E49" w14:textId="77777777" w:rsidR="00881E07" w:rsidRDefault="0050064B" w:rsidP="00881E07">
      <w:r w:rsidRPr="00F70F20">
        <w:rPr>
          <w:noProof/>
          <w:lang w:eastAsia="en-AU"/>
        </w:rPr>
        <w:drawing>
          <wp:inline distT="0" distB="0" distL="0" distR="0" wp14:anchorId="552E94CB" wp14:editId="770F19B1">
            <wp:extent cx="1198800" cy="421200"/>
            <wp:effectExtent l="0" t="0" r="1905" b="0"/>
            <wp:docPr id="4" name="Picture 4" descr="untitl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299AA8E8" w14:textId="7ED637D7" w:rsidR="00881E07" w:rsidRDefault="00881E07" w:rsidP="00881E07">
      <w:r>
        <w:t xml:space="preserve">This work, </w:t>
      </w:r>
      <w:sdt>
        <w:sdtPr>
          <w:alias w:val="Title"/>
          <w:tag w:val=""/>
          <w:id w:val="1731569904"/>
          <w:placeholder>
            <w:docPart w:val="487FBD851FCC403582D343AFA8BA353C"/>
          </w:placeholder>
          <w:dataBinding w:prefixMappings="xmlns:ns0='http://purl.org/dc/elements/1.1/' xmlns:ns1='http://schemas.openxmlformats.org/package/2006/metadata/core-properties' " w:xpath="/ns1:coreProperties[1]/ns0:title[1]" w:storeItemID="{6C3C8BC8-F283-45AE-878A-BAB7291924A1}"/>
          <w:text/>
        </w:sdtPr>
        <w:sdtEndPr/>
        <w:sdtContent>
          <w:r w:rsidR="000968B4">
            <w:t>Draft New Customer Contributions Framework</w:t>
          </w:r>
        </w:sdtContent>
      </w:sdt>
      <w:r>
        <w:t>, is licensed under a Creative Commons Attribution 4.0 licence [creativecommons.org/licen</w:t>
      </w:r>
      <w:r w:rsidR="00563AD8">
        <w:t>ses/by/4.0]. You are free to re-</w:t>
      </w:r>
      <w:r>
        <w:t xml:space="preserve">use the work under that licence, on the condition that you credit the Essential Services Commission as author, </w:t>
      </w:r>
      <w:proofErr w:type="gramStart"/>
      <w:r>
        <w:t>indicate</w:t>
      </w:r>
      <w:proofErr w:type="gramEnd"/>
      <w:r>
        <w:t xml:space="preserve"> if changes were made and </w:t>
      </w:r>
      <w:proofErr w:type="gramStart"/>
      <w:r>
        <w:t>comply with</w:t>
      </w:r>
      <w:proofErr w:type="gramEnd"/>
      <w:r>
        <w:t xml:space="preserve"> the other licence terms.</w:t>
      </w:r>
    </w:p>
    <w:p w14:paraId="2D4EA393" w14:textId="77777777" w:rsidR="00EA47A3" w:rsidRDefault="00881E07" w:rsidP="00881E07">
      <w:r>
        <w:t>The licence does not apply to any brand logo, images or photographs within the publication.</w:t>
      </w:r>
    </w:p>
    <w:bookmarkEnd w:id="4" w:displacedByCustomXml="next"/>
    <w:sdt>
      <w:sdtPr>
        <w:id w:val="1641840776"/>
        <w:lock w:val="sdtContentLocked"/>
        <w:placeholder>
          <w:docPart w:val="263E7BA8FD8B4D3FB49F8A47DF3F1C90"/>
        </w:placeholder>
        <w:showingPlcHdr/>
        <w:text/>
      </w:sdtPr>
      <w:sdtEndPr/>
      <w:sdtContent>
        <w:p w14:paraId="19E90B50" w14:textId="77777777" w:rsidR="004309BF" w:rsidRDefault="004309BF" w:rsidP="004309BF">
          <w:r>
            <w:t xml:space="preserve">  </w:t>
          </w:r>
        </w:p>
      </w:sdtContent>
    </w:sdt>
    <w:p w14:paraId="1C63CC77" w14:textId="77777777" w:rsidR="008F7087" w:rsidRDefault="008F7087" w:rsidP="00710792">
      <w:pPr>
        <w:pStyle w:val="Heading1"/>
        <w:sectPr w:rsidR="008F7087" w:rsidSect="002B12F4">
          <w:headerReference w:type="default" r:id="rId21"/>
          <w:footerReference w:type="default" r:id="rId22"/>
          <w:type w:val="continuous"/>
          <w:pgSz w:w="11906" w:h="16838" w:code="9"/>
          <w:pgMar w:top="1134" w:right="1134" w:bottom="1134" w:left="1134" w:header="709" w:footer="692" w:gutter="0"/>
          <w:pgNumType w:fmt="lowerRoman"/>
          <w:cols w:space="708"/>
          <w:docGrid w:linePitch="360"/>
        </w:sectPr>
      </w:pPr>
      <w:bookmarkStart w:id="8" w:name="_Toc481138189"/>
      <w:bookmarkStart w:id="9" w:name="_Toc481138397"/>
    </w:p>
    <w:bookmarkEnd w:id="8"/>
    <w:bookmarkEnd w:id="9"/>
    <w:p w14:paraId="1C855CAF" w14:textId="647B776F" w:rsidR="00D3670C" w:rsidRPr="00394187" w:rsidRDefault="00B503C2" w:rsidP="00394187">
      <w:pPr>
        <w:pStyle w:val="TOCHeading"/>
        <w:rPr>
          <w:rStyle w:val="Hyperlink"/>
          <w:color w:val="CE0058" w:themeColor="accent2"/>
          <w:u w:val="none"/>
        </w:rPr>
      </w:pPr>
      <w:r w:rsidRPr="002B12F4">
        <w:rPr>
          <w:rStyle w:val="Hyperlink"/>
          <w:color w:val="CE0058" w:themeColor="accent2"/>
          <w:u w:val="none"/>
        </w:rPr>
        <w:br w:type="page"/>
      </w:r>
      <w:r w:rsidR="00D3670C" w:rsidRPr="00394187">
        <w:rPr>
          <w:rStyle w:val="Hyperlink"/>
          <w:color w:val="CE0058" w:themeColor="accent2"/>
          <w:u w:val="none"/>
        </w:rPr>
        <w:t>Contents</w:t>
      </w:r>
    </w:p>
    <w:p w14:paraId="618AB042" w14:textId="3E491775" w:rsidR="00431EA7" w:rsidRDefault="00782E55">
      <w:pPr>
        <w:pStyle w:val="TOC2"/>
        <w:rPr>
          <w:rFonts w:eastAsiaTheme="minorEastAsia"/>
          <w:b w:val="0"/>
          <w:bCs w:val="0"/>
          <w:kern w:val="2"/>
          <w:sz w:val="24"/>
          <w:szCs w:val="24"/>
          <w:lang w:eastAsia="en-AU"/>
          <w14:ligatures w14:val="standardContextual"/>
        </w:rPr>
      </w:pPr>
      <w:r>
        <w:fldChar w:fldCharType="begin"/>
      </w:r>
      <w:r>
        <w:instrText xml:space="preserve"> TOC \h \z \t "Heading 1,1,Heading 2,3,Heading 3,5,Heading 1 numbered,2,Heading 2 numbered,4,Heading 3 numbered,6" </w:instrText>
      </w:r>
      <w:r>
        <w:fldChar w:fldCharType="separate"/>
      </w:r>
      <w:hyperlink w:anchor="_Toc211246835" w:history="1">
        <w:r w:rsidR="00431EA7" w:rsidRPr="00481D6E">
          <w:rPr>
            <w:rStyle w:val="Hyperlink"/>
          </w:rPr>
          <w:t>Executive summary</w:t>
        </w:r>
        <w:r w:rsidR="00431EA7">
          <w:rPr>
            <w:webHidden/>
          </w:rPr>
          <w:tab/>
        </w:r>
        <w:r w:rsidR="00431EA7">
          <w:rPr>
            <w:webHidden/>
          </w:rPr>
          <w:fldChar w:fldCharType="begin"/>
        </w:r>
        <w:r w:rsidR="00431EA7">
          <w:rPr>
            <w:webHidden/>
          </w:rPr>
          <w:instrText xml:space="preserve"> PAGEREF _Toc211246835 \h </w:instrText>
        </w:r>
        <w:r w:rsidR="00431EA7">
          <w:rPr>
            <w:webHidden/>
          </w:rPr>
        </w:r>
        <w:r w:rsidR="00431EA7">
          <w:rPr>
            <w:webHidden/>
          </w:rPr>
          <w:fldChar w:fldCharType="separate"/>
        </w:r>
        <w:r w:rsidR="00431EA7">
          <w:rPr>
            <w:webHidden/>
          </w:rPr>
          <w:t>iv</w:t>
        </w:r>
        <w:r w:rsidR="00431EA7">
          <w:rPr>
            <w:webHidden/>
          </w:rPr>
          <w:fldChar w:fldCharType="end"/>
        </w:r>
      </w:hyperlink>
    </w:p>
    <w:p w14:paraId="2098C425" w14:textId="7D0256AA" w:rsidR="00431EA7" w:rsidRDefault="00431EA7">
      <w:pPr>
        <w:pStyle w:val="TOC1"/>
        <w:rPr>
          <w:rFonts w:eastAsiaTheme="minorEastAsia"/>
          <w:b w:val="0"/>
          <w:noProof/>
          <w:kern w:val="2"/>
          <w:sz w:val="24"/>
          <w:szCs w:val="24"/>
          <w:lang w:eastAsia="en-AU"/>
          <w14:ligatures w14:val="standardContextual"/>
        </w:rPr>
      </w:pPr>
      <w:hyperlink w:anchor="_Toc211246836" w:history="1">
        <w:r w:rsidRPr="00481D6E">
          <w:rPr>
            <w:rStyle w:val="Hyperlink"/>
            <w:noProof/>
          </w:rPr>
          <w:t>1.</w:t>
        </w:r>
        <w:r>
          <w:rPr>
            <w:rFonts w:eastAsiaTheme="minorEastAsia"/>
            <w:b w:val="0"/>
            <w:noProof/>
            <w:kern w:val="2"/>
            <w:sz w:val="24"/>
            <w:szCs w:val="24"/>
            <w:lang w:eastAsia="en-AU"/>
            <w14:ligatures w14:val="standardContextual"/>
          </w:rPr>
          <w:tab/>
        </w:r>
        <w:r w:rsidRPr="00481D6E">
          <w:rPr>
            <w:rStyle w:val="Hyperlink"/>
            <w:noProof/>
          </w:rPr>
          <w:t>Overview</w:t>
        </w:r>
        <w:r>
          <w:rPr>
            <w:noProof/>
            <w:webHidden/>
          </w:rPr>
          <w:tab/>
        </w:r>
        <w:r>
          <w:rPr>
            <w:noProof/>
            <w:webHidden/>
          </w:rPr>
          <w:fldChar w:fldCharType="begin"/>
        </w:r>
        <w:r>
          <w:rPr>
            <w:noProof/>
            <w:webHidden/>
          </w:rPr>
          <w:instrText xml:space="preserve"> PAGEREF _Toc211246836 \h </w:instrText>
        </w:r>
        <w:r>
          <w:rPr>
            <w:noProof/>
            <w:webHidden/>
          </w:rPr>
        </w:r>
        <w:r>
          <w:rPr>
            <w:noProof/>
            <w:webHidden/>
          </w:rPr>
          <w:fldChar w:fldCharType="separate"/>
        </w:r>
        <w:r>
          <w:rPr>
            <w:noProof/>
            <w:webHidden/>
          </w:rPr>
          <w:t>1</w:t>
        </w:r>
        <w:r>
          <w:rPr>
            <w:noProof/>
            <w:webHidden/>
          </w:rPr>
          <w:fldChar w:fldCharType="end"/>
        </w:r>
      </w:hyperlink>
    </w:p>
    <w:p w14:paraId="1FA99610" w14:textId="38558B76" w:rsidR="00431EA7" w:rsidRDefault="00431EA7">
      <w:pPr>
        <w:pStyle w:val="TOC3"/>
        <w:tabs>
          <w:tab w:val="left" w:pos="1702"/>
        </w:tabs>
        <w:rPr>
          <w:rFonts w:eastAsiaTheme="minorEastAsia"/>
          <w:kern w:val="2"/>
          <w:sz w:val="24"/>
          <w:szCs w:val="24"/>
          <w:lang w:eastAsia="en-AU"/>
          <w14:ligatures w14:val="standardContextual"/>
        </w:rPr>
      </w:pPr>
      <w:hyperlink w:anchor="_Toc211246837" w:history="1">
        <w:r w:rsidRPr="00481D6E">
          <w:rPr>
            <w:rStyle w:val="Hyperlink"/>
          </w:rPr>
          <w:t>1.1</w:t>
        </w:r>
        <w:r>
          <w:rPr>
            <w:rFonts w:eastAsiaTheme="minorEastAsia"/>
            <w:kern w:val="2"/>
            <w:sz w:val="24"/>
            <w:szCs w:val="24"/>
            <w:lang w:eastAsia="en-AU"/>
            <w14:ligatures w14:val="standardContextual"/>
          </w:rPr>
          <w:tab/>
        </w:r>
        <w:r w:rsidRPr="00481D6E">
          <w:rPr>
            <w:rStyle w:val="Hyperlink"/>
          </w:rPr>
          <w:t>Introduction</w:t>
        </w:r>
        <w:r>
          <w:rPr>
            <w:webHidden/>
          </w:rPr>
          <w:tab/>
        </w:r>
        <w:r>
          <w:rPr>
            <w:webHidden/>
          </w:rPr>
          <w:fldChar w:fldCharType="begin"/>
        </w:r>
        <w:r>
          <w:rPr>
            <w:webHidden/>
          </w:rPr>
          <w:instrText xml:space="preserve"> PAGEREF _Toc211246837 \h </w:instrText>
        </w:r>
        <w:r>
          <w:rPr>
            <w:webHidden/>
          </w:rPr>
        </w:r>
        <w:r>
          <w:rPr>
            <w:webHidden/>
          </w:rPr>
          <w:fldChar w:fldCharType="separate"/>
        </w:r>
        <w:r>
          <w:rPr>
            <w:webHidden/>
          </w:rPr>
          <w:t>1</w:t>
        </w:r>
        <w:r>
          <w:rPr>
            <w:webHidden/>
          </w:rPr>
          <w:fldChar w:fldCharType="end"/>
        </w:r>
      </w:hyperlink>
    </w:p>
    <w:p w14:paraId="1CC4014A" w14:textId="1816C06F" w:rsidR="00431EA7" w:rsidRDefault="00431EA7">
      <w:pPr>
        <w:pStyle w:val="TOC3"/>
        <w:tabs>
          <w:tab w:val="left" w:pos="1702"/>
        </w:tabs>
        <w:rPr>
          <w:rFonts w:eastAsiaTheme="minorEastAsia"/>
          <w:kern w:val="2"/>
          <w:sz w:val="24"/>
          <w:szCs w:val="24"/>
          <w:lang w:eastAsia="en-AU"/>
          <w14:ligatures w14:val="standardContextual"/>
        </w:rPr>
      </w:pPr>
      <w:hyperlink w:anchor="_Toc211246840" w:history="1">
        <w:r w:rsidRPr="00481D6E">
          <w:rPr>
            <w:rStyle w:val="Hyperlink"/>
          </w:rPr>
          <w:t>1.2</w:t>
        </w:r>
        <w:r>
          <w:rPr>
            <w:rFonts w:eastAsiaTheme="minorEastAsia"/>
            <w:kern w:val="2"/>
            <w:sz w:val="24"/>
            <w:szCs w:val="24"/>
            <w:lang w:eastAsia="en-AU"/>
            <w14:ligatures w14:val="standardContextual"/>
          </w:rPr>
          <w:tab/>
        </w:r>
        <w:r w:rsidRPr="00481D6E">
          <w:rPr>
            <w:rStyle w:val="Hyperlink"/>
          </w:rPr>
          <w:t>Our 2024–25 NCC review outcomes</w:t>
        </w:r>
        <w:r>
          <w:rPr>
            <w:webHidden/>
          </w:rPr>
          <w:tab/>
        </w:r>
        <w:r>
          <w:rPr>
            <w:webHidden/>
          </w:rPr>
          <w:fldChar w:fldCharType="begin"/>
        </w:r>
        <w:r>
          <w:rPr>
            <w:webHidden/>
          </w:rPr>
          <w:instrText xml:space="preserve"> PAGEREF _Toc211246840 \h </w:instrText>
        </w:r>
        <w:r>
          <w:rPr>
            <w:webHidden/>
          </w:rPr>
        </w:r>
        <w:r>
          <w:rPr>
            <w:webHidden/>
          </w:rPr>
          <w:fldChar w:fldCharType="separate"/>
        </w:r>
        <w:r>
          <w:rPr>
            <w:webHidden/>
          </w:rPr>
          <w:t>2</w:t>
        </w:r>
        <w:r>
          <w:rPr>
            <w:webHidden/>
          </w:rPr>
          <w:fldChar w:fldCharType="end"/>
        </w:r>
      </w:hyperlink>
    </w:p>
    <w:p w14:paraId="26723D9D" w14:textId="47896E90" w:rsidR="00431EA7" w:rsidRDefault="00431EA7">
      <w:pPr>
        <w:pStyle w:val="TOC3"/>
        <w:tabs>
          <w:tab w:val="left" w:pos="1702"/>
        </w:tabs>
        <w:rPr>
          <w:rFonts w:eastAsiaTheme="minorEastAsia"/>
          <w:kern w:val="2"/>
          <w:sz w:val="24"/>
          <w:szCs w:val="24"/>
          <w:lang w:eastAsia="en-AU"/>
          <w14:ligatures w14:val="standardContextual"/>
        </w:rPr>
      </w:pPr>
      <w:hyperlink w:anchor="_Toc211246841" w:history="1">
        <w:r w:rsidRPr="00481D6E">
          <w:rPr>
            <w:rStyle w:val="Hyperlink"/>
          </w:rPr>
          <w:t>1.3</w:t>
        </w:r>
        <w:r>
          <w:rPr>
            <w:rFonts w:eastAsiaTheme="minorEastAsia"/>
            <w:kern w:val="2"/>
            <w:sz w:val="24"/>
            <w:szCs w:val="24"/>
            <w:lang w:eastAsia="en-AU"/>
            <w14:ligatures w14:val="standardContextual"/>
          </w:rPr>
          <w:tab/>
        </w:r>
        <w:r w:rsidRPr="00481D6E">
          <w:rPr>
            <w:rStyle w:val="Hyperlink"/>
          </w:rPr>
          <w:t>Scope and application</w:t>
        </w:r>
        <w:r>
          <w:rPr>
            <w:webHidden/>
          </w:rPr>
          <w:tab/>
        </w:r>
        <w:r>
          <w:rPr>
            <w:webHidden/>
          </w:rPr>
          <w:fldChar w:fldCharType="begin"/>
        </w:r>
        <w:r>
          <w:rPr>
            <w:webHidden/>
          </w:rPr>
          <w:instrText xml:space="preserve"> PAGEREF _Toc211246841 \h </w:instrText>
        </w:r>
        <w:r>
          <w:rPr>
            <w:webHidden/>
          </w:rPr>
        </w:r>
        <w:r>
          <w:rPr>
            <w:webHidden/>
          </w:rPr>
          <w:fldChar w:fldCharType="separate"/>
        </w:r>
        <w:r>
          <w:rPr>
            <w:webHidden/>
          </w:rPr>
          <w:t>3</w:t>
        </w:r>
        <w:r>
          <w:rPr>
            <w:webHidden/>
          </w:rPr>
          <w:fldChar w:fldCharType="end"/>
        </w:r>
      </w:hyperlink>
    </w:p>
    <w:p w14:paraId="07B27FB0" w14:textId="47730D6A" w:rsidR="00431EA7" w:rsidRDefault="00431EA7">
      <w:pPr>
        <w:pStyle w:val="TOC3"/>
        <w:tabs>
          <w:tab w:val="left" w:pos="1702"/>
        </w:tabs>
        <w:rPr>
          <w:rFonts w:eastAsiaTheme="minorEastAsia"/>
          <w:kern w:val="2"/>
          <w:sz w:val="24"/>
          <w:szCs w:val="24"/>
          <w:lang w:eastAsia="en-AU"/>
          <w14:ligatures w14:val="standardContextual"/>
        </w:rPr>
      </w:pPr>
      <w:hyperlink w:anchor="_Toc211246842" w:history="1">
        <w:r w:rsidRPr="00481D6E">
          <w:rPr>
            <w:rStyle w:val="Hyperlink"/>
          </w:rPr>
          <w:t>1.4</w:t>
        </w:r>
        <w:r>
          <w:rPr>
            <w:rFonts w:eastAsiaTheme="minorEastAsia"/>
            <w:kern w:val="2"/>
            <w:sz w:val="24"/>
            <w:szCs w:val="24"/>
            <w:lang w:eastAsia="en-AU"/>
            <w14:ligatures w14:val="standardContextual"/>
          </w:rPr>
          <w:tab/>
        </w:r>
        <w:r w:rsidRPr="00481D6E">
          <w:rPr>
            <w:rStyle w:val="Hyperlink"/>
          </w:rPr>
          <w:t>Next steps and how to make a submission</w:t>
        </w:r>
        <w:r>
          <w:rPr>
            <w:webHidden/>
          </w:rPr>
          <w:tab/>
        </w:r>
        <w:r>
          <w:rPr>
            <w:webHidden/>
          </w:rPr>
          <w:fldChar w:fldCharType="begin"/>
        </w:r>
        <w:r>
          <w:rPr>
            <w:webHidden/>
          </w:rPr>
          <w:instrText xml:space="preserve"> PAGEREF _Toc211246842 \h </w:instrText>
        </w:r>
        <w:r>
          <w:rPr>
            <w:webHidden/>
          </w:rPr>
        </w:r>
        <w:r>
          <w:rPr>
            <w:webHidden/>
          </w:rPr>
          <w:fldChar w:fldCharType="separate"/>
        </w:r>
        <w:r>
          <w:rPr>
            <w:webHidden/>
          </w:rPr>
          <w:t>3</w:t>
        </w:r>
        <w:r>
          <w:rPr>
            <w:webHidden/>
          </w:rPr>
          <w:fldChar w:fldCharType="end"/>
        </w:r>
      </w:hyperlink>
    </w:p>
    <w:p w14:paraId="65D939A2" w14:textId="776051FB" w:rsidR="00431EA7" w:rsidRDefault="00431EA7">
      <w:pPr>
        <w:pStyle w:val="TOC1"/>
        <w:rPr>
          <w:rFonts w:eastAsiaTheme="minorEastAsia"/>
          <w:b w:val="0"/>
          <w:noProof/>
          <w:kern w:val="2"/>
          <w:sz w:val="24"/>
          <w:szCs w:val="24"/>
          <w:lang w:eastAsia="en-AU"/>
          <w14:ligatures w14:val="standardContextual"/>
        </w:rPr>
      </w:pPr>
      <w:hyperlink w:anchor="_Toc211246843" w:history="1">
        <w:r w:rsidRPr="00481D6E">
          <w:rPr>
            <w:rStyle w:val="Hyperlink"/>
            <w:noProof/>
          </w:rPr>
          <w:t>2.</w:t>
        </w:r>
        <w:r>
          <w:rPr>
            <w:rFonts w:eastAsiaTheme="minorEastAsia"/>
            <w:b w:val="0"/>
            <w:noProof/>
            <w:kern w:val="2"/>
            <w:sz w:val="24"/>
            <w:szCs w:val="24"/>
            <w:lang w:eastAsia="en-AU"/>
            <w14:ligatures w14:val="standardContextual"/>
          </w:rPr>
          <w:tab/>
        </w:r>
        <w:r w:rsidRPr="00481D6E">
          <w:rPr>
            <w:rStyle w:val="Hyperlink"/>
            <w:noProof/>
          </w:rPr>
          <w:t>New customer contributions and the regulatory framework</w:t>
        </w:r>
        <w:r>
          <w:rPr>
            <w:noProof/>
            <w:webHidden/>
          </w:rPr>
          <w:tab/>
        </w:r>
        <w:r>
          <w:rPr>
            <w:noProof/>
            <w:webHidden/>
          </w:rPr>
          <w:fldChar w:fldCharType="begin"/>
        </w:r>
        <w:r>
          <w:rPr>
            <w:noProof/>
            <w:webHidden/>
          </w:rPr>
          <w:instrText xml:space="preserve"> PAGEREF _Toc211246843 \h </w:instrText>
        </w:r>
        <w:r>
          <w:rPr>
            <w:noProof/>
            <w:webHidden/>
          </w:rPr>
        </w:r>
        <w:r>
          <w:rPr>
            <w:noProof/>
            <w:webHidden/>
          </w:rPr>
          <w:fldChar w:fldCharType="separate"/>
        </w:r>
        <w:r>
          <w:rPr>
            <w:noProof/>
            <w:webHidden/>
          </w:rPr>
          <w:t>5</w:t>
        </w:r>
        <w:r>
          <w:rPr>
            <w:noProof/>
            <w:webHidden/>
          </w:rPr>
          <w:fldChar w:fldCharType="end"/>
        </w:r>
      </w:hyperlink>
    </w:p>
    <w:p w14:paraId="5984EC9E" w14:textId="4475D281" w:rsidR="00431EA7" w:rsidRDefault="00431EA7">
      <w:pPr>
        <w:pStyle w:val="TOC3"/>
        <w:tabs>
          <w:tab w:val="left" w:pos="1702"/>
        </w:tabs>
        <w:rPr>
          <w:rFonts w:eastAsiaTheme="minorEastAsia"/>
          <w:kern w:val="2"/>
          <w:sz w:val="24"/>
          <w:szCs w:val="24"/>
          <w:lang w:eastAsia="en-AU"/>
          <w14:ligatures w14:val="standardContextual"/>
        </w:rPr>
      </w:pPr>
      <w:hyperlink w:anchor="_Toc211246844" w:history="1">
        <w:r w:rsidRPr="00481D6E">
          <w:rPr>
            <w:rStyle w:val="Hyperlink"/>
          </w:rPr>
          <w:t>2.1</w:t>
        </w:r>
        <w:r>
          <w:rPr>
            <w:rFonts w:eastAsiaTheme="minorEastAsia"/>
            <w:kern w:val="2"/>
            <w:sz w:val="24"/>
            <w:szCs w:val="24"/>
            <w:lang w:eastAsia="en-AU"/>
            <w14:ligatures w14:val="standardContextual"/>
          </w:rPr>
          <w:tab/>
        </w:r>
        <w:r w:rsidRPr="00481D6E">
          <w:rPr>
            <w:rStyle w:val="Hyperlink"/>
          </w:rPr>
          <w:t>About new customer contributions</w:t>
        </w:r>
        <w:r>
          <w:rPr>
            <w:webHidden/>
          </w:rPr>
          <w:tab/>
        </w:r>
        <w:r>
          <w:rPr>
            <w:webHidden/>
          </w:rPr>
          <w:fldChar w:fldCharType="begin"/>
        </w:r>
        <w:r>
          <w:rPr>
            <w:webHidden/>
          </w:rPr>
          <w:instrText xml:space="preserve"> PAGEREF _Toc211246844 \h </w:instrText>
        </w:r>
        <w:r>
          <w:rPr>
            <w:webHidden/>
          </w:rPr>
        </w:r>
        <w:r>
          <w:rPr>
            <w:webHidden/>
          </w:rPr>
          <w:fldChar w:fldCharType="separate"/>
        </w:r>
        <w:r>
          <w:rPr>
            <w:webHidden/>
          </w:rPr>
          <w:t>5</w:t>
        </w:r>
        <w:r>
          <w:rPr>
            <w:webHidden/>
          </w:rPr>
          <w:fldChar w:fldCharType="end"/>
        </w:r>
      </w:hyperlink>
    </w:p>
    <w:p w14:paraId="3AA26A1D" w14:textId="318E0765" w:rsidR="00431EA7" w:rsidRDefault="00431EA7">
      <w:pPr>
        <w:pStyle w:val="TOC3"/>
        <w:tabs>
          <w:tab w:val="left" w:pos="1702"/>
        </w:tabs>
        <w:rPr>
          <w:rFonts w:eastAsiaTheme="minorEastAsia"/>
          <w:kern w:val="2"/>
          <w:sz w:val="24"/>
          <w:szCs w:val="24"/>
          <w:lang w:eastAsia="en-AU"/>
          <w14:ligatures w14:val="standardContextual"/>
        </w:rPr>
      </w:pPr>
      <w:hyperlink w:anchor="_Toc211246848" w:history="1">
        <w:r w:rsidRPr="00481D6E">
          <w:rPr>
            <w:rStyle w:val="Hyperlink"/>
          </w:rPr>
          <w:t>2.2</w:t>
        </w:r>
        <w:r>
          <w:rPr>
            <w:rFonts w:eastAsiaTheme="minorEastAsia"/>
            <w:kern w:val="2"/>
            <w:sz w:val="24"/>
            <w:szCs w:val="24"/>
            <w:lang w:eastAsia="en-AU"/>
            <w14:ligatures w14:val="standardContextual"/>
          </w:rPr>
          <w:tab/>
        </w:r>
        <w:r w:rsidRPr="00481D6E">
          <w:rPr>
            <w:rStyle w:val="Hyperlink"/>
          </w:rPr>
          <w:t>Legal and regulatory framework</w:t>
        </w:r>
        <w:r>
          <w:rPr>
            <w:webHidden/>
          </w:rPr>
          <w:tab/>
        </w:r>
        <w:r>
          <w:rPr>
            <w:webHidden/>
          </w:rPr>
          <w:fldChar w:fldCharType="begin"/>
        </w:r>
        <w:r>
          <w:rPr>
            <w:webHidden/>
          </w:rPr>
          <w:instrText xml:space="preserve"> PAGEREF _Toc211246848 \h </w:instrText>
        </w:r>
        <w:r>
          <w:rPr>
            <w:webHidden/>
          </w:rPr>
        </w:r>
        <w:r>
          <w:rPr>
            <w:webHidden/>
          </w:rPr>
          <w:fldChar w:fldCharType="separate"/>
        </w:r>
        <w:r>
          <w:rPr>
            <w:webHidden/>
          </w:rPr>
          <w:t>6</w:t>
        </w:r>
        <w:r>
          <w:rPr>
            <w:webHidden/>
          </w:rPr>
          <w:fldChar w:fldCharType="end"/>
        </w:r>
      </w:hyperlink>
    </w:p>
    <w:p w14:paraId="1A040666" w14:textId="23BA0FD2" w:rsidR="00431EA7" w:rsidRDefault="00431EA7">
      <w:pPr>
        <w:pStyle w:val="TOC5"/>
        <w:rPr>
          <w:rFonts w:eastAsiaTheme="minorEastAsia"/>
          <w:noProof/>
          <w:kern w:val="2"/>
          <w:sz w:val="24"/>
          <w:szCs w:val="24"/>
          <w:lang w:eastAsia="en-AU"/>
          <w14:ligatures w14:val="standardContextual"/>
        </w:rPr>
      </w:pPr>
      <w:hyperlink w:anchor="_Toc211246851" w:history="1">
        <w:r w:rsidRPr="00481D6E">
          <w:rPr>
            <w:rStyle w:val="Hyperlink"/>
            <w:noProof/>
          </w:rPr>
          <w:t>Commission’s water price review guidance</w:t>
        </w:r>
        <w:r>
          <w:rPr>
            <w:noProof/>
            <w:webHidden/>
          </w:rPr>
          <w:tab/>
        </w:r>
        <w:r>
          <w:rPr>
            <w:noProof/>
            <w:webHidden/>
          </w:rPr>
          <w:fldChar w:fldCharType="begin"/>
        </w:r>
        <w:r>
          <w:rPr>
            <w:noProof/>
            <w:webHidden/>
          </w:rPr>
          <w:instrText xml:space="preserve"> PAGEREF _Toc211246851 \h </w:instrText>
        </w:r>
        <w:r>
          <w:rPr>
            <w:noProof/>
            <w:webHidden/>
          </w:rPr>
        </w:r>
        <w:r>
          <w:rPr>
            <w:noProof/>
            <w:webHidden/>
          </w:rPr>
          <w:fldChar w:fldCharType="separate"/>
        </w:r>
        <w:r>
          <w:rPr>
            <w:noProof/>
            <w:webHidden/>
          </w:rPr>
          <w:t>8</w:t>
        </w:r>
        <w:r>
          <w:rPr>
            <w:noProof/>
            <w:webHidden/>
          </w:rPr>
          <w:fldChar w:fldCharType="end"/>
        </w:r>
      </w:hyperlink>
    </w:p>
    <w:p w14:paraId="27762EE1" w14:textId="3FF6F73D" w:rsidR="00431EA7" w:rsidRDefault="00431EA7">
      <w:pPr>
        <w:pStyle w:val="TOC1"/>
        <w:rPr>
          <w:rFonts w:eastAsiaTheme="minorEastAsia"/>
          <w:b w:val="0"/>
          <w:noProof/>
          <w:kern w:val="2"/>
          <w:sz w:val="24"/>
          <w:szCs w:val="24"/>
          <w:lang w:eastAsia="en-AU"/>
          <w14:ligatures w14:val="standardContextual"/>
        </w:rPr>
      </w:pPr>
      <w:hyperlink w:anchor="_Toc211246852" w:history="1">
        <w:r w:rsidRPr="00481D6E">
          <w:rPr>
            <w:rStyle w:val="Hyperlink"/>
            <w:noProof/>
          </w:rPr>
          <w:t>3</w:t>
        </w:r>
        <w:r w:rsidR="00C57151">
          <w:rPr>
            <w:rStyle w:val="Hyperlink"/>
            <w:noProof/>
          </w:rPr>
          <w:t>.</w:t>
        </w:r>
        <w:r>
          <w:rPr>
            <w:rFonts w:eastAsiaTheme="minorEastAsia"/>
            <w:b w:val="0"/>
            <w:noProof/>
            <w:kern w:val="2"/>
            <w:sz w:val="24"/>
            <w:szCs w:val="24"/>
            <w:lang w:eastAsia="en-AU"/>
            <w14:ligatures w14:val="standardContextual"/>
          </w:rPr>
          <w:tab/>
        </w:r>
        <w:r w:rsidRPr="00481D6E">
          <w:rPr>
            <w:rStyle w:val="Hyperlink"/>
            <w:noProof/>
          </w:rPr>
          <w:t>Our principles-based NCC Framework</w:t>
        </w:r>
        <w:r>
          <w:rPr>
            <w:noProof/>
            <w:webHidden/>
          </w:rPr>
          <w:tab/>
        </w:r>
        <w:r>
          <w:rPr>
            <w:noProof/>
            <w:webHidden/>
          </w:rPr>
          <w:fldChar w:fldCharType="begin"/>
        </w:r>
        <w:r>
          <w:rPr>
            <w:noProof/>
            <w:webHidden/>
          </w:rPr>
          <w:instrText xml:space="preserve"> PAGEREF _Toc211246852 \h </w:instrText>
        </w:r>
        <w:r>
          <w:rPr>
            <w:noProof/>
            <w:webHidden/>
          </w:rPr>
        </w:r>
        <w:r>
          <w:rPr>
            <w:noProof/>
            <w:webHidden/>
          </w:rPr>
          <w:fldChar w:fldCharType="separate"/>
        </w:r>
        <w:r>
          <w:rPr>
            <w:noProof/>
            <w:webHidden/>
          </w:rPr>
          <w:t>10</w:t>
        </w:r>
        <w:r>
          <w:rPr>
            <w:noProof/>
            <w:webHidden/>
          </w:rPr>
          <w:fldChar w:fldCharType="end"/>
        </w:r>
      </w:hyperlink>
    </w:p>
    <w:p w14:paraId="7BF12D93" w14:textId="21166D6E" w:rsidR="00431EA7" w:rsidRDefault="00431EA7">
      <w:pPr>
        <w:pStyle w:val="TOC3"/>
        <w:tabs>
          <w:tab w:val="left" w:pos="1702"/>
        </w:tabs>
        <w:rPr>
          <w:rFonts w:eastAsiaTheme="minorEastAsia"/>
          <w:kern w:val="2"/>
          <w:sz w:val="24"/>
          <w:szCs w:val="24"/>
          <w:lang w:eastAsia="en-AU"/>
          <w14:ligatures w14:val="standardContextual"/>
        </w:rPr>
      </w:pPr>
      <w:hyperlink w:anchor="_Toc211246853" w:history="1">
        <w:r w:rsidRPr="00481D6E">
          <w:rPr>
            <w:rStyle w:val="Hyperlink"/>
          </w:rPr>
          <w:t>3.1</w:t>
        </w:r>
        <w:r>
          <w:rPr>
            <w:rFonts w:eastAsiaTheme="minorEastAsia"/>
            <w:kern w:val="2"/>
            <w:sz w:val="24"/>
            <w:szCs w:val="24"/>
            <w:lang w:eastAsia="en-AU"/>
            <w14:ligatures w14:val="standardContextual"/>
          </w:rPr>
          <w:tab/>
        </w:r>
        <w:r w:rsidRPr="00481D6E">
          <w:rPr>
            <w:rStyle w:val="Hyperlink"/>
          </w:rPr>
          <w:t>NCC pricing principles</w:t>
        </w:r>
        <w:r>
          <w:rPr>
            <w:webHidden/>
          </w:rPr>
          <w:tab/>
        </w:r>
        <w:r>
          <w:rPr>
            <w:webHidden/>
          </w:rPr>
          <w:fldChar w:fldCharType="begin"/>
        </w:r>
        <w:r>
          <w:rPr>
            <w:webHidden/>
          </w:rPr>
          <w:instrText xml:space="preserve"> PAGEREF _Toc211246853 \h </w:instrText>
        </w:r>
        <w:r>
          <w:rPr>
            <w:webHidden/>
          </w:rPr>
        </w:r>
        <w:r>
          <w:rPr>
            <w:webHidden/>
          </w:rPr>
          <w:fldChar w:fldCharType="separate"/>
        </w:r>
        <w:r>
          <w:rPr>
            <w:webHidden/>
          </w:rPr>
          <w:t>10</w:t>
        </w:r>
        <w:r>
          <w:rPr>
            <w:webHidden/>
          </w:rPr>
          <w:fldChar w:fldCharType="end"/>
        </w:r>
      </w:hyperlink>
    </w:p>
    <w:p w14:paraId="6E6E5750" w14:textId="2A554DDB" w:rsidR="00431EA7" w:rsidRDefault="00431EA7">
      <w:pPr>
        <w:pStyle w:val="TOC3"/>
        <w:tabs>
          <w:tab w:val="left" w:pos="1702"/>
        </w:tabs>
        <w:rPr>
          <w:rFonts w:eastAsiaTheme="minorEastAsia"/>
          <w:kern w:val="2"/>
          <w:sz w:val="24"/>
          <w:szCs w:val="24"/>
          <w:lang w:eastAsia="en-AU"/>
          <w14:ligatures w14:val="standardContextual"/>
        </w:rPr>
      </w:pPr>
      <w:hyperlink w:anchor="_Toc211246854" w:history="1">
        <w:r w:rsidRPr="00481D6E">
          <w:rPr>
            <w:rStyle w:val="Hyperlink"/>
          </w:rPr>
          <w:t>3.2</w:t>
        </w:r>
        <w:r>
          <w:rPr>
            <w:rFonts w:eastAsiaTheme="minorEastAsia"/>
            <w:kern w:val="2"/>
            <w:sz w:val="24"/>
            <w:szCs w:val="24"/>
            <w:lang w:eastAsia="en-AU"/>
            <w14:ligatures w14:val="standardContextual"/>
          </w:rPr>
          <w:tab/>
        </w:r>
        <w:r w:rsidRPr="00481D6E">
          <w:rPr>
            <w:rStyle w:val="Hyperlink"/>
          </w:rPr>
          <w:t>Types of NCCs</w:t>
        </w:r>
        <w:r>
          <w:rPr>
            <w:webHidden/>
          </w:rPr>
          <w:tab/>
        </w:r>
        <w:r>
          <w:rPr>
            <w:webHidden/>
          </w:rPr>
          <w:fldChar w:fldCharType="begin"/>
        </w:r>
        <w:r>
          <w:rPr>
            <w:webHidden/>
          </w:rPr>
          <w:instrText xml:space="preserve"> PAGEREF _Toc211246854 \h </w:instrText>
        </w:r>
        <w:r>
          <w:rPr>
            <w:webHidden/>
          </w:rPr>
        </w:r>
        <w:r>
          <w:rPr>
            <w:webHidden/>
          </w:rPr>
          <w:fldChar w:fldCharType="separate"/>
        </w:r>
        <w:r>
          <w:rPr>
            <w:webHidden/>
          </w:rPr>
          <w:t>11</w:t>
        </w:r>
        <w:r>
          <w:rPr>
            <w:webHidden/>
          </w:rPr>
          <w:fldChar w:fldCharType="end"/>
        </w:r>
      </w:hyperlink>
    </w:p>
    <w:p w14:paraId="1A187C18" w14:textId="684FD81C" w:rsidR="00431EA7" w:rsidRDefault="00431EA7">
      <w:pPr>
        <w:pStyle w:val="TOC3"/>
        <w:tabs>
          <w:tab w:val="left" w:pos="1702"/>
        </w:tabs>
        <w:rPr>
          <w:rFonts w:eastAsiaTheme="minorEastAsia"/>
          <w:kern w:val="2"/>
          <w:sz w:val="24"/>
          <w:szCs w:val="24"/>
          <w:lang w:eastAsia="en-AU"/>
          <w14:ligatures w14:val="standardContextual"/>
        </w:rPr>
      </w:pPr>
      <w:hyperlink w:anchor="_Toc211246855" w:history="1">
        <w:r w:rsidRPr="00481D6E">
          <w:rPr>
            <w:rStyle w:val="Hyperlink"/>
          </w:rPr>
          <w:t>3.3</w:t>
        </w:r>
        <w:r>
          <w:rPr>
            <w:rFonts w:eastAsiaTheme="minorEastAsia"/>
            <w:kern w:val="2"/>
            <w:sz w:val="24"/>
            <w:szCs w:val="24"/>
            <w:lang w:eastAsia="en-AU"/>
            <w14:ligatures w14:val="standardContextual"/>
          </w:rPr>
          <w:tab/>
        </w:r>
        <w:r w:rsidRPr="00481D6E">
          <w:rPr>
            <w:rStyle w:val="Hyperlink"/>
          </w:rPr>
          <w:t>Framework administration improvements</w:t>
        </w:r>
        <w:r>
          <w:rPr>
            <w:webHidden/>
          </w:rPr>
          <w:tab/>
        </w:r>
        <w:r>
          <w:rPr>
            <w:webHidden/>
          </w:rPr>
          <w:fldChar w:fldCharType="begin"/>
        </w:r>
        <w:r>
          <w:rPr>
            <w:webHidden/>
          </w:rPr>
          <w:instrText xml:space="preserve"> PAGEREF _Toc211246855 \h </w:instrText>
        </w:r>
        <w:r>
          <w:rPr>
            <w:webHidden/>
          </w:rPr>
        </w:r>
        <w:r>
          <w:rPr>
            <w:webHidden/>
          </w:rPr>
          <w:fldChar w:fldCharType="separate"/>
        </w:r>
        <w:r>
          <w:rPr>
            <w:webHidden/>
          </w:rPr>
          <w:t>11</w:t>
        </w:r>
        <w:r>
          <w:rPr>
            <w:webHidden/>
          </w:rPr>
          <w:fldChar w:fldCharType="end"/>
        </w:r>
      </w:hyperlink>
    </w:p>
    <w:p w14:paraId="385D6B14" w14:textId="7B45E0B4" w:rsidR="00431EA7" w:rsidRDefault="00431EA7">
      <w:pPr>
        <w:pStyle w:val="TOC1"/>
        <w:rPr>
          <w:rFonts w:eastAsiaTheme="minorEastAsia"/>
          <w:b w:val="0"/>
          <w:noProof/>
          <w:kern w:val="2"/>
          <w:sz w:val="24"/>
          <w:szCs w:val="24"/>
          <w:lang w:eastAsia="en-AU"/>
          <w14:ligatures w14:val="standardContextual"/>
        </w:rPr>
      </w:pPr>
      <w:hyperlink w:anchor="_Toc211246856" w:history="1">
        <w:r w:rsidRPr="00481D6E">
          <w:rPr>
            <w:rStyle w:val="Hyperlink"/>
            <w:noProof/>
          </w:rPr>
          <w:t>4.</w:t>
        </w:r>
        <w:r>
          <w:rPr>
            <w:rFonts w:eastAsiaTheme="minorEastAsia"/>
            <w:b w:val="0"/>
            <w:noProof/>
            <w:kern w:val="2"/>
            <w:sz w:val="24"/>
            <w:szCs w:val="24"/>
            <w:lang w:eastAsia="en-AU"/>
            <w14:ligatures w14:val="standardContextual"/>
          </w:rPr>
          <w:tab/>
        </w:r>
        <w:r w:rsidRPr="00481D6E">
          <w:rPr>
            <w:rStyle w:val="Hyperlink"/>
            <w:noProof/>
          </w:rPr>
          <w:t>Clarifying the NCC Framework</w:t>
        </w:r>
        <w:r>
          <w:rPr>
            <w:noProof/>
            <w:webHidden/>
          </w:rPr>
          <w:tab/>
        </w:r>
        <w:r>
          <w:rPr>
            <w:noProof/>
            <w:webHidden/>
          </w:rPr>
          <w:fldChar w:fldCharType="begin"/>
        </w:r>
        <w:r>
          <w:rPr>
            <w:noProof/>
            <w:webHidden/>
          </w:rPr>
          <w:instrText xml:space="preserve"> PAGEREF _Toc211246856 \h </w:instrText>
        </w:r>
        <w:r>
          <w:rPr>
            <w:noProof/>
            <w:webHidden/>
          </w:rPr>
        </w:r>
        <w:r>
          <w:rPr>
            <w:noProof/>
            <w:webHidden/>
          </w:rPr>
          <w:fldChar w:fldCharType="separate"/>
        </w:r>
        <w:r>
          <w:rPr>
            <w:noProof/>
            <w:webHidden/>
          </w:rPr>
          <w:t>12</w:t>
        </w:r>
        <w:r>
          <w:rPr>
            <w:noProof/>
            <w:webHidden/>
          </w:rPr>
          <w:fldChar w:fldCharType="end"/>
        </w:r>
      </w:hyperlink>
    </w:p>
    <w:p w14:paraId="72E1A73E" w14:textId="67E76D72" w:rsidR="00431EA7" w:rsidRDefault="00431EA7">
      <w:pPr>
        <w:pStyle w:val="TOC3"/>
        <w:tabs>
          <w:tab w:val="left" w:pos="1702"/>
        </w:tabs>
        <w:rPr>
          <w:rFonts w:eastAsiaTheme="minorEastAsia"/>
          <w:kern w:val="2"/>
          <w:sz w:val="24"/>
          <w:szCs w:val="24"/>
          <w:lang w:eastAsia="en-AU"/>
          <w14:ligatures w14:val="standardContextual"/>
        </w:rPr>
      </w:pPr>
      <w:hyperlink w:anchor="_Toc211246857" w:history="1">
        <w:r w:rsidRPr="00481D6E">
          <w:rPr>
            <w:rStyle w:val="Hyperlink"/>
          </w:rPr>
          <w:t>4.1</w:t>
        </w:r>
        <w:r>
          <w:rPr>
            <w:rFonts w:eastAsiaTheme="minorEastAsia"/>
            <w:kern w:val="2"/>
            <w:sz w:val="24"/>
            <w:szCs w:val="24"/>
            <w:lang w:eastAsia="en-AU"/>
            <w14:ligatures w14:val="standardContextual"/>
          </w:rPr>
          <w:tab/>
        </w:r>
        <w:r w:rsidRPr="00481D6E">
          <w:rPr>
            <w:rStyle w:val="Hyperlink"/>
          </w:rPr>
          <w:t>Using negotiated versus standard NCCs</w:t>
        </w:r>
        <w:r>
          <w:rPr>
            <w:webHidden/>
          </w:rPr>
          <w:tab/>
        </w:r>
        <w:r>
          <w:rPr>
            <w:webHidden/>
          </w:rPr>
          <w:fldChar w:fldCharType="begin"/>
        </w:r>
        <w:r>
          <w:rPr>
            <w:webHidden/>
          </w:rPr>
          <w:instrText xml:space="preserve"> PAGEREF _Toc211246857 \h </w:instrText>
        </w:r>
        <w:r>
          <w:rPr>
            <w:webHidden/>
          </w:rPr>
        </w:r>
        <w:r>
          <w:rPr>
            <w:webHidden/>
          </w:rPr>
          <w:fldChar w:fldCharType="separate"/>
        </w:r>
        <w:r>
          <w:rPr>
            <w:webHidden/>
          </w:rPr>
          <w:t>12</w:t>
        </w:r>
        <w:r>
          <w:rPr>
            <w:webHidden/>
          </w:rPr>
          <w:fldChar w:fldCharType="end"/>
        </w:r>
      </w:hyperlink>
    </w:p>
    <w:p w14:paraId="089C4E61" w14:textId="1185C2AC" w:rsidR="00431EA7" w:rsidRDefault="00431EA7">
      <w:pPr>
        <w:pStyle w:val="TOC3"/>
        <w:tabs>
          <w:tab w:val="left" w:pos="1702"/>
        </w:tabs>
        <w:rPr>
          <w:rFonts w:eastAsiaTheme="minorEastAsia"/>
          <w:kern w:val="2"/>
          <w:sz w:val="24"/>
          <w:szCs w:val="24"/>
          <w:lang w:eastAsia="en-AU"/>
          <w14:ligatures w14:val="standardContextual"/>
        </w:rPr>
      </w:pPr>
      <w:hyperlink w:anchor="_Toc211246860" w:history="1">
        <w:r w:rsidRPr="00481D6E">
          <w:rPr>
            <w:rStyle w:val="Hyperlink"/>
          </w:rPr>
          <w:t>4.2</w:t>
        </w:r>
        <w:r>
          <w:rPr>
            <w:rFonts w:eastAsiaTheme="minorEastAsia"/>
            <w:kern w:val="2"/>
            <w:sz w:val="24"/>
            <w:szCs w:val="24"/>
            <w:lang w:eastAsia="en-AU"/>
            <w14:ligatures w14:val="standardContextual"/>
          </w:rPr>
          <w:tab/>
        </w:r>
        <w:r w:rsidRPr="00481D6E">
          <w:rPr>
            <w:rStyle w:val="Hyperlink"/>
          </w:rPr>
          <w:t>Incremental costs</w:t>
        </w:r>
        <w:r>
          <w:rPr>
            <w:webHidden/>
          </w:rPr>
          <w:tab/>
        </w:r>
        <w:r>
          <w:rPr>
            <w:webHidden/>
          </w:rPr>
          <w:fldChar w:fldCharType="begin"/>
        </w:r>
        <w:r>
          <w:rPr>
            <w:webHidden/>
          </w:rPr>
          <w:instrText xml:space="preserve"> PAGEREF _Toc211246860 \h </w:instrText>
        </w:r>
        <w:r>
          <w:rPr>
            <w:webHidden/>
          </w:rPr>
        </w:r>
        <w:r>
          <w:rPr>
            <w:webHidden/>
          </w:rPr>
          <w:fldChar w:fldCharType="separate"/>
        </w:r>
        <w:r>
          <w:rPr>
            <w:webHidden/>
          </w:rPr>
          <w:t>13</w:t>
        </w:r>
        <w:r>
          <w:rPr>
            <w:webHidden/>
          </w:rPr>
          <w:fldChar w:fldCharType="end"/>
        </w:r>
      </w:hyperlink>
    </w:p>
    <w:p w14:paraId="0B7EC911" w14:textId="397C0B88" w:rsidR="00431EA7" w:rsidRDefault="00431EA7">
      <w:pPr>
        <w:pStyle w:val="TOC3"/>
        <w:tabs>
          <w:tab w:val="left" w:pos="1702"/>
        </w:tabs>
        <w:rPr>
          <w:rFonts w:eastAsiaTheme="minorEastAsia"/>
          <w:kern w:val="2"/>
          <w:sz w:val="24"/>
          <w:szCs w:val="24"/>
          <w:lang w:eastAsia="en-AU"/>
          <w14:ligatures w14:val="standardContextual"/>
        </w:rPr>
      </w:pPr>
      <w:hyperlink w:anchor="_Toc211246867" w:history="1">
        <w:r w:rsidRPr="00481D6E">
          <w:rPr>
            <w:rStyle w:val="Hyperlink"/>
          </w:rPr>
          <w:t>4.3</w:t>
        </w:r>
        <w:r>
          <w:rPr>
            <w:rFonts w:eastAsiaTheme="minorEastAsia"/>
            <w:kern w:val="2"/>
            <w:sz w:val="24"/>
            <w:szCs w:val="24"/>
            <w:lang w:eastAsia="en-AU"/>
            <w14:ligatures w14:val="standardContextual"/>
          </w:rPr>
          <w:tab/>
        </w:r>
        <w:r w:rsidRPr="00481D6E">
          <w:rPr>
            <w:rStyle w:val="Hyperlink"/>
          </w:rPr>
          <w:t>Incremental benefits and revenues</w:t>
        </w:r>
        <w:r>
          <w:rPr>
            <w:webHidden/>
          </w:rPr>
          <w:tab/>
        </w:r>
        <w:r>
          <w:rPr>
            <w:webHidden/>
          </w:rPr>
          <w:fldChar w:fldCharType="begin"/>
        </w:r>
        <w:r>
          <w:rPr>
            <w:webHidden/>
          </w:rPr>
          <w:instrText xml:space="preserve"> PAGEREF _Toc211246867 \h </w:instrText>
        </w:r>
        <w:r>
          <w:rPr>
            <w:webHidden/>
          </w:rPr>
        </w:r>
        <w:r>
          <w:rPr>
            <w:webHidden/>
          </w:rPr>
          <w:fldChar w:fldCharType="separate"/>
        </w:r>
        <w:r>
          <w:rPr>
            <w:webHidden/>
          </w:rPr>
          <w:t>17</w:t>
        </w:r>
        <w:r>
          <w:rPr>
            <w:webHidden/>
          </w:rPr>
          <w:fldChar w:fldCharType="end"/>
        </w:r>
      </w:hyperlink>
    </w:p>
    <w:p w14:paraId="29D7759E" w14:textId="3370821A" w:rsidR="00431EA7" w:rsidRDefault="00431EA7">
      <w:pPr>
        <w:pStyle w:val="TOC3"/>
        <w:tabs>
          <w:tab w:val="left" w:pos="1702"/>
        </w:tabs>
        <w:rPr>
          <w:rFonts w:eastAsiaTheme="minorEastAsia"/>
          <w:kern w:val="2"/>
          <w:sz w:val="24"/>
          <w:szCs w:val="24"/>
          <w:lang w:eastAsia="en-AU"/>
          <w14:ligatures w14:val="standardContextual"/>
        </w:rPr>
      </w:pPr>
      <w:hyperlink w:anchor="_Toc211246870" w:history="1">
        <w:r w:rsidRPr="00481D6E">
          <w:rPr>
            <w:rStyle w:val="Hyperlink"/>
          </w:rPr>
          <w:t>4.4</w:t>
        </w:r>
        <w:r>
          <w:rPr>
            <w:rFonts w:eastAsiaTheme="minorEastAsia"/>
            <w:kern w:val="2"/>
            <w:sz w:val="24"/>
            <w:szCs w:val="24"/>
            <w:lang w:eastAsia="en-AU"/>
            <w14:ligatures w14:val="standardContextual"/>
          </w:rPr>
          <w:tab/>
        </w:r>
        <w:r w:rsidRPr="00481D6E">
          <w:rPr>
            <w:rStyle w:val="Hyperlink"/>
          </w:rPr>
          <w:t>Standalone and avoidable costs</w:t>
        </w:r>
        <w:r>
          <w:rPr>
            <w:webHidden/>
          </w:rPr>
          <w:tab/>
        </w:r>
        <w:r>
          <w:rPr>
            <w:webHidden/>
          </w:rPr>
          <w:fldChar w:fldCharType="begin"/>
        </w:r>
        <w:r>
          <w:rPr>
            <w:webHidden/>
          </w:rPr>
          <w:instrText xml:space="preserve"> PAGEREF _Toc211246870 \h </w:instrText>
        </w:r>
        <w:r>
          <w:rPr>
            <w:webHidden/>
          </w:rPr>
        </w:r>
        <w:r>
          <w:rPr>
            <w:webHidden/>
          </w:rPr>
          <w:fldChar w:fldCharType="separate"/>
        </w:r>
        <w:r>
          <w:rPr>
            <w:webHidden/>
          </w:rPr>
          <w:t>19</w:t>
        </w:r>
        <w:r>
          <w:rPr>
            <w:webHidden/>
          </w:rPr>
          <w:fldChar w:fldCharType="end"/>
        </w:r>
      </w:hyperlink>
    </w:p>
    <w:p w14:paraId="677BD8E2" w14:textId="2D2C4383" w:rsidR="00431EA7" w:rsidRDefault="00431EA7">
      <w:pPr>
        <w:pStyle w:val="TOC3"/>
        <w:tabs>
          <w:tab w:val="left" w:pos="1702"/>
        </w:tabs>
        <w:rPr>
          <w:rFonts w:eastAsiaTheme="minorEastAsia"/>
          <w:kern w:val="2"/>
          <w:sz w:val="24"/>
          <w:szCs w:val="24"/>
          <w:lang w:eastAsia="en-AU"/>
          <w14:ligatures w14:val="standardContextual"/>
        </w:rPr>
      </w:pPr>
      <w:hyperlink w:anchor="_Toc211246874" w:history="1">
        <w:r w:rsidRPr="00481D6E">
          <w:rPr>
            <w:rStyle w:val="Hyperlink"/>
          </w:rPr>
          <w:t>4.5</w:t>
        </w:r>
        <w:r>
          <w:rPr>
            <w:rFonts w:eastAsiaTheme="minorEastAsia"/>
            <w:kern w:val="2"/>
            <w:sz w:val="24"/>
            <w:szCs w:val="24"/>
            <w:lang w:eastAsia="en-AU"/>
            <w14:ligatures w14:val="standardContextual"/>
          </w:rPr>
          <w:tab/>
        </w:r>
        <w:r w:rsidRPr="00481D6E">
          <w:rPr>
            <w:rStyle w:val="Hyperlink"/>
          </w:rPr>
          <w:t>Transitioning to cost reflective NCCs</w:t>
        </w:r>
        <w:r>
          <w:rPr>
            <w:webHidden/>
          </w:rPr>
          <w:tab/>
        </w:r>
        <w:r>
          <w:rPr>
            <w:webHidden/>
          </w:rPr>
          <w:fldChar w:fldCharType="begin"/>
        </w:r>
        <w:r>
          <w:rPr>
            <w:webHidden/>
          </w:rPr>
          <w:instrText xml:space="preserve"> PAGEREF _Toc211246874 \h </w:instrText>
        </w:r>
        <w:r>
          <w:rPr>
            <w:webHidden/>
          </w:rPr>
        </w:r>
        <w:r>
          <w:rPr>
            <w:webHidden/>
          </w:rPr>
          <w:fldChar w:fldCharType="separate"/>
        </w:r>
        <w:r>
          <w:rPr>
            <w:webHidden/>
          </w:rPr>
          <w:t>21</w:t>
        </w:r>
        <w:r>
          <w:rPr>
            <w:webHidden/>
          </w:rPr>
          <w:fldChar w:fldCharType="end"/>
        </w:r>
      </w:hyperlink>
    </w:p>
    <w:p w14:paraId="153C350A" w14:textId="656D10CB" w:rsidR="00431EA7" w:rsidRDefault="00431EA7">
      <w:pPr>
        <w:pStyle w:val="TOC3"/>
        <w:tabs>
          <w:tab w:val="left" w:pos="1702"/>
        </w:tabs>
        <w:rPr>
          <w:rFonts w:eastAsiaTheme="minorEastAsia"/>
          <w:kern w:val="2"/>
          <w:sz w:val="24"/>
          <w:szCs w:val="24"/>
          <w:lang w:eastAsia="en-AU"/>
          <w14:ligatures w14:val="standardContextual"/>
        </w:rPr>
      </w:pPr>
      <w:hyperlink w:anchor="_Toc211246875" w:history="1">
        <w:r w:rsidRPr="00481D6E">
          <w:rPr>
            <w:rStyle w:val="Hyperlink"/>
          </w:rPr>
          <w:t>4.6</w:t>
        </w:r>
        <w:r>
          <w:rPr>
            <w:rFonts w:eastAsiaTheme="minorEastAsia"/>
            <w:kern w:val="2"/>
            <w:sz w:val="24"/>
            <w:szCs w:val="24"/>
            <w:lang w:eastAsia="en-AU"/>
            <w14:ligatures w14:val="standardContextual"/>
          </w:rPr>
          <w:tab/>
        </w:r>
        <w:r w:rsidRPr="00481D6E">
          <w:rPr>
            <w:rStyle w:val="Hyperlink"/>
          </w:rPr>
          <w:t>Director attestation</w:t>
        </w:r>
        <w:r>
          <w:rPr>
            <w:webHidden/>
          </w:rPr>
          <w:tab/>
        </w:r>
        <w:r>
          <w:rPr>
            <w:webHidden/>
          </w:rPr>
          <w:fldChar w:fldCharType="begin"/>
        </w:r>
        <w:r>
          <w:rPr>
            <w:webHidden/>
          </w:rPr>
          <w:instrText xml:space="preserve"> PAGEREF _Toc211246875 \h </w:instrText>
        </w:r>
        <w:r>
          <w:rPr>
            <w:webHidden/>
          </w:rPr>
        </w:r>
        <w:r>
          <w:rPr>
            <w:webHidden/>
          </w:rPr>
          <w:fldChar w:fldCharType="separate"/>
        </w:r>
        <w:r>
          <w:rPr>
            <w:webHidden/>
          </w:rPr>
          <w:t>22</w:t>
        </w:r>
        <w:r>
          <w:rPr>
            <w:webHidden/>
          </w:rPr>
          <w:fldChar w:fldCharType="end"/>
        </w:r>
      </w:hyperlink>
    </w:p>
    <w:p w14:paraId="41CB906F" w14:textId="003CCE21" w:rsidR="00431EA7" w:rsidRDefault="00431EA7">
      <w:pPr>
        <w:pStyle w:val="TOC3"/>
        <w:tabs>
          <w:tab w:val="left" w:pos="1702"/>
        </w:tabs>
        <w:rPr>
          <w:rFonts w:eastAsiaTheme="minorEastAsia"/>
          <w:kern w:val="2"/>
          <w:sz w:val="24"/>
          <w:szCs w:val="24"/>
          <w:lang w:eastAsia="en-AU"/>
          <w14:ligatures w14:val="standardContextual"/>
        </w:rPr>
      </w:pPr>
      <w:hyperlink w:anchor="_Toc211246876" w:history="1">
        <w:r w:rsidRPr="00481D6E">
          <w:rPr>
            <w:rStyle w:val="Hyperlink"/>
            <w:lang w:val="en-GB"/>
          </w:rPr>
          <w:t>4.7</w:t>
        </w:r>
        <w:r>
          <w:rPr>
            <w:rFonts w:eastAsiaTheme="minorEastAsia"/>
            <w:kern w:val="2"/>
            <w:sz w:val="24"/>
            <w:szCs w:val="24"/>
            <w:lang w:eastAsia="en-AU"/>
            <w14:ligatures w14:val="standardContextual"/>
          </w:rPr>
          <w:tab/>
        </w:r>
        <w:r w:rsidRPr="00481D6E">
          <w:rPr>
            <w:rStyle w:val="Hyperlink"/>
          </w:rPr>
          <w:t>Access to dispute resolution</w:t>
        </w:r>
        <w:r>
          <w:rPr>
            <w:webHidden/>
          </w:rPr>
          <w:tab/>
        </w:r>
        <w:r>
          <w:rPr>
            <w:webHidden/>
          </w:rPr>
          <w:fldChar w:fldCharType="begin"/>
        </w:r>
        <w:r>
          <w:rPr>
            <w:webHidden/>
          </w:rPr>
          <w:instrText xml:space="preserve"> PAGEREF _Toc211246876 \h </w:instrText>
        </w:r>
        <w:r>
          <w:rPr>
            <w:webHidden/>
          </w:rPr>
        </w:r>
        <w:r>
          <w:rPr>
            <w:webHidden/>
          </w:rPr>
          <w:fldChar w:fldCharType="separate"/>
        </w:r>
        <w:r>
          <w:rPr>
            <w:webHidden/>
          </w:rPr>
          <w:t>23</w:t>
        </w:r>
        <w:r>
          <w:rPr>
            <w:webHidden/>
          </w:rPr>
          <w:fldChar w:fldCharType="end"/>
        </w:r>
      </w:hyperlink>
    </w:p>
    <w:p w14:paraId="3427BD88" w14:textId="6426B996" w:rsidR="00431EA7" w:rsidRDefault="00431EA7">
      <w:pPr>
        <w:pStyle w:val="TOC1"/>
        <w:rPr>
          <w:rFonts w:eastAsiaTheme="minorEastAsia"/>
          <w:b w:val="0"/>
          <w:noProof/>
          <w:kern w:val="2"/>
          <w:sz w:val="24"/>
          <w:szCs w:val="24"/>
          <w:lang w:eastAsia="en-AU"/>
          <w14:ligatures w14:val="standardContextual"/>
        </w:rPr>
      </w:pPr>
      <w:hyperlink w:anchor="_Toc211246878" w:history="1">
        <w:r w:rsidRPr="00481D6E">
          <w:rPr>
            <w:rStyle w:val="Hyperlink"/>
            <w:noProof/>
          </w:rPr>
          <w:t>5.</w:t>
        </w:r>
        <w:r>
          <w:rPr>
            <w:rFonts w:eastAsiaTheme="minorEastAsia"/>
            <w:b w:val="0"/>
            <w:noProof/>
            <w:kern w:val="2"/>
            <w:sz w:val="24"/>
            <w:szCs w:val="24"/>
            <w:lang w:eastAsia="en-AU"/>
            <w14:ligatures w14:val="standardContextual"/>
          </w:rPr>
          <w:tab/>
        </w:r>
        <w:r w:rsidRPr="00481D6E">
          <w:rPr>
            <w:rStyle w:val="Hyperlink"/>
            <w:noProof/>
          </w:rPr>
          <w:t>Requiring minimum information disclosures</w:t>
        </w:r>
        <w:r>
          <w:rPr>
            <w:noProof/>
            <w:webHidden/>
          </w:rPr>
          <w:tab/>
        </w:r>
        <w:r>
          <w:rPr>
            <w:noProof/>
            <w:webHidden/>
          </w:rPr>
          <w:fldChar w:fldCharType="begin"/>
        </w:r>
        <w:r>
          <w:rPr>
            <w:noProof/>
            <w:webHidden/>
          </w:rPr>
          <w:instrText xml:space="preserve"> PAGEREF _Toc211246878 \h </w:instrText>
        </w:r>
        <w:r>
          <w:rPr>
            <w:noProof/>
            <w:webHidden/>
          </w:rPr>
        </w:r>
        <w:r>
          <w:rPr>
            <w:noProof/>
            <w:webHidden/>
          </w:rPr>
          <w:fldChar w:fldCharType="separate"/>
        </w:r>
        <w:r>
          <w:rPr>
            <w:noProof/>
            <w:webHidden/>
          </w:rPr>
          <w:t>25</w:t>
        </w:r>
        <w:r>
          <w:rPr>
            <w:noProof/>
            <w:webHidden/>
          </w:rPr>
          <w:fldChar w:fldCharType="end"/>
        </w:r>
      </w:hyperlink>
    </w:p>
    <w:p w14:paraId="739ECCCA" w14:textId="76FB812F" w:rsidR="00431EA7" w:rsidRDefault="00431EA7">
      <w:pPr>
        <w:pStyle w:val="TOC3"/>
        <w:tabs>
          <w:tab w:val="left" w:pos="1702"/>
        </w:tabs>
        <w:rPr>
          <w:rFonts w:eastAsiaTheme="minorEastAsia"/>
          <w:kern w:val="2"/>
          <w:sz w:val="24"/>
          <w:szCs w:val="24"/>
          <w:lang w:eastAsia="en-AU"/>
          <w14:ligatures w14:val="standardContextual"/>
        </w:rPr>
      </w:pPr>
      <w:hyperlink w:anchor="_Toc211246879" w:history="1">
        <w:r w:rsidRPr="00481D6E">
          <w:rPr>
            <w:rStyle w:val="Hyperlink"/>
          </w:rPr>
          <w:t>5.1</w:t>
        </w:r>
        <w:r>
          <w:rPr>
            <w:rFonts w:eastAsiaTheme="minorEastAsia"/>
            <w:kern w:val="2"/>
            <w:sz w:val="24"/>
            <w:szCs w:val="24"/>
            <w:lang w:eastAsia="en-AU"/>
            <w14:ligatures w14:val="standardContextual"/>
          </w:rPr>
          <w:tab/>
        </w:r>
        <w:r w:rsidRPr="00481D6E">
          <w:rPr>
            <w:rStyle w:val="Hyperlink"/>
          </w:rPr>
          <w:t>Connection policies</w:t>
        </w:r>
        <w:r>
          <w:rPr>
            <w:webHidden/>
          </w:rPr>
          <w:tab/>
        </w:r>
        <w:r>
          <w:rPr>
            <w:webHidden/>
          </w:rPr>
          <w:fldChar w:fldCharType="begin"/>
        </w:r>
        <w:r>
          <w:rPr>
            <w:webHidden/>
          </w:rPr>
          <w:instrText xml:space="preserve"> PAGEREF _Toc211246879 \h </w:instrText>
        </w:r>
        <w:r>
          <w:rPr>
            <w:webHidden/>
          </w:rPr>
        </w:r>
        <w:r>
          <w:rPr>
            <w:webHidden/>
          </w:rPr>
          <w:fldChar w:fldCharType="separate"/>
        </w:r>
        <w:r>
          <w:rPr>
            <w:webHidden/>
          </w:rPr>
          <w:t>25</w:t>
        </w:r>
        <w:r>
          <w:rPr>
            <w:webHidden/>
          </w:rPr>
          <w:fldChar w:fldCharType="end"/>
        </w:r>
      </w:hyperlink>
    </w:p>
    <w:p w14:paraId="1E01CDA3" w14:textId="47DD0B4D" w:rsidR="00431EA7" w:rsidRDefault="00431EA7">
      <w:pPr>
        <w:pStyle w:val="TOC3"/>
        <w:tabs>
          <w:tab w:val="left" w:pos="1702"/>
        </w:tabs>
        <w:rPr>
          <w:rFonts w:eastAsiaTheme="minorEastAsia"/>
          <w:kern w:val="2"/>
          <w:sz w:val="24"/>
          <w:szCs w:val="24"/>
          <w:lang w:eastAsia="en-AU"/>
          <w14:ligatures w14:val="standardContextual"/>
        </w:rPr>
      </w:pPr>
      <w:hyperlink w:anchor="_Toc211246881" w:history="1">
        <w:r w:rsidRPr="00481D6E">
          <w:rPr>
            <w:rStyle w:val="Hyperlink"/>
          </w:rPr>
          <w:t>5.2</w:t>
        </w:r>
        <w:r>
          <w:rPr>
            <w:rFonts w:eastAsiaTheme="minorEastAsia"/>
            <w:kern w:val="2"/>
            <w:sz w:val="24"/>
            <w:szCs w:val="24"/>
            <w:lang w:eastAsia="en-AU"/>
            <w14:ligatures w14:val="standardContextual"/>
          </w:rPr>
          <w:tab/>
        </w:r>
        <w:r w:rsidRPr="00481D6E">
          <w:rPr>
            <w:rStyle w:val="Hyperlink"/>
          </w:rPr>
          <w:t>Information supporting standard NCC proposals</w:t>
        </w:r>
        <w:r>
          <w:rPr>
            <w:webHidden/>
          </w:rPr>
          <w:tab/>
        </w:r>
        <w:r>
          <w:rPr>
            <w:webHidden/>
          </w:rPr>
          <w:fldChar w:fldCharType="begin"/>
        </w:r>
        <w:r>
          <w:rPr>
            <w:webHidden/>
          </w:rPr>
          <w:instrText xml:space="preserve"> PAGEREF _Toc211246881 \h </w:instrText>
        </w:r>
        <w:r>
          <w:rPr>
            <w:webHidden/>
          </w:rPr>
        </w:r>
        <w:r>
          <w:rPr>
            <w:webHidden/>
          </w:rPr>
          <w:fldChar w:fldCharType="separate"/>
        </w:r>
        <w:r>
          <w:rPr>
            <w:webHidden/>
          </w:rPr>
          <w:t>28</w:t>
        </w:r>
        <w:r>
          <w:rPr>
            <w:webHidden/>
          </w:rPr>
          <w:fldChar w:fldCharType="end"/>
        </w:r>
      </w:hyperlink>
    </w:p>
    <w:p w14:paraId="17242D8D" w14:textId="4B704F58" w:rsidR="00431EA7" w:rsidRDefault="00431EA7">
      <w:pPr>
        <w:pStyle w:val="TOC1"/>
        <w:rPr>
          <w:rFonts w:eastAsiaTheme="minorEastAsia"/>
          <w:b w:val="0"/>
          <w:noProof/>
          <w:kern w:val="2"/>
          <w:sz w:val="24"/>
          <w:szCs w:val="24"/>
          <w:lang w:eastAsia="en-AU"/>
          <w14:ligatures w14:val="standardContextual"/>
        </w:rPr>
      </w:pPr>
      <w:hyperlink w:anchor="_Toc211246886" w:history="1">
        <w:r w:rsidRPr="00481D6E">
          <w:rPr>
            <w:rStyle w:val="Hyperlink"/>
            <w:noProof/>
          </w:rPr>
          <w:t>6.</w:t>
        </w:r>
        <w:r>
          <w:rPr>
            <w:rFonts w:eastAsiaTheme="minorEastAsia"/>
            <w:b w:val="0"/>
            <w:noProof/>
            <w:kern w:val="2"/>
            <w:sz w:val="24"/>
            <w:szCs w:val="24"/>
            <w:lang w:eastAsia="en-AU"/>
            <w14:ligatures w14:val="standardContextual"/>
          </w:rPr>
          <w:tab/>
        </w:r>
        <w:r w:rsidRPr="00481D6E">
          <w:rPr>
            <w:rStyle w:val="Hyperlink"/>
            <w:noProof/>
          </w:rPr>
          <w:t>Empowering NCC calculations and negotiations</w:t>
        </w:r>
        <w:r>
          <w:rPr>
            <w:noProof/>
            <w:webHidden/>
          </w:rPr>
          <w:tab/>
        </w:r>
        <w:r>
          <w:rPr>
            <w:noProof/>
            <w:webHidden/>
          </w:rPr>
          <w:fldChar w:fldCharType="begin"/>
        </w:r>
        <w:r>
          <w:rPr>
            <w:noProof/>
            <w:webHidden/>
          </w:rPr>
          <w:instrText xml:space="preserve"> PAGEREF _Toc211246886 \h </w:instrText>
        </w:r>
        <w:r>
          <w:rPr>
            <w:noProof/>
            <w:webHidden/>
          </w:rPr>
        </w:r>
        <w:r>
          <w:rPr>
            <w:noProof/>
            <w:webHidden/>
          </w:rPr>
          <w:fldChar w:fldCharType="separate"/>
        </w:r>
        <w:r>
          <w:rPr>
            <w:noProof/>
            <w:webHidden/>
          </w:rPr>
          <w:t>31</w:t>
        </w:r>
        <w:r>
          <w:rPr>
            <w:noProof/>
            <w:webHidden/>
          </w:rPr>
          <w:fldChar w:fldCharType="end"/>
        </w:r>
      </w:hyperlink>
    </w:p>
    <w:p w14:paraId="61F4417A" w14:textId="65FCB3F1" w:rsidR="00431EA7" w:rsidRDefault="00431EA7">
      <w:pPr>
        <w:pStyle w:val="TOC3"/>
        <w:tabs>
          <w:tab w:val="left" w:pos="1702"/>
        </w:tabs>
        <w:rPr>
          <w:rFonts w:eastAsiaTheme="minorEastAsia"/>
          <w:kern w:val="2"/>
          <w:sz w:val="24"/>
          <w:szCs w:val="24"/>
          <w:lang w:eastAsia="en-AU"/>
          <w14:ligatures w14:val="standardContextual"/>
        </w:rPr>
      </w:pPr>
      <w:hyperlink w:anchor="_Toc211246887" w:history="1">
        <w:r w:rsidRPr="00481D6E">
          <w:rPr>
            <w:rStyle w:val="Hyperlink"/>
          </w:rPr>
          <w:t>6.1</w:t>
        </w:r>
        <w:r>
          <w:rPr>
            <w:rFonts w:eastAsiaTheme="minorEastAsia"/>
            <w:kern w:val="2"/>
            <w:sz w:val="24"/>
            <w:szCs w:val="24"/>
            <w:lang w:eastAsia="en-AU"/>
            <w14:ligatures w14:val="standardContextual"/>
          </w:rPr>
          <w:tab/>
        </w:r>
        <w:r w:rsidRPr="00481D6E">
          <w:rPr>
            <w:rStyle w:val="Hyperlink"/>
          </w:rPr>
          <w:t>NCC calculation models</w:t>
        </w:r>
        <w:r>
          <w:rPr>
            <w:webHidden/>
          </w:rPr>
          <w:tab/>
        </w:r>
        <w:r>
          <w:rPr>
            <w:webHidden/>
          </w:rPr>
          <w:fldChar w:fldCharType="begin"/>
        </w:r>
        <w:r>
          <w:rPr>
            <w:webHidden/>
          </w:rPr>
          <w:instrText xml:space="preserve"> PAGEREF _Toc211246887 \h </w:instrText>
        </w:r>
        <w:r>
          <w:rPr>
            <w:webHidden/>
          </w:rPr>
        </w:r>
        <w:r>
          <w:rPr>
            <w:webHidden/>
          </w:rPr>
          <w:fldChar w:fldCharType="separate"/>
        </w:r>
        <w:r>
          <w:rPr>
            <w:webHidden/>
          </w:rPr>
          <w:t>31</w:t>
        </w:r>
        <w:r>
          <w:rPr>
            <w:webHidden/>
          </w:rPr>
          <w:fldChar w:fldCharType="end"/>
        </w:r>
      </w:hyperlink>
    </w:p>
    <w:p w14:paraId="7280DB8E" w14:textId="721648E0" w:rsidR="00431EA7" w:rsidRDefault="00431EA7">
      <w:pPr>
        <w:pStyle w:val="TOC3"/>
        <w:tabs>
          <w:tab w:val="left" w:pos="1702"/>
        </w:tabs>
        <w:rPr>
          <w:rFonts w:eastAsiaTheme="minorEastAsia"/>
          <w:kern w:val="2"/>
          <w:sz w:val="24"/>
          <w:szCs w:val="24"/>
          <w:lang w:eastAsia="en-AU"/>
          <w14:ligatures w14:val="standardContextual"/>
        </w:rPr>
      </w:pPr>
      <w:hyperlink w:anchor="_Toc211246888" w:history="1">
        <w:r w:rsidRPr="00481D6E">
          <w:rPr>
            <w:rStyle w:val="Hyperlink"/>
          </w:rPr>
          <w:t>6.2</w:t>
        </w:r>
        <w:r>
          <w:rPr>
            <w:rFonts w:eastAsiaTheme="minorEastAsia"/>
            <w:kern w:val="2"/>
            <w:sz w:val="24"/>
            <w:szCs w:val="24"/>
            <w:lang w:eastAsia="en-AU"/>
            <w14:ligatures w14:val="standardContextual"/>
          </w:rPr>
          <w:tab/>
        </w:r>
        <w:r w:rsidRPr="00481D6E">
          <w:rPr>
            <w:rStyle w:val="Hyperlink"/>
          </w:rPr>
          <w:t>Examples of cost estimation methods</w:t>
        </w:r>
        <w:r>
          <w:rPr>
            <w:webHidden/>
          </w:rPr>
          <w:tab/>
        </w:r>
        <w:r>
          <w:rPr>
            <w:webHidden/>
          </w:rPr>
          <w:fldChar w:fldCharType="begin"/>
        </w:r>
        <w:r>
          <w:rPr>
            <w:webHidden/>
          </w:rPr>
          <w:instrText xml:space="preserve"> PAGEREF _Toc211246888 \h </w:instrText>
        </w:r>
        <w:r>
          <w:rPr>
            <w:webHidden/>
          </w:rPr>
        </w:r>
        <w:r>
          <w:rPr>
            <w:webHidden/>
          </w:rPr>
          <w:fldChar w:fldCharType="separate"/>
        </w:r>
        <w:r>
          <w:rPr>
            <w:webHidden/>
          </w:rPr>
          <w:t>31</w:t>
        </w:r>
        <w:r>
          <w:rPr>
            <w:webHidden/>
          </w:rPr>
          <w:fldChar w:fldCharType="end"/>
        </w:r>
      </w:hyperlink>
    </w:p>
    <w:p w14:paraId="5473C88D" w14:textId="21CA4511" w:rsidR="00431EA7" w:rsidRDefault="00431EA7">
      <w:pPr>
        <w:pStyle w:val="TOC3"/>
        <w:tabs>
          <w:tab w:val="left" w:pos="1702"/>
        </w:tabs>
        <w:rPr>
          <w:rFonts w:eastAsiaTheme="minorEastAsia"/>
          <w:kern w:val="2"/>
          <w:sz w:val="24"/>
          <w:szCs w:val="24"/>
          <w:lang w:eastAsia="en-AU"/>
          <w14:ligatures w14:val="standardContextual"/>
        </w:rPr>
      </w:pPr>
      <w:hyperlink w:anchor="_Toc211246889" w:history="1">
        <w:r w:rsidRPr="00481D6E">
          <w:rPr>
            <w:rStyle w:val="Hyperlink"/>
          </w:rPr>
          <w:t>6.3</w:t>
        </w:r>
        <w:r>
          <w:rPr>
            <w:rFonts w:eastAsiaTheme="minorEastAsia"/>
            <w:kern w:val="2"/>
            <w:sz w:val="24"/>
            <w:szCs w:val="24"/>
            <w:lang w:eastAsia="en-AU"/>
            <w14:ligatures w14:val="standardContextual"/>
          </w:rPr>
          <w:tab/>
        </w:r>
        <w:r w:rsidRPr="00481D6E">
          <w:rPr>
            <w:rStyle w:val="Hyperlink"/>
          </w:rPr>
          <w:t>Including calculation methods and inputs in negotiating frameworks</w:t>
        </w:r>
        <w:r>
          <w:rPr>
            <w:webHidden/>
          </w:rPr>
          <w:tab/>
        </w:r>
        <w:r>
          <w:rPr>
            <w:webHidden/>
          </w:rPr>
          <w:fldChar w:fldCharType="begin"/>
        </w:r>
        <w:r>
          <w:rPr>
            <w:webHidden/>
          </w:rPr>
          <w:instrText xml:space="preserve"> PAGEREF _Toc211246889 \h </w:instrText>
        </w:r>
        <w:r>
          <w:rPr>
            <w:webHidden/>
          </w:rPr>
        </w:r>
        <w:r>
          <w:rPr>
            <w:webHidden/>
          </w:rPr>
          <w:fldChar w:fldCharType="separate"/>
        </w:r>
        <w:r>
          <w:rPr>
            <w:webHidden/>
          </w:rPr>
          <w:t>33</w:t>
        </w:r>
        <w:r>
          <w:rPr>
            <w:webHidden/>
          </w:rPr>
          <w:fldChar w:fldCharType="end"/>
        </w:r>
      </w:hyperlink>
    </w:p>
    <w:p w14:paraId="04D19C20" w14:textId="3B25D65E" w:rsidR="00431EA7" w:rsidRDefault="00431EA7">
      <w:pPr>
        <w:pStyle w:val="TOC1"/>
        <w:rPr>
          <w:rFonts w:eastAsiaTheme="minorEastAsia"/>
          <w:b w:val="0"/>
          <w:noProof/>
          <w:kern w:val="2"/>
          <w:sz w:val="24"/>
          <w:szCs w:val="24"/>
          <w:lang w:eastAsia="en-AU"/>
          <w14:ligatures w14:val="standardContextual"/>
        </w:rPr>
      </w:pPr>
      <w:hyperlink w:anchor="_Toc211246891" w:history="1">
        <w:r w:rsidRPr="00481D6E">
          <w:rPr>
            <w:rStyle w:val="Hyperlink"/>
            <w:noProof/>
          </w:rPr>
          <w:t>7.</w:t>
        </w:r>
        <w:r>
          <w:rPr>
            <w:rFonts w:eastAsiaTheme="minorEastAsia"/>
            <w:b w:val="0"/>
            <w:noProof/>
            <w:kern w:val="2"/>
            <w:sz w:val="24"/>
            <w:szCs w:val="24"/>
            <w:lang w:eastAsia="en-AU"/>
            <w14:ligatures w14:val="standardContextual"/>
          </w:rPr>
          <w:tab/>
        </w:r>
        <w:r w:rsidRPr="00481D6E">
          <w:rPr>
            <w:rStyle w:val="Hyperlink"/>
            <w:noProof/>
          </w:rPr>
          <w:t>Encouraging advanced practice</w:t>
        </w:r>
        <w:r>
          <w:rPr>
            <w:noProof/>
            <w:webHidden/>
          </w:rPr>
          <w:tab/>
        </w:r>
        <w:r>
          <w:rPr>
            <w:noProof/>
            <w:webHidden/>
          </w:rPr>
          <w:fldChar w:fldCharType="begin"/>
        </w:r>
        <w:r>
          <w:rPr>
            <w:noProof/>
            <w:webHidden/>
          </w:rPr>
          <w:instrText xml:space="preserve"> PAGEREF _Toc211246891 \h </w:instrText>
        </w:r>
        <w:r>
          <w:rPr>
            <w:noProof/>
            <w:webHidden/>
          </w:rPr>
        </w:r>
        <w:r>
          <w:rPr>
            <w:noProof/>
            <w:webHidden/>
          </w:rPr>
          <w:fldChar w:fldCharType="separate"/>
        </w:r>
        <w:r>
          <w:rPr>
            <w:noProof/>
            <w:webHidden/>
          </w:rPr>
          <w:t>34</w:t>
        </w:r>
        <w:r>
          <w:rPr>
            <w:noProof/>
            <w:webHidden/>
          </w:rPr>
          <w:fldChar w:fldCharType="end"/>
        </w:r>
      </w:hyperlink>
    </w:p>
    <w:p w14:paraId="785F20E8" w14:textId="79B05C8A" w:rsidR="00431EA7" w:rsidRDefault="00431EA7">
      <w:pPr>
        <w:pStyle w:val="TOC3"/>
        <w:tabs>
          <w:tab w:val="left" w:pos="1702"/>
        </w:tabs>
        <w:rPr>
          <w:rFonts w:eastAsiaTheme="minorEastAsia"/>
          <w:kern w:val="2"/>
          <w:sz w:val="24"/>
          <w:szCs w:val="24"/>
          <w:lang w:eastAsia="en-AU"/>
          <w14:ligatures w14:val="standardContextual"/>
        </w:rPr>
      </w:pPr>
      <w:hyperlink w:anchor="_Toc211246892" w:history="1">
        <w:r w:rsidRPr="00481D6E">
          <w:rPr>
            <w:rStyle w:val="Hyperlink"/>
          </w:rPr>
          <w:t>7.1</w:t>
        </w:r>
        <w:r>
          <w:rPr>
            <w:rFonts w:eastAsiaTheme="minorEastAsia"/>
            <w:kern w:val="2"/>
            <w:sz w:val="24"/>
            <w:szCs w:val="24"/>
            <w:lang w:eastAsia="en-AU"/>
            <w14:ligatures w14:val="standardContextual"/>
          </w:rPr>
          <w:tab/>
        </w:r>
        <w:r w:rsidRPr="00481D6E">
          <w:rPr>
            <w:rStyle w:val="Hyperlink"/>
          </w:rPr>
          <w:t>NCCs are an integral part of our PREMO framework</w:t>
        </w:r>
        <w:r>
          <w:rPr>
            <w:webHidden/>
          </w:rPr>
          <w:tab/>
        </w:r>
        <w:r>
          <w:rPr>
            <w:webHidden/>
          </w:rPr>
          <w:fldChar w:fldCharType="begin"/>
        </w:r>
        <w:r>
          <w:rPr>
            <w:webHidden/>
          </w:rPr>
          <w:instrText xml:space="preserve"> PAGEREF _Toc211246892 \h </w:instrText>
        </w:r>
        <w:r>
          <w:rPr>
            <w:webHidden/>
          </w:rPr>
        </w:r>
        <w:r>
          <w:rPr>
            <w:webHidden/>
          </w:rPr>
          <w:fldChar w:fldCharType="separate"/>
        </w:r>
        <w:r>
          <w:rPr>
            <w:webHidden/>
          </w:rPr>
          <w:t>34</w:t>
        </w:r>
        <w:r>
          <w:rPr>
            <w:webHidden/>
          </w:rPr>
          <w:fldChar w:fldCharType="end"/>
        </w:r>
      </w:hyperlink>
    </w:p>
    <w:p w14:paraId="747E67B4" w14:textId="5A997AE3" w:rsidR="00431EA7" w:rsidRDefault="00431EA7">
      <w:pPr>
        <w:pStyle w:val="TOC3"/>
        <w:tabs>
          <w:tab w:val="left" w:pos="1702"/>
        </w:tabs>
        <w:rPr>
          <w:rFonts w:eastAsiaTheme="minorEastAsia"/>
          <w:kern w:val="2"/>
          <w:sz w:val="24"/>
          <w:szCs w:val="24"/>
          <w:lang w:eastAsia="en-AU"/>
          <w14:ligatures w14:val="standardContextual"/>
        </w:rPr>
      </w:pPr>
      <w:hyperlink w:anchor="_Toc211246893" w:history="1">
        <w:r w:rsidRPr="00481D6E">
          <w:rPr>
            <w:rStyle w:val="Hyperlink"/>
          </w:rPr>
          <w:t>7.2</w:t>
        </w:r>
        <w:r>
          <w:rPr>
            <w:rFonts w:eastAsiaTheme="minorEastAsia"/>
            <w:kern w:val="2"/>
            <w:sz w:val="24"/>
            <w:szCs w:val="24"/>
            <w:lang w:eastAsia="en-AU"/>
            <w14:ligatures w14:val="standardContextual"/>
          </w:rPr>
          <w:tab/>
        </w:r>
        <w:r w:rsidRPr="00481D6E">
          <w:rPr>
            <w:rStyle w:val="Hyperlink"/>
          </w:rPr>
          <w:t>Linking PREMO ratings to better NCC practices</w:t>
        </w:r>
        <w:r>
          <w:rPr>
            <w:webHidden/>
          </w:rPr>
          <w:tab/>
        </w:r>
        <w:r>
          <w:rPr>
            <w:webHidden/>
          </w:rPr>
          <w:fldChar w:fldCharType="begin"/>
        </w:r>
        <w:r>
          <w:rPr>
            <w:webHidden/>
          </w:rPr>
          <w:instrText xml:space="preserve"> PAGEREF _Toc211246893 \h </w:instrText>
        </w:r>
        <w:r>
          <w:rPr>
            <w:webHidden/>
          </w:rPr>
        </w:r>
        <w:r>
          <w:rPr>
            <w:webHidden/>
          </w:rPr>
          <w:fldChar w:fldCharType="separate"/>
        </w:r>
        <w:r>
          <w:rPr>
            <w:webHidden/>
          </w:rPr>
          <w:t>35</w:t>
        </w:r>
        <w:r>
          <w:rPr>
            <w:webHidden/>
          </w:rPr>
          <w:fldChar w:fldCharType="end"/>
        </w:r>
      </w:hyperlink>
    </w:p>
    <w:p w14:paraId="15557319" w14:textId="13DDF58C" w:rsidR="00431EA7" w:rsidRDefault="00431EA7">
      <w:pPr>
        <w:pStyle w:val="TOC1"/>
        <w:rPr>
          <w:rFonts w:eastAsiaTheme="minorEastAsia"/>
          <w:b w:val="0"/>
          <w:noProof/>
          <w:kern w:val="2"/>
          <w:sz w:val="24"/>
          <w:szCs w:val="24"/>
          <w:lang w:eastAsia="en-AU"/>
          <w14:ligatures w14:val="standardContextual"/>
        </w:rPr>
      </w:pPr>
      <w:hyperlink w:anchor="_Toc211246897" w:history="1">
        <w:r w:rsidRPr="00481D6E">
          <w:rPr>
            <w:rStyle w:val="Hyperlink"/>
            <w:noProof/>
          </w:rPr>
          <w:t>8.</w:t>
        </w:r>
        <w:r>
          <w:rPr>
            <w:rFonts w:eastAsiaTheme="minorEastAsia"/>
            <w:b w:val="0"/>
            <w:noProof/>
            <w:kern w:val="2"/>
            <w:sz w:val="24"/>
            <w:szCs w:val="24"/>
            <w:lang w:eastAsia="en-AU"/>
            <w14:ligatures w14:val="standardContextual"/>
          </w:rPr>
          <w:tab/>
        </w:r>
        <w:r w:rsidRPr="00481D6E">
          <w:rPr>
            <w:rStyle w:val="Hyperlink"/>
            <w:noProof/>
          </w:rPr>
          <w:t>Monitoring NCC implementation</w:t>
        </w:r>
        <w:r>
          <w:rPr>
            <w:noProof/>
            <w:webHidden/>
          </w:rPr>
          <w:tab/>
        </w:r>
        <w:r>
          <w:rPr>
            <w:noProof/>
            <w:webHidden/>
          </w:rPr>
          <w:fldChar w:fldCharType="begin"/>
        </w:r>
        <w:r>
          <w:rPr>
            <w:noProof/>
            <w:webHidden/>
          </w:rPr>
          <w:instrText xml:space="preserve"> PAGEREF _Toc211246897 \h </w:instrText>
        </w:r>
        <w:r>
          <w:rPr>
            <w:noProof/>
            <w:webHidden/>
          </w:rPr>
        </w:r>
        <w:r>
          <w:rPr>
            <w:noProof/>
            <w:webHidden/>
          </w:rPr>
          <w:fldChar w:fldCharType="separate"/>
        </w:r>
        <w:r>
          <w:rPr>
            <w:noProof/>
            <w:webHidden/>
          </w:rPr>
          <w:t>37</w:t>
        </w:r>
        <w:r>
          <w:rPr>
            <w:noProof/>
            <w:webHidden/>
          </w:rPr>
          <w:fldChar w:fldCharType="end"/>
        </w:r>
      </w:hyperlink>
    </w:p>
    <w:p w14:paraId="0A2D47B9" w14:textId="3C32DB2B" w:rsidR="00431EA7" w:rsidRDefault="00431EA7">
      <w:pPr>
        <w:pStyle w:val="TOC3"/>
        <w:tabs>
          <w:tab w:val="left" w:pos="1702"/>
        </w:tabs>
        <w:rPr>
          <w:rFonts w:eastAsiaTheme="minorEastAsia"/>
          <w:kern w:val="2"/>
          <w:sz w:val="24"/>
          <w:szCs w:val="24"/>
          <w:lang w:eastAsia="en-AU"/>
          <w14:ligatures w14:val="standardContextual"/>
        </w:rPr>
      </w:pPr>
      <w:hyperlink w:anchor="_Toc211246898" w:history="1">
        <w:r w:rsidRPr="00481D6E">
          <w:rPr>
            <w:rStyle w:val="Hyperlink"/>
          </w:rPr>
          <w:t>8.1</w:t>
        </w:r>
        <w:r>
          <w:rPr>
            <w:rFonts w:eastAsiaTheme="minorEastAsia"/>
            <w:kern w:val="2"/>
            <w:sz w:val="24"/>
            <w:szCs w:val="24"/>
            <w:lang w:eastAsia="en-AU"/>
            <w14:ligatures w14:val="standardContextual"/>
          </w:rPr>
          <w:tab/>
        </w:r>
        <w:r w:rsidRPr="00481D6E">
          <w:rPr>
            <w:rStyle w:val="Hyperlink"/>
          </w:rPr>
          <w:t>Annual disclosure requirements</w:t>
        </w:r>
        <w:r>
          <w:rPr>
            <w:webHidden/>
          </w:rPr>
          <w:tab/>
        </w:r>
        <w:r>
          <w:rPr>
            <w:webHidden/>
          </w:rPr>
          <w:fldChar w:fldCharType="begin"/>
        </w:r>
        <w:r>
          <w:rPr>
            <w:webHidden/>
          </w:rPr>
          <w:instrText xml:space="preserve"> PAGEREF _Toc211246898 \h </w:instrText>
        </w:r>
        <w:r>
          <w:rPr>
            <w:webHidden/>
          </w:rPr>
        </w:r>
        <w:r>
          <w:rPr>
            <w:webHidden/>
          </w:rPr>
          <w:fldChar w:fldCharType="separate"/>
        </w:r>
        <w:r>
          <w:rPr>
            <w:webHidden/>
          </w:rPr>
          <w:t>37</w:t>
        </w:r>
        <w:r>
          <w:rPr>
            <w:webHidden/>
          </w:rPr>
          <w:fldChar w:fldCharType="end"/>
        </w:r>
      </w:hyperlink>
    </w:p>
    <w:p w14:paraId="06253C2F" w14:textId="01D73E71" w:rsidR="00431EA7" w:rsidRDefault="00431EA7">
      <w:pPr>
        <w:pStyle w:val="TOC3"/>
        <w:tabs>
          <w:tab w:val="left" w:pos="1702"/>
        </w:tabs>
        <w:rPr>
          <w:rFonts w:eastAsiaTheme="minorEastAsia"/>
          <w:kern w:val="2"/>
          <w:sz w:val="24"/>
          <w:szCs w:val="24"/>
          <w:lang w:eastAsia="en-AU"/>
          <w14:ligatures w14:val="standardContextual"/>
        </w:rPr>
      </w:pPr>
      <w:hyperlink w:anchor="_Toc211246899" w:history="1">
        <w:r w:rsidRPr="00481D6E">
          <w:rPr>
            <w:rStyle w:val="Hyperlink"/>
          </w:rPr>
          <w:t>8.2</w:t>
        </w:r>
        <w:r>
          <w:rPr>
            <w:rFonts w:eastAsiaTheme="minorEastAsia"/>
            <w:kern w:val="2"/>
            <w:sz w:val="24"/>
            <w:szCs w:val="24"/>
            <w:lang w:eastAsia="en-AU"/>
            <w14:ligatures w14:val="standardContextual"/>
          </w:rPr>
          <w:tab/>
        </w:r>
        <w:r w:rsidRPr="00481D6E">
          <w:rPr>
            <w:rStyle w:val="Hyperlink"/>
          </w:rPr>
          <w:t>Comparative performance commentary</w:t>
        </w:r>
        <w:r>
          <w:rPr>
            <w:webHidden/>
          </w:rPr>
          <w:tab/>
        </w:r>
        <w:r>
          <w:rPr>
            <w:webHidden/>
          </w:rPr>
          <w:fldChar w:fldCharType="begin"/>
        </w:r>
        <w:r>
          <w:rPr>
            <w:webHidden/>
          </w:rPr>
          <w:instrText xml:space="preserve"> PAGEREF _Toc211246899 \h </w:instrText>
        </w:r>
        <w:r>
          <w:rPr>
            <w:webHidden/>
          </w:rPr>
        </w:r>
        <w:r>
          <w:rPr>
            <w:webHidden/>
          </w:rPr>
          <w:fldChar w:fldCharType="separate"/>
        </w:r>
        <w:r>
          <w:rPr>
            <w:webHidden/>
          </w:rPr>
          <w:t>37</w:t>
        </w:r>
        <w:r>
          <w:rPr>
            <w:webHidden/>
          </w:rPr>
          <w:fldChar w:fldCharType="end"/>
        </w:r>
      </w:hyperlink>
    </w:p>
    <w:p w14:paraId="5D827E7C" w14:textId="76F8DD40" w:rsidR="00431EA7" w:rsidRDefault="00431EA7">
      <w:pPr>
        <w:pStyle w:val="TOC1"/>
        <w:rPr>
          <w:rFonts w:eastAsiaTheme="minorEastAsia"/>
          <w:b w:val="0"/>
          <w:noProof/>
          <w:kern w:val="2"/>
          <w:sz w:val="24"/>
          <w:szCs w:val="24"/>
          <w:lang w:eastAsia="en-AU"/>
          <w14:ligatures w14:val="standardContextual"/>
        </w:rPr>
      </w:pPr>
      <w:hyperlink w:anchor="_Toc211246900" w:history="1">
        <w:r w:rsidRPr="00481D6E">
          <w:rPr>
            <w:rStyle w:val="Hyperlink"/>
            <w:noProof/>
          </w:rPr>
          <w:t>Appendix A – Glossary</w:t>
        </w:r>
        <w:r>
          <w:rPr>
            <w:noProof/>
            <w:webHidden/>
          </w:rPr>
          <w:tab/>
        </w:r>
        <w:r>
          <w:rPr>
            <w:noProof/>
            <w:webHidden/>
          </w:rPr>
          <w:fldChar w:fldCharType="begin"/>
        </w:r>
        <w:r>
          <w:rPr>
            <w:noProof/>
            <w:webHidden/>
          </w:rPr>
          <w:instrText xml:space="preserve"> PAGEREF _Toc211246900 \h </w:instrText>
        </w:r>
        <w:r>
          <w:rPr>
            <w:noProof/>
            <w:webHidden/>
          </w:rPr>
        </w:r>
        <w:r>
          <w:rPr>
            <w:noProof/>
            <w:webHidden/>
          </w:rPr>
          <w:fldChar w:fldCharType="separate"/>
        </w:r>
        <w:r>
          <w:rPr>
            <w:noProof/>
            <w:webHidden/>
          </w:rPr>
          <w:t>38</w:t>
        </w:r>
        <w:r>
          <w:rPr>
            <w:noProof/>
            <w:webHidden/>
          </w:rPr>
          <w:fldChar w:fldCharType="end"/>
        </w:r>
      </w:hyperlink>
    </w:p>
    <w:p w14:paraId="723B49B7" w14:textId="5271494D" w:rsidR="00431EA7" w:rsidRDefault="00431EA7">
      <w:pPr>
        <w:pStyle w:val="TOC1"/>
        <w:rPr>
          <w:rFonts w:eastAsiaTheme="minorEastAsia"/>
          <w:b w:val="0"/>
          <w:noProof/>
          <w:kern w:val="2"/>
          <w:sz w:val="24"/>
          <w:szCs w:val="24"/>
          <w:lang w:eastAsia="en-AU"/>
          <w14:ligatures w14:val="standardContextual"/>
        </w:rPr>
      </w:pPr>
      <w:hyperlink w:anchor="_Toc211246901" w:history="1">
        <w:r w:rsidRPr="00481D6E">
          <w:rPr>
            <w:rStyle w:val="Hyperlink"/>
            <w:noProof/>
          </w:rPr>
          <w:t>Appendix B – Suggested minimum content for a Development Servicing Plan</w:t>
        </w:r>
        <w:r>
          <w:rPr>
            <w:noProof/>
            <w:webHidden/>
          </w:rPr>
          <w:tab/>
        </w:r>
        <w:r>
          <w:rPr>
            <w:noProof/>
            <w:webHidden/>
          </w:rPr>
          <w:fldChar w:fldCharType="begin"/>
        </w:r>
        <w:r>
          <w:rPr>
            <w:noProof/>
            <w:webHidden/>
          </w:rPr>
          <w:instrText xml:space="preserve"> PAGEREF _Toc211246901 \h </w:instrText>
        </w:r>
        <w:r>
          <w:rPr>
            <w:noProof/>
            <w:webHidden/>
          </w:rPr>
        </w:r>
        <w:r>
          <w:rPr>
            <w:noProof/>
            <w:webHidden/>
          </w:rPr>
          <w:fldChar w:fldCharType="separate"/>
        </w:r>
        <w:r>
          <w:rPr>
            <w:noProof/>
            <w:webHidden/>
          </w:rPr>
          <w:t>42</w:t>
        </w:r>
        <w:r>
          <w:rPr>
            <w:noProof/>
            <w:webHidden/>
          </w:rPr>
          <w:fldChar w:fldCharType="end"/>
        </w:r>
      </w:hyperlink>
    </w:p>
    <w:p w14:paraId="28698638" w14:textId="6787D62F" w:rsidR="00D3670C" w:rsidRDefault="00782E55" w:rsidP="00D3670C">
      <w:r>
        <w:rPr>
          <w:color w:val="236192" w:themeColor="accent1"/>
        </w:rPr>
        <w:fldChar w:fldCharType="end"/>
      </w:r>
    </w:p>
    <w:p w14:paraId="734ED0D5" w14:textId="77777777" w:rsidR="003A30F3" w:rsidRDefault="003A30F3" w:rsidP="003A30F3"/>
    <w:p w14:paraId="31AE67F4" w14:textId="77777777" w:rsidR="003A30F3" w:rsidRPr="003A30F3" w:rsidRDefault="003A30F3" w:rsidP="003A30F3">
      <w:pPr>
        <w:sectPr w:rsidR="003A30F3" w:rsidRPr="003A30F3" w:rsidSect="00A236AB">
          <w:footerReference w:type="default" r:id="rId23"/>
          <w:type w:val="continuous"/>
          <w:pgSz w:w="11906" w:h="16838" w:code="9"/>
          <w:pgMar w:top="1134" w:right="1558" w:bottom="1134" w:left="1134" w:header="709" w:footer="692" w:gutter="0"/>
          <w:pgNumType w:fmt="lowerRoman"/>
          <w:cols w:space="708"/>
          <w:docGrid w:linePitch="360"/>
        </w:sectPr>
      </w:pPr>
    </w:p>
    <w:p w14:paraId="2AF23B17" w14:textId="77777777" w:rsidR="0050713E" w:rsidRPr="0051518A" w:rsidRDefault="00C70558" w:rsidP="0051518A">
      <w:pPr>
        <w:pStyle w:val="Heading1numbered"/>
      </w:pPr>
      <w:bookmarkStart w:id="10" w:name="_Toc211246835"/>
      <w:bookmarkStart w:id="11" w:name="_Toc210127575"/>
      <w:r w:rsidRPr="0051518A">
        <w:t>Executive summary</w:t>
      </w:r>
      <w:bookmarkEnd w:id="10"/>
    </w:p>
    <w:p w14:paraId="283E798E" w14:textId="0CB6C1D2" w:rsidR="004023FF" w:rsidRDefault="004023FF" w:rsidP="00566442">
      <w:r>
        <w:t xml:space="preserve">The development of this </w:t>
      </w:r>
      <w:r w:rsidRPr="00F62B73">
        <w:rPr>
          <w:i/>
          <w:iCs/>
        </w:rPr>
        <w:t xml:space="preserve">Draft New Customer Contributions (NCCs) </w:t>
      </w:r>
      <w:r w:rsidR="00F62B73">
        <w:rPr>
          <w:i/>
          <w:iCs/>
        </w:rPr>
        <w:t>F</w:t>
      </w:r>
      <w:r w:rsidRPr="00F62B73">
        <w:rPr>
          <w:i/>
          <w:iCs/>
        </w:rPr>
        <w:t>ramework</w:t>
      </w:r>
      <w:r>
        <w:t xml:space="preserve"> paper arose due to several issues the </w:t>
      </w:r>
      <w:r w:rsidR="00375B41" w:rsidRPr="00D42E85">
        <w:t>Essential Services Commission (</w:t>
      </w:r>
      <w:r w:rsidRPr="00D42E85">
        <w:t>commission</w:t>
      </w:r>
      <w:r w:rsidR="00375B41" w:rsidRPr="00D42E85">
        <w:t>) has</w:t>
      </w:r>
      <w:r>
        <w:t xml:space="preserve"> </w:t>
      </w:r>
      <w:proofErr w:type="gramStart"/>
      <w:r>
        <w:t>observed</w:t>
      </w:r>
      <w:proofErr w:type="gramEnd"/>
      <w:r>
        <w:t xml:space="preserve"> </w:t>
      </w:r>
      <w:r w:rsidR="00E51816">
        <w:t>in relation to the implementation of NCCs</w:t>
      </w:r>
      <w:r>
        <w:t xml:space="preserve">. </w:t>
      </w:r>
    </w:p>
    <w:p w14:paraId="7FCA06FC" w14:textId="0D30EBA3" w:rsidR="004023FF" w:rsidRDefault="004023FF" w:rsidP="004023FF">
      <w:r>
        <w:t xml:space="preserve">Following the feedback received </w:t>
      </w:r>
      <w:r w:rsidR="006B14E2">
        <w:t>during</w:t>
      </w:r>
      <w:r>
        <w:t xml:space="preserve"> the NCC review</w:t>
      </w:r>
      <w:r w:rsidR="006B14E2">
        <w:t xml:space="preserve"> over 2024 and 2025</w:t>
      </w:r>
      <w:r>
        <w:t>, the commission is introducing new measures to address these issues, as follows:</w:t>
      </w:r>
    </w:p>
    <w:p w14:paraId="047AFFEA" w14:textId="6445317D" w:rsidR="004023FF" w:rsidRDefault="004023FF" w:rsidP="00B935A7">
      <w:pPr>
        <w:pStyle w:val="ListBullet"/>
      </w:pPr>
      <w:r w:rsidRPr="00B935A7">
        <w:rPr>
          <w:b/>
          <w:bCs/>
        </w:rPr>
        <w:t>Clarify</w:t>
      </w:r>
      <w:r>
        <w:t xml:space="preserve"> aspects of regime operation </w:t>
      </w:r>
    </w:p>
    <w:p w14:paraId="7DB86BFA" w14:textId="04DA7B2B" w:rsidR="004023FF" w:rsidRDefault="004023FF" w:rsidP="00B935A7">
      <w:pPr>
        <w:pStyle w:val="ListBullet"/>
      </w:pPr>
      <w:r w:rsidRPr="00B935A7">
        <w:rPr>
          <w:b/>
          <w:bCs/>
        </w:rPr>
        <w:t>Require</w:t>
      </w:r>
      <w:r>
        <w:t xml:space="preserve"> minimum disclosures that support transparent and efficient NCC administration and negotiations </w:t>
      </w:r>
    </w:p>
    <w:p w14:paraId="271349F6" w14:textId="273BF305" w:rsidR="004023FF" w:rsidRDefault="004023FF" w:rsidP="00B935A7">
      <w:pPr>
        <w:pStyle w:val="ListBullet"/>
      </w:pPr>
      <w:r w:rsidRPr="00B935A7">
        <w:rPr>
          <w:b/>
          <w:bCs/>
        </w:rPr>
        <w:t>Empower</w:t>
      </w:r>
      <w:r>
        <w:t xml:space="preserve"> suitably informed NCC calculations and negotiations </w:t>
      </w:r>
    </w:p>
    <w:p w14:paraId="2A092AD3" w14:textId="4C3D98A4" w:rsidR="004023FF" w:rsidRDefault="004023FF" w:rsidP="00B935A7">
      <w:pPr>
        <w:pStyle w:val="ListBullet"/>
      </w:pPr>
      <w:r w:rsidRPr="00B935A7">
        <w:rPr>
          <w:b/>
          <w:bCs/>
        </w:rPr>
        <w:t>Encourage</w:t>
      </w:r>
      <w:r>
        <w:t xml:space="preserve"> leading practice via links to PREMO ambition ratings </w:t>
      </w:r>
    </w:p>
    <w:p w14:paraId="3CBCACEE" w14:textId="6B51E2CA" w:rsidR="004023FF" w:rsidRDefault="004023FF" w:rsidP="00B935A7">
      <w:pPr>
        <w:pStyle w:val="ListBullet"/>
      </w:pPr>
      <w:r w:rsidRPr="00B935A7">
        <w:rPr>
          <w:b/>
          <w:bCs/>
        </w:rPr>
        <w:t>Monitor</w:t>
      </w:r>
      <w:r>
        <w:t xml:space="preserve"> and </w:t>
      </w:r>
      <w:proofErr w:type="gramStart"/>
      <w:r>
        <w:t>disclose</w:t>
      </w:r>
      <w:proofErr w:type="gramEnd"/>
      <w:r>
        <w:t xml:space="preserve"> key NCC metrics</w:t>
      </w:r>
      <w:r w:rsidR="00375B41">
        <w:t>.</w:t>
      </w:r>
      <w:r>
        <w:t xml:space="preserve"> </w:t>
      </w:r>
    </w:p>
    <w:p w14:paraId="2D42FCDB" w14:textId="1F2BBF8A" w:rsidR="004023FF" w:rsidRDefault="004023FF" w:rsidP="004023FF">
      <w:r>
        <w:t xml:space="preserve">An overview of how this draft </w:t>
      </w:r>
      <w:r w:rsidR="005949F4">
        <w:t>F</w:t>
      </w:r>
      <w:r>
        <w:t xml:space="preserve">ramework addresses each issue, </w:t>
      </w:r>
      <w:r w:rsidR="00987FE2">
        <w:t>is</w:t>
      </w:r>
      <w:r>
        <w:t xml:space="preserve"> provided below.</w:t>
      </w:r>
    </w:p>
    <w:p w14:paraId="3E067432" w14:textId="77777777" w:rsidR="000B4E0C" w:rsidRDefault="000B4E0C">
      <w:pPr>
        <w:spacing w:before="0" w:line="259" w:lineRule="auto"/>
        <w:rPr>
          <w:rFonts w:asciiTheme="majorHAnsi" w:eastAsiaTheme="majorEastAsia" w:hAnsiTheme="majorHAnsi" w:cstheme="majorBidi"/>
          <w:b/>
          <w:color w:val="4986A0" w:themeColor="text2"/>
          <w:szCs w:val="24"/>
          <w:lang w:val="en-US"/>
        </w:rPr>
      </w:pPr>
      <w:r>
        <w:br w:type="page"/>
      </w:r>
    </w:p>
    <w:p w14:paraId="6D2B02DD" w14:textId="5310D3CC" w:rsidR="00BB7058" w:rsidRDefault="00E6362B" w:rsidP="000B4E0C">
      <w:pPr>
        <w:pStyle w:val="Figure-Table-BoxHeading"/>
        <w:spacing w:after="0" w:line="336" w:lineRule="auto"/>
      </w:pPr>
      <w:r w:rsidRPr="00BB7058">
        <w:t>We CLARIFY</w:t>
      </w:r>
      <w:r w:rsidR="00BB7058" w:rsidRPr="00BB7058">
        <w:t xml:space="preserve"> the following topics to promote understanding &amp; consistency</w:t>
      </w:r>
    </w:p>
    <w:tbl>
      <w:tblPr>
        <w:tblStyle w:val="TableGrid"/>
        <w:tblW w:w="0" w:type="auto"/>
        <w:tblLook w:val="04A0" w:firstRow="1" w:lastRow="0" w:firstColumn="1" w:lastColumn="0" w:noHBand="0" w:noVBand="1"/>
      </w:tblPr>
      <w:tblGrid>
        <w:gridCol w:w="2694"/>
        <w:gridCol w:w="6944"/>
      </w:tblGrid>
      <w:tr w:rsidR="00AB4BA6" w14:paraId="24BAC6B0" w14:textId="77777777" w:rsidTr="008F1526">
        <w:trPr>
          <w:cnfStyle w:val="100000000000" w:firstRow="1" w:lastRow="0" w:firstColumn="0" w:lastColumn="0" w:oddVBand="0" w:evenVBand="0" w:oddHBand="0" w:evenHBand="0" w:firstRowFirstColumn="0" w:firstRowLastColumn="0" w:lastRowFirstColumn="0" w:lastRowLastColumn="0"/>
          <w:tblHeader/>
        </w:trPr>
        <w:tc>
          <w:tcPr>
            <w:tcW w:w="2694" w:type="dxa"/>
          </w:tcPr>
          <w:p w14:paraId="05125D3E" w14:textId="4E4B1918" w:rsidR="00AB4BA6" w:rsidRDefault="00AB4BA6" w:rsidP="00AB4BA6">
            <w:pPr>
              <w:pStyle w:val="TableHeading"/>
            </w:pPr>
            <w:r w:rsidRPr="00DC4F00">
              <w:t>Topic or issue</w:t>
            </w:r>
          </w:p>
        </w:tc>
        <w:tc>
          <w:tcPr>
            <w:tcW w:w="6944" w:type="dxa"/>
          </w:tcPr>
          <w:p w14:paraId="2C8FD3BD" w14:textId="320E7BCC" w:rsidR="00AB4BA6" w:rsidRDefault="00AB4BA6" w:rsidP="00AB4BA6">
            <w:pPr>
              <w:pStyle w:val="TableHeading"/>
            </w:pPr>
            <w:r w:rsidRPr="00DC4F00">
              <w:t>How the draft NCC framework paper addresses it</w:t>
            </w:r>
          </w:p>
        </w:tc>
      </w:tr>
      <w:tr w:rsidR="00C915DE" w14:paraId="2195CA6E"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2C651D4A" w14:textId="21F542AB" w:rsidR="00C915DE" w:rsidRDefault="00C915DE" w:rsidP="00E947A8">
            <w:pPr>
              <w:pStyle w:val="TableListNumber"/>
              <w:spacing w:before="0" w:line="264" w:lineRule="auto"/>
              <w:ind w:left="340" w:hanging="340"/>
            </w:pPr>
            <w:r w:rsidRPr="007B1178">
              <w:t>Applying negotiated vs Standard NCC</w:t>
            </w:r>
          </w:p>
        </w:tc>
        <w:tc>
          <w:tcPr>
            <w:tcW w:w="6944" w:type="dxa"/>
          </w:tcPr>
          <w:p w14:paraId="3E216112" w14:textId="3714DF30" w:rsidR="00C915DE" w:rsidRDefault="00C915DE" w:rsidP="00885D41">
            <w:pPr>
              <w:pStyle w:val="TableBody"/>
              <w:spacing w:line="264" w:lineRule="auto"/>
            </w:pPr>
            <w:r w:rsidRPr="00655E5F">
              <w:t>Negotiated NCC</w:t>
            </w:r>
            <w:r w:rsidR="001406CB">
              <w:t>s</w:t>
            </w:r>
            <w:r w:rsidRPr="00655E5F">
              <w:t xml:space="preserve"> is the default</w:t>
            </w:r>
            <w:r w:rsidR="001162A3">
              <w:t xml:space="preserve"> </w:t>
            </w:r>
            <w:r w:rsidR="001162A3" w:rsidRPr="00D42E85">
              <w:t xml:space="preserve">under the </w:t>
            </w:r>
            <w:r w:rsidR="001162A3" w:rsidRPr="00D42E85">
              <w:rPr>
                <w:i/>
                <w:iCs/>
              </w:rPr>
              <w:t>Water Act 1989</w:t>
            </w:r>
            <w:r w:rsidR="001162A3" w:rsidRPr="00D42E85">
              <w:t>,</w:t>
            </w:r>
            <w:r w:rsidRPr="00655E5F">
              <w:t xml:space="preserve"> and standard NCC</w:t>
            </w:r>
            <w:r w:rsidR="00017388">
              <w:t>s</w:t>
            </w:r>
            <w:r w:rsidRPr="00655E5F">
              <w:t xml:space="preserve"> appl</w:t>
            </w:r>
            <w:r w:rsidR="00017388">
              <w:t>y</w:t>
            </w:r>
            <w:r w:rsidRPr="00655E5F">
              <w:t xml:space="preserve"> where a water business has met certain preconditions and provided the commission with specified evidence. The draft framework paper sets out those conditions and required evidence to support standard NCCs.</w:t>
            </w:r>
          </w:p>
        </w:tc>
      </w:tr>
      <w:tr w:rsidR="00C915DE" w14:paraId="388D5556"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0A839E1A" w14:textId="21EED548" w:rsidR="00C915DE" w:rsidRDefault="00C915DE" w:rsidP="00E947A8">
            <w:pPr>
              <w:pStyle w:val="TableListNumber"/>
              <w:spacing w:before="0" w:line="264" w:lineRule="auto"/>
              <w:ind w:left="340" w:hanging="340"/>
            </w:pPr>
            <w:r w:rsidRPr="007B1178">
              <w:t>Understanding incremental costing</w:t>
            </w:r>
          </w:p>
        </w:tc>
        <w:tc>
          <w:tcPr>
            <w:tcW w:w="6944" w:type="dxa"/>
          </w:tcPr>
          <w:p w14:paraId="76551180" w14:textId="6A78A1ED" w:rsidR="00C915DE" w:rsidRDefault="00C915DE" w:rsidP="00885D41">
            <w:pPr>
              <w:pStyle w:val="TableBody"/>
              <w:spacing w:line="264" w:lineRule="auto"/>
            </w:pPr>
            <w:r w:rsidRPr="00655E5F">
              <w:t>Incremental costs are costs that a business incurs to service one or more additional properties occasioned by growth or expansion, which they would not have incurred in serving the existing customer base, or at least not on the same scale. Specific issues clarified here include treatment of sunk costs, gifted assets, tax costs, and how to calculate incremental financing costs when an asset is required earlier.</w:t>
            </w:r>
          </w:p>
        </w:tc>
      </w:tr>
      <w:tr w:rsidR="00A96F68" w14:paraId="2A26D8AA"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210F8535" w14:textId="54FB7C40" w:rsidR="00A96F68" w:rsidRDefault="00A96F68" w:rsidP="00E947A8">
            <w:pPr>
              <w:pStyle w:val="TableListNumber"/>
              <w:spacing w:before="0" w:line="264" w:lineRule="auto"/>
              <w:ind w:left="340" w:hanging="340"/>
            </w:pPr>
            <w:r w:rsidRPr="007B1178">
              <w:t>Interpreting Incremental benefits</w:t>
            </w:r>
          </w:p>
        </w:tc>
        <w:tc>
          <w:tcPr>
            <w:tcW w:w="6944" w:type="dxa"/>
          </w:tcPr>
          <w:p w14:paraId="58E285E2" w14:textId="4AC363B5" w:rsidR="00C915DE" w:rsidRDefault="00600DF0" w:rsidP="00AD7BD6">
            <w:pPr>
              <w:pStyle w:val="TableBody"/>
            </w:pPr>
            <w:r>
              <w:t>T</w:t>
            </w:r>
            <w:r w:rsidR="00C915DE">
              <w:t>wo types of incremental benefits that must be reflected in NCC calculations:</w:t>
            </w:r>
          </w:p>
          <w:p w14:paraId="05370C2B" w14:textId="43088FC2" w:rsidR="00C915DE" w:rsidRDefault="00C915DE" w:rsidP="00AD7BD6">
            <w:pPr>
              <w:pStyle w:val="ListBullet"/>
              <w:spacing w:before="60" w:line="264" w:lineRule="auto"/>
            </w:pPr>
            <w:r>
              <w:t>incremental revenue benefits, which must always be considered</w:t>
            </w:r>
          </w:p>
          <w:p w14:paraId="2BDA71AA" w14:textId="5608DF36" w:rsidR="00C915DE" w:rsidRDefault="00C915DE" w:rsidP="00AD7BD6">
            <w:pPr>
              <w:pStyle w:val="ListBullet"/>
              <w:spacing w:before="0" w:after="60" w:line="264" w:lineRule="auto"/>
            </w:pPr>
            <w:r>
              <w:t>cost-related connection benefits, which must be considered when gifted assets are upsized and may also be considered for other incremental benefits, such as avoided bulk water costs from recycled water connections</w:t>
            </w:r>
          </w:p>
          <w:p w14:paraId="6B76083C" w14:textId="76474864" w:rsidR="00A96F68" w:rsidRDefault="00C915DE" w:rsidP="00AD7BD6">
            <w:pPr>
              <w:pStyle w:val="TableBody"/>
            </w:pPr>
            <w:r>
              <w:t>Incremental revenue is the revenue the water business expects to earn through selling prescribed services to the connecting customer or customers, and it must be accounted for in NCC calculations. The draft framework paper provides key factors businesses should consider when estimating incremental revenue for calculating NCCs.</w:t>
            </w:r>
          </w:p>
        </w:tc>
      </w:tr>
      <w:tr w:rsidR="00885D41" w14:paraId="41D65F66"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2F52B6C5" w14:textId="31FD2A80" w:rsidR="00885D41" w:rsidRDefault="00885D41" w:rsidP="00E947A8">
            <w:pPr>
              <w:pStyle w:val="TableListNumber"/>
              <w:spacing w:before="0" w:line="264" w:lineRule="auto"/>
              <w:ind w:left="340" w:hanging="340"/>
            </w:pPr>
            <w:r w:rsidRPr="007B1178">
              <w:t>Interpreting &amp; applying standalone and avoidable cost</w:t>
            </w:r>
          </w:p>
        </w:tc>
        <w:tc>
          <w:tcPr>
            <w:tcW w:w="6944" w:type="dxa"/>
          </w:tcPr>
          <w:p w14:paraId="133A6236" w14:textId="0D3BB1F6" w:rsidR="00885D41" w:rsidRDefault="00885D41" w:rsidP="00AD7BD6">
            <w:pPr>
              <w:pStyle w:val="TableBody"/>
              <w:spacing w:line="264" w:lineRule="auto"/>
            </w:pPr>
            <w:r w:rsidRPr="00587536">
              <w:t>The draft framework paper explains the incremental costs attributed to proposed NCCs (standard or negotiated) must be greater than the avoidable cost of not servicing the connection, and less than the standalone cost of servicing that connection by itself. It also provides different ways a business can estimate avoidable and standalone costs to service a given development.</w:t>
            </w:r>
          </w:p>
        </w:tc>
      </w:tr>
      <w:tr w:rsidR="00885D41" w14:paraId="167825A9"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5816A538" w14:textId="1A5D06CA" w:rsidR="00885D41" w:rsidRDefault="00885D41" w:rsidP="00E947A8">
            <w:pPr>
              <w:pStyle w:val="TableListNumber"/>
              <w:spacing w:before="0" w:line="264" w:lineRule="auto"/>
              <w:ind w:left="340" w:hanging="340"/>
            </w:pPr>
            <w:r w:rsidRPr="00EF0B0E">
              <w:t>Understanding that the scope of Director attestation includes NCCs too</w:t>
            </w:r>
          </w:p>
        </w:tc>
        <w:tc>
          <w:tcPr>
            <w:tcW w:w="6944" w:type="dxa"/>
          </w:tcPr>
          <w:p w14:paraId="77CD3506" w14:textId="6ADDE1C4" w:rsidR="00885D41" w:rsidRDefault="00885D41" w:rsidP="00AD7BD6">
            <w:pPr>
              <w:pStyle w:val="TableBody"/>
              <w:spacing w:line="264" w:lineRule="auto"/>
            </w:pPr>
            <w:r w:rsidRPr="00587536">
              <w:t>This paper clarifies that water businesses pricing proposals made under our NCC framework must be supported by the directors’ attestation we require in our water price review guidance papers. That is, an attestation to the quality of its price submission and its compliance with our guidance (in all material respects), includes standard NCCs proposals and proposed connection policies and negotiating frameworks. This promotes board involvement and ownership of its business proposals as regards NCCs.</w:t>
            </w:r>
          </w:p>
        </w:tc>
      </w:tr>
      <w:tr w:rsidR="00885D41" w14:paraId="05389399"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74F12DBC" w14:textId="7DDA35B1" w:rsidR="00885D41" w:rsidRDefault="00885D41" w:rsidP="00704F88">
            <w:pPr>
              <w:pStyle w:val="TableListNumber"/>
              <w:keepNext/>
              <w:keepLines/>
              <w:spacing w:before="0" w:line="264" w:lineRule="auto"/>
              <w:ind w:left="340" w:hanging="340"/>
            </w:pPr>
            <w:r w:rsidRPr="00EF0B0E">
              <w:t>Understanding access to dispute resolution</w:t>
            </w:r>
          </w:p>
        </w:tc>
        <w:tc>
          <w:tcPr>
            <w:tcW w:w="6944" w:type="dxa"/>
          </w:tcPr>
          <w:p w14:paraId="637471A4" w14:textId="5D920833" w:rsidR="00885D41" w:rsidRDefault="00885D41" w:rsidP="00704F88">
            <w:pPr>
              <w:pStyle w:val="TableBody"/>
              <w:keepNext/>
              <w:keepLines/>
              <w:spacing w:line="264" w:lineRule="auto"/>
            </w:pPr>
            <w:r w:rsidRPr="00587536">
              <w:t>The process for dispute resolution must be included in the connection policy each water business submits to the commission for approval. The following options must be provided - an internal review by the water business, a provision for independent commercial dispute resolution, and a reminder to connection applicants of their rights to challenge a decision through VCAT including the appeal process.</w:t>
            </w:r>
          </w:p>
        </w:tc>
      </w:tr>
    </w:tbl>
    <w:p w14:paraId="40749B5C" w14:textId="39D35927" w:rsidR="004023FF" w:rsidRDefault="00936F89" w:rsidP="00936F89">
      <w:pPr>
        <w:pStyle w:val="Figure-Table-BoxHeading"/>
        <w:spacing w:before="360" w:line="336" w:lineRule="auto"/>
      </w:pPr>
      <w:r w:rsidRPr="00C00614">
        <w:t>We will REQUIRE ‘minimum disclosures’ to address identified issues and support better NCC implementation</w:t>
      </w:r>
    </w:p>
    <w:tbl>
      <w:tblPr>
        <w:tblStyle w:val="TableGrid"/>
        <w:tblW w:w="0" w:type="auto"/>
        <w:tblLook w:val="04A0" w:firstRow="1" w:lastRow="0" w:firstColumn="1" w:lastColumn="0" w:noHBand="0" w:noVBand="1"/>
      </w:tblPr>
      <w:tblGrid>
        <w:gridCol w:w="3544"/>
        <w:gridCol w:w="6094"/>
      </w:tblGrid>
      <w:tr w:rsidR="00F92B34" w14:paraId="147B3304" w14:textId="77777777" w:rsidTr="00E947A8">
        <w:trPr>
          <w:cnfStyle w:val="100000000000" w:firstRow="1" w:lastRow="0" w:firstColumn="0" w:lastColumn="0" w:oddVBand="0" w:evenVBand="0" w:oddHBand="0" w:evenHBand="0" w:firstRowFirstColumn="0" w:firstRowLastColumn="0" w:lastRowFirstColumn="0" w:lastRowLastColumn="0"/>
        </w:trPr>
        <w:tc>
          <w:tcPr>
            <w:tcW w:w="3544" w:type="dxa"/>
          </w:tcPr>
          <w:p w14:paraId="78FB5217" w14:textId="24D3C733" w:rsidR="00F92B34" w:rsidRDefault="00D00568" w:rsidP="00F92B34">
            <w:pPr>
              <w:pStyle w:val="TableHeading"/>
            </w:pPr>
            <w:r w:rsidRPr="00D00568">
              <w:t>Topic or issue</w:t>
            </w:r>
          </w:p>
        </w:tc>
        <w:tc>
          <w:tcPr>
            <w:tcW w:w="6094" w:type="dxa"/>
          </w:tcPr>
          <w:p w14:paraId="5C8925C7" w14:textId="0B0D7165" w:rsidR="00F92B34" w:rsidRDefault="00F92B34" w:rsidP="00F92B34">
            <w:pPr>
              <w:pStyle w:val="TableHeading"/>
            </w:pPr>
            <w:r w:rsidRPr="004E181C">
              <w:t>How the draft NCC framework paper addresses it</w:t>
            </w:r>
          </w:p>
        </w:tc>
      </w:tr>
      <w:tr w:rsidR="00A43168" w14:paraId="4968D879" w14:textId="77777777" w:rsidTr="00E947A8">
        <w:trPr>
          <w:cnfStyle w:val="000000100000" w:firstRow="0" w:lastRow="0" w:firstColumn="0" w:lastColumn="0" w:oddVBand="0" w:evenVBand="0" w:oddHBand="1" w:evenHBand="0" w:firstRowFirstColumn="0" w:firstRowLastColumn="0" w:lastRowFirstColumn="0" w:lastRowLastColumn="0"/>
        </w:trPr>
        <w:tc>
          <w:tcPr>
            <w:tcW w:w="3544" w:type="dxa"/>
          </w:tcPr>
          <w:p w14:paraId="5560CD42" w14:textId="11E04762" w:rsidR="00A43168" w:rsidRDefault="009251B5" w:rsidP="00E947A8">
            <w:pPr>
              <w:spacing w:before="0" w:line="264" w:lineRule="auto"/>
              <w:ind w:left="340" w:hanging="340"/>
            </w:pPr>
            <w:r w:rsidRPr="009251B5">
              <w:t>7.</w:t>
            </w:r>
            <w:r w:rsidRPr="009251B5">
              <w:tab/>
            </w:r>
            <w:r w:rsidRPr="008F1526">
              <w:rPr>
                <w:b/>
                <w:bCs/>
              </w:rPr>
              <w:t>Inadequate information</w:t>
            </w:r>
            <w:r w:rsidRPr="009251B5">
              <w:t xml:space="preserve"> provided to connection </w:t>
            </w:r>
            <w:r w:rsidRPr="00980803">
              <w:t>applicants (</w:t>
            </w:r>
            <w:r w:rsidR="00FC11BE" w:rsidRPr="00980803">
              <w:rPr>
                <w:i/>
                <w:iCs/>
              </w:rPr>
              <w:t xml:space="preserve">this will be resolved through the requirement to have and </w:t>
            </w:r>
            <w:proofErr w:type="gramStart"/>
            <w:r w:rsidR="00FC11BE" w:rsidRPr="00980803">
              <w:rPr>
                <w:i/>
                <w:iCs/>
              </w:rPr>
              <w:t>submit</w:t>
            </w:r>
            <w:proofErr w:type="gramEnd"/>
            <w:r w:rsidR="00FC11BE" w:rsidRPr="00980803">
              <w:rPr>
                <w:i/>
                <w:iCs/>
              </w:rPr>
              <w:t xml:space="preserve"> a “</w:t>
            </w:r>
            <w:r w:rsidR="00FC11BE" w:rsidRPr="00980803">
              <w:rPr>
                <w:b/>
                <w:bCs/>
                <w:i/>
                <w:iCs/>
              </w:rPr>
              <w:t>connection policy</w:t>
            </w:r>
            <w:r w:rsidR="00FC11BE" w:rsidRPr="00980803">
              <w:rPr>
                <w:i/>
                <w:iCs/>
              </w:rPr>
              <w:t>” to the commission</w:t>
            </w:r>
            <w:r w:rsidR="00FC11BE" w:rsidRPr="00980803">
              <w:t>)</w:t>
            </w:r>
          </w:p>
        </w:tc>
        <w:tc>
          <w:tcPr>
            <w:tcW w:w="6094" w:type="dxa"/>
          </w:tcPr>
          <w:p w14:paraId="3E70E4D8" w14:textId="77777777" w:rsidR="00C35CDD" w:rsidRDefault="00C35CDD" w:rsidP="00936F89">
            <w:pPr>
              <w:pStyle w:val="TableBody"/>
              <w:spacing w:after="120" w:line="264" w:lineRule="auto"/>
            </w:pPr>
            <w:r>
              <w:t xml:space="preserve">This draft framework paper provides that water businesses must prepare a connection policy addressing minimum required content, submit it for approval with their price proposals, and publish their approved connection policy on their website. </w:t>
            </w:r>
          </w:p>
          <w:p w14:paraId="7DAF4EA4" w14:textId="0C07F84E" w:rsidR="00A43168" w:rsidRDefault="00C35CDD" w:rsidP="00936F89">
            <w:pPr>
              <w:pStyle w:val="TableBody"/>
              <w:spacing w:line="264" w:lineRule="auto"/>
            </w:pPr>
            <w:r>
              <w:t>The connection policy must, among other things, clearly state the types of connection services it covers, the processes for connecting, charges payable during connection processes and arrangements for disputes; as well as what constitutes a reticulation asset for the purpose of identifying asset gifting requirements.</w:t>
            </w:r>
          </w:p>
        </w:tc>
      </w:tr>
      <w:tr w:rsidR="00A43168" w14:paraId="51D9ADAB" w14:textId="77777777" w:rsidTr="00E947A8">
        <w:trPr>
          <w:cnfStyle w:val="000000010000" w:firstRow="0" w:lastRow="0" w:firstColumn="0" w:lastColumn="0" w:oddVBand="0" w:evenVBand="0" w:oddHBand="0" w:evenHBand="1" w:firstRowFirstColumn="0" w:firstRowLastColumn="0" w:lastRowFirstColumn="0" w:lastRowLastColumn="0"/>
        </w:trPr>
        <w:tc>
          <w:tcPr>
            <w:tcW w:w="3544" w:type="dxa"/>
          </w:tcPr>
          <w:p w14:paraId="56456D34" w14:textId="1BE6A0D4" w:rsidR="00A43168" w:rsidRDefault="00406589" w:rsidP="00E947A8">
            <w:pPr>
              <w:spacing w:before="0" w:line="264" w:lineRule="auto"/>
              <w:ind w:left="340" w:hanging="340"/>
            </w:pPr>
            <w:r w:rsidRPr="00406589">
              <w:t>8.</w:t>
            </w:r>
            <w:r w:rsidRPr="00406589">
              <w:tab/>
              <w:t xml:space="preserve">Lack of </w:t>
            </w:r>
            <w:r w:rsidRPr="00447AA4">
              <w:rPr>
                <w:b/>
                <w:bCs/>
              </w:rPr>
              <w:t>transparency</w:t>
            </w:r>
            <w:r w:rsidRPr="00406589">
              <w:t xml:space="preserve"> around how proposed NCC charges have been derived, both in standard and negotiated NCCs </w:t>
            </w:r>
            <w:r w:rsidR="00E23CA9" w:rsidRPr="00483EBE">
              <w:t>(</w:t>
            </w:r>
            <w:r w:rsidR="00483EBE" w:rsidRPr="00483EBE">
              <w:rPr>
                <w:i/>
                <w:iCs/>
              </w:rPr>
              <w:t>t</w:t>
            </w:r>
            <w:r w:rsidR="00E23CA9" w:rsidRPr="00483EBE">
              <w:rPr>
                <w:i/>
                <w:iCs/>
              </w:rPr>
              <w:t>his</w:t>
            </w:r>
            <w:r w:rsidR="00E23CA9" w:rsidRPr="00980803">
              <w:rPr>
                <w:i/>
                <w:iCs/>
              </w:rPr>
              <w:t xml:space="preserve"> will be resolved through the requirement to </w:t>
            </w:r>
            <w:r w:rsidR="00E23CA9" w:rsidRPr="00980803">
              <w:t>“</w:t>
            </w:r>
            <w:r w:rsidR="00E23CA9" w:rsidRPr="00980803">
              <w:rPr>
                <w:b/>
                <w:bCs/>
                <w:i/>
                <w:iCs/>
              </w:rPr>
              <w:t>document &amp; supply specified information</w:t>
            </w:r>
            <w:r w:rsidR="00E23CA9" w:rsidRPr="00980803">
              <w:t>” to the commission)</w:t>
            </w:r>
          </w:p>
        </w:tc>
        <w:tc>
          <w:tcPr>
            <w:tcW w:w="6094" w:type="dxa"/>
          </w:tcPr>
          <w:p w14:paraId="15CD5A6A" w14:textId="77777777" w:rsidR="00546798" w:rsidRDefault="00546798" w:rsidP="00936F89">
            <w:pPr>
              <w:pStyle w:val="TableBody"/>
              <w:spacing w:line="264" w:lineRule="auto"/>
            </w:pPr>
            <w:r>
              <w:t xml:space="preserve">This draft framework paper lists </w:t>
            </w:r>
            <w:r w:rsidRPr="00DB5158">
              <w:rPr>
                <w:b/>
                <w:bCs/>
              </w:rPr>
              <w:t>minimum information</w:t>
            </w:r>
            <w:r>
              <w:t xml:space="preserve"> businesses must provide to support their standard NCC proposals including: </w:t>
            </w:r>
          </w:p>
          <w:p w14:paraId="021248A9" w14:textId="4D05023B" w:rsidR="00546798" w:rsidRDefault="00546798" w:rsidP="00936F89">
            <w:pPr>
              <w:pStyle w:val="ListBullet"/>
              <w:spacing w:before="60" w:line="264" w:lineRule="auto"/>
            </w:pPr>
            <w:r w:rsidRPr="00DB5158">
              <w:rPr>
                <w:b/>
                <w:bCs/>
              </w:rPr>
              <w:t>modelled NCC calculations and justified inputs</w:t>
            </w:r>
            <w:r>
              <w:t xml:space="preserve"> for each standard NCC</w:t>
            </w:r>
          </w:p>
          <w:p w14:paraId="127A3F0F" w14:textId="5FCF19B5" w:rsidR="00546798" w:rsidRDefault="00DB5158" w:rsidP="00936F89">
            <w:pPr>
              <w:pStyle w:val="ListBullet"/>
              <w:spacing w:before="0" w:line="264" w:lineRule="auto"/>
            </w:pPr>
            <w:r w:rsidRPr="002A7B53">
              <w:rPr>
                <w:b/>
                <w:bCs/>
              </w:rPr>
              <w:t>D</w:t>
            </w:r>
            <w:r w:rsidR="00546798" w:rsidRPr="002A7B53">
              <w:rPr>
                <w:b/>
                <w:bCs/>
              </w:rPr>
              <w:t xml:space="preserve">evelopment </w:t>
            </w:r>
            <w:r w:rsidRPr="002A7B53">
              <w:rPr>
                <w:b/>
                <w:bCs/>
              </w:rPr>
              <w:t>S</w:t>
            </w:r>
            <w:r w:rsidR="00546798" w:rsidRPr="002A7B53">
              <w:rPr>
                <w:b/>
                <w:bCs/>
              </w:rPr>
              <w:t xml:space="preserve">ervicing </w:t>
            </w:r>
            <w:r w:rsidR="002A7B53" w:rsidRPr="002A7B53">
              <w:rPr>
                <w:b/>
                <w:bCs/>
              </w:rPr>
              <w:t>P</w:t>
            </w:r>
            <w:r w:rsidR="00546798" w:rsidRPr="002A7B53">
              <w:rPr>
                <w:b/>
                <w:bCs/>
              </w:rPr>
              <w:t>lans</w:t>
            </w:r>
            <w:r w:rsidR="00546798">
              <w:t xml:space="preserve"> (DSPs) for the service areas that will be eligible for each standard NCC</w:t>
            </w:r>
          </w:p>
          <w:p w14:paraId="76D1D6C0" w14:textId="353C5913" w:rsidR="00546798" w:rsidRPr="002A7B53" w:rsidRDefault="00546798" w:rsidP="00936F89">
            <w:pPr>
              <w:pStyle w:val="ListBullet"/>
              <w:spacing w:before="0" w:line="264" w:lineRule="auto"/>
              <w:rPr>
                <w:b/>
                <w:bCs/>
              </w:rPr>
            </w:pPr>
            <w:r w:rsidRPr="002A7B53">
              <w:rPr>
                <w:b/>
                <w:bCs/>
              </w:rPr>
              <w:t xml:space="preserve">costs and benefits attribution policies </w:t>
            </w:r>
          </w:p>
          <w:p w14:paraId="6B286C59" w14:textId="046B80B1" w:rsidR="00546798" w:rsidRPr="002A7B53" w:rsidRDefault="00546798" w:rsidP="00936F89">
            <w:pPr>
              <w:pStyle w:val="ListBullet"/>
              <w:spacing w:before="0" w:line="264" w:lineRule="auto"/>
              <w:rPr>
                <w:b/>
                <w:bCs/>
              </w:rPr>
            </w:pPr>
            <w:r w:rsidRPr="002A7B53">
              <w:rPr>
                <w:b/>
                <w:bCs/>
              </w:rPr>
              <w:t>evidence of assessment of incremental benefits</w:t>
            </w:r>
          </w:p>
          <w:p w14:paraId="08D1820E" w14:textId="2966257D" w:rsidR="00546798" w:rsidRDefault="00546798" w:rsidP="00936F89">
            <w:pPr>
              <w:pStyle w:val="ListBullet"/>
              <w:spacing w:before="0" w:after="60" w:line="264" w:lineRule="auto"/>
            </w:pPr>
            <w:r w:rsidRPr="002A7B53">
              <w:rPr>
                <w:b/>
                <w:bCs/>
              </w:rPr>
              <w:t xml:space="preserve">evidence of compliance with the </w:t>
            </w:r>
            <w:r w:rsidR="00396B4F">
              <w:rPr>
                <w:b/>
                <w:bCs/>
              </w:rPr>
              <w:t>‘</w:t>
            </w:r>
            <w:r w:rsidRPr="002A7B53">
              <w:rPr>
                <w:b/>
                <w:bCs/>
              </w:rPr>
              <w:t>avoidable cost</w:t>
            </w:r>
            <w:r w:rsidR="00396B4F">
              <w:rPr>
                <w:b/>
                <w:bCs/>
              </w:rPr>
              <w:t>’</w:t>
            </w:r>
            <w:r>
              <w:t xml:space="preserve"> efficient pricing bound in our NCC pricing principles.</w:t>
            </w:r>
          </w:p>
          <w:p w14:paraId="407B362A" w14:textId="6876FFF7" w:rsidR="00A43168" w:rsidRDefault="00546798" w:rsidP="00936F89">
            <w:pPr>
              <w:spacing w:before="0" w:line="264" w:lineRule="auto"/>
            </w:pPr>
            <w:r>
              <w:t>Water businesses are expected to make an equivalent set of information available to connection applicants seeking negotiated NCCs subject to the circumstances of those negotiated connections.</w:t>
            </w:r>
          </w:p>
        </w:tc>
      </w:tr>
    </w:tbl>
    <w:p w14:paraId="6A0DAC9D" w14:textId="797C77B5" w:rsidR="00C70558" w:rsidRDefault="008432D7" w:rsidP="008F1526">
      <w:pPr>
        <w:pStyle w:val="Figure-Table-BoxHeading"/>
        <w:keepNext/>
        <w:keepLines/>
        <w:spacing w:before="360" w:line="336" w:lineRule="auto"/>
      </w:pPr>
      <w:r w:rsidRPr="008432D7">
        <w:t>We will EMPOWER businesses with tools to aid NCC calculations &amp; negotiations</w:t>
      </w:r>
    </w:p>
    <w:tbl>
      <w:tblPr>
        <w:tblStyle w:val="TableGrid"/>
        <w:tblW w:w="0" w:type="auto"/>
        <w:tblLook w:val="04A0" w:firstRow="1" w:lastRow="0" w:firstColumn="1" w:lastColumn="0" w:noHBand="0" w:noVBand="1"/>
      </w:tblPr>
      <w:tblGrid>
        <w:gridCol w:w="3544"/>
        <w:gridCol w:w="6094"/>
      </w:tblGrid>
      <w:tr w:rsidR="00C12E66" w14:paraId="27D1A903" w14:textId="77777777" w:rsidTr="00546798">
        <w:trPr>
          <w:cnfStyle w:val="100000000000" w:firstRow="1" w:lastRow="0" w:firstColumn="0" w:lastColumn="0" w:oddVBand="0" w:evenVBand="0" w:oddHBand="0" w:evenHBand="0" w:firstRowFirstColumn="0" w:firstRowLastColumn="0" w:lastRowFirstColumn="0" w:lastRowLastColumn="0"/>
        </w:trPr>
        <w:tc>
          <w:tcPr>
            <w:tcW w:w="3544" w:type="dxa"/>
          </w:tcPr>
          <w:p w14:paraId="211253DB" w14:textId="22E97A73" w:rsidR="00C12E66" w:rsidRDefault="00D00568" w:rsidP="008F1526">
            <w:pPr>
              <w:pStyle w:val="TableHeading"/>
              <w:keepNext/>
              <w:keepLines/>
            </w:pPr>
            <w:r w:rsidRPr="00D00568">
              <w:t>Topic or issue</w:t>
            </w:r>
          </w:p>
        </w:tc>
        <w:tc>
          <w:tcPr>
            <w:tcW w:w="6094" w:type="dxa"/>
          </w:tcPr>
          <w:p w14:paraId="5727AAD6" w14:textId="20CC5262" w:rsidR="00C12E66" w:rsidRDefault="00C12E66" w:rsidP="008F1526">
            <w:pPr>
              <w:pStyle w:val="TableHeading"/>
              <w:keepNext/>
              <w:keepLines/>
            </w:pPr>
            <w:r w:rsidRPr="00D2052B">
              <w:t>How the draft NCC framework paper addresses it</w:t>
            </w:r>
          </w:p>
        </w:tc>
      </w:tr>
      <w:tr w:rsidR="00476827" w14:paraId="3181EB25" w14:textId="77777777" w:rsidTr="00546798">
        <w:trPr>
          <w:cnfStyle w:val="000000100000" w:firstRow="0" w:lastRow="0" w:firstColumn="0" w:lastColumn="0" w:oddVBand="0" w:evenVBand="0" w:oddHBand="1" w:evenHBand="0" w:firstRowFirstColumn="0" w:firstRowLastColumn="0" w:lastRowFirstColumn="0" w:lastRowLastColumn="0"/>
        </w:trPr>
        <w:tc>
          <w:tcPr>
            <w:tcW w:w="3544" w:type="dxa"/>
          </w:tcPr>
          <w:p w14:paraId="314DA6B1" w14:textId="14363DE3" w:rsidR="00476827" w:rsidRDefault="00476827" w:rsidP="00E947A8">
            <w:pPr>
              <w:spacing w:before="0" w:line="264" w:lineRule="auto"/>
              <w:ind w:left="340" w:hanging="340"/>
            </w:pPr>
            <w:r w:rsidRPr="00476827">
              <w:t>9.</w:t>
            </w:r>
            <w:r w:rsidRPr="00476827">
              <w:tab/>
              <w:t xml:space="preserve">Reported </w:t>
            </w:r>
            <w:r w:rsidRPr="005A502D">
              <w:rPr>
                <w:b/>
                <w:bCs/>
              </w:rPr>
              <w:t>difficulty in using</w:t>
            </w:r>
            <w:r w:rsidRPr="00476827">
              <w:t xml:space="preserve"> the commission’s net cashflow </w:t>
            </w:r>
            <w:r w:rsidRPr="006A1553">
              <w:rPr>
                <w:b/>
                <w:bCs/>
              </w:rPr>
              <w:t>NCC model</w:t>
            </w:r>
            <w:r w:rsidRPr="00476827">
              <w:t xml:space="preserve"> template and a lack of flexibility in the model to accommodate all scenarios</w:t>
            </w:r>
          </w:p>
        </w:tc>
        <w:tc>
          <w:tcPr>
            <w:tcW w:w="6094" w:type="dxa"/>
          </w:tcPr>
          <w:p w14:paraId="0B009C89" w14:textId="739EBAEE" w:rsidR="00476827" w:rsidRDefault="00A148E1" w:rsidP="00936F89">
            <w:pPr>
              <w:spacing w:before="0" w:line="264" w:lineRule="auto"/>
            </w:pPr>
            <w:r w:rsidRPr="00A148E1">
              <w:t xml:space="preserve">This draft framework paper commits to empowering water businesses with </w:t>
            </w:r>
            <w:r w:rsidR="00A13CE0">
              <w:t>one or more</w:t>
            </w:r>
            <w:r w:rsidRPr="00A148E1">
              <w:t xml:space="preserve"> illustrative working models and model user guides, which will be optional for any business to use. These models can be used in calculating NCCs in a range of circumstances, and by connection applicants </w:t>
            </w:r>
            <w:proofErr w:type="gramStart"/>
            <w:r w:rsidRPr="00A148E1">
              <w:t>seeking</w:t>
            </w:r>
            <w:proofErr w:type="gramEnd"/>
            <w:r w:rsidRPr="00A148E1">
              <w:t xml:space="preserve"> to perform due diligence on the reasonableness of proposed NCC charges.</w:t>
            </w:r>
          </w:p>
        </w:tc>
      </w:tr>
    </w:tbl>
    <w:p w14:paraId="518AF9D6" w14:textId="4420ED98" w:rsidR="00406589" w:rsidRDefault="003F521E" w:rsidP="003F521E">
      <w:pPr>
        <w:pStyle w:val="Figure-Table-BoxHeading"/>
        <w:spacing w:before="360" w:line="336" w:lineRule="auto"/>
      </w:pPr>
      <w:r>
        <w:t xml:space="preserve">We want to ENCOURAGE </w:t>
      </w:r>
      <w:r w:rsidR="00C66AD9">
        <w:t>advanced</w:t>
      </w:r>
      <w:r>
        <w:t xml:space="preserve"> practice by linking PREMO ratings to NCC better practice to lift engagement </w:t>
      </w:r>
      <w:r w:rsidR="009A1C91">
        <w:t>and</w:t>
      </w:r>
      <w:r>
        <w:t xml:space="preserve"> commitment</w:t>
      </w:r>
    </w:p>
    <w:tbl>
      <w:tblPr>
        <w:tblStyle w:val="TableGrid"/>
        <w:tblW w:w="0" w:type="auto"/>
        <w:tblLook w:val="04A0" w:firstRow="1" w:lastRow="0" w:firstColumn="1" w:lastColumn="0" w:noHBand="0" w:noVBand="1"/>
      </w:tblPr>
      <w:tblGrid>
        <w:gridCol w:w="3544"/>
        <w:gridCol w:w="6094"/>
      </w:tblGrid>
      <w:tr w:rsidR="00106BB5" w14:paraId="7E4E3D0D" w14:textId="77777777" w:rsidTr="00821EC9">
        <w:trPr>
          <w:cnfStyle w:val="100000000000" w:firstRow="1" w:lastRow="0" w:firstColumn="0" w:lastColumn="0" w:oddVBand="0" w:evenVBand="0" w:oddHBand="0" w:evenHBand="0" w:firstRowFirstColumn="0" w:firstRowLastColumn="0" w:lastRowFirstColumn="0" w:lastRowLastColumn="0"/>
        </w:trPr>
        <w:tc>
          <w:tcPr>
            <w:tcW w:w="3544" w:type="dxa"/>
          </w:tcPr>
          <w:p w14:paraId="59A853E1" w14:textId="7B74FA38" w:rsidR="00106BB5" w:rsidRDefault="00D00568" w:rsidP="00106BB5">
            <w:pPr>
              <w:pStyle w:val="TableHeading"/>
            </w:pPr>
            <w:r w:rsidRPr="00D00568">
              <w:t>Topic or issue</w:t>
            </w:r>
          </w:p>
        </w:tc>
        <w:tc>
          <w:tcPr>
            <w:tcW w:w="6094" w:type="dxa"/>
          </w:tcPr>
          <w:p w14:paraId="29A6C7DD" w14:textId="7E566EFB" w:rsidR="00106BB5" w:rsidRDefault="00106BB5" w:rsidP="00106BB5">
            <w:pPr>
              <w:pStyle w:val="TableHeading"/>
            </w:pPr>
            <w:r w:rsidRPr="00B6323F">
              <w:t>How the draft NCC framework paper addresses it</w:t>
            </w:r>
          </w:p>
        </w:tc>
      </w:tr>
      <w:tr w:rsidR="00476827" w14:paraId="3A630AAC" w14:textId="77777777" w:rsidTr="00821EC9">
        <w:trPr>
          <w:cnfStyle w:val="000000100000" w:firstRow="0" w:lastRow="0" w:firstColumn="0" w:lastColumn="0" w:oddVBand="0" w:evenVBand="0" w:oddHBand="1" w:evenHBand="0" w:firstRowFirstColumn="0" w:firstRowLastColumn="0" w:lastRowFirstColumn="0" w:lastRowLastColumn="0"/>
        </w:trPr>
        <w:tc>
          <w:tcPr>
            <w:tcW w:w="3544" w:type="dxa"/>
          </w:tcPr>
          <w:p w14:paraId="1A891EC6" w14:textId="22E3ADDF" w:rsidR="00476827" w:rsidRDefault="00457333" w:rsidP="00E947A8">
            <w:pPr>
              <w:spacing w:before="0" w:line="264" w:lineRule="auto"/>
              <w:ind w:left="340" w:hanging="340"/>
            </w:pPr>
            <w:r w:rsidRPr="00457333">
              <w:t>10.</w:t>
            </w:r>
            <w:r w:rsidRPr="00457333">
              <w:tab/>
              <w:t xml:space="preserve">Lack of, or poor, </w:t>
            </w:r>
            <w:r w:rsidRPr="006A1553">
              <w:rPr>
                <w:b/>
                <w:bCs/>
              </w:rPr>
              <w:t>engagement</w:t>
            </w:r>
            <w:r w:rsidRPr="00457333">
              <w:t xml:space="preserve"> with relevant parties for NCCs by water businesses</w:t>
            </w:r>
          </w:p>
        </w:tc>
        <w:tc>
          <w:tcPr>
            <w:tcW w:w="6094" w:type="dxa"/>
          </w:tcPr>
          <w:p w14:paraId="4F7CE4BD" w14:textId="77777777" w:rsidR="00821EC9" w:rsidRDefault="00821EC9" w:rsidP="00936F89">
            <w:pPr>
              <w:spacing w:before="0" w:after="120" w:line="264" w:lineRule="auto"/>
            </w:pPr>
            <w:r>
              <w:t xml:space="preserve">The draft framework paper </w:t>
            </w:r>
            <w:proofErr w:type="gramStart"/>
            <w:r>
              <w:t>establishes</w:t>
            </w:r>
            <w:proofErr w:type="gramEnd"/>
            <w:r>
              <w:t xml:space="preserve"> that NCC assessment should be linked to our PREMO rating to lift engagement and commitment from businesses. </w:t>
            </w:r>
          </w:p>
          <w:p w14:paraId="056005E6" w14:textId="77777777" w:rsidR="00821EC9" w:rsidRDefault="00821EC9" w:rsidP="00936F89">
            <w:pPr>
              <w:spacing w:before="0" w:line="264" w:lineRule="auto"/>
            </w:pPr>
            <w:r>
              <w:t>Various elements of PREMO have direct relevance to how businesses explain, justify and administer their NCCs. For example:</w:t>
            </w:r>
          </w:p>
          <w:p w14:paraId="4FCEF6DC" w14:textId="6BAF2F2F" w:rsidR="00821EC9" w:rsidRDefault="00821EC9" w:rsidP="00F20261">
            <w:pPr>
              <w:pStyle w:val="ListBullet"/>
              <w:spacing w:before="60" w:after="60" w:line="264" w:lineRule="auto"/>
            </w:pPr>
            <w:r w:rsidRPr="006A1553">
              <w:rPr>
                <w:b/>
                <w:bCs/>
              </w:rPr>
              <w:t>Risk</w:t>
            </w:r>
            <w:r w:rsidR="006A1553">
              <w:rPr>
                <w:b/>
                <w:bCs/>
              </w:rPr>
              <w:br/>
            </w:r>
            <w:r>
              <w:t>NCCs and asset gifting practices inherently involve trading off risk by water businesses and connection applicants.</w:t>
            </w:r>
          </w:p>
          <w:p w14:paraId="196E5FEF" w14:textId="2E83C4A5" w:rsidR="00476827" w:rsidRDefault="00821EC9" w:rsidP="00936F89">
            <w:pPr>
              <w:pStyle w:val="ListBullet"/>
              <w:spacing w:before="0" w:line="264" w:lineRule="auto"/>
            </w:pPr>
            <w:r w:rsidRPr="006A1553">
              <w:rPr>
                <w:b/>
                <w:bCs/>
              </w:rPr>
              <w:t>Engagement</w:t>
            </w:r>
            <w:r w:rsidR="005D4101">
              <w:rPr>
                <w:b/>
                <w:bCs/>
              </w:rPr>
              <w:br/>
            </w:r>
            <w:r>
              <w:t xml:space="preserve">Given the above risk trade-offs, engagement with both </w:t>
            </w:r>
            <w:r w:rsidR="00604F7B">
              <w:t>connection applicants</w:t>
            </w:r>
            <w:r>
              <w:t xml:space="preserve"> and ongoing water service customers in managing those risks is essential.</w:t>
            </w:r>
          </w:p>
        </w:tc>
      </w:tr>
      <w:tr w:rsidR="00476827" w14:paraId="0CB1A13B" w14:textId="77777777" w:rsidTr="00821EC9">
        <w:trPr>
          <w:cnfStyle w:val="000000010000" w:firstRow="0" w:lastRow="0" w:firstColumn="0" w:lastColumn="0" w:oddVBand="0" w:evenVBand="0" w:oddHBand="0" w:evenHBand="1" w:firstRowFirstColumn="0" w:firstRowLastColumn="0" w:lastRowFirstColumn="0" w:lastRowLastColumn="0"/>
        </w:trPr>
        <w:tc>
          <w:tcPr>
            <w:tcW w:w="3544" w:type="dxa"/>
          </w:tcPr>
          <w:p w14:paraId="049D40D4" w14:textId="06BBE530" w:rsidR="00476827" w:rsidRDefault="00DD6A78" w:rsidP="00E947A8">
            <w:pPr>
              <w:spacing w:before="0" w:line="264" w:lineRule="auto"/>
              <w:ind w:left="340" w:hanging="340"/>
            </w:pPr>
            <w:r w:rsidRPr="00DD6A78">
              <w:t>11.</w:t>
            </w:r>
            <w:r w:rsidRPr="00DD6A78">
              <w:tab/>
            </w:r>
            <w:r w:rsidRPr="00D00568">
              <w:rPr>
                <w:b/>
                <w:bCs/>
              </w:rPr>
              <w:t>Inadequate service performance commitments</w:t>
            </w:r>
            <w:r w:rsidRPr="00DD6A78">
              <w:t xml:space="preserve"> in connection processes with a </w:t>
            </w:r>
            <w:r w:rsidRPr="00D00568">
              <w:rPr>
                <w:b/>
                <w:bCs/>
              </w:rPr>
              <w:t>lack of transparency of connection service outcomes</w:t>
            </w:r>
          </w:p>
        </w:tc>
        <w:tc>
          <w:tcPr>
            <w:tcW w:w="6094" w:type="dxa"/>
          </w:tcPr>
          <w:p w14:paraId="1FCCBE6A" w14:textId="5AA09C03" w:rsidR="00476827" w:rsidRDefault="007764DE" w:rsidP="00F20261">
            <w:pPr>
              <w:pStyle w:val="TableBody"/>
              <w:spacing w:line="264" w:lineRule="auto"/>
            </w:pPr>
            <w:r w:rsidRPr="005D4101">
              <w:rPr>
                <w:b/>
                <w:bCs/>
              </w:rPr>
              <w:t>Performance</w:t>
            </w:r>
            <w:r w:rsidR="005D4101">
              <w:br/>
            </w:r>
            <w:r w:rsidRPr="007764DE">
              <w:t>Connection services should be subject to clear performance commitments from water businesses; they should set targets and disclose their actual performance against those targets.</w:t>
            </w:r>
          </w:p>
        </w:tc>
      </w:tr>
    </w:tbl>
    <w:p w14:paraId="0F37440D" w14:textId="5071FC81" w:rsidR="00406589" w:rsidRDefault="00704F88" w:rsidP="008F1526">
      <w:pPr>
        <w:pStyle w:val="Figure-Table-BoxHeading"/>
        <w:keepNext/>
        <w:keepLines/>
        <w:spacing w:before="360" w:line="336" w:lineRule="auto"/>
      </w:pPr>
      <w:r w:rsidRPr="00704F88">
        <w:t>We want to MONITOR NCC implementation to ensure our requirements are met</w:t>
      </w:r>
    </w:p>
    <w:tbl>
      <w:tblPr>
        <w:tblStyle w:val="TableGrid"/>
        <w:tblW w:w="0" w:type="auto"/>
        <w:tblLook w:val="04A0" w:firstRow="1" w:lastRow="0" w:firstColumn="1" w:lastColumn="0" w:noHBand="0" w:noVBand="1"/>
      </w:tblPr>
      <w:tblGrid>
        <w:gridCol w:w="3544"/>
        <w:gridCol w:w="6094"/>
      </w:tblGrid>
      <w:tr w:rsidR="008F1526" w14:paraId="41B74970" w14:textId="77777777" w:rsidTr="007377B5">
        <w:trPr>
          <w:cnfStyle w:val="100000000000" w:firstRow="1" w:lastRow="0" w:firstColumn="0" w:lastColumn="0" w:oddVBand="0" w:evenVBand="0" w:oddHBand="0" w:evenHBand="0" w:firstRowFirstColumn="0" w:firstRowLastColumn="0" w:lastRowFirstColumn="0" w:lastRowLastColumn="0"/>
        </w:trPr>
        <w:tc>
          <w:tcPr>
            <w:tcW w:w="3544" w:type="dxa"/>
          </w:tcPr>
          <w:p w14:paraId="7E593150" w14:textId="43412F40" w:rsidR="008F1526" w:rsidRDefault="00D00568" w:rsidP="008F1526">
            <w:pPr>
              <w:pStyle w:val="TableBody"/>
              <w:keepNext/>
              <w:keepLines/>
            </w:pPr>
            <w:r w:rsidRPr="00D00568">
              <w:t>Topic or issue</w:t>
            </w:r>
          </w:p>
        </w:tc>
        <w:tc>
          <w:tcPr>
            <w:tcW w:w="6094" w:type="dxa"/>
          </w:tcPr>
          <w:p w14:paraId="3EC5B4D6" w14:textId="268120ED" w:rsidR="008F1526" w:rsidRDefault="008F1526" w:rsidP="008F1526">
            <w:pPr>
              <w:pStyle w:val="TableBody"/>
              <w:keepNext/>
              <w:keepLines/>
            </w:pPr>
            <w:r w:rsidRPr="007A1D1D">
              <w:t>How the draft NCC framework paper addresses it</w:t>
            </w:r>
          </w:p>
        </w:tc>
      </w:tr>
      <w:tr w:rsidR="00DD6A78" w14:paraId="5A4B80E2" w14:textId="77777777" w:rsidTr="007377B5">
        <w:trPr>
          <w:cnfStyle w:val="000000100000" w:firstRow="0" w:lastRow="0" w:firstColumn="0" w:lastColumn="0" w:oddVBand="0" w:evenVBand="0" w:oddHBand="1" w:evenHBand="0" w:firstRowFirstColumn="0" w:firstRowLastColumn="0" w:lastRowFirstColumn="0" w:lastRowLastColumn="0"/>
        </w:trPr>
        <w:tc>
          <w:tcPr>
            <w:tcW w:w="3544" w:type="dxa"/>
          </w:tcPr>
          <w:p w14:paraId="2F892368" w14:textId="3BBE37C9" w:rsidR="00DD6A78" w:rsidRDefault="00C57630" w:rsidP="008F1526">
            <w:pPr>
              <w:keepNext/>
              <w:keepLines/>
              <w:spacing w:before="0" w:line="264" w:lineRule="auto"/>
              <w:ind w:left="340" w:hanging="340"/>
            </w:pPr>
            <w:r w:rsidRPr="00C57630">
              <w:t>12.</w:t>
            </w:r>
            <w:r w:rsidRPr="00C57630">
              <w:tab/>
              <w:t>We need to track how businesses implement NCCs and ensure it meets requirements over tim</w:t>
            </w:r>
            <w:r w:rsidRPr="00A02532">
              <w:t>e</w:t>
            </w:r>
            <w:r w:rsidR="00A02532">
              <w:t xml:space="preserve"> </w:t>
            </w:r>
            <w:r w:rsidR="00594EFF" w:rsidRPr="00A02532">
              <w:t>(</w:t>
            </w:r>
            <w:r w:rsidR="00A02532" w:rsidRPr="00A02532">
              <w:rPr>
                <w:i/>
                <w:iCs/>
              </w:rPr>
              <w:t>t</w:t>
            </w:r>
            <w:r w:rsidR="00594EFF" w:rsidRPr="00A02532">
              <w:rPr>
                <w:i/>
                <w:iCs/>
              </w:rPr>
              <w:t xml:space="preserve">his will be resolved through the requirement to </w:t>
            </w:r>
            <w:r w:rsidR="00594EFF" w:rsidRPr="00A02532">
              <w:t>“</w:t>
            </w:r>
            <w:r w:rsidR="00594EFF" w:rsidRPr="00A02532">
              <w:rPr>
                <w:b/>
                <w:bCs/>
                <w:i/>
                <w:iCs/>
              </w:rPr>
              <w:t>provide annual performance disclosures</w:t>
            </w:r>
            <w:r w:rsidR="00594EFF" w:rsidRPr="00A02532">
              <w:t>” to the commission)</w:t>
            </w:r>
          </w:p>
        </w:tc>
        <w:tc>
          <w:tcPr>
            <w:tcW w:w="6094" w:type="dxa"/>
          </w:tcPr>
          <w:p w14:paraId="068F580D" w14:textId="77777777" w:rsidR="007377B5" w:rsidRDefault="007377B5" w:rsidP="008F1526">
            <w:pPr>
              <w:pStyle w:val="TableBody"/>
              <w:keepNext/>
              <w:keepLines/>
              <w:spacing w:after="120" w:line="264" w:lineRule="auto"/>
            </w:pPr>
            <w:r>
              <w:t>The draft framework paper clearly states that the commission will be monitoring how businesses are administering NCCs to ensure both new and existing requirements are met and track performance within the price determination periods, not just during price reviews.</w:t>
            </w:r>
          </w:p>
          <w:p w14:paraId="44319249" w14:textId="77777777" w:rsidR="007377B5" w:rsidRDefault="007377B5" w:rsidP="008F1526">
            <w:pPr>
              <w:pStyle w:val="TableBody"/>
              <w:keepNext/>
              <w:keepLines/>
              <w:spacing w:line="264" w:lineRule="auto"/>
            </w:pPr>
            <w:r>
              <w:t>To facilitate this, the commission will:</w:t>
            </w:r>
          </w:p>
          <w:p w14:paraId="3CC5D0C3" w14:textId="7F29D573" w:rsidR="007377B5" w:rsidRDefault="007377B5" w:rsidP="008F1526">
            <w:pPr>
              <w:pStyle w:val="ListBullet"/>
              <w:keepNext/>
              <w:keepLines/>
              <w:spacing w:before="60" w:after="60" w:line="264" w:lineRule="auto"/>
            </w:pPr>
            <w:r>
              <w:t>impose minimum annual disclosure requirements on water businesses for key NCC performance metrics</w:t>
            </w:r>
          </w:p>
          <w:p w14:paraId="3B201ED4" w14:textId="176516CB" w:rsidR="00DD6A78" w:rsidRDefault="007377B5" w:rsidP="008F1526">
            <w:pPr>
              <w:pStyle w:val="ListBullet"/>
              <w:keepNext/>
              <w:keepLines/>
              <w:spacing w:before="0" w:line="264" w:lineRule="auto"/>
            </w:pPr>
            <w:r>
              <w:t>consider publishing comparative performance commentary where we are concerned about aspects of NCC administration from the disclosed data.</w:t>
            </w:r>
          </w:p>
        </w:tc>
      </w:tr>
    </w:tbl>
    <w:p w14:paraId="366E5363" w14:textId="77777777" w:rsidR="00DD6A78" w:rsidRDefault="00DD6A78" w:rsidP="00C70558"/>
    <w:p w14:paraId="4E6B53F6" w14:textId="2F8ECD14" w:rsidR="00C70558" w:rsidRPr="00C70558" w:rsidRDefault="00C70558" w:rsidP="00C70558">
      <w:pPr>
        <w:sectPr w:rsidR="00C70558" w:rsidRPr="00C70558" w:rsidSect="00C70558">
          <w:headerReference w:type="default" r:id="rId24"/>
          <w:footerReference w:type="default" r:id="rId25"/>
          <w:type w:val="continuous"/>
          <w:pgSz w:w="11906" w:h="16838" w:code="9"/>
          <w:pgMar w:top="1134" w:right="1134" w:bottom="1134" w:left="1134" w:header="709" w:footer="692" w:gutter="0"/>
          <w:pgNumType w:fmt="lowerRoman"/>
          <w:cols w:space="708"/>
          <w:docGrid w:linePitch="360"/>
        </w:sectPr>
      </w:pPr>
    </w:p>
    <w:p w14:paraId="42D5B306" w14:textId="60CEDC7F" w:rsidR="00710792" w:rsidRPr="004245AB" w:rsidRDefault="00083B5B" w:rsidP="00905C41">
      <w:pPr>
        <w:pStyle w:val="Heading1"/>
        <w:numPr>
          <w:ilvl w:val="0"/>
          <w:numId w:val="53"/>
        </w:numPr>
        <w:ind w:left="567" w:hanging="578"/>
      </w:pPr>
      <w:bookmarkStart w:id="12" w:name="_Toc211246836"/>
      <w:r w:rsidRPr="004245AB">
        <w:t>Overview</w:t>
      </w:r>
      <w:bookmarkEnd w:id="11"/>
      <w:bookmarkEnd w:id="12"/>
    </w:p>
    <w:p w14:paraId="2A523178" w14:textId="224CD765" w:rsidR="00083B5B" w:rsidRDefault="007F531C" w:rsidP="00905C41">
      <w:pPr>
        <w:pStyle w:val="Heading2"/>
        <w:ind w:left="851" w:hanging="851"/>
      </w:pPr>
      <w:bookmarkStart w:id="13" w:name="_Toc211246837"/>
      <w:bookmarkStart w:id="14" w:name="_Toc480988882"/>
      <w:bookmarkStart w:id="15" w:name="_Toc481138193"/>
      <w:bookmarkStart w:id="16" w:name="_Toc481138401"/>
      <w:r>
        <w:t>1.</w:t>
      </w:r>
      <w:r w:rsidR="00323C91">
        <w:t>1</w:t>
      </w:r>
      <w:r>
        <w:tab/>
      </w:r>
      <w:bookmarkStart w:id="17" w:name="_Toc210127576"/>
      <w:r w:rsidR="00CA2E11" w:rsidRPr="00D27EB4">
        <w:t>Introduction</w:t>
      </w:r>
      <w:bookmarkEnd w:id="13"/>
      <w:bookmarkEnd w:id="17"/>
    </w:p>
    <w:p w14:paraId="0ABBAB19" w14:textId="36AB6091" w:rsidR="00C94D8A" w:rsidRDefault="000A01C4" w:rsidP="00BA07EF">
      <w:r>
        <w:t xml:space="preserve">The Essential Services Commission </w:t>
      </w:r>
      <w:r w:rsidR="009B0C1E">
        <w:t>is seeking</w:t>
      </w:r>
      <w:r w:rsidR="00BA07EF">
        <w:t xml:space="preserve"> submissions from interested parties to inform the </w:t>
      </w:r>
      <w:r w:rsidR="004479E4">
        <w:t xml:space="preserve">updated </w:t>
      </w:r>
      <w:r w:rsidR="00BA07EF" w:rsidRPr="00DA0B78">
        <w:t>New Customer Contributions Framework</w:t>
      </w:r>
      <w:r w:rsidR="003717FD" w:rsidRPr="00C94D8A">
        <w:t>,</w:t>
      </w:r>
      <w:r w:rsidR="00C94D8A">
        <w:t xml:space="preserve"> which will be incorporated into the guidance for the 2028 water price review. </w:t>
      </w:r>
    </w:p>
    <w:p w14:paraId="33555A99" w14:textId="65CECD9F" w:rsidR="008D6A49" w:rsidRDefault="00D3767C" w:rsidP="008D6A49">
      <w:r>
        <w:t>The commission</w:t>
      </w:r>
      <w:r w:rsidR="00C07107">
        <w:t xml:space="preserve"> review</w:t>
      </w:r>
      <w:r>
        <w:t>ed</w:t>
      </w:r>
      <w:r w:rsidR="0023199D">
        <w:t xml:space="preserve"> Victoria’s N</w:t>
      </w:r>
      <w:r w:rsidR="00CC067F">
        <w:t xml:space="preserve">ew </w:t>
      </w:r>
      <w:r w:rsidR="0023199D">
        <w:t xml:space="preserve">Customer Contributions </w:t>
      </w:r>
      <w:r w:rsidR="00CC067F">
        <w:t>(NCC)</w:t>
      </w:r>
      <w:r w:rsidR="00C07107">
        <w:t xml:space="preserve"> </w:t>
      </w:r>
      <w:r w:rsidR="00E80999">
        <w:t>Framework</w:t>
      </w:r>
      <w:r w:rsidR="0055123E">
        <w:t xml:space="preserve"> </w:t>
      </w:r>
      <w:r w:rsidR="003C69C0">
        <w:t xml:space="preserve">in </w:t>
      </w:r>
      <w:r w:rsidR="0055123E">
        <w:t>2024-25</w:t>
      </w:r>
      <w:r w:rsidR="003C69C0">
        <w:t xml:space="preserve"> </w:t>
      </w:r>
      <w:r w:rsidR="00EF0E9F">
        <w:t xml:space="preserve">to </w:t>
      </w:r>
      <w:r w:rsidR="008D6A49">
        <w:t>strengthen</w:t>
      </w:r>
      <w:r w:rsidR="00EF0E9F">
        <w:t xml:space="preserve"> </w:t>
      </w:r>
      <w:r w:rsidR="006B6606">
        <w:t xml:space="preserve">the way </w:t>
      </w:r>
      <w:r w:rsidR="008D6A49">
        <w:t xml:space="preserve">water businesses plan for, calculate and administer NCCs. </w:t>
      </w:r>
      <w:r w:rsidR="0055123E">
        <w:t>We developed the Draft New Customer Contributions Framework following extensive consultation with the water sector.</w:t>
      </w:r>
    </w:p>
    <w:p w14:paraId="6B3785E9" w14:textId="188020A3" w:rsidR="00227205" w:rsidRDefault="00EB0DD6" w:rsidP="000F6DFF">
      <w:r>
        <w:t xml:space="preserve">The </w:t>
      </w:r>
      <w:r w:rsidR="00356BCB">
        <w:t>New Customer Contributions (</w:t>
      </w:r>
      <w:r>
        <w:t>NCC</w:t>
      </w:r>
      <w:r w:rsidR="00356BCB">
        <w:t>)</w:t>
      </w:r>
      <w:r>
        <w:t xml:space="preserve"> Framework</w:t>
      </w:r>
      <w:r w:rsidR="005A469C">
        <w:t xml:space="preserve"> will </w:t>
      </w:r>
      <w:r w:rsidR="00901749">
        <w:t>continue to be guided by</w:t>
      </w:r>
      <w:r w:rsidR="00B157C8">
        <w:t xml:space="preserve"> </w:t>
      </w:r>
      <w:r w:rsidR="00901749">
        <w:t xml:space="preserve">three </w:t>
      </w:r>
      <w:proofErr w:type="gramStart"/>
      <w:r w:rsidR="00227205">
        <w:t>objectives</w:t>
      </w:r>
      <w:proofErr w:type="gramEnd"/>
      <w:r w:rsidR="00227205">
        <w:t>:</w:t>
      </w:r>
    </w:p>
    <w:p w14:paraId="4C191E40" w14:textId="2AD43E21" w:rsidR="00227205" w:rsidRDefault="006B3238" w:rsidP="0066616D">
      <w:pPr>
        <w:pStyle w:val="ListBullet"/>
      </w:pPr>
      <w:r>
        <w:t>a</w:t>
      </w:r>
      <w:r w:rsidR="00227205">
        <w:t>dminister new customer contributions in a transparent way</w:t>
      </w:r>
    </w:p>
    <w:p w14:paraId="48406ECA" w14:textId="3E6C9191" w:rsidR="00227205" w:rsidRDefault="006B3238" w:rsidP="005C1A96">
      <w:pPr>
        <w:pStyle w:val="ListBullet"/>
      </w:pPr>
      <w:r>
        <w:t>s</w:t>
      </w:r>
      <w:r w:rsidR="00227205">
        <w:t>hare the costs and benefits of growth between new and existing customers</w:t>
      </w:r>
    </w:p>
    <w:p w14:paraId="0D0C4EE2" w14:textId="239C6406" w:rsidR="00227205" w:rsidRDefault="006B3238" w:rsidP="005C1A96">
      <w:pPr>
        <w:pStyle w:val="ListBullet"/>
      </w:pPr>
      <w:r>
        <w:t>s</w:t>
      </w:r>
      <w:r w:rsidR="00227205">
        <w:t xml:space="preserve">end signals to connection applicants about the costs of developing in different locations. </w:t>
      </w:r>
    </w:p>
    <w:p w14:paraId="56789FA8" w14:textId="3210D1A5" w:rsidR="00063CF6" w:rsidRPr="00B91FE9" w:rsidRDefault="00063CF6" w:rsidP="00EF4BAC">
      <w:pPr>
        <w:pStyle w:val="Heading3"/>
      </w:pPr>
      <w:bookmarkStart w:id="18" w:name="_Toc210127577"/>
      <w:bookmarkStart w:id="19" w:name="_Toc210908589"/>
      <w:bookmarkStart w:id="20" w:name="_Toc211246838"/>
      <w:r w:rsidRPr="00FB0EE3">
        <w:t xml:space="preserve">Purpose of </w:t>
      </w:r>
      <w:r w:rsidR="00356BCB">
        <w:t>the</w:t>
      </w:r>
      <w:r w:rsidR="00356BCB" w:rsidRPr="00383A1B">
        <w:rPr>
          <w:bCs/>
        </w:rPr>
        <w:t xml:space="preserve"> </w:t>
      </w:r>
      <w:r w:rsidRPr="00383A1B">
        <w:t>Draft N</w:t>
      </w:r>
      <w:r w:rsidR="00A22E31" w:rsidRPr="00383A1B">
        <w:t xml:space="preserve">ew </w:t>
      </w:r>
      <w:r w:rsidRPr="00383A1B">
        <w:t>C</w:t>
      </w:r>
      <w:r w:rsidR="00A22E31" w:rsidRPr="00383A1B">
        <w:t xml:space="preserve">ustomer </w:t>
      </w:r>
      <w:r w:rsidRPr="00383A1B">
        <w:t>C</w:t>
      </w:r>
      <w:r w:rsidR="00A22E31" w:rsidRPr="00383A1B">
        <w:t>ontributions</w:t>
      </w:r>
      <w:r w:rsidRPr="00383A1B">
        <w:t xml:space="preserve"> Framework</w:t>
      </w:r>
      <w:bookmarkEnd w:id="18"/>
      <w:bookmarkEnd w:id="19"/>
      <w:bookmarkEnd w:id="20"/>
      <w:r w:rsidRPr="00383A1B">
        <w:t xml:space="preserve"> </w:t>
      </w:r>
    </w:p>
    <w:p w14:paraId="7F0AB346" w14:textId="270DE23B" w:rsidR="00F54F7B" w:rsidRDefault="006D526D" w:rsidP="00D55B35">
      <w:r>
        <w:t>The</w:t>
      </w:r>
      <w:r w:rsidR="00A22E31">
        <w:t xml:space="preserve"> </w:t>
      </w:r>
      <w:r w:rsidR="005D3688" w:rsidRPr="00AA7DC6">
        <w:rPr>
          <w:i/>
        </w:rPr>
        <w:t xml:space="preserve">Draft New Customer Contributions </w:t>
      </w:r>
      <w:r w:rsidR="005D3688" w:rsidRPr="00395D91">
        <w:rPr>
          <w:i/>
        </w:rPr>
        <w:t>Framework</w:t>
      </w:r>
      <w:r w:rsidR="005D3688">
        <w:t xml:space="preserve"> </w:t>
      </w:r>
      <w:r w:rsidR="0082617C">
        <w:t>outlines</w:t>
      </w:r>
      <w:r w:rsidR="00A22E31">
        <w:t xml:space="preserve"> the </w:t>
      </w:r>
      <w:r w:rsidR="00507289" w:rsidRPr="00507289">
        <w:t xml:space="preserve">regulatory arrangements </w:t>
      </w:r>
      <w:r w:rsidR="00840310">
        <w:t>for</w:t>
      </w:r>
      <w:r w:rsidR="00507289" w:rsidRPr="00507289">
        <w:t xml:space="preserve"> </w:t>
      </w:r>
      <w:r w:rsidR="00BE3946" w:rsidRPr="00507289">
        <w:t>NCCs</w:t>
      </w:r>
      <w:r w:rsidR="00BE3946">
        <w:t xml:space="preserve"> and</w:t>
      </w:r>
      <w:r w:rsidR="00840310">
        <w:t xml:space="preserve"> sets out</w:t>
      </w:r>
      <w:r w:rsidR="00507289">
        <w:t xml:space="preserve"> the</w:t>
      </w:r>
      <w:r w:rsidR="00507289" w:rsidRPr="00507289">
        <w:t xml:space="preserve"> </w:t>
      </w:r>
      <w:r w:rsidR="00DB3C7B">
        <w:t xml:space="preserve">commission’s expectations and requirements for how water businesses </w:t>
      </w:r>
      <w:r w:rsidR="003A5FDE">
        <w:t xml:space="preserve">will </w:t>
      </w:r>
      <w:r w:rsidR="00DB3C7B">
        <w:t xml:space="preserve">manage NCCs from </w:t>
      </w:r>
      <w:r w:rsidR="00A258D6">
        <w:t xml:space="preserve">the </w:t>
      </w:r>
      <w:r w:rsidR="00DB3C7B">
        <w:t>2028</w:t>
      </w:r>
      <w:r w:rsidR="00A258D6">
        <w:t xml:space="preserve"> water price review</w:t>
      </w:r>
      <w:r w:rsidR="003A5FDE">
        <w:t xml:space="preserve"> onwards</w:t>
      </w:r>
      <w:r w:rsidR="00DB3C7B">
        <w:t xml:space="preserve">. </w:t>
      </w:r>
    </w:p>
    <w:p w14:paraId="76097E3B" w14:textId="14595E9A" w:rsidR="00640453" w:rsidRDefault="00F13CBB" w:rsidP="00BD1A84">
      <w:r>
        <w:t xml:space="preserve">The framework </w:t>
      </w:r>
      <w:r w:rsidR="00FA538C">
        <w:t xml:space="preserve">will </w:t>
      </w:r>
      <w:r>
        <w:t>help</w:t>
      </w:r>
      <w:r w:rsidRPr="00C741DA">
        <w:t xml:space="preserve"> </w:t>
      </w:r>
      <w:r w:rsidR="00640453" w:rsidRPr="00C741DA">
        <w:t>water business</w:t>
      </w:r>
      <w:r w:rsidR="00640453">
        <w:t>es</w:t>
      </w:r>
      <w:r w:rsidR="00640453" w:rsidRPr="00C741DA">
        <w:t xml:space="preserve"> to engage</w:t>
      </w:r>
      <w:r w:rsidR="0080291F">
        <w:t xml:space="preserve"> effectively</w:t>
      </w:r>
      <w:r w:rsidR="00705A82">
        <w:t xml:space="preserve"> with their customers and connection applicant</w:t>
      </w:r>
      <w:r w:rsidR="006D526D">
        <w:t xml:space="preserve">s. It will also help them </w:t>
      </w:r>
      <w:r w:rsidR="00640453" w:rsidRPr="00C741DA">
        <w:t xml:space="preserve">implement and </w:t>
      </w:r>
      <w:proofErr w:type="gramStart"/>
      <w:r w:rsidR="00640453" w:rsidRPr="00C741DA">
        <w:t>comply with</w:t>
      </w:r>
      <w:proofErr w:type="gramEnd"/>
      <w:r w:rsidR="00640453" w:rsidRPr="00C741DA">
        <w:t xml:space="preserve"> </w:t>
      </w:r>
      <w:r w:rsidR="00A469C3">
        <w:t xml:space="preserve">the </w:t>
      </w:r>
      <w:r w:rsidR="00640453">
        <w:t xml:space="preserve">relevant </w:t>
      </w:r>
      <w:r w:rsidR="00640453" w:rsidRPr="00C741DA">
        <w:t xml:space="preserve">requirements </w:t>
      </w:r>
      <w:r w:rsidR="00640453">
        <w:t>of</w:t>
      </w:r>
      <w:r w:rsidR="00640453" w:rsidRPr="00C741DA">
        <w:t xml:space="preserve"> the </w:t>
      </w:r>
      <w:r w:rsidR="00640453" w:rsidRPr="00EF4BAC">
        <w:t>Water Act</w:t>
      </w:r>
      <w:r w:rsidR="00F0727E" w:rsidRPr="00EF4BAC">
        <w:t xml:space="preserve"> 1989</w:t>
      </w:r>
      <w:r w:rsidR="00640453" w:rsidRPr="00EF4BAC">
        <w:t xml:space="preserve">, </w:t>
      </w:r>
      <w:r w:rsidR="00640453" w:rsidRPr="00423A7A">
        <w:t>the Water Industry Regulatory Order</w:t>
      </w:r>
      <w:r w:rsidR="00640453">
        <w:t xml:space="preserve"> </w:t>
      </w:r>
      <w:r w:rsidR="00362461">
        <w:t xml:space="preserve">2014 </w:t>
      </w:r>
      <w:r w:rsidR="00640453">
        <w:t xml:space="preserve">(WIRO) </w:t>
      </w:r>
      <w:r w:rsidR="00640453" w:rsidRPr="00E34552">
        <w:t xml:space="preserve">and our future </w:t>
      </w:r>
      <w:r w:rsidR="00074111" w:rsidRPr="00E34552">
        <w:t xml:space="preserve">water </w:t>
      </w:r>
      <w:r w:rsidR="00362461" w:rsidRPr="00E34552">
        <w:t xml:space="preserve">price review </w:t>
      </w:r>
      <w:r w:rsidR="00640453" w:rsidRPr="00E34552">
        <w:t>guidance</w:t>
      </w:r>
      <w:r w:rsidR="00FB3871">
        <w:t xml:space="preserve"> papers</w:t>
      </w:r>
      <w:r w:rsidR="00640453" w:rsidRPr="00E34552">
        <w:t>.</w:t>
      </w:r>
    </w:p>
    <w:p w14:paraId="2152264A" w14:textId="45E9D209" w:rsidR="00083B5B" w:rsidRDefault="0099455E" w:rsidP="00083B5B">
      <w:r>
        <w:t>The</w:t>
      </w:r>
      <w:r w:rsidR="0096162C">
        <w:t xml:space="preserve"> </w:t>
      </w:r>
      <w:r w:rsidR="00541E5D" w:rsidRPr="00AA7DC6">
        <w:rPr>
          <w:i/>
        </w:rPr>
        <w:t xml:space="preserve">Draft New Customer Contributions </w:t>
      </w:r>
      <w:r w:rsidR="00541E5D" w:rsidRPr="00395D91">
        <w:rPr>
          <w:i/>
        </w:rPr>
        <w:t>Framework</w:t>
      </w:r>
      <w:r w:rsidR="00541E5D">
        <w:t xml:space="preserve"> </w:t>
      </w:r>
      <w:r w:rsidR="0063740C">
        <w:t>i</w:t>
      </w:r>
      <w:r w:rsidR="00475FCC">
        <w:t>s</w:t>
      </w:r>
      <w:r w:rsidR="00054278">
        <w:t xml:space="preserve"> </w:t>
      </w:r>
      <w:r w:rsidR="002C495F">
        <w:t>design</w:t>
      </w:r>
      <w:r w:rsidR="00054278">
        <w:t>ed</w:t>
      </w:r>
      <w:r w:rsidR="00475FCC">
        <w:t xml:space="preserve"> to: </w:t>
      </w:r>
    </w:p>
    <w:p w14:paraId="67939B5B" w14:textId="1A84E91E" w:rsidR="00083B5B" w:rsidRDefault="00083B5B" w:rsidP="005C1A96">
      <w:pPr>
        <w:pStyle w:val="ListBullet"/>
      </w:pPr>
      <w:r>
        <w:t>inform water businesses’ NCC planning and decision-making</w:t>
      </w:r>
    </w:p>
    <w:p w14:paraId="53D7A4BC" w14:textId="27D22813" w:rsidR="00083B5B" w:rsidRDefault="00083B5B" w:rsidP="005C1A96">
      <w:pPr>
        <w:pStyle w:val="ListBullet"/>
      </w:pPr>
      <w:r>
        <w:t xml:space="preserve">improve the efficiency and transparency of connection processes and pricing of NCCs for both water businesses and connection applicants.  </w:t>
      </w:r>
    </w:p>
    <w:p w14:paraId="74C25C90" w14:textId="3D3A8F0B" w:rsidR="00083B5B" w:rsidRDefault="00CE6D49" w:rsidP="00083B5B">
      <w:pPr>
        <w:pStyle w:val="Heading3"/>
      </w:pPr>
      <w:bookmarkStart w:id="21" w:name="_Toc209969042"/>
      <w:bookmarkStart w:id="22" w:name="_Toc210028089"/>
      <w:bookmarkStart w:id="23" w:name="_Toc210127578"/>
      <w:bookmarkStart w:id="24" w:name="_Toc210908590"/>
      <w:bookmarkStart w:id="25" w:name="_Toc211246839"/>
      <w:bookmarkStart w:id="26" w:name="_Toc208839793"/>
      <w:bookmarkStart w:id="27" w:name="_Toc209447284"/>
      <w:r>
        <w:t xml:space="preserve">Development of </w:t>
      </w:r>
      <w:r w:rsidR="006D526D">
        <w:t xml:space="preserve">the </w:t>
      </w:r>
      <w:r w:rsidR="00D97971">
        <w:t>Draft New</w:t>
      </w:r>
      <w:r w:rsidR="00CD4B4D">
        <w:t xml:space="preserve"> Customer Contributions</w:t>
      </w:r>
      <w:r w:rsidR="007F689F">
        <w:t xml:space="preserve"> Framework</w:t>
      </w:r>
      <w:bookmarkEnd w:id="21"/>
      <w:bookmarkEnd w:id="22"/>
      <w:bookmarkEnd w:id="23"/>
      <w:bookmarkEnd w:id="24"/>
      <w:bookmarkEnd w:id="25"/>
      <w:r w:rsidR="007F689F">
        <w:t xml:space="preserve"> </w:t>
      </w:r>
      <w:bookmarkEnd w:id="26"/>
      <w:bookmarkEnd w:id="27"/>
    </w:p>
    <w:p w14:paraId="755DAEEC" w14:textId="5B9E7286" w:rsidR="006B6207" w:rsidRDefault="006B6207" w:rsidP="00216F97">
      <w:r>
        <w:t xml:space="preserve">To </w:t>
      </w:r>
      <w:r w:rsidR="002D5E60">
        <w:t xml:space="preserve">better </w:t>
      </w:r>
      <w:r>
        <w:t xml:space="preserve">understand the </w:t>
      </w:r>
      <w:r w:rsidR="002D5E60">
        <w:t>issues</w:t>
      </w:r>
      <w:r>
        <w:t xml:space="preserve"> and focus our review, we met with water businesses and other interested parties.</w:t>
      </w:r>
      <w:r w:rsidR="00744AE3">
        <w:rPr>
          <w:rStyle w:val="FootnoteReference"/>
        </w:rPr>
        <w:footnoteReference w:id="1"/>
      </w:r>
      <w:r>
        <w:t xml:space="preserve"> Following </w:t>
      </w:r>
      <w:r w:rsidR="00EE574C">
        <w:t>these discussions</w:t>
      </w:r>
      <w:r>
        <w:t xml:space="preserve">, we </w:t>
      </w:r>
      <w:r w:rsidRPr="00BD19DE">
        <w:t xml:space="preserve">released </w:t>
      </w:r>
      <w:r>
        <w:t>a</w:t>
      </w:r>
      <w:r w:rsidRPr="00BD19DE">
        <w:t xml:space="preserve"> paper </w:t>
      </w:r>
      <w:r w:rsidR="00445F91">
        <w:t>seeking</w:t>
      </w:r>
      <w:r>
        <w:t xml:space="preserve"> feedback on the issues</w:t>
      </w:r>
      <w:r w:rsidR="00991C3B">
        <w:t xml:space="preserve"> </w:t>
      </w:r>
      <w:r w:rsidR="00B30F72">
        <w:t>found</w:t>
      </w:r>
      <w:r>
        <w:t xml:space="preserve"> and </w:t>
      </w:r>
      <w:r w:rsidR="00D23FB9">
        <w:t>potential ways to</w:t>
      </w:r>
      <w:r>
        <w:t xml:space="preserve"> address the</w:t>
      </w:r>
      <w:r w:rsidR="00D23FB9">
        <w:t xml:space="preserve">m. </w:t>
      </w:r>
    </w:p>
    <w:p w14:paraId="66877343" w14:textId="6E2F2E4B" w:rsidR="006B6207" w:rsidRDefault="00737DAA" w:rsidP="00216F97">
      <w:r>
        <w:t>In June 2025, w</w:t>
      </w:r>
      <w:r w:rsidR="006B6207">
        <w:t xml:space="preserve">e </w:t>
      </w:r>
      <w:r w:rsidR="00AD73ED">
        <w:t xml:space="preserve">published a </w:t>
      </w:r>
      <w:r w:rsidR="000B3713">
        <w:t>report</w:t>
      </w:r>
      <w:r w:rsidR="00D26F44">
        <w:t xml:space="preserve"> </w:t>
      </w:r>
      <w:r w:rsidR="002F6299">
        <w:t xml:space="preserve">summarising </w:t>
      </w:r>
      <w:r w:rsidR="00820A2B">
        <w:t>what</w:t>
      </w:r>
      <w:r w:rsidR="006B6207">
        <w:t xml:space="preserve"> we heard </w:t>
      </w:r>
      <w:r w:rsidR="00490038">
        <w:t xml:space="preserve">and set out </w:t>
      </w:r>
      <w:r w:rsidR="00FD5CCE">
        <w:t xml:space="preserve">our preliminary responses. </w:t>
      </w:r>
      <w:r w:rsidR="006B6207">
        <w:t xml:space="preserve">We </w:t>
      </w:r>
      <w:r w:rsidR="00FD5CCE">
        <w:t xml:space="preserve">also </w:t>
      </w:r>
      <w:r w:rsidR="006B6207">
        <w:t>held workshops with water businesses</w:t>
      </w:r>
      <w:r w:rsidR="00083AE8">
        <w:t xml:space="preserve"> in Aug</w:t>
      </w:r>
      <w:r w:rsidR="00691850">
        <w:t>ust</w:t>
      </w:r>
      <w:r w:rsidR="00083AE8">
        <w:t xml:space="preserve"> to </w:t>
      </w:r>
      <w:r w:rsidR="00691850">
        <w:t>September 2025</w:t>
      </w:r>
      <w:r w:rsidR="006B6207">
        <w:t xml:space="preserve"> to </w:t>
      </w:r>
      <w:r w:rsidR="006D26CB">
        <w:t>share</w:t>
      </w:r>
      <w:r w:rsidR="006B6207">
        <w:t xml:space="preserve"> industry be</w:t>
      </w:r>
      <w:r w:rsidR="00E64739">
        <w:t>tter</w:t>
      </w:r>
      <w:r w:rsidR="006B6207">
        <w:t xml:space="preserve"> practices on engagement, </w:t>
      </w:r>
      <w:r w:rsidR="00222CE2">
        <w:t xml:space="preserve">and </w:t>
      </w:r>
      <w:r w:rsidR="006B6207">
        <w:t>NCC costing and modelling principles</w:t>
      </w:r>
      <w:r w:rsidR="00E262CD">
        <w:t xml:space="preserve">. </w:t>
      </w:r>
      <w:r w:rsidR="008510C0">
        <w:t xml:space="preserve">In addition, we </w:t>
      </w:r>
      <w:r w:rsidR="00F60D60">
        <w:t>hosted</w:t>
      </w:r>
      <w:r w:rsidR="006B6207">
        <w:t xml:space="preserve"> </w:t>
      </w:r>
      <w:r w:rsidR="003529A9">
        <w:t xml:space="preserve">a </w:t>
      </w:r>
      <w:r w:rsidR="006B6207">
        <w:t xml:space="preserve">public forum </w:t>
      </w:r>
      <w:r w:rsidR="00D45EB9">
        <w:t>to hear directly from</w:t>
      </w:r>
      <w:r w:rsidR="006B6207">
        <w:t xml:space="preserve"> </w:t>
      </w:r>
      <w:r w:rsidR="00932DB9">
        <w:t>connection applicants</w:t>
      </w:r>
      <w:r w:rsidR="006B6207">
        <w:t xml:space="preserve"> and other interested parties.</w:t>
      </w:r>
    </w:p>
    <w:p w14:paraId="2D91DFFC" w14:textId="6B64657E" w:rsidR="00505129" w:rsidRDefault="00AD5EA3" w:rsidP="00673187">
      <w:r>
        <w:t>The</w:t>
      </w:r>
      <w:r w:rsidR="000C3042">
        <w:t xml:space="preserve"> </w:t>
      </w:r>
      <w:r w:rsidR="004B1A77" w:rsidRPr="00AA7DC6">
        <w:rPr>
          <w:i/>
          <w:iCs/>
        </w:rPr>
        <w:t>Draft</w:t>
      </w:r>
      <w:r w:rsidR="004B1A77" w:rsidRPr="00AA7DC6">
        <w:rPr>
          <w:i/>
        </w:rPr>
        <w:t xml:space="preserve"> New Customer Contributions </w:t>
      </w:r>
      <w:r w:rsidR="004B1A77" w:rsidRPr="00395D91">
        <w:rPr>
          <w:i/>
        </w:rPr>
        <w:t>Framework</w:t>
      </w:r>
      <w:r w:rsidR="004B1A77">
        <w:t xml:space="preserve"> </w:t>
      </w:r>
      <w:r w:rsidR="00505129">
        <w:t xml:space="preserve">updates and </w:t>
      </w:r>
      <w:r w:rsidR="00BC5296">
        <w:t>combines</w:t>
      </w:r>
      <w:r w:rsidR="00447B16">
        <w:t xml:space="preserve"> </w:t>
      </w:r>
      <w:r w:rsidR="008F6A2B">
        <w:t>feedback from workshops, surveys, and meetings during our 2024–25 NCC review</w:t>
      </w:r>
      <w:r w:rsidR="00D56A02">
        <w:t xml:space="preserve">, and </w:t>
      </w:r>
      <w:r w:rsidR="00447B16">
        <w:t xml:space="preserve">the current NCC </w:t>
      </w:r>
      <w:r w:rsidR="00E92121">
        <w:t>Framework, including</w:t>
      </w:r>
      <w:r w:rsidR="00505129">
        <w:t>:</w:t>
      </w:r>
    </w:p>
    <w:p w14:paraId="4A590283" w14:textId="77777777" w:rsidR="00083B5B" w:rsidRDefault="00C43B91" w:rsidP="00673187">
      <w:pPr>
        <w:pStyle w:val="ListBullet"/>
      </w:pPr>
      <w:r>
        <w:t>the</w:t>
      </w:r>
      <w:r w:rsidR="00083B5B">
        <w:t xml:space="preserve"> 2013 </w:t>
      </w:r>
      <w:r w:rsidR="00083B5B" w:rsidRPr="007027F0">
        <w:t>New Customer Contribution</w:t>
      </w:r>
      <w:r w:rsidR="0079701F" w:rsidRPr="007027F0">
        <w:t>s:</w:t>
      </w:r>
      <w:r w:rsidR="00083B5B" w:rsidRPr="007027F0">
        <w:t xml:space="preserve"> Explanatory Note</w:t>
      </w:r>
    </w:p>
    <w:p w14:paraId="53C240E5" w14:textId="77777777" w:rsidR="00083B5B" w:rsidRDefault="00083B5B" w:rsidP="00673187">
      <w:pPr>
        <w:pStyle w:val="ListBullet"/>
      </w:pPr>
      <w:r>
        <w:t>aspects of prior water price review guidance papers since 2013</w:t>
      </w:r>
    </w:p>
    <w:p w14:paraId="5E4071D9" w14:textId="77777777" w:rsidR="00083B5B" w:rsidRDefault="00083B5B" w:rsidP="00673187">
      <w:pPr>
        <w:pStyle w:val="ListBullet"/>
      </w:pPr>
      <w:r>
        <w:t>prior key NCC precedents from draft and final determinations made since 2013</w:t>
      </w:r>
    </w:p>
    <w:p w14:paraId="0317FD31" w14:textId="34DEF88D" w:rsidR="00083B5B" w:rsidRDefault="00083B5B" w:rsidP="00673187">
      <w:pPr>
        <w:pStyle w:val="ListBullet"/>
      </w:pPr>
      <w:r>
        <w:t xml:space="preserve">the issues in our 2024 </w:t>
      </w:r>
      <w:r w:rsidRPr="00370467">
        <w:t>Review of New Customer Contributions</w:t>
      </w:r>
      <w:r w:rsidR="00830042">
        <w:t>:</w:t>
      </w:r>
      <w:r w:rsidRPr="00370467">
        <w:t xml:space="preserve"> Consultation Paper</w:t>
      </w:r>
      <w:r>
        <w:t xml:space="preserve">, and our 2025 </w:t>
      </w:r>
      <w:r w:rsidR="00E92121" w:rsidRPr="00230B5F">
        <w:rPr>
          <w:i/>
          <w:iCs/>
        </w:rPr>
        <w:t xml:space="preserve">Review of New Customer </w:t>
      </w:r>
      <w:r w:rsidR="00482214" w:rsidRPr="00482214">
        <w:rPr>
          <w:i/>
          <w:iCs/>
        </w:rPr>
        <w:t>Contributions</w:t>
      </w:r>
      <w:r w:rsidR="00482214" w:rsidRPr="00230B5F">
        <w:rPr>
          <w:i/>
          <w:iCs/>
        </w:rPr>
        <w:t xml:space="preserve">: </w:t>
      </w:r>
      <w:r w:rsidRPr="00230B5F">
        <w:rPr>
          <w:i/>
        </w:rPr>
        <w:t>Report on interested parties’ feedback</w:t>
      </w:r>
      <w:r w:rsidR="008524F9">
        <w:t>.</w:t>
      </w:r>
    </w:p>
    <w:p w14:paraId="7AA2E8CF" w14:textId="5C2F7264" w:rsidR="00ED686E" w:rsidRPr="009C5FE4" w:rsidRDefault="00ED686E" w:rsidP="00673187">
      <w:pPr>
        <w:rPr>
          <w:iCs/>
        </w:rPr>
      </w:pPr>
      <w:r w:rsidRPr="00673187">
        <w:t xml:space="preserve">Once the </w:t>
      </w:r>
      <w:r w:rsidR="009C5FE4" w:rsidRPr="00673187">
        <w:rPr>
          <w:i/>
        </w:rPr>
        <w:t xml:space="preserve">New Customer Contributions Framework </w:t>
      </w:r>
      <w:r w:rsidR="009C5FE4" w:rsidRPr="00673187">
        <w:rPr>
          <w:iCs/>
        </w:rPr>
        <w:t xml:space="preserve">is released and </w:t>
      </w:r>
      <w:r w:rsidR="00003CFF" w:rsidRPr="00673187">
        <w:rPr>
          <w:iCs/>
        </w:rPr>
        <w:t>in preparation for the 2028 water price review, all legacy documents from the current framework will be retired.</w:t>
      </w:r>
      <w:r w:rsidR="00003CFF">
        <w:rPr>
          <w:iCs/>
        </w:rPr>
        <w:t xml:space="preserve"> </w:t>
      </w:r>
    </w:p>
    <w:p w14:paraId="65C8FC81" w14:textId="72CF7391" w:rsidR="00083B5B" w:rsidRDefault="00C6282C" w:rsidP="00905C41">
      <w:pPr>
        <w:pStyle w:val="Heading2"/>
        <w:ind w:left="851" w:hanging="851"/>
      </w:pPr>
      <w:bookmarkStart w:id="28" w:name="_Toc211246840"/>
      <w:r>
        <w:t>1.2</w:t>
      </w:r>
      <w:r>
        <w:tab/>
      </w:r>
      <w:bookmarkStart w:id="29" w:name="_Toc210127579"/>
      <w:r w:rsidR="00083B5B">
        <w:t>Our 2024</w:t>
      </w:r>
      <w:r w:rsidR="00F46E7B">
        <w:t>–</w:t>
      </w:r>
      <w:r w:rsidR="00083B5B">
        <w:t>25 NCC review outcomes</w:t>
      </w:r>
      <w:bookmarkEnd w:id="28"/>
      <w:bookmarkEnd w:id="29"/>
    </w:p>
    <w:p w14:paraId="5681C148" w14:textId="1DE2E64B" w:rsidR="00382139" w:rsidRPr="00230B5F" w:rsidRDefault="00655625" w:rsidP="00FF7065">
      <w:r w:rsidRPr="00230B5F">
        <w:t xml:space="preserve">During </w:t>
      </w:r>
      <w:r w:rsidR="006A1736" w:rsidRPr="00230B5F">
        <w:t>consultation</w:t>
      </w:r>
      <w:r w:rsidR="00A25867" w:rsidRPr="00230B5F">
        <w:t>,</w:t>
      </w:r>
      <w:r w:rsidR="006A1736" w:rsidRPr="00230B5F">
        <w:t xml:space="preserve"> </w:t>
      </w:r>
      <w:r w:rsidR="008C7A28" w:rsidRPr="00230B5F">
        <w:t xml:space="preserve">some interested parties </w:t>
      </w:r>
      <w:r w:rsidR="003B321F" w:rsidRPr="00230B5F">
        <w:t>called</w:t>
      </w:r>
      <w:r w:rsidR="008C7A28" w:rsidRPr="00230B5F">
        <w:t xml:space="preserve"> for </w:t>
      </w:r>
      <w:r w:rsidR="00284756" w:rsidRPr="00230B5F">
        <w:t>more detailed</w:t>
      </w:r>
      <w:r w:rsidR="00290A13" w:rsidRPr="00230B5F">
        <w:t xml:space="preserve"> </w:t>
      </w:r>
      <w:r w:rsidR="008C7A28" w:rsidRPr="00230B5F">
        <w:t xml:space="preserve">guidance to </w:t>
      </w:r>
      <w:r w:rsidR="00D25455" w:rsidRPr="00230B5F">
        <w:t xml:space="preserve">help ensure </w:t>
      </w:r>
      <w:r w:rsidR="005C6F6C" w:rsidRPr="00230B5F">
        <w:t xml:space="preserve">calculated </w:t>
      </w:r>
      <w:r w:rsidR="00890D35" w:rsidRPr="00230B5F">
        <w:t>NCCs meet the NCC pricing principles</w:t>
      </w:r>
      <w:r w:rsidR="008C7A28" w:rsidRPr="00230B5F">
        <w:t xml:space="preserve">. </w:t>
      </w:r>
      <w:r w:rsidR="00382139" w:rsidRPr="00230B5F">
        <w:t>However, others stressed the need to avoid overly prescriptive requirements, recognising the different operating environments of metropolitan, urban and regional water businesses</w:t>
      </w:r>
      <w:r w:rsidR="00F35BB8">
        <w:t>.</w:t>
      </w:r>
    </w:p>
    <w:p w14:paraId="4B1795AF" w14:textId="11146560" w:rsidR="00FF7065" w:rsidRDefault="00FF7065" w:rsidP="00FF7065">
      <w:r>
        <w:t>As a result</w:t>
      </w:r>
      <w:r w:rsidR="003460FE">
        <w:t>,</w:t>
      </w:r>
      <w:r>
        <w:t xml:space="preserve"> the commission is:  </w:t>
      </w:r>
    </w:p>
    <w:p w14:paraId="294EAFE9" w14:textId="2B5672F8" w:rsidR="00083B5B" w:rsidRDefault="00BC7DEC" w:rsidP="005C1A96">
      <w:pPr>
        <w:pStyle w:val="ListBullet"/>
      </w:pPr>
      <w:r>
        <w:t>k</w:t>
      </w:r>
      <w:r w:rsidR="00083B5B">
        <w:t xml:space="preserve">eeping the </w:t>
      </w:r>
      <w:r w:rsidR="00083B5B" w:rsidRPr="00A767CE">
        <w:t>flexible NCC pricing principles</w:t>
      </w:r>
      <w:r w:rsidR="00F316F3">
        <w:t xml:space="preserve"> (</w:t>
      </w:r>
      <w:r w:rsidR="0031700C">
        <w:t>s</w:t>
      </w:r>
      <w:r w:rsidR="0031700C" w:rsidRPr="00F316F3">
        <w:t xml:space="preserve">ection </w:t>
      </w:r>
      <w:r w:rsidR="00083B5B" w:rsidRPr="00F316F3">
        <w:t>3</w:t>
      </w:r>
      <w:r w:rsidR="00083B5B">
        <w:t>.1</w:t>
      </w:r>
      <w:r w:rsidR="00F316F3">
        <w:t>)</w:t>
      </w:r>
    </w:p>
    <w:p w14:paraId="4ABF3DC8" w14:textId="2ACACF62" w:rsidR="00083B5B" w:rsidRDefault="003460FE" w:rsidP="005C1A96">
      <w:pPr>
        <w:pStyle w:val="ListBullet"/>
      </w:pPr>
      <w:r>
        <w:t>k</w:t>
      </w:r>
      <w:r w:rsidR="00083B5B">
        <w:t xml:space="preserve">eeping </w:t>
      </w:r>
      <w:r w:rsidR="00024971">
        <w:t>a</w:t>
      </w:r>
      <w:r w:rsidR="00083B5B">
        <w:t xml:space="preserve"> provision for </w:t>
      </w:r>
      <w:r w:rsidR="00083B5B" w:rsidRPr="00CA7394">
        <w:t>standard NCCs in suitable circumstances</w:t>
      </w:r>
      <w:r w:rsidR="00083B5B">
        <w:t xml:space="preserve">, alongside the </w:t>
      </w:r>
      <w:r w:rsidR="00083B5B" w:rsidRPr="00CA7394">
        <w:t>default negotiated NCCs</w:t>
      </w:r>
      <w:r w:rsidR="00083B5B">
        <w:t xml:space="preserve"> that the Water Act provides for</w:t>
      </w:r>
      <w:r w:rsidR="009A77A0">
        <w:t xml:space="preserve"> </w:t>
      </w:r>
      <w:r w:rsidR="009A77A0" w:rsidRPr="006951F4">
        <w:t>(</w:t>
      </w:r>
      <w:r w:rsidR="0031700C">
        <w:t>s</w:t>
      </w:r>
      <w:r w:rsidR="0031700C" w:rsidRPr="006951F4">
        <w:t xml:space="preserve">ection </w:t>
      </w:r>
      <w:r w:rsidR="00083B5B" w:rsidRPr="006951F4">
        <w:t>3.2</w:t>
      </w:r>
      <w:r w:rsidR="009A77A0" w:rsidRPr="006951F4">
        <w:t>.)</w:t>
      </w:r>
      <w:r w:rsidR="00083B5B">
        <w:t xml:space="preserve"> </w:t>
      </w:r>
    </w:p>
    <w:p w14:paraId="25B20E14" w14:textId="77777777" w:rsidR="00083B5B" w:rsidRDefault="003460FE" w:rsidP="005C1A96">
      <w:pPr>
        <w:pStyle w:val="ListBullet"/>
      </w:pPr>
      <w:r>
        <w:t>i</w:t>
      </w:r>
      <w:r w:rsidR="00083B5B">
        <w:t>ntroducing measures to:</w:t>
      </w:r>
    </w:p>
    <w:p w14:paraId="3AD2E8BD" w14:textId="6AB513D8" w:rsidR="00083B5B" w:rsidRPr="002F7756" w:rsidRDefault="003460FE" w:rsidP="00A72369">
      <w:pPr>
        <w:pStyle w:val="ListBullet2"/>
        <w:numPr>
          <w:ilvl w:val="0"/>
          <w:numId w:val="21"/>
        </w:numPr>
      </w:pPr>
      <w:r w:rsidRPr="002F7756">
        <w:t>c</w:t>
      </w:r>
      <w:r w:rsidR="00083B5B" w:rsidRPr="002F7756">
        <w:t xml:space="preserve">larify aspects of </w:t>
      </w:r>
      <w:r w:rsidR="00082DC2" w:rsidRPr="002F7756">
        <w:t>NCC</w:t>
      </w:r>
      <w:r w:rsidR="00083B5B" w:rsidRPr="002F7756">
        <w:t xml:space="preserve"> operation</w:t>
      </w:r>
      <w:r w:rsidR="00AE43D6" w:rsidRPr="002F7756">
        <w:t xml:space="preserve"> </w:t>
      </w:r>
      <w:r w:rsidR="009A77A0" w:rsidRPr="002F7756">
        <w:t>(</w:t>
      </w:r>
      <w:r w:rsidR="005D2E43">
        <w:t>s</w:t>
      </w:r>
      <w:r w:rsidR="005D2E43" w:rsidRPr="002F7756">
        <w:t xml:space="preserve">ection </w:t>
      </w:r>
      <w:r w:rsidR="00083B5B" w:rsidRPr="002F7756">
        <w:t>4</w:t>
      </w:r>
      <w:r w:rsidR="009A77A0" w:rsidRPr="002F7756">
        <w:t>.)</w:t>
      </w:r>
    </w:p>
    <w:p w14:paraId="48375B79" w14:textId="3868DA1C" w:rsidR="00083B5B" w:rsidRPr="002F7756" w:rsidRDefault="003460FE" w:rsidP="00A72369">
      <w:pPr>
        <w:pStyle w:val="ListBullet2"/>
        <w:numPr>
          <w:ilvl w:val="0"/>
          <w:numId w:val="21"/>
        </w:numPr>
      </w:pPr>
      <w:r w:rsidRPr="002F7756">
        <w:t>r</w:t>
      </w:r>
      <w:r w:rsidR="00083B5B" w:rsidRPr="002F7756">
        <w:t xml:space="preserve">equire minimum disclosures that support transparent and efficient NCC administration and negotiations </w:t>
      </w:r>
      <w:r w:rsidR="000B70F4" w:rsidRPr="002F7756">
        <w:t>(</w:t>
      </w:r>
      <w:r w:rsidR="005D2E43">
        <w:t>s</w:t>
      </w:r>
      <w:r w:rsidR="005D2E43" w:rsidRPr="002F7756">
        <w:t xml:space="preserve">ection </w:t>
      </w:r>
      <w:r w:rsidR="00083B5B" w:rsidRPr="002F7756">
        <w:t>5</w:t>
      </w:r>
      <w:r w:rsidR="000B70F4" w:rsidRPr="002F7756">
        <w:t>.)</w:t>
      </w:r>
    </w:p>
    <w:p w14:paraId="0EBD0F5F" w14:textId="11208933" w:rsidR="00083B5B" w:rsidRPr="002F7756" w:rsidRDefault="003460FE" w:rsidP="00A72369">
      <w:pPr>
        <w:pStyle w:val="ListBullet2"/>
        <w:numPr>
          <w:ilvl w:val="0"/>
          <w:numId w:val="21"/>
        </w:numPr>
      </w:pPr>
      <w:r w:rsidRPr="002F7756">
        <w:t>e</w:t>
      </w:r>
      <w:r w:rsidR="00083B5B" w:rsidRPr="002F7756">
        <w:t>mpower suitably informed NCC calculations and negotiations</w:t>
      </w:r>
      <w:r w:rsidR="000B70F4" w:rsidRPr="002F7756">
        <w:t xml:space="preserve"> (</w:t>
      </w:r>
      <w:r w:rsidR="005D2E43">
        <w:t>s</w:t>
      </w:r>
      <w:r w:rsidR="005D2E43" w:rsidRPr="002F7756">
        <w:t xml:space="preserve">ection </w:t>
      </w:r>
      <w:r w:rsidR="00083B5B" w:rsidRPr="002F7756">
        <w:t>6</w:t>
      </w:r>
      <w:r w:rsidR="000B70F4" w:rsidRPr="002F7756">
        <w:t>.)</w:t>
      </w:r>
      <w:r w:rsidR="00083B5B" w:rsidRPr="002F7756">
        <w:t xml:space="preserve"> </w:t>
      </w:r>
    </w:p>
    <w:p w14:paraId="06035DE5" w14:textId="229C2375" w:rsidR="00083B5B" w:rsidRPr="002F7756" w:rsidRDefault="003460FE" w:rsidP="00A72369">
      <w:pPr>
        <w:pStyle w:val="ListBullet2"/>
        <w:numPr>
          <w:ilvl w:val="0"/>
          <w:numId w:val="21"/>
        </w:numPr>
      </w:pPr>
      <w:r w:rsidRPr="002F7756">
        <w:t>e</w:t>
      </w:r>
      <w:r w:rsidR="00083B5B" w:rsidRPr="002F7756">
        <w:t xml:space="preserve">ncourage </w:t>
      </w:r>
      <w:r w:rsidR="008941F5" w:rsidRPr="002F7756">
        <w:t>advanced</w:t>
      </w:r>
      <w:r w:rsidR="00083B5B" w:rsidRPr="002F7756">
        <w:t xml:space="preserve"> </w:t>
      </w:r>
      <w:r w:rsidR="008941F5" w:rsidRPr="002F7756">
        <w:t>NCC</w:t>
      </w:r>
      <w:r w:rsidR="00083B5B" w:rsidRPr="002F7756">
        <w:t xml:space="preserve"> practice </w:t>
      </w:r>
      <w:r w:rsidR="008941F5" w:rsidRPr="002F7756">
        <w:t>with</w:t>
      </w:r>
      <w:r w:rsidR="00083B5B" w:rsidRPr="002F7756">
        <w:t xml:space="preserve"> </w:t>
      </w:r>
      <w:r w:rsidR="00382959" w:rsidRPr="002F7756">
        <w:t>link</w:t>
      </w:r>
      <w:r w:rsidR="00083B5B" w:rsidRPr="002F7756">
        <w:t xml:space="preserve"> to PREMO ratings</w:t>
      </w:r>
      <w:r w:rsidR="000B70F4" w:rsidRPr="002F7756">
        <w:t xml:space="preserve"> (</w:t>
      </w:r>
      <w:r w:rsidR="005D2E43">
        <w:t>s</w:t>
      </w:r>
      <w:r w:rsidR="005D2E43" w:rsidRPr="002F7756">
        <w:t xml:space="preserve">ection </w:t>
      </w:r>
      <w:r w:rsidR="00083B5B" w:rsidRPr="002F7756">
        <w:t>7</w:t>
      </w:r>
      <w:r w:rsidR="000B70F4" w:rsidRPr="002F7756">
        <w:t>.)</w:t>
      </w:r>
    </w:p>
    <w:p w14:paraId="524B2EC9" w14:textId="3CD1B0E4" w:rsidR="00083B5B" w:rsidRPr="002F7756" w:rsidRDefault="003460FE" w:rsidP="00A72369">
      <w:pPr>
        <w:pStyle w:val="ListBullet2"/>
        <w:numPr>
          <w:ilvl w:val="0"/>
          <w:numId w:val="21"/>
        </w:numPr>
      </w:pPr>
      <w:r w:rsidRPr="002F7756">
        <w:t>m</w:t>
      </w:r>
      <w:r w:rsidR="00083B5B" w:rsidRPr="002F7756">
        <w:t xml:space="preserve">onitor and </w:t>
      </w:r>
      <w:r w:rsidR="00076C69" w:rsidRPr="002F7756">
        <w:t>show</w:t>
      </w:r>
      <w:r w:rsidR="00083B5B" w:rsidRPr="002F7756">
        <w:t xml:space="preserve"> key NCC metrics</w:t>
      </w:r>
      <w:r w:rsidR="000B70F4" w:rsidRPr="002F7756">
        <w:t xml:space="preserve"> (</w:t>
      </w:r>
      <w:r w:rsidR="005D2E43">
        <w:t>s</w:t>
      </w:r>
      <w:r w:rsidR="005D2E43" w:rsidRPr="002F7756">
        <w:t xml:space="preserve">ection </w:t>
      </w:r>
      <w:r w:rsidR="00083B5B" w:rsidRPr="002F7756">
        <w:t>8</w:t>
      </w:r>
      <w:r w:rsidR="000B70F4" w:rsidRPr="002F7756">
        <w:t>.)</w:t>
      </w:r>
      <w:r w:rsidR="00083B5B" w:rsidRPr="002F7756">
        <w:t xml:space="preserve"> </w:t>
      </w:r>
    </w:p>
    <w:p w14:paraId="6EC2F356" w14:textId="37E3133D" w:rsidR="00083B5B" w:rsidRDefault="00C6282C" w:rsidP="00171874">
      <w:pPr>
        <w:pStyle w:val="Heading2"/>
        <w:ind w:left="851" w:hanging="851"/>
      </w:pPr>
      <w:bookmarkStart w:id="30" w:name="_Toc211246841"/>
      <w:r>
        <w:t>1.3</w:t>
      </w:r>
      <w:r>
        <w:tab/>
      </w:r>
      <w:bookmarkStart w:id="31" w:name="_Toc210127580"/>
      <w:r w:rsidR="00083B5B">
        <w:t>Scope and application</w:t>
      </w:r>
      <w:bookmarkEnd w:id="30"/>
      <w:r w:rsidR="00083B5B">
        <w:t xml:space="preserve"> </w:t>
      </w:r>
      <w:bookmarkEnd w:id="31"/>
    </w:p>
    <w:p w14:paraId="2EE333F7" w14:textId="4BDCE706" w:rsidR="00B64FA6" w:rsidRDefault="00B64FA6" w:rsidP="00225328">
      <w:pPr>
        <w:keepNext/>
        <w:keepLines/>
      </w:pPr>
      <w:r>
        <w:t>The</w:t>
      </w:r>
      <w:r w:rsidR="00083B5B">
        <w:t xml:space="preserve"> </w:t>
      </w:r>
      <w:r w:rsidR="002917E7" w:rsidRPr="00AA7DC6">
        <w:rPr>
          <w:i/>
        </w:rPr>
        <w:t xml:space="preserve">Draft New Customer Contributions </w:t>
      </w:r>
      <w:r w:rsidR="002917E7" w:rsidRPr="00395D91">
        <w:rPr>
          <w:i/>
        </w:rPr>
        <w:t>Framework</w:t>
      </w:r>
      <w:r w:rsidR="002917E7">
        <w:t xml:space="preserve"> </w:t>
      </w:r>
      <w:r w:rsidR="00083B5B">
        <w:t xml:space="preserve">addresses key </w:t>
      </w:r>
      <w:r w:rsidR="009A2073">
        <w:t>elements</w:t>
      </w:r>
      <w:r w:rsidR="00083B5B">
        <w:t xml:space="preserve"> of the NCC process</w:t>
      </w:r>
      <w:r w:rsidR="00AC64D9">
        <w:t>,</w:t>
      </w:r>
      <w:r w:rsidR="00083B5B">
        <w:t xml:space="preserve"> including</w:t>
      </w:r>
      <w:r>
        <w:t>:</w:t>
      </w:r>
    </w:p>
    <w:p w14:paraId="28EBF521" w14:textId="26F618D8" w:rsidR="00B64FA6" w:rsidRDefault="00083B5B" w:rsidP="00B64FA6">
      <w:pPr>
        <w:pStyle w:val="ListBullet"/>
      </w:pPr>
      <w:r>
        <w:t>consultation</w:t>
      </w:r>
      <w:r w:rsidR="003C1641">
        <w:t xml:space="preserve"> and </w:t>
      </w:r>
      <w:r>
        <w:t>engagement</w:t>
      </w:r>
    </w:p>
    <w:p w14:paraId="0DDB123E" w14:textId="74979D27" w:rsidR="00481F77" w:rsidRDefault="00083B5B" w:rsidP="00B64FA6">
      <w:pPr>
        <w:pStyle w:val="ListBullet"/>
      </w:pPr>
      <w:r>
        <w:t>negotiation protocols</w:t>
      </w:r>
    </w:p>
    <w:p w14:paraId="1B626EC0" w14:textId="7774E869" w:rsidR="00481F77" w:rsidRDefault="00083B5B" w:rsidP="00B64FA6">
      <w:pPr>
        <w:pStyle w:val="ListBullet"/>
      </w:pPr>
      <w:r>
        <w:t>documentation</w:t>
      </w:r>
      <w:r w:rsidR="00FE333F">
        <w:t xml:space="preserve"> and </w:t>
      </w:r>
      <w:r>
        <w:t>transparency</w:t>
      </w:r>
    </w:p>
    <w:p w14:paraId="6F1A5D7F" w14:textId="5B04FF1A" w:rsidR="00481F77" w:rsidRDefault="00083B5B" w:rsidP="00B64FA6">
      <w:pPr>
        <w:pStyle w:val="ListBullet"/>
      </w:pPr>
      <w:r>
        <w:t>work planning</w:t>
      </w:r>
    </w:p>
    <w:p w14:paraId="77D8169E" w14:textId="69BB6521" w:rsidR="00481F77" w:rsidRDefault="00083B5B" w:rsidP="00B64FA6">
      <w:pPr>
        <w:pStyle w:val="ListBullet"/>
      </w:pPr>
      <w:r>
        <w:t>benefit recognition</w:t>
      </w:r>
    </w:p>
    <w:p w14:paraId="4E204C2B" w14:textId="55239747" w:rsidR="00481F77" w:rsidRDefault="00083B5B" w:rsidP="00B64FA6">
      <w:pPr>
        <w:pStyle w:val="ListBullet"/>
      </w:pPr>
      <w:r>
        <w:t>costing</w:t>
      </w:r>
      <w:r w:rsidR="00EF532D">
        <w:t xml:space="preserve"> and </w:t>
      </w:r>
      <w:r>
        <w:t>calculation methods</w:t>
      </w:r>
    </w:p>
    <w:p w14:paraId="47FE1C95" w14:textId="516F5509" w:rsidR="00083B5B" w:rsidRDefault="00083B5B" w:rsidP="00230B5F">
      <w:pPr>
        <w:pStyle w:val="ListBullet"/>
      </w:pPr>
      <w:r>
        <w:t>dispute resolution.</w:t>
      </w:r>
    </w:p>
    <w:p w14:paraId="72755C89" w14:textId="371E16BB" w:rsidR="009167EE" w:rsidRPr="009167EE" w:rsidRDefault="006A2F2E" w:rsidP="009167EE">
      <w:r>
        <w:t>The framework</w:t>
      </w:r>
      <w:r w:rsidR="009167EE" w:rsidRPr="009167EE">
        <w:t xml:space="preserve"> provides guidance for setting NCCs and managing connection processes administered by Victoria’s metropolitan and regional urban water businesses (excluding Melbourne Water).</w:t>
      </w:r>
    </w:p>
    <w:p w14:paraId="6E493261" w14:textId="04F6D647" w:rsidR="009167EE" w:rsidRPr="003F4193" w:rsidRDefault="009167EE" w:rsidP="009167EE">
      <w:r w:rsidRPr="009167EE">
        <w:t xml:space="preserve">Following </w:t>
      </w:r>
      <w:r w:rsidR="00F51CE7">
        <w:t>feedback on the draft framework</w:t>
      </w:r>
      <w:r w:rsidRPr="009167EE">
        <w:t>, we intend to publish the final NCC Framework in December 2025 or early January 2026. The final framework will include proposed guidance to inform future water price review guidance papers.</w:t>
      </w:r>
      <w:r w:rsidR="008F4304">
        <w:t xml:space="preserve"> </w:t>
      </w:r>
      <w:r w:rsidR="00783824">
        <w:t>The commission</w:t>
      </w:r>
      <w:r w:rsidR="008F4304" w:rsidRPr="008F4304">
        <w:t xml:space="preserve"> will work with industry to develop case studies and update the NCC modelling templates</w:t>
      </w:r>
      <w:r w:rsidR="0028653A">
        <w:t xml:space="preserve"> in 2026</w:t>
      </w:r>
      <w:r w:rsidR="008F4304" w:rsidRPr="008F4304">
        <w:t>. We will then hold training workshops on costing and modelling NCCs.</w:t>
      </w:r>
    </w:p>
    <w:p w14:paraId="1D8B90A7" w14:textId="48DDBF76" w:rsidR="00083B5B" w:rsidRDefault="00C6282C" w:rsidP="00905C41">
      <w:pPr>
        <w:pStyle w:val="Heading2"/>
        <w:ind w:left="851" w:hanging="851"/>
      </w:pPr>
      <w:bookmarkStart w:id="32" w:name="_Toc211246842"/>
      <w:r>
        <w:t>1.4</w:t>
      </w:r>
      <w:r>
        <w:tab/>
      </w:r>
      <w:bookmarkStart w:id="33" w:name="_Toc210127581"/>
      <w:r w:rsidR="00083B5B">
        <w:t xml:space="preserve">Next steps and </w:t>
      </w:r>
      <w:r w:rsidR="00387492">
        <w:t xml:space="preserve">how to </w:t>
      </w:r>
      <w:r w:rsidR="00083B5B">
        <w:t>mak</w:t>
      </w:r>
      <w:r w:rsidR="00387492">
        <w:t>e</w:t>
      </w:r>
      <w:r w:rsidR="00083B5B">
        <w:t xml:space="preserve"> a submission</w:t>
      </w:r>
      <w:bookmarkEnd w:id="32"/>
      <w:bookmarkEnd w:id="33"/>
    </w:p>
    <w:p w14:paraId="0E392160" w14:textId="5B36A9F9" w:rsidR="00083B5B" w:rsidRDefault="00516506" w:rsidP="00083B5B">
      <w:r>
        <w:t>We are seeking</w:t>
      </w:r>
      <w:r w:rsidR="0035028C" w:rsidRPr="0035028C">
        <w:t xml:space="preserve"> feedback on </w:t>
      </w:r>
      <w:r w:rsidR="009954B9">
        <w:t xml:space="preserve">the </w:t>
      </w:r>
      <w:r w:rsidRPr="005615AC">
        <w:rPr>
          <w:i/>
        </w:rPr>
        <w:t xml:space="preserve">Draft </w:t>
      </w:r>
      <w:r w:rsidR="005615AC" w:rsidRPr="005615AC">
        <w:rPr>
          <w:i/>
          <w:iCs/>
        </w:rPr>
        <w:t>New Customer Contributions</w:t>
      </w:r>
      <w:r w:rsidRPr="005615AC">
        <w:rPr>
          <w:i/>
        </w:rPr>
        <w:t xml:space="preserve"> Framework</w:t>
      </w:r>
      <w:r>
        <w:t xml:space="preserve">. </w:t>
      </w:r>
      <w:r w:rsidR="00FE53F4">
        <w:t>In particular</w:t>
      </w:r>
      <w:r w:rsidR="00837DDE">
        <w:t xml:space="preserve">, the </w:t>
      </w:r>
      <w:r w:rsidR="0035028C" w:rsidRPr="0035028C">
        <w:t xml:space="preserve">measures </w:t>
      </w:r>
      <w:r w:rsidR="00955939">
        <w:t>we propose</w:t>
      </w:r>
      <w:r w:rsidR="0035028C" w:rsidRPr="0035028C">
        <w:t xml:space="preserve"> for the future regulation of NCCs and connection processes.</w:t>
      </w:r>
      <w:r w:rsidR="00083B5B">
        <w:t xml:space="preserve"> </w:t>
      </w:r>
    </w:p>
    <w:p w14:paraId="40C21706" w14:textId="13291369" w:rsidR="00083B5B" w:rsidRDefault="00083B5B" w:rsidP="00083B5B">
      <w:r>
        <w:t>Submissions</w:t>
      </w:r>
      <w:r w:rsidR="00CD3542">
        <w:t xml:space="preserve"> </w:t>
      </w:r>
      <w:r>
        <w:t xml:space="preserve">should be made via Engage Victoria by </w:t>
      </w:r>
      <w:r w:rsidR="00287C08" w:rsidRPr="00FE7C3D">
        <w:t>11</w:t>
      </w:r>
      <w:r>
        <w:t xml:space="preserve"> November 2025. </w:t>
      </w:r>
      <w:r w:rsidR="0034585A">
        <w:t>As p</w:t>
      </w:r>
      <w:r w:rsidR="0025201E">
        <w:t>er</w:t>
      </w:r>
      <w:r w:rsidR="0091540F">
        <w:t xml:space="preserve"> ou</w:t>
      </w:r>
      <w:r w:rsidR="0091540F" w:rsidRPr="0090608A">
        <w:t xml:space="preserve">r </w:t>
      </w:r>
      <w:hyperlink r:id="rId26" w:tgtFrame="_blank" w:tooltip="https://www.esc.vic.gov.au/about-us/our-policies/our-submissions-policy" w:history="1">
        <w:r w:rsidR="006177B3" w:rsidRPr="0090608A">
          <w:rPr>
            <w:rStyle w:val="Hyperlink"/>
          </w:rPr>
          <w:t>submissions policy</w:t>
        </w:r>
      </w:hyperlink>
      <w:r w:rsidR="0091540F">
        <w:t>, w</w:t>
      </w:r>
      <w:r w:rsidR="00991A03">
        <w:t>e will publish s</w:t>
      </w:r>
      <w:r w:rsidR="00D90556">
        <w:t>ubmissions</w:t>
      </w:r>
      <w:r w:rsidR="00D90556" w:rsidRPr="004467C4">
        <w:t xml:space="preserve"> on the commission’s website, except for any information </w:t>
      </w:r>
      <w:r w:rsidR="00A93D6D" w:rsidRPr="004467C4">
        <w:t>that is</w:t>
      </w:r>
      <w:r w:rsidR="00D90556" w:rsidRPr="004467C4">
        <w:t xml:space="preserve"> commercially sensitive or confidential.</w:t>
      </w:r>
      <w:r w:rsidR="00A405D1" w:rsidRPr="004467C4">
        <w:rPr>
          <w:rStyle w:val="FootnoteReference"/>
        </w:rPr>
        <w:footnoteReference w:id="2"/>
      </w:r>
      <w:r w:rsidR="00D90556" w:rsidRPr="004467C4">
        <w:t xml:space="preserve"> </w:t>
      </w:r>
      <w:r>
        <w:t xml:space="preserve">Submissions should clearly identify which information </w:t>
      </w:r>
      <w:r w:rsidR="00C60A74">
        <w:t xml:space="preserve">the submitter </w:t>
      </w:r>
      <w:r>
        <w:t>consider</w:t>
      </w:r>
      <w:r w:rsidR="00C60A74">
        <w:t>s</w:t>
      </w:r>
      <w:r>
        <w:t xml:space="preserve"> sensitive or confidential and </w:t>
      </w:r>
      <w:r w:rsidR="005E03BA">
        <w:t>provide</w:t>
      </w:r>
      <w:r>
        <w:t xml:space="preserve"> reasons. </w:t>
      </w:r>
    </w:p>
    <w:p w14:paraId="70FA0F07" w14:textId="77555647" w:rsidR="00083B5B" w:rsidRDefault="00083B5B" w:rsidP="00083B5B">
      <w:r>
        <w:t xml:space="preserve">Alternatively, comments </w:t>
      </w:r>
      <w:r w:rsidR="00503ECE">
        <w:t xml:space="preserve">can be </w:t>
      </w:r>
      <w:r w:rsidR="007E2ADE">
        <w:t>provided</w:t>
      </w:r>
      <w:r w:rsidR="00B34E44">
        <w:t xml:space="preserve"> </w:t>
      </w:r>
      <w:r>
        <w:t>by email or mail.</w:t>
      </w:r>
    </w:p>
    <w:p w14:paraId="441F752E" w14:textId="3B12623E" w:rsidR="00083B5B" w:rsidRDefault="00083B5B" w:rsidP="002B7C2E">
      <w:pPr>
        <w:pStyle w:val="ListBullet"/>
      </w:pPr>
      <w:r>
        <w:t xml:space="preserve">Email: </w:t>
      </w:r>
      <w:hyperlink r:id="rId27" w:history="1">
        <w:r w:rsidRPr="00C364AF">
          <w:rPr>
            <w:rStyle w:val="Hyperlink"/>
          </w:rPr>
          <w:t>water@esc.vic.gov.au</w:t>
        </w:r>
      </w:hyperlink>
    </w:p>
    <w:p w14:paraId="05DF4672" w14:textId="624A154D" w:rsidR="00083B5B" w:rsidRDefault="00083B5B" w:rsidP="002B7C2E">
      <w:pPr>
        <w:pStyle w:val="ListBullet"/>
      </w:pPr>
      <w:r>
        <w:t xml:space="preserve">Mail: The Water </w:t>
      </w:r>
      <w:r w:rsidR="00177010">
        <w:t>T</w:t>
      </w:r>
      <w:r>
        <w:t>eam, Essential Services Commission, Level 8, 570 Bourke Street, Melbourne Victoria 3000.</w:t>
      </w:r>
    </w:p>
    <w:p w14:paraId="08BBEE67" w14:textId="77777777" w:rsidR="00370467" w:rsidRDefault="00370467" w:rsidP="004855CE">
      <w:pPr>
        <w:sectPr w:rsidR="00370467" w:rsidSect="0050713E">
          <w:footerReference w:type="default" r:id="rId28"/>
          <w:pgSz w:w="11906" w:h="16838" w:code="9"/>
          <w:pgMar w:top="1134" w:right="1134" w:bottom="1134" w:left="1134" w:header="709" w:footer="692" w:gutter="0"/>
          <w:pgNumType w:start="1"/>
          <w:cols w:space="708"/>
          <w:docGrid w:linePitch="360"/>
        </w:sectPr>
      </w:pPr>
    </w:p>
    <w:p w14:paraId="45491ED1" w14:textId="5247E668" w:rsidR="00E5390E" w:rsidRDefault="00C6282C" w:rsidP="00905C41">
      <w:pPr>
        <w:pStyle w:val="Heading1"/>
        <w:ind w:left="567" w:hanging="567"/>
      </w:pPr>
      <w:bookmarkStart w:id="34" w:name="_Toc211246843"/>
      <w:r>
        <w:t>2.</w:t>
      </w:r>
      <w:r>
        <w:tab/>
      </w:r>
      <w:bookmarkStart w:id="35" w:name="_Toc210127582"/>
      <w:r w:rsidR="00370467" w:rsidRPr="00370467">
        <w:t>New customer contributions and the regulatory framework</w:t>
      </w:r>
      <w:bookmarkEnd w:id="34"/>
      <w:bookmarkEnd w:id="35"/>
    </w:p>
    <w:p w14:paraId="7E7B0944" w14:textId="2CD3CF30" w:rsidR="00370467" w:rsidRDefault="00B428DA" w:rsidP="00905C41">
      <w:pPr>
        <w:pStyle w:val="Heading2"/>
        <w:ind w:left="851" w:hanging="851"/>
      </w:pPr>
      <w:bookmarkStart w:id="36" w:name="_Toc211246844"/>
      <w:r>
        <w:t>2.1</w:t>
      </w:r>
      <w:r>
        <w:tab/>
      </w:r>
      <w:bookmarkStart w:id="37" w:name="_Toc210127583"/>
      <w:r w:rsidR="00370467">
        <w:t>About new customer contributions</w:t>
      </w:r>
      <w:bookmarkEnd w:id="36"/>
      <w:bookmarkEnd w:id="37"/>
    </w:p>
    <w:p w14:paraId="511F7C93" w14:textId="18D2CA4B" w:rsidR="00370467" w:rsidRDefault="00370467" w:rsidP="00370467">
      <w:pPr>
        <w:pStyle w:val="Heading3"/>
      </w:pPr>
      <w:bookmarkStart w:id="38" w:name="_Toc208839800"/>
      <w:bookmarkStart w:id="39" w:name="_Toc209447291"/>
      <w:bookmarkStart w:id="40" w:name="_Toc209969048"/>
      <w:bookmarkStart w:id="41" w:name="_Toc210028095"/>
      <w:bookmarkStart w:id="42" w:name="_Toc210127584"/>
      <w:bookmarkStart w:id="43" w:name="_Toc210908596"/>
      <w:bookmarkStart w:id="44" w:name="_Toc211246845"/>
      <w:r>
        <w:t>What are new customer contributions?</w:t>
      </w:r>
      <w:bookmarkEnd w:id="38"/>
      <w:bookmarkEnd w:id="39"/>
      <w:bookmarkEnd w:id="40"/>
      <w:bookmarkEnd w:id="41"/>
      <w:bookmarkEnd w:id="42"/>
      <w:bookmarkEnd w:id="43"/>
      <w:bookmarkEnd w:id="44"/>
    </w:p>
    <w:p w14:paraId="186A59E2" w14:textId="4D590EE8" w:rsidR="00FA1F1F" w:rsidRDefault="006B3D8B" w:rsidP="00FA1F1F">
      <w:r>
        <w:t xml:space="preserve">Developer charges, </w:t>
      </w:r>
      <w:r w:rsidR="00FA1F1F">
        <w:t>also known as</w:t>
      </w:r>
      <w:r>
        <w:t xml:space="preserve"> new customer contributions, </w:t>
      </w:r>
      <w:r w:rsidR="00FA1F1F">
        <w:t>are a one</w:t>
      </w:r>
      <w:r w:rsidR="00FA1F1F">
        <w:rPr>
          <w:rFonts w:ascii="Cambria Math" w:hAnsi="Cambria Math" w:cs="Cambria Math"/>
        </w:rPr>
        <w:t>‐</w:t>
      </w:r>
      <w:r w:rsidR="00FA1F1F">
        <w:t xml:space="preserve">off, upfront charge that a water business may levy when a new connection is made to its water, sewerage or recycled water network, or when a customer </w:t>
      </w:r>
      <w:proofErr w:type="gramStart"/>
      <w:r w:rsidR="00FA1F1F">
        <w:t>seeks</w:t>
      </w:r>
      <w:proofErr w:type="gramEnd"/>
      <w:r w:rsidR="00FA1F1F">
        <w:t xml:space="preserve"> to expand the </w:t>
      </w:r>
      <w:proofErr w:type="gramStart"/>
      <w:r w:rsidR="00FA1F1F">
        <w:t>capacity</w:t>
      </w:r>
      <w:proofErr w:type="gramEnd"/>
      <w:r w:rsidR="00FA1F1F">
        <w:t xml:space="preserve"> of an existing connection. </w:t>
      </w:r>
    </w:p>
    <w:p w14:paraId="1827384D" w14:textId="1247B2FD" w:rsidR="00370467" w:rsidRDefault="001847D7" w:rsidP="00FA1F1F">
      <w:r w:rsidRPr="004E12C9">
        <w:t xml:space="preserve">A </w:t>
      </w:r>
      <w:r w:rsidR="004E12C9">
        <w:t>new customer contribution</w:t>
      </w:r>
      <w:r w:rsidRPr="00FC2684">
        <w:t xml:space="preserve"> is</w:t>
      </w:r>
      <w:r w:rsidR="00FA1F1F">
        <w:t xml:space="preserve"> a financial payment made to a water business for works that are used or will be able to be used directly or indirectly for the provision of services that will </w:t>
      </w:r>
      <w:proofErr w:type="gramStart"/>
      <w:r w:rsidR="00FA1F1F">
        <w:t>benefit</w:t>
      </w:r>
      <w:proofErr w:type="gramEnd"/>
      <w:r w:rsidR="00FA1F1F">
        <w:t xml:space="preserve"> the connecting property, and any fireplugs attached to those works.</w:t>
      </w:r>
      <w:r w:rsidR="00B23B33">
        <w:rPr>
          <w:rStyle w:val="FootnoteReference"/>
        </w:rPr>
        <w:footnoteReference w:id="3"/>
      </w:r>
      <w:r w:rsidR="00370467">
        <w:t xml:space="preserve"> </w:t>
      </w:r>
    </w:p>
    <w:p w14:paraId="33A7AB2E" w14:textId="18B2E73E" w:rsidR="00370467" w:rsidRDefault="005B4F27" w:rsidP="00370467">
      <w:r>
        <w:t>Water business</w:t>
      </w:r>
      <w:r w:rsidR="00F61104">
        <w:t>es</w:t>
      </w:r>
      <w:r>
        <w:t xml:space="preserve"> may charge </w:t>
      </w:r>
      <w:r w:rsidR="004D5B56" w:rsidRPr="004D5B56">
        <w:t>NCC</w:t>
      </w:r>
      <w:r>
        <w:t>s</w:t>
      </w:r>
      <w:r w:rsidR="004D5B56" w:rsidRPr="004D5B56">
        <w:t xml:space="preserve"> in addition to the assets that </w:t>
      </w:r>
      <w:r w:rsidR="00FE6577">
        <w:t>connection applicants</w:t>
      </w:r>
      <w:r w:rsidR="004D5B56" w:rsidRPr="004D5B56">
        <w:t xml:space="preserve"> build and transfer</w:t>
      </w:r>
      <w:r w:rsidR="007F000F">
        <w:t xml:space="preserve"> </w:t>
      </w:r>
      <w:r w:rsidR="004D5B56" w:rsidRPr="004D5B56">
        <w:t>to the</w:t>
      </w:r>
      <w:r w:rsidR="00B531A0">
        <w:t>m</w:t>
      </w:r>
      <w:r w:rsidR="003115FD">
        <w:t>,</w:t>
      </w:r>
      <w:r w:rsidR="004D5B56" w:rsidRPr="004D5B56">
        <w:t xml:space="preserve"> to </w:t>
      </w:r>
      <w:r w:rsidR="0082619F">
        <w:t xml:space="preserve">own and </w:t>
      </w:r>
      <w:proofErr w:type="gramStart"/>
      <w:r w:rsidR="004D5B56" w:rsidRPr="004D5B56">
        <w:t>operate</w:t>
      </w:r>
      <w:proofErr w:type="gramEnd"/>
      <w:r w:rsidR="004D5B56" w:rsidRPr="004D5B56">
        <w:t>, also known as gifted assets or reticulation assets.</w:t>
      </w:r>
    </w:p>
    <w:p w14:paraId="425EC8F2" w14:textId="033E5FE8" w:rsidR="00370467" w:rsidRDefault="00F03818" w:rsidP="00370467">
      <w:pPr>
        <w:pStyle w:val="Heading3"/>
      </w:pPr>
      <w:bookmarkStart w:id="45" w:name="_Toc209447292"/>
      <w:bookmarkStart w:id="46" w:name="_Toc209969049"/>
      <w:bookmarkStart w:id="47" w:name="_Toc210028096"/>
      <w:bookmarkStart w:id="48" w:name="_Toc210127585"/>
      <w:bookmarkStart w:id="49" w:name="_Toc210908597"/>
      <w:bookmarkStart w:id="50" w:name="_Toc211246846"/>
      <w:r w:rsidRPr="00F03818">
        <w:t>What is the basis for the charge?</w:t>
      </w:r>
      <w:bookmarkEnd w:id="45"/>
      <w:bookmarkEnd w:id="46"/>
      <w:bookmarkEnd w:id="47"/>
      <w:bookmarkEnd w:id="48"/>
      <w:bookmarkEnd w:id="49"/>
      <w:bookmarkEnd w:id="50"/>
    </w:p>
    <w:p w14:paraId="1370D9A7" w14:textId="56CDC906" w:rsidR="00370467" w:rsidRDefault="00E60775" w:rsidP="00370467">
      <w:r w:rsidRPr="00E34552">
        <w:t>New customer contributions</w:t>
      </w:r>
      <w:r w:rsidR="00370467">
        <w:t xml:space="preserve"> apply </w:t>
      </w:r>
      <w:r w:rsidR="006913A7">
        <w:t>to regulated services provided by water businesses</w:t>
      </w:r>
      <w:r w:rsidR="0030005C">
        <w:t xml:space="preserve"> </w:t>
      </w:r>
      <w:r w:rsidR="00370467">
        <w:t xml:space="preserve">under Division 6 of Part 13 of the </w:t>
      </w:r>
      <w:r w:rsidR="00370467" w:rsidRPr="0018076A">
        <w:t>Water Act</w:t>
      </w:r>
      <w:r w:rsidR="00197219" w:rsidRPr="00F764A5">
        <w:t>.</w:t>
      </w:r>
      <w:r w:rsidR="00867DFF">
        <w:t xml:space="preserve"> </w:t>
      </w:r>
      <w:r w:rsidR="00370467">
        <w:t xml:space="preserve">These charges </w:t>
      </w:r>
      <w:r w:rsidR="0018306B">
        <w:t xml:space="preserve">typically </w:t>
      </w:r>
      <w:r w:rsidR="001C6453">
        <w:t xml:space="preserve">apply </w:t>
      </w:r>
      <w:r w:rsidR="0018306B">
        <w:t>when</w:t>
      </w:r>
      <w:r w:rsidR="00370467">
        <w:t xml:space="preserve"> </w:t>
      </w:r>
      <w:r w:rsidR="008F425E">
        <w:t>connection applicants</w:t>
      </w:r>
      <w:r w:rsidR="00370467">
        <w:t xml:space="preserve"> </w:t>
      </w:r>
      <w:r w:rsidR="0053432F">
        <w:t>subdivide</w:t>
      </w:r>
      <w:r w:rsidR="00370467">
        <w:t xml:space="preserve"> land on the urban fringe or redevelop sites within built</w:t>
      </w:r>
      <w:r w:rsidR="00280E38">
        <w:t>-</w:t>
      </w:r>
      <w:r w:rsidR="00370467">
        <w:t xml:space="preserve">up areas. They may also </w:t>
      </w:r>
      <w:r w:rsidR="00BB515C">
        <w:t>apply</w:t>
      </w:r>
      <w:r w:rsidR="00370467">
        <w:t xml:space="preserve"> when an existing property owner</w:t>
      </w:r>
      <w:r w:rsidR="00D73585">
        <w:t xml:space="preserve"> </w:t>
      </w:r>
      <w:r w:rsidR="00370467">
        <w:t>connect</w:t>
      </w:r>
      <w:r w:rsidR="00D73585">
        <w:t>s</w:t>
      </w:r>
      <w:r w:rsidR="00370467">
        <w:t xml:space="preserve"> to a service for the first time or </w:t>
      </w:r>
      <w:r w:rsidR="00676682">
        <w:t>increases</w:t>
      </w:r>
      <w:r w:rsidR="00370467">
        <w:t xml:space="preserve"> the capacity of an existing </w:t>
      </w:r>
      <w:r w:rsidR="0033098E">
        <w:t>connection</w:t>
      </w:r>
      <w:r w:rsidR="00370467">
        <w:t>.</w:t>
      </w:r>
    </w:p>
    <w:p w14:paraId="6B5A8F97" w14:textId="41159AA4" w:rsidR="00370467" w:rsidRDefault="00343C05" w:rsidP="00370467">
      <w:pPr>
        <w:pStyle w:val="Heading3"/>
      </w:pPr>
      <w:bookmarkStart w:id="51" w:name="_Toc209447293"/>
      <w:bookmarkStart w:id="52" w:name="_Toc209969050"/>
      <w:bookmarkStart w:id="53" w:name="_Toc210028097"/>
      <w:bookmarkStart w:id="54" w:name="_Toc210127586"/>
      <w:bookmarkStart w:id="55" w:name="_Toc210908598"/>
      <w:bookmarkStart w:id="56" w:name="_Toc211246847"/>
      <w:r w:rsidRPr="00343C05">
        <w:t>What is the commission’s role in NCC regulation?</w:t>
      </w:r>
      <w:bookmarkEnd w:id="51"/>
      <w:bookmarkEnd w:id="52"/>
      <w:bookmarkEnd w:id="53"/>
      <w:bookmarkEnd w:id="54"/>
      <w:bookmarkEnd w:id="55"/>
      <w:bookmarkEnd w:id="56"/>
    </w:p>
    <w:p w14:paraId="5A0A6287" w14:textId="39AD0678" w:rsidR="00A53B2E" w:rsidRDefault="00FB6497" w:rsidP="00A53B2E">
      <w:r>
        <w:t>T</w:t>
      </w:r>
      <w:r w:rsidR="00A53B2E" w:rsidRPr="00A66A2D">
        <w:t>he commission publishes guidance</w:t>
      </w:r>
      <w:r w:rsidR="00CB7FEF">
        <w:t xml:space="preserve"> i</w:t>
      </w:r>
      <w:r w:rsidR="00CB7FEF" w:rsidRPr="00A66A2D">
        <w:t xml:space="preserve">n </w:t>
      </w:r>
      <w:r w:rsidR="00CB7FEF">
        <w:t>line</w:t>
      </w:r>
      <w:r w:rsidR="00CB7FEF" w:rsidRPr="00A66A2D">
        <w:t xml:space="preserve"> with </w:t>
      </w:r>
      <w:r w:rsidR="00CB7FEF">
        <w:t xml:space="preserve">the </w:t>
      </w:r>
      <w:r w:rsidR="00CB7FEF" w:rsidRPr="00A66A2D">
        <w:t>WIRO</w:t>
      </w:r>
      <w:r w:rsidR="00A53B2E" w:rsidRPr="00A66A2D">
        <w:t xml:space="preserve"> that water business</w:t>
      </w:r>
      <w:r w:rsidR="00A53B2E">
        <w:t>es</w:t>
      </w:r>
      <w:r w:rsidR="00A53B2E" w:rsidRPr="00A66A2D">
        <w:t xml:space="preserve"> </w:t>
      </w:r>
      <w:r w:rsidR="004A525B">
        <w:t>must</w:t>
      </w:r>
      <w:r w:rsidR="00A53B2E" w:rsidRPr="00A66A2D">
        <w:t xml:space="preserve"> </w:t>
      </w:r>
      <w:proofErr w:type="gramStart"/>
      <w:r w:rsidR="00A53B2E" w:rsidRPr="00A66A2D">
        <w:t>comply with</w:t>
      </w:r>
      <w:proofErr w:type="gramEnd"/>
      <w:r w:rsidR="00A53B2E" w:rsidRPr="00A66A2D">
        <w:t>, which includes NCC pricing principles</w:t>
      </w:r>
      <w:r w:rsidR="00702A16">
        <w:t xml:space="preserve"> </w:t>
      </w:r>
      <w:r w:rsidR="008A067E">
        <w:t xml:space="preserve">designed to </w:t>
      </w:r>
      <w:r w:rsidR="00A53B2E" w:rsidRPr="00A66A2D">
        <w:t xml:space="preserve">implement the </w:t>
      </w:r>
      <w:r w:rsidR="00350388">
        <w:t xml:space="preserve">Water Act requirements. </w:t>
      </w:r>
      <w:r w:rsidR="00786230">
        <w:t>T</w:t>
      </w:r>
      <w:r w:rsidR="00786230" w:rsidRPr="00926509">
        <w:t>he WIRO establishes</w:t>
      </w:r>
      <w:r w:rsidR="0001253F">
        <w:t xml:space="preserve"> NCCs</w:t>
      </w:r>
      <w:r w:rsidR="00786230" w:rsidRPr="00926509">
        <w:t xml:space="preserve"> as a ‘prescribed service</w:t>
      </w:r>
      <w:r w:rsidR="00786230">
        <w:t>’</w:t>
      </w:r>
      <w:r w:rsidR="00B66FE6">
        <w:t xml:space="preserve"> and</w:t>
      </w:r>
      <w:r w:rsidR="00786230" w:rsidRPr="00926509">
        <w:t xml:space="preserve"> the </w:t>
      </w:r>
      <w:r w:rsidR="00786230">
        <w:t>c</w:t>
      </w:r>
      <w:r w:rsidR="00786230" w:rsidRPr="00926509">
        <w:t xml:space="preserve">ommission’s periodic price determinations for water businesses set or approve </w:t>
      </w:r>
      <w:r w:rsidR="00786230">
        <w:t xml:space="preserve">a </w:t>
      </w:r>
      <w:proofErr w:type="gramStart"/>
      <w:r w:rsidR="00786230" w:rsidRPr="00926509">
        <w:t>maximum</w:t>
      </w:r>
      <w:proofErr w:type="gramEnd"/>
      <w:r w:rsidR="00786230" w:rsidRPr="00926509">
        <w:t xml:space="preserve"> </w:t>
      </w:r>
      <w:r w:rsidR="00786230">
        <w:t>price level for</w:t>
      </w:r>
      <w:r w:rsidR="00786230" w:rsidRPr="00926509">
        <w:t xml:space="preserve"> NCC</w:t>
      </w:r>
      <w:r w:rsidR="0014665F">
        <w:t>s</w:t>
      </w:r>
      <w:r w:rsidR="00786230" w:rsidRPr="00926509">
        <w:t xml:space="preserve"> or the </w:t>
      </w:r>
      <w:proofErr w:type="gramStart"/>
      <w:r w:rsidR="00786230" w:rsidRPr="00926509">
        <w:t>manner in which</w:t>
      </w:r>
      <w:proofErr w:type="gramEnd"/>
      <w:r w:rsidR="00786230" w:rsidRPr="00926509">
        <w:t xml:space="preserve"> the NCC</w:t>
      </w:r>
      <w:r w:rsidR="005217F9">
        <w:t>s</w:t>
      </w:r>
      <w:r w:rsidR="00786230" w:rsidRPr="00926509">
        <w:t xml:space="preserve"> are to be calculated.</w:t>
      </w:r>
    </w:p>
    <w:p w14:paraId="5B72C67C" w14:textId="6199DD93" w:rsidR="00A53B2E" w:rsidRDefault="001C6453" w:rsidP="00225328">
      <w:pPr>
        <w:keepNext/>
        <w:keepLines/>
      </w:pPr>
      <w:r>
        <w:t>T</w:t>
      </w:r>
      <w:r w:rsidR="00A53B2E" w:rsidRPr="00411BBB">
        <w:t xml:space="preserve">he commission has made price determinations </w:t>
      </w:r>
      <w:r>
        <w:t xml:space="preserve">since 2013 </w:t>
      </w:r>
      <w:r w:rsidR="00A53B2E" w:rsidRPr="00411BBB">
        <w:t>approving:</w:t>
      </w:r>
    </w:p>
    <w:p w14:paraId="5D355D09" w14:textId="77777777" w:rsidR="00A53B2E" w:rsidRDefault="00A53B2E" w:rsidP="00225328">
      <w:pPr>
        <w:pStyle w:val="ListBullet"/>
        <w:keepNext/>
        <w:keepLines/>
      </w:pPr>
      <w:proofErr w:type="gramStart"/>
      <w:r w:rsidRPr="00A858ED">
        <w:t>maximum</w:t>
      </w:r>
      <w:proofErr w:type="gramEnd"/>
      <w:r w:rsidRPr="00A858ED">
        <w:t xml:space="preserve"> prices for standard NCCs in select situations</w:t>
      </w:r>
    </w:p>
    <w:p w14:paraId="633F01E0" w14:textId="77777777" w:rsidR="00A53B2E" w:rsidRDefault="00A53B2E" w:rsidP="005C1A96">
      <w:pPr>
        <w:pStyle w:val="ListBullet"/>
      </w:pPr>
      <w:r w:rsidRPr="001233EB">
        <w:t xml:space="preserve">negotiating frameworks with binding principles </w:t>
      </w:r>
      <w:proofErr w:type="gramStart"/>
      <w:r w:rsidRPr="001233EB">
        <w:t>for the manner in which</w:t>
      </w:r>
      <w:proofErr w:type="gramEnd"/>
      <w:r w:rsidRPr="001233EB">
        <w:t xml:space="preserve"> </w:t>
      </w:r>
      <w:r>
        <w:t xml:space="preserve">water businesses must calculate </w:t>
      </w:r>
      <w:r w:rsidRPr="001233EB">
        <w:t>price</w:t>
      </w:r>
      <w:r>
        <w:t xml:space="preserve"> level</w:t>
      </w:r>
      <w:r w:rsidRPr="001233EB">
        <w:t>s for negotiated NCCs in all other circumstances.</w:t>
      </w:r>
    </w:p>
    <w:p w14:paraId="4AAECDDF" w14:textId="18210209" w:rsidR="00370467" w:rsidRDefault="00B428DA" w:rsidP="00905C41">
      <w:pPr>
        <w:pStyle w:val="Heading2"/>
        <w:ind w:left="851" w:hanging="851"/>
      </w:pPr>
      <w:bookmarkStart w:id="57" w:name="_Toc211246848"/>
      <w:r>
        <w:t>2.2</w:t>
      </w:r>
      <w:r>
        <w:tab/>
      </w:r>
      <w:bookmarkStart w:id="58" w:name="_Toc210127587"/>
      <w:r w:rsidR="00370467">
        <w:t>Legal and regulatory framework</w:t>
      </w:r>
      <w:bookmarkEnd w:id="57"/>
      <w:bookmarkEnd w:id="58"/>
    </w:p>
    <w:p w14:paraId="1F650785" w14:textId="147CA214" w:rsidR="004377A8" w:rsidRDefault="004377A8" w:rsidP="00370467">
      <w:r>
        <w:t xml:space="preserve">The relevant NCC </w:t>
      </w:r>
      <w:r w:rsidR="006F5838">
        <w:t>r</w:t>
      </w:r>
      <w:r>
        <w:t xml:space="preserve">egulatory </w:t>
      </w:r>
      <w:r w:rsidR="006F5838">
        <w:t>f</w:t>
      </w:r>
      <w:r>
        <w:t>ramework</w:t>
      </w:r>
      <w:r w:rsidDel="00D64D2A">
        <w:t xml:space="preserve"> </w:t>
      </w:r>
      <w:r>
        <w:t>includes</w:t>
      </w:r>
      <w:r w:rsidR="00FC3B40">
        <w:t xml:space="preserve"> elements of</w:t>
      </w:r>
      <w:r w:rsidR="001C6453">
        <w:t xml:space="preserve"> the</w:t>
      </w:r>
      <w:r>
        <w:t>:</w:t>
      </w:r>
    </w:p>
    <w:p w14:paraId="4D688BB3" w14:textId="3D4C8DD2" w:rsidR="001D270D" w:rsidRDefault="00616436" w:rsidP="005C1A96">
      <w:pPr>
        <w:pStyle w:val="ListBullet"/>
      </w:pPr>
      <w:r w:rsidRPr="00616436">
        <w:t>Essential Services Commission Act 2001</w:t>
      </w:r>
    </w:p>
    <w:p w14:paraId="45321EC3" w14:textId="6776F80E" w:rsidR="00857663" w:rsidRPr="00C217A1" w:rsidRDefault="00616436" w:rsidP="005C1A96">
      <w:pPr>
        <w:pStyle w:val="ListBullet"/>
      </w:pPr>
      <w:r w:rsidRPr="00C217A1">
        <w:t>Water Industry Act</w:t>
      </w:r>
      <w:r w:rsidR="00857663" w:rsidRPr="00C217A1">
        <w:t xml:space="preserve"> 1994</w:t>
      </w:r>
    </w:p>
    <w:p w14:paraId="4769B639" w14:textId="42136BDF" w:rsidR="00857663" w:rsidRPr="000600E3" w:rsidRDefault="00616436" w:rsidP="005C1A96">
      <w:pPr>
        <w:pStyle w:val="ListBullet"/>
      </w:pPr>
      <w:r w:rsidRPr="00404EE9">
        <w:t xml:space="preserve">Water </w:t>
      </w:r>
      <w:r w:rsidR="00857663" w:rsidRPr="00404EE9">
        <w:t xml:space="preserve">Industry </w:t>
      </w:r>
      <w:r w:rsidRPr="00404EE9">
        <w:t>R</w:t>
      </w:r>
      <w:r w:rsidR="00857663" w:rsidRPr="00404EE9">
        <w:t xml:space="preserve">egulatory </w:t>
      </w:r>
      <w:r w:rsidRPr="00404EE9">
        <w:t>O</w:t>
      </w:r>
      <w:r w:rsidR="00857663" w:rsidRPr="00404EE9">
        <w:t>rder 2014</w:t>
      </w:r>
    </w:p>
    <w:p w14:paraId="44884299" w14:textId="65ED6CE2" w:rsidR="00857663" w:rsidRDefault="00616436" w:rsidP="005C1A96">
      <w:pPr>
        <w:pStyle w:val="ListBullet"/>
      </w:pPr>
      <w:r w:rsidRPr="00C217A1">
        <w:t xml:space="preserve">Water Act </w:t>
      </w:r>
      <w:r w:rsidR="00857663" w:rsidRPr="00C217A1">
        <w:t>1989</w:t>
      </w:r>
      <w:r w:rsidR="00857663">
        <w:t xml:space="preserve">. </w:t>
      </w:r>
    </w:p>
    <w:p w14:paraId="4BC9476F" w14:textId="0DEC616A" w:rsidR="00370467" w:rsidRDefault="00616436" w:rsidP="00304C4A">
      <w:r w:rsidRPr="00616436">
        <w:t>Each of these instruments have key provisions that are relevant for NCCs</w:t>
      </w:r>
      <w:r w:rsidR="00E10D31">
        <w:t>. They</w:t>
      </w:r>
      <w:r w:rsidRPr="00616436">
        <w:t xml:space="preserve"> form the basis of the requirements water businesses must </w:t>
      </w:r>
      <w:proofErr w:type="gramStart"/>
      <w:r w:rsidRPr="00616436">
        <w:t>comply with</w:t>
      </w:r>
      <w:proofErr w:type="gramEnd"/>
      <w:r w:rsidR="00F2155B">
        <w:t xml:space="preserve"> </w:t>
      </w:r>
      <w:r w:rsidR="00F2155B" w:rsidRPr="00E4722F">
        <w:t>(</w:t>
      </w:r>
      <w:r w:rsidR="002A139E" w:rsidRPr="00E4722F">
        <w:t>s</w:t>
      </w:r>
      <w:r w:rsidR="00F2155B" w:rsidRPr="00E4722F">
        <w:t xml:space="preserve">ee </w:t>
      </w:r>
      <w:r w:rsidR="005E7AC2" w:rsidRPr="00E4722F">
        <w:t>F</w:t>
      </w:r>
      <w:r w:rsidR="00370467" w:rsidRPr="00E4722F">
        <w:t>igure 2.1</w:t>
      </w:r>
      <w:r w:rsidR="00F2155B" w:rsidRPr="00E4722F">
        <w:t>)</w:t>
      </w:r>
      <w:r w:rsidR="00617E9B" w:rsidRPr="00E4722F">
        <w:t>.</w:t>
      </w:r>
    </w:p>
    <w:p w14:paraId="7740D2F7" w14:textId="09C8D008" w:rsidR="00370467" w:rsidRDefault="00370467" w:rsidP="0058320A">
      <w:pPr>
        <w:pStyle w:val="Figure-Table-BoxHeading"/>
        <w:keepNext/>
      </w:pPr>
      <w:r w:rsidRPr="00370467">
        <w:t xml:space="preserve">Figure </w:t>
      </w:r>
      <w:r>
        <w:t>2.1</w:t>
      </w:r>
      <w:r w:rsidRPr="00370467">
        <w:t xml:space="preserve"> </w:t>
      </w:r>
      <w:r w:rsidRPr="00370467">
        <w:tab/>
      </w:r>
      <w:r w:rsidRPr="00001171">
        <w:t xml:space="preserve">NCC </w:t>
      </w:r>
      <w:r w:rsidR="006F5838" w:rsidRPr="00001171">
        <w:t>r</w:t>
      </w:r>
      <w:r w:rsidRPr="00001171">
        <w:t>egulatory framework and process</w:t>
      </w:r>
    </w:p>
    <w:p w14:paraId="1EEF31DD" w14:textId="562F6426" w:rsidR="00370467" w:rsidRDefault="007F078B">
      <w:pPr>
        <w:rPr>
          <w:rFonts w:ascii="Tahoma" w:eastAsiaTheme="majorEastAsia" w:hAnsi="Tahoma" w:cstheme="majorBidi"/>
          <w:b/>
          <w:sz w:val="26"/>
          <w:szCs w:val="26"/>
        </w:rPr>
      </w:pPr>
      <w:r>
        <w:rPr>
          <w:noProof/>
        </w:rPr>
        <w:drawing>
          <wp:inline distT="0" distB="0" distL="0" distR="0" wp14:anchorId="75D4E9C4" wp14:editId="222AC7F2">
            <wp:extent cx="6120130" cy="8160385"/>
            <wp:effectExtent l="0" t="0" r="0" b="0"/>
            <wp:docPr id="128410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07729" name="Picture 1284107729"/>
                    <pic:cNvPicPr/>
                  </pic:nvPicPr>
                  <pic:blipFill>
                    <a:blip r:embed="rId29">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p w14:paraId="625AD70F" w14:textId="77777777" w:rsidR="003F6372" w:rsidRPr="003F6372" w:rsidRDefault="003F6372" w:rsidP="003F6372">
      <w:pPr>
        <w:jc w:val="center"/>
      </w:pPr>
    </w:p>
    <w:p w14:paraId="0A9F19A7" w14:textId="6B767BD2" w:rsidR="00370467" w:rsidRDefault="009A0BC3" w:rsidP="00785817">
      <w:pPr>
        <w:pStyle w:val="Heading3"/>
      </w:pPr>
      <w:bookmarkStart w:id="59" w:name="_Toc209969052"/>
      <w:bookmarkStart w:id="60" w:name="_Toc210028099"/>
      <w:bookmarkStart w:id="61" w:name="_Toc210127588"/>
      <w:bookmarkStart w:id="62" w:name="_Toc210908600"/>
      <w:bookmarkStart w:id="63" w:name="_Toc211246849"/>
      <w:r>
        <w:t xml:space="preserve">The </w:t>
      </w:r>
      <w:r w:rsidR="00370467">
        <w:t>Water Act 1989</w:t>
      </w:r>
      <w:bookmarkEnd w:id="59"/>
      <w:bookmarkEnd w:id="60"/>
      <w:bookmarkEnd w:id="61"/>
      <w:bookmarkEnd w:id="62"/>
      <w:bookmarkEnd w:id="63"/>
      <w:r w:rsidR="00370467">
        <w:t xml:space="preserve"> </w:t>
      </w:r>
    </w:p>
    <w:p w14:paraId="3D2F4E5A" w14:textId="3CA9FCE8" w:rsidR="001723E8" w:rsidRDefault="000C242E" w:rsidP="00FE7C3D">
      <w:pPr>
        <w:keepNext/>
        <w:keepLines/>
      </w:pPr>
      <w:r w:rsidRPr="000C242E">
        <w:t xml:space="preserve">The Water Act governs water businesses’ rights and obligations in relation to NCCs and new connections. </w:t>
      </w:r>
      <w:r w:rsidR="00BF6388">
        <w:t>It requires</w:t>
      </w:r>
      <w:r w:rsidR="001723E8" w:rsidRPr="00A66A2D">
        <w:t xml:space="preserve"> </w:t>
      </w:r>
      <w:r w:rsidR="00D52BCD">
        <w:t>that</w:t>
      </w:r>
      <w:r w:rsidR="001723E8" w:rsidRPr="00A66A2D">
        <w:t>:</w:t>
      </w:r>
    </w:p>
    <w:p w14:paraId="5ADD95D4" w14:textId="5E490120" w:rsidR="001723E8" w:rsidRDefault="001723E8" w:rsidP="001723E8">
      <w:pPr>
        <w:pStyle w:val="Quote"/>
      </w:pPr>
      <w:r>
        <w:t xml:space="preserve">The amount of payment </w:t>
      </w:r>
      <w:proofErr w:type="gramStart"/>
      <w:r>
        <w:t>required</w:t>
      </w:r>
      <w:proofErr w:type="gramEnd"/>
      <w:r>
        <w:t xml:space="preserve"> from an owner must be assessed by the Authority to be fair and reasonable, </w:t>
      </w:r>
      <w:proofErr w:type="gramStart"/>
      <w:r>
        <w:t>taking into account</w:t>
      </w:r>
      <w:proofErr w:type="gramEnd"/>
      <w:r>
        <w:t xml:space="preserve"> the benefit to that property </w:t>
      </w:r>
      <w:proofErr w:type="gramStart"/>
      <w:r>
        <w:t>relative</w:t>
      </w:r>
      <w:proofErr w:type="gramEnd"/>
      <w:r>
        <w:t xml:space="preserve"> to the benefit to other properties.</w:t>
      </w:r>
      <w:r>
        <w:rPr>
          <w:rStyle w:val="FootnoteReference"/>
        </w:rPr>
        <w:footnoteReference w:id="4"/>
      </w:r>
      <w:r>
        <w:t xml:space="preserve"> </w:t>
      </w:r>
    </w:p>
    <w:p w14:paraId="04DF4ED3" w14:textId="664A52B6" w:rsidR="00370467" w:rsidRDefault="00370467" w:rsidP="00370467">
      <w:pPr>
        <w:pStyle w:val="Heading3"/>
      </w:pPr>
      <w:bookmarkStart w:id="64" w:name="_Toc209969053"/>
      <w:bookmarkStart w:id="65" w:name="_Toc210028100"/>
      <w:bookmarkStart w:id="66" w:name="_Toc210127589"/>
      <w:bookmarkStart w:id="67" w:name="_Toc210908601"/>
      <w:bookmarkStart w:id="68" w:name="_Toc211246850"/>
      <w:bookmarkStart w:id="69" w:name="_Toc208839805"/>
      <w:bookmarkStart w:id="70" w:name="_Toc209447296"/>
      <w:r>
        <w:t>Water Industry Regulatory Order 2014</w:t>
      </w:r>
      <w:bookmarkEnd w:id="64"/>
      <w:bookmarkEnd w:id="65"/>
      <w:bookmarkEnd w:id="66"/>
      <w:bookmarkEnd w:id="67"/>
      <w:bookmarkEnd w:id="68"/>
      <w:r>
        <w:t xml:space="preserve"> </w:t>
      </w:r>
      <w:bookmarkEnd w:id="69"/>
      <w:bookmarkEnd w:id="70"/>
    </w:p>
    <w:p w14:paraId="32DDEC14" w14:textId="3DBDA241" w:rsidR="00C319BD" w:rsidRDefault="00D13C1A" w:rsidP="00370467">
      <w:r w:rsidRPr="00D13C1A">
        <w:t>The WIRO specifies the prescribed services subject to price regulation including those to which NCCs apply.</w:t>
      </w:r>
      <w:r w:rsidR="00B23B33">
        <w:rPr>
          <w:rStyle w:val="FootnoteReference"/>
        </w:rPr>
        <w:footnoteReference w:id="5"/>
      </w:r>
      <w:r w:rsidR="00370467">
        <w:t xml:space="preserve"> </w:t>
      </w:r>
      <w:r w:rsidR="005B486F">
        <w:t>It</w:t>
      </w:r>
      <w:r w:rsidR="008E6BA1" w:rsidRPr="008E6BA1">
        <w:t xml:space="preserve"> sets out the commission’s </w:t>
      </w:r>
      <w:proofErr w:type="gramStart"/>
      <w:r w:rsidR="008E6BA1" w:rsidRPr="008E6BA1">
        <w:t>objectives</w:t>
      </w:r>
      <w:proofErr w:type="gramEnd"/>
      <w:r w:rsidR="008E6BA1" w:rsidRPr="008E6BA1">
        <w:t xml:space="preserve"> </w:t>
      </w:r>
      <w:r w:rsidR="00574068">
        <w:t>i</w:t>
      </w:r>
      <w:r w:rsidR="008E6BA1" w:rsidRPr="008E6BA1">
        <w:t xml:space="preserve">n performing </w:t>
      </w:r>
      <w:r w:rsidR="00370C88">
        <w:t xml:space="preserve">functions </w:t>
      </w:r>
      <w:r w:rsidR="008E6BA1" w:rsidRPr="008E6BA1">
        <w:t xml:space="preserve">and exercising powers in relation to the regulated water industry </w:t>
      </w:r>
      <w:r w:rsidR="00154C0F">
        <w:t>as well as</w:t>
      </w:r>
      <w:r w:rsidR="008E6BA1" w:rsidRPr="008E6BA1">
        <w:t xml:space="preserve"> the matters </w:t>
      </w:r>
      <w:r w:rsidR="00E61C8F">
        <w:t>we</w:t>
      </w:r>
      <w:r w:rsidR="008E6BA1" w:rsidRPr="008E6BA1">
        <w:t xml:space="preserve"> must have regard to when </w:t>
      </w:r>
      <w:proofErr w:type="gramStart"/>
      <w:r w:rsidR="008E6BA1" w:rsidRPr="008E6BA1">
        <w:t>seeking</w:t>
      </w:r>
      <w:proofErr w:type="gramEnd"/>
      <w:r w:rsidR="008E6BA1" w:rsidRPr="008E6BA1">
        <w:t xml:space="preserve"> to achieve these </w:t>
      </w:r>
      <w:proofErr w:type="gramStart"/>
      <w:r w:rsidR="008E6BA1" w:rsidRPr="008E6BA1">
        <w:t>objectives</w:t>
      </w:r>
      <w:proofErr w:type="gramEnd"/>
      <w:r w:rsidR="007E7349">
        <w:t xml:space="preserve"> and </w:t>
      </w:r>
      <w:r w:rsidR="001F7C5D">
        <w:t>when making price determinations</w:t>
      </w:r>
      <w:r w:rsidR="00CC0611">
        <w:t>.</w:t>
      </w:r>
      <w:r w:rsidR="00921769">
        <w:rPr>
          <w:rStyle w:val="FootnoteReference"/>
        </w:rPr>
        <w:footnoteReference w:id="6"/>
      </w:r>
      <w:r w:rsidR="00B9216B">
        <w:t>,</w:t>
      </w:r>
      <w:r w:rsidR="001A6498">
        <w:rPr>
          <w:rStyle w:val="FootnoteReference"/>
        </w:rPr>
        <w:footnoteReference w:id="7"/>
      </w:r>
      <w:r w:rsidR="00154AD3">
        <w:t xml:space="preserve"> </w:t>
      </w:r>
    </w:p>
    <w:p w14:paraId="6FC35159" w14:textId="2F065F65" w:rsidR="00370467" w:rsidRDefault="000D5550" w:rsidP="00370467">
      <w:r w:rsidRPr="000D5550">
        <w:t xml:space="preserve">The WIRO </w:t>
      </w:r>
      <w:r w:rsidR="009E0C34">
        <w:t xml:space="preserve">also </w:t>
      </w:r>
      <w:r w:rsidRPr="000D5550">
        <w:t xml:space="preserve">requires the commission to provide guidance to </w:t>
      </w:r>
      <w:r w:rsidR="00D218CC">
        <w:t>water</w:t>
      </w:r>
      <w:r w:rsidR="00B653DB">
        <w:t xml:space="preserve"> businesses</w:t>
      </w:r>
      <w:r w:rsidRPr="000D5550">
        <w:t xml:space="preserve"> setting out </w:t>
      </w:r>
      <w:r w:rsidR="00814D7B" w:rsidRPr="000D5550">
        <w:t>matters</w:t>
      </w:r>
      <w:r w:rsidR="004B7E15">
        <w:t>,</w:t>
      </w:r>
      <w:r w:rsidR="00A564FD" w:rsidRPr="00A564FD">
        <w:t xml:space="preserve"> </w:t>
      </w:r>
      <w:r w:rsidR="00A564FD" w:rsidRPr="000D5550">
        <w:t>before making a price determination</w:t>
      </w:r>
      <w:r>
        <w:t>.</w:t>
      </w:r>
      <w:r w:rsidR="005E168F">
        <w:rPr>
          <w:rStyle w:val="FootnoteReference"/>
        </w:rPr>
        <w:footnoteReference w:id="8"/>
      </w:r>
      <w:r>
        <w:t xml:space="preserve"> </w:t>
      </w:r>
      <w:r w:rsidR="0075403E">
        <w:t>W</w:t>
      </w:r>
      <w:r w:rsidR="007B5577" w:rsidRPr="007B5577">
        <w:t>ater business</w:t>
      </w:r>
      <w:r w:rsidR="0075403E">
        <w:t>es</w:t>
      </w:r>
      <w:r w:rsidR="007B5577" w:rsidRPr="007B5577" w:rsidDel="0075403E">
        <w:t xml:space="preserve"> </w:t>
      </w:r>
      <w:r w:rsidR="001610CE">
        <w:t>must</w:t>
      </w:r>
      <w:r w:rsidR="007B5577" w:rsidRPr="007B5577">
        <w:t xml:space="preserve"> </w:t>
      </w:r>
      <w:proofErr w:type="gramStart"/>
      <w:r w:rsidR="007B5577" w:rsidRPr="007B5577">
        <w:t>comply with</w:t>
      </w:r>
      <w:proofErr w:type="gramEnd"/>
      <w:r w:rsidR="007B5577" w:rsidRPr="007B5577">
        <w:t xml:space="preserve"> this guidance and have regard to the matters in clause 11 of the WIRO when making a price submission to the commission</w:t>
      </w:r>
      <w:r w:rsidR="007B5577">
        <w:t>.</w:t>
      </w:r>
      <w:r w:rsidR="00527862">
        <w:rPr>
          <w:rStyle w:val="FootnoteReference"/>
        </w:rPr>
        <w:footnoteReference w:id="9"/>
      </w:r>
    </w:p>
    <w:p w14:paraId="3314B899" w14:textId="74275B5B" w:rsidR="00370467" w:rsidRDefault="00370467" w:rsidP="00370467">
      <w:pPr>
        <w:pStyle w:val="Heading3"/>
      </w:pPr>
      <w:bookmarkStart w:id="71" w:name="_Toc208839806"/>
      <w:bookmarkStart w:id="72" w:name="_Toc209447297"/>
      <w:bookmarkStart w:id="73" w:name="_Toc209969054"/>
      <w:bookmarkStart w:id="74" w:name="_Toc210028101"/>
      <w:bookmarkStart w:id="75" w:name="_Toc210127590"/>
      <w:bookmarkStart w:id="76" w:name="_Toc210908602"/>
      <w:bookmarkStart w:id="77" w:name="_Toc211246851"/>
      <w:r>
        <w:t xml:space="preserve">Commission’s </w:t>
      </w:r>
      <w:r w:rsidR="00B14D81">
        <w:t xml:space="preserve">water price review </w:t>
      </w:r>
      <w:r>
        <w:t>guidance</w:t>
      </w:r>
      <w:bookmarkEnd w:id="71"/>
      <w:bookmarkEnd w:id="72"/>
      <w:bookmarkEnd w:id="73"/>
      <w:bookmarkEnd w:id="74"/>
      <w:bookmarkEnd w:id="75"/>
      <w:bookmarkEnd w:id="76"/>
      <w:bookmarkEnd w:id="77"/>
    </w:p>
    <w:p w14:paraId="3CFA8366" w14:textId="636E31F6" w:rsidR="00370467" w:rsidRDefault="00832D2D" w:rsidP="009D3C1B">
      <w:pPr>
        <w:keepNext/>
        <w:keepLines/>
      </w:pPr>
      <w:r>
        <w:t>The g</w:t>
      </w:r>
      <w:r w:rsidR="0025321B" w:rsidRPr="0025321B">
        <w:t xml:space="preserve">uidance issued </w:t>
      </w:r>
      <w:r w:rsidR="00727D57">
        <w:t>under</w:t>
      </w:r>
      <w:r w:rsidR="0025321B" w:rsidRPr="0025321B">
        <w:t xml:space="preserve"> the WIRO</w:t>
      </w:r>
      <w:r w:rsidR="00370467">
        <w:t xml:space="preserve"> </w:t>
      </w:r>
      <w:r w:rsidR="006B48D0" w:rsidRPr="006B48D0">
        <w:t xml:space="preserve">sets out </w:t>
      </w:r>
      <w:r w:rsidR="0044027A">
        <w:t>the commission</w:t>
      </w:r>
      <w:r w:rsidR="007631BF">
        <w:t>’s</w:t>
      </w:r>
      <w:r w:rsidR="006B48D0" w:rsidRPr="006B48D0">
        <w:t xml:space="preserve"> regulatory framework for NCCs.</w:t>
      </w:r>
      <w:r w:rsidR="00FD5395">
        <w:rPr>
          <w:rStyle w:val="FootnoteReference"/>
        </w:rPr>
        <w:footnoteReference w:id="10"/>
      </w:r>
      <w:r w:rsidR="006B48D0" w:rsidRPr="006B48D0">
        <w:t xml:space="preserve"> </w:t>
      </w:r>
      <w:r w:rsidR="0091027D">
        <w:t xml:space="preserve">It </w:t>
      </w:r>
      <w:proofErr w:type="gramStart"/>
      <w:r w:rsidR="0091027D">
        <w:t>identifies</w:t>
      </w:r>
      <w:proofErr w:type="gramEnd"/>
      <w:r w:rsidR="006B48D0" w:rsidRPr="006B48D0">
        <w:t xml:space="preserve"> the matters we expect water businesses to consider </w:t>
      </w:r>
      <w:r w:rsidR="00263D78">
        <w:t>and</w:t>
      </w:r>
      <w:r w:rsidR="006B48D0" w:rsidRPr="006B48D0">
        <w:t xml:space="preserve"> the information </w:t>
      </w:r>
      <w:r w:rsidR="0038582C" w:rsidRPr="00F764A5">
        <w:t xml:space="preserve">they must provide </w:t>
      </w:r>
      <w:r w:rsidR="0024478B" w:rsidRPr="00F764A5">
        <w:t>to</w:t>
      </w:r>
      <w:r w:rsidR="0038582C" w:rsidRPr="00F764A5">
        <w:t xml:space="preserve"> support their pricing proposals</w:t>
      </w:r>
      <w:r w:rsidR="0075190E" w:rsidRPr="00F764A5">
        <w:t>.</w:t>
      </w:r>
      <w:r w:rsidR="00370467">
        <w:t xml:space="preserve"> </w:t>
      </w:r>
      <w:r w:rsidR="007C1CC3" w:rsidRPr="007C1CC3">
        <w:t xml:space="preserve">Our guidance also </w:t>
      </w:r>
      <w:r w:rsidR="005E2235" w:rsidRPr="00412531">
        <w:t>incorporate</w:t>
      </w:r>
      <w:r w:rsidR="007C1CC3" w:rsidRPr="00412531">
        <w:t xml:space="preserve">s the requirements </w:t>
      </w:r>
      <w:r w:rsidR="005D304D" w:rsidRPr="00412531">
        <w:t>of</w:t>
      </w:r>
      <w:r w:rsidR="00D22928" w:rsidRPr="00412531">
        <w:t xml:space="preserve"> </w:t>
      </w:r>
      <w:r w:rsidR="007C1CC3" w:rsidRPr="00412531">
        <w:t xml:space="preserve">the Water Act </w:t>
      </w:r>
      <w:r w:rsidR="00F76BAA" w:rsidRPr="00412531">
        <w:t>for</w:t>
      </w:r>
      <w:r w:rsidR="007C1CC3" w:rsidRPr="00412531">
        <w:t xml:space="preserve"> payment of a N</w:t>
      </w:r>
      <w:r w:rsidR="002E79C0" w:rsidRPr="00412531">
        <w:t>CC from new connection</w:t>
      </w:r>
      <w:r w:rsidR="00E05F6A" w:rsidRPr="00412531">
        <w:t xml:space="preserve"> applicants</w:t>
      </w:r>
      <w:r w:rsidR="007C1CC3" w:rsidRPr="00412531">
        <w:t>.</w:t>
      </w:r>
    </w:p>
    <w:p w14:paraId="55DAEAF4" w14:textId="0F37FDCC" w:rsidR="00370467" w:rsidRDefault="009C0C8A" w:rsidP="00370467">
      <w:r>
        <w:t>I</w:t>
      </w:r>
      <w:r w:rsidR="0005679A" w:rsidRPr="0005679A">
        <w:t xml:space="preserve">f the commission </w:t>
      </w:r>
      <w:r w:rsidR="004E1F08">
        <w:t>considers</w:t>
      </w:r>
      <w:r w:rsidR="0005679A" w:rsidRPr="0005679A">
        <w:t xml:space="preserve"> that a water business’s price submission does not comply with the guidance or have adequate regard for the matters specified in clause 11 of the WIRO, the commission may specify the maximum prices or the manner in which the prices are to be calculated.</w:t>
      </w:r>
      <w:r w:rsidR="00E3554B">
        <w:rPr>
          <w:rStyle w:val="FootnoteReference"/>
        </w:rPr>
        <w:footnoteReference w:id="11"/>
      </w:r>
      <w:r w:rsidR="0005679A" w:rsidRPr="0005679A">
        <w:t xml:space="preserve"> Before </w:t>
      </w:r>
      <w:r w:rsidR="004E1F08">
        <w:t>doing so</w:t>
      </w:r>
      <w:r w:rsidR="0005679A" w:rsidRPr="0005679A">
        <w:t xml:space="preserve">, the </w:t>
      </w:r>
      <w:r w:rsidR="001B4676">
        <w:t>c</w:t>
      </w:r>
      <w:r w:rsidR="0005679A" w:rsidRPr="0005679A">
        <w:t xml:space="preserve">ommission </w:t>
      </w:r>
      <w:r w:rsidR="00D8523E">
        <w:t>will</w:t>
      </w:r>
      <w:r w:rsidR="0005679A" w:rsidRPr="0005679A">
        <w:t xml:space="preserve"> publish a d</w:t>
      </w:r>
      <w:r w:rsidR="008F4C5F">
        <w:t>r</w:t>
      </w:r>
      <w:r w:rsidR="0005679A" w:rsidRPr="0005679A">
        <w:t xml:space="preserve">aft decision </w:t>
      </w:r>
      <w:r w:rsidR="00113358">
        <w:t xml:space="preserve">explaining the reasons for </w:t>
      </w:r>
      <w:r w:rsidR="0005679A" w:rsidRPr="0005679A">
        <w:t>rejecting the water business’</w:t>
      </w:r>
      <w:r w:rsidR="004E1F08">
        <w:t>s</w:t>
      </w:r>
      <w:r w:rsidR="0005679A" w:rsidRPr="0005679A">
        <w:t xml:space="preserve"> proposal and provide the </w:t>
      </w:r>
      <w:r w:rsidR="006B5AF4">
        <w:t>water</w:t>
      </w:r>
      <w:r w:rsidR="0005679A" w:rsidRPr="0005679A">
        <w:t xml:space="preserve"> business </w:t>
      </w:r>
      <w:r w:rsidR="004E1F08">
        <w:t xml:space="preserve">an </w:t>
      </w:r>
      <w:r w:rsidR="0005679A" w:rsidRPr="0005679A">
        <w:t xml:space="preserve">opportunity to </w:t>
      </w:r>
      <w:r w:rsidR="00611137">
        <w:t>submit</w:t>
      </w:r>
      <w:r w:rsidR="00890FE3">
        <w:t xml:space="preserve"> a </w:t>
      </w:r>
      <w:r w:rsidR="00076E45">
        <w:t xml:space="preserve">revised </w:t>
      </w:r>
      <w:r w:rsidR="0005679A" w:rsidRPr="0005679A">
        <w:t xml:space="preserve">proposal </w:t>
      </w:r>
      <w:r w:rsidR="00BA5573">
        <w:t>addressing those</w:t>
      </w:r>
      <w:r w:rsidR="0005679A" w:rsidRPr="0005679A">
        <w:t xml:space="preserve"> reasons. If the commission </w:t>
      </w:r>
      <w:r w:rsidR="001A5A95">
        <w:t>does not</w:t>
      </w:r>
      <w:r w:rsidR="0005679A" w:rsidRPr="00304C4A">
        <w:t xml:space="preserve"> approve </w:t>
      </w:r>
      <w:r w:rsidR="00E27DFF" w:rsidRPr="00304C4A">
        <w:t xml:space="preserve">the </w:t>
      </w:r>
      <w:r w:rsidR="0005679A" w:rsidRPr="00304C4A">
        <w:t>propose</w:t>
      </w:r>
      <w:r w:rsidR="00E27DFF" w:rsidRPr="00304C4A">
        <w:t>d</w:t>
      </w:r>
      <w:r w:rsidR="0005679A" w:rsidRPr="00304C4A">
        <w:t xml:space="preserve"> </w:t>
      </w:r>
      <w:r w:rsidR="0005679A" w:rsidRPr="0005679A">
        <w:t xml:space="preserve">standard NCCs, the water business </w:t>
      </w:r>
      <w:r w:rsidR="00AE783F">
        <w:t>must</w:t>
      </w:r>
      <w:r w:rsidR="0005679A" w:rsidRPr="0005679A">
        <w:t xml:space="preserve"> negotiate all its NCCs during the price determination period under the approved negotiation framework.</w:t>
      </w:r>
    </w:p>
    <w:p w14:paraId="0EE1D260" w14:textId="77777777" w:rsidR="0005679A" w:rsidRDefault="0005679A" w:rsidP="00370467">
      <w:pPr>
        <w:sectPr w:rsidR="0005679A" w:rsidSect="0033357D">
          <w:footerReference w:type="default" r:id="rId30"/>
          <w:pgSz w:w="11906" w:h="16838" w:code="9"/>
          <w:pgMar w:top="1134" w:right="1134" w:bottom="1134" w:left="1134" w:header="709" w:footer="692" w:gutter="0"/>
          <w:cols w:space="708"/>
          <w:docGrid w:linePitch="360"/>
        </w:sectPr>
      </w:pPr>
    </w:p>
    <w:p w14:paraId="19CEE301" w14:textId="76CB936D" w:rsidR="00370467" w:rsidRDefault="00496A52" w:rsidP="00905C41">
      <w:pPr>
        <w:pStyle w:val="Heading1"/>
        <w:ind w:left="567" w:hanging="567"/>
      </w:pPr>
      <w:bookmarkStart w:id="78" w:name="_Toc211246852"/>
      <w:r>
        <w:t>3</w:t>
      </w:r>
      <w:r w:rsidR="00B71CC9">
        <w:t>.</w:t>
      </w:r>
      <w:r>
        <w:tab/>
      </w:r>
      <w:bookmarkStart w:id="79" w:name="_Toc210127591"/>
      <w:r w:rsidR="00370467" w:rsidRPr="00370467">
        <w:t>Our principle</w:t>
      </w:r>
      <w:r w:rsidR="00016666">
        <w:t>s</w:t>
      </w:r>
      <w:r w:rsidR="00370467" w:rsidRPr="00370467">
        <w:t xml:space="preserve">-based NCC </w:t>
      </w:r>
      <w:bookmarkEnd w:id="79"/>
      <w:r w:rsidR="0096721A">
        <w:t>F</w:t>
      </w:r>
      <w:r w:rsidR="0096721A" w:rsidRPr="00370467">
        <w:t>ramework</w:t>
      </w:r>
      <w:bookmarkEnd w:id="78"/>
    </w:p>
    <w:p w14:paraId="1E2FD4DE" w14:textId="4C9FF72F" w:rsidR="006C4406" w:rsidRDefault="0096721A" w:rsidP="00370467">
      <w:r>
        <w:t>The</w:t>
      </w:r>
      <w:r w:rsidR="00214079">
        <w:t xml:space="preserve"> </w:t>
      </w:r>
      <w:r w:rsidR="004646D3" w:rsidRPr="00684F8A">
        <w:rPr>
          <w:i/>
          <w:iCs/>
        </w:rPr>
        <w:t xml:space="preserve">Draft </w:t>
      </w:r>
      <w:r w:rsidR="00B352D6" w:rsidRPr="00684F8A">
        <w:rPr>
          <w:i/>
          <w:iCs/>
        </w:rPr>
        <w:t>N</w:t>
      </w:r>
      <w:r w:rsidR="00214079" w:rsidRPr="00684F8A">
        <w:rPr>
          <w:i/>
          <w:iCs/>
        </w:rPr>
        <w:t xml:space="preserve">ew </w:t>
      </w:r>
      <w:r w:rsidR="00B352D6" w:rsidRPr="00684F8A">
        <w:rPr>
          <w:i/>
          <w:iCs/>
        </w:rPr>
        <w:t>C</w:t>
      </w:r>
      <w:r w:rsidR="00214079" w:rsidRPr="00684F8A">
        <w:rPr>
          <w:i/>
          <w:iCs/>
        </w:rPr>
        <w:t xml:space="preserve">ustomer </w:t>
      </w:r>
      <w:r w:rsidR="00B352D6" w:rsidRPr="00684F8A">
        <w:rPr>
          <w:i/>
          <w:iCs/>
        </w:rPr>
        <w:t>C</w:t>
      </w:r>
      <w:r w:rsidR="00214079" w:rsidRPr="00684F8A">
        <w:rPr>
          <w:i/>
          <w:iCs/>
        </w:rPr>
        <w:t>ontributions</w:t>
      </w:r>
      <w:r w:rsidR="00B352D6" w:rsidRPr="00684F8A">
        <w:rPr>
          <w:i/>
          <w:iCs/>
        </w:rPr>
        <w:t xml:space="preserve"> </w:t>
      </w:r>
      <w:r w:rsidR="00214079" w:rsidRPr="00684F8A">
        <w:rPr>
          <w:i/>
          <w:iCs/>
        </w:rPr>
        <w:t>F</w:t>
      </w:r>
      <w:r w:rsidR="00B729F6" w:rsidRPr="00684F8A">
        <w:rPr>
          <w:i/>
          <w:iCs/>
        </w:rPr>
        <w:t>ramework</w:t>
      </w:r>
      <w:r w:rsidR="00B729F6">
        <w:t xml:space="preserve"> </w:t>
      </w:r>
      <w:r w:rsidR="00630DC5">
        <w:t>reflects</w:t>
      </w:r>
      <w:r w:rsidR="00B352D6" w:rsidRPr="00B352D6">
        <w:t xml:space="preserve"> the statutory requirements</w:t>
      </w:r>
      <w:r w:rsidR="00865B1D">
        <w:t xml:space="preserve"> </w:t>
      </w:r>
      <w:r w:rsidR="006B3450">
        <w:t xml:space="preserve">set out in </w:t>
      </w:r>
      <w:r>
        <w:t xml:space="preserve">section </w:t>
      </w:r>
      <w:r w:rsidR="0067572A">
        <w:t>2</w:t>
      </w:r>
      <w:r w:rsidR="006660AB">
        <w:t>,</w:t>
      </w:r>
      <w:r w:rsidR="0067572A">
        <w:t xml:space="preserve"> </w:t>
      </w:r>
      <w:proofErr w:type="gramStart"/>
      <w:r w:rsidR="0067572A">
        <w:t>retains</w:t>
      </w:r>
      <w:proofErr w:type="gramEnd"/>
      <w:r w:rsidR="0067572A">
        <w:t xml:space="preserve"> the </w:t>
      </w:r>
      <w:proofErr w:type="gramStart"/>
      <w:r w:rsidR="00B352D6" w:rsidRPr="00B352D6">
        <w:t>objectives</w:t>
      </w:r>
      <w:proofErr w:type="gramEnd"/>
      <w:r w:rsidR="00B352D6" w:rsidRPr="00B352D6">
        <w:t xml:space="preserve"> </w:t>
      </w:r>
      <w:r w:rsidR="00865B1D">
        <w:t xml:space="preserve">from the current </w:t>
      </w:r>
      <w:r w:rsidR="00B352D6" w:rsidRPr="00B352D6">
        <w:t xml:space="preserve">NCC </w:t>
      </w:r>
      <w:r>
        <w:t>F</w:t>
      </w:r>
      <w:r w:rsidRPr="00B352D6">
        <w:t>ramework</w:t>
      </w:r>
      <w:r>
        <w:t xml:space="preserve"> </w:t>
      </w:r>
      <w:r w:rsidR="006660AB">
        <w:t>and</w:t>
      </w:r>
      <w:r w:rsidR="00865B1D">
        <w:t xml:space="preserve"> </w:t>
      </w:r>
      <w:r w:rsidR="00684F8A">
        <w:t>incorporates</w:t>
      </w:r>
      <w:r w:rsidR="00B352D6" w:rsidRPr="00B352D6">
        <w:t xml:space="preserve"> feedback </w:t>
      </w:r>
      <w:r w:rsidR="00865B1D">
        <w:t>from our</w:t>
      </w:r>
      <w:r w:rsidR="00B352D6" w:rsidRPr="00B352D6">
        <w:t xml:space="preserve"> 2024</w:t>
      </w:r>
      <w:r w:rsidR="000F193E">
        <w:t>–</w:t>
      </w:r>
      <w:r w:rsidR="00B352D6" w:rsidRPr="00B352D6">
        <w:t>25 NCC review</w:t>
      </w:r>
      <w:r w:rsidR="006660AB">
        <w:t xml:space="preserve">. </w:t>
      </w:r>
      <w:r w:rsidR="00034D93">
        <w:t>Interested partie</w:t>
      </w:r>
      <w:r w:rsidR="00A418E8" w:rsidRPr="00A418E8">
        <w:t>s emphasised the need for a framework that provides both flexibility and clarity, enabling consistent application of NCCs while accommodating the differing circumstances of new connections across metropolitan, urban and regional areas</w:t>
      </w:r>
      <w:r w:rsidR="000D1E58">
        <w:t>.</w:t>
      </w:r>
    </w:p>
    <w:p w14:paraId="465FE1FA" w14:textId="045C15FA" w:rsidR="00370467" w:rsidRDefault="00EB061C" w:rsidP="00370467">
      <w:r>
        <w:t>In response to this feedback, the</w:t>
      </w:r>
      <w:r w:rsidR="0007541E">
        <w:t xml:space="preserve"> </w:t>
      </w:r>
      <w:r w:rsidR="0007541E" w:rsidRPr="00F764A5">
        <w:t>Draft New Customer Contributions Framework</w:t>
      </w:r>
      <w:r w:rsidR="007B537E">
        <w:t>:</w:t>
      </w:r>
      <w:r w:rsidR="00B352D6" w:rsidRPr="00B352D6">
        <w:t xml:space="preserve"> </w:t>
      </w:r>
    </w:p>
    <w:p w14:paraId="676CFCB9" w14:textId="7412A4B3" w:rsidR="00370467" w:rsidRDefault="00BF483F" w:rsidP="002B7C2E">
      <w:pPr>
        <w:pStyle w:val="ListBullet"/>
      </w:pPr>
      <w:r>
        <w:t>Maintains</w:t>
      </w:r>
      <w:r w:rsidR="00D372F4" w:rsidRPr="00D372F4">
        <w:t xml:space="preserve"> flexible NCC pricing principles</w:t>
      </w:r>
      <w:r w:rsidR="00F92179">
        <w:t xml:space="preserve">, allowing water businesses to adjust pricing to local circumstances while ensuring charges </w:t>
      </w:r>
      <w:proofErr w:type="gramStart"/>
      <w:r w:rsidR="00F92179">
        <w:t>remain</w:t>
      </w:r>
      <w:proofErr w:type="gramEnd"/>
      <w:r w:rsidR="00F92179">
        <w:t xml:space="preserve"> fair and </w:t>
      </w:r>
      <w:r w:rsidR="003A41CF">
        <w:t>reasonable</w:t>
      </w:r>
      <w:r>
        <w:t>.</w:t>
      </w:r>
    </w:p>
    <w:p w14:paraId="5B283B4B" w14:textId="21430EE1" w:rsidR="00370467" w:rsidRDefault="00BF483F" w:rsidP="002B7C2E">
      <w:pPr>
        <w:pStyle w:val="ListBullet"/>
      </w:pPr>
      <w:r>
        <w:t>Retains</w:t>
      </w:r>
      <w:r w:rsidR="00537131" w:rsidRPr="00537131">
        <w:t xml:space="preserve"> provision for standard NCCs in suitable circumstances, alongside the default negotiated NCCs </w:t>
      </w:r>
      <w:r w:rsidR="006C7662">
        <w:t>provided for under</w:t>
      </w:r>
      <w:r w:rsidR="00537131" w:rsidRPr="00537131">
        <w:t xml:space="preserve"> the Water Act</w:t>
      </w:r>
      <w:r w:rsidR="00C1733A">
        <w:t>. This approach supports a more targeted application of NCCs, ensuring charges reflect the specific costs and benefits with d</w:t>
      </w:r>
      <w:r w:rsidR="00953580">
        <w:t xml:space="preserve">ifferent connection types. </w:t>
      </w:r>
      <w:r w:rsidR="00537131" w:rsidRPr="00537131">
        <w:t xml:space="preserve"> </w:t>
      </w:r>
    </w:p>
    <w:p w14:paraId="31779047" w14:textId="04FC1270" w:rsidR="00370467" w:rsidRDefault="00B428DA" w:rsidP="00905C41">
      <w:pPr>
        <w:pStyle w:val="Heading2"/>
        <w:ind w:left="851" w:hanging="851"/>
      </w:pPr>
      <w:bookmarkStart w:id="80" w:name="_Toc210908604"/>
      <w:bookmarkStart w:id="81" w:name="_Toc211246853"/>
      <w:r>
        <w:t>3.1</w:t>
      </w:r>
      <w:r>
        <w:tab/>
      </w:r>
      <w:bookmarkStart w:id="82" w:name="_Toc210127592"/>
      <w:r w:rsidR="001C082C">
        <w:t>N</w:t>
      </w:r>
      <w:r w:rsidR="00370467">
        <w:t>CC pricing principles</w:t>
      </w:r>
      <w:bookmarkEnd w:id="80"/>
      <w:bookmarkEnd w:id="81"/>
      <w:bookmarkEnd w:id="82"/>
    </w:p>
    <w:p w14:paraId="3E9F59AB" w14:textId="42BA1317" w:rsidR="00F06C2F" w:rsidRDefault="001C082C" w:rsidP="00370467">
      <w:r w:rsidRPr="001C082C">
        <w:t>The following</w:t>
      </w:r>
      <w:r w:rsidR="006B7202">
        <w:t xml:space="preserve"> pricing</w:t>
      </w:r>
      <w:r w:rsidRPr="001C082C">
        <w:t xml:space="preserve"> principles </w:t>
      </w:r>
      <w:r w:rsidR="007E49CA">
        <w:t>apply to all</w:t>
      </w:r>
      <w:r w:rsidRPr="001C082C">
        <w:t xml:space="preserve"> NCC</w:t>
      </w:r>
      <w:r w:rsidR="007E49CA">
        <w:t>s</w:t>
      </w:r>
      <w:r w:rsidR="00693F50">
        <w:t xml:space="preserve"> and</w:t>
      </w:r>
      <w:r w:rsidRPr="001C082C">
        <w:t xml:space="preserve"> will be included in our future water price review guidance papers.</w:t>
      </w:r>
    </w:p>
    <w:p w14:paraId="1D543D7A" w14:textId="443E8EF7" w:rsidR="00F06C2F" w:rsidRDefault="00F06C2F" w:rsidP="00F06C2F">
      <w:r w:rsidRPr="003D162A">
        <w:t>A proposed NCC must</w:t>
      </w:r>
      <w:r w:rsidR="005958A8" w:rsidRPr="003D162A">
        <w:t xml:space="preserve"> have regard to the</w:t>
      </w:r>
      <w:r w:rsidRPr="003D162A">
        <w:t>:</w:t>
      </w:r>
    </w:p>
    <w:p w14:paraId="3059A977" w14:textId="1D80FD84" w:rsidR="00C13E9F" w:rsidRDefault="00C13E9F" w:rsidP="00C13E9F">
      <w:pPr>
        <w:pStyle w:val="ListBullet"/>
        <w:numPr>
          <w:ilvl w:val="0"/>
          <w:numId w:val="6"/>
        </w:numPr>
      </w:pPr>
      <w:r>
        <w:t>incremental infrastructure and associated costs in one or more of the statutory cost categories attributable to a given connection, which must be greater than the avoidable cost of not servicing the connection and less than the standalone cost of servicing that connection</w:t>
      </w:r>
      <w:r w:rsidR="00297599">
        <w:t xml:space="preserve"> (incremental cost)</w:t>
      </w:r>
      <w:r w:rsidR="00C7260B">
        <w:t>.</w:t>
      </w:r>
      <w:r w:rsidR="00E6715A" w:rsidRPr="00541E12">
        <w:rPr>
          <w:rStyle w:val="FootnoteReference"/>
        </w:rPr>
        <w:footnoteReference w:id="12"/>
      </w:r>
      <w:r w:rsidR="005958A8" w:rsidRPr="00541E12">
        <w:t xml:space="preserve"> </w:t>
      </w:r>
    </w:p>
    <w:p w14:paraId="7AC6FCEA" w14:textId="6D966823" w:rsidR="00C13E9F" w:rsidRDefault="00C13E9F" w:rsidP="00C13E9F">
      <w:pPr>
        <w:pStyle w:val="ListBullet"/>
        <w:numPr>
          <w:ilvl w:val="0"/>
          <w:numId w:val="6"/>
        </w:numPr>
      </w:pPr>
      <w:r>
        <w:t xml:space="preserve">incremental future </w:t>
      </w:r>
      <w:r w:rsidRPr="00D97A5D">
        <w:t>revenues</w:t>
      </w:r>
      <w:r>
        <w:t xml:space="preserve"> (or other benefits) that will be earned from customers at that connection.</w:t>
      </w:r>
      <w:r w:rsidRPr="001C082C">
        <w:t xml:space="preserve"> </w:t>
      </w:r>
      <w:r>
        <w:t>See section 4.3 for examples of benefits</w:t>
      </w:r>
      <w:r w:rsidR="005958A8">
        <w:t xml:space="preserve"> (incremental revenue)</w:t>
      </w:r>
      <w:r w:rsidR="00297599">
        <w:t>.</w:t>
      </w:r>
    </w:p>
    <w:p w14:paraId="7D0E0AD7" w14:textId="4FECC78C" w:rsidR="00370467" w:rsidRDefault="00B428DA" w:rsidP="00905C41">
      <w:pPr>
        <w:pStyle w:val="Heading2"/>
        <w:ind w:left="851" w:hanging="851"/>
      </w:pPr>
      <w:bookmarkStart w:id="83" w:name="_Toc210908605"/>
      <w:bookmarkStart w:id="84" w:name="_Toc211246854"/>
      <w:r>
        <w:t>3.2</w:t>
      </w:r>
      <w:r>
        <w:tab/>
      </w:r>
      <w:bookmarkStart w:id="85" w:name="_Toc210127593"/>
      <w:r w:rsidR="00370467">
        <w:t>Types of NCC</w:t>
      </w:r>
      <w:r w:rsidR="00751989">
        <w:t>s</w:t>
      </w:r>
      <w:bookmarkEnd w:id="83"/>
      <w:bookmarkEnd w:id="84"/>
      <w:bookmarkEnd w:id="85"/>
    </w:p>
    <w:p w14:paraId="543FE38D" w14:textId="4DB7FB43" w:rsidR="00CC01DF" w:rsidRDefault="00737A21" w:rsidP="00FE7C3D">
      <w:pPr>
        <w:keepNext/>
        <w:keepLines/>
      </w:pPr>
      <w:r>
        <w:t xml:space="preserve">The </w:t>
      </w:r>
      <w:r w:rsidRPr="002E7582">
        <w:rPr>
          <w:i/>
          <w:iCs/>
        </w:rPr>
        <w:t>Draft New Customer Contributions Framework</w:t>
      </w:r>
      <w:r>
        <w:t xml:space="preserve"> and future water price review guidance</w:t>
      </w:r>
      <w:r w:rsidR="00D20F7B">
        <w:t xml:space="preserve"> provides for tw</w:t>
      </w:r>
      <w:r w:rsidR="00525BE0">
        <w:t>o types of NCCs:</w:t>
      </w:r>
      <w:r w:rsidR="00320F72">
        <w:t xml:space="preserve"> </w:t>
      </w:r>
    </w:p>
    <w:p w14:paraId="59BA90DA" w14:textId="2D89571E" w:rsidR="00235C95" w:rsidRDefault="00235C95" w:rsidP="002B7C2E">
      <w:pPr>
        <w:pStyle w:val="ListBullet"/>
      </w:pPr>
      <w:r w:rsidRPr="0033357D">
        <w:rPr>
          <w:b/>
          <w:bCs/>
        </w:rPr>
        <w:t>Standard NCCs</w:t>
      </w:r>
      <w:r w:rsidR="009E0F01">
        <w:rPr>
          <w:b/>
          <w:bCs/>
        </w:rPr>
        <w:t>:</w:t>
      </w:r>
      <w:r w:rsidRPr="00F764A5">
        <w:rPr>
          <w:b/>
        </w:rPr>
        <w:t xml:space="preserve"> </w:t>
      </w:r>
      <w:r w:rsidRPr="00236E4A">
        <w:t xml:space="preserve">apply </w:t>
      </w:r>
      <w:r>
        <w:t xml:space="preserve">only </w:t>
      </w:r>
      <w:r w:rsidRPr="00236E4A">
        <w:t>where infrastructure requirements and growth rates are relatively well known (</w:t>
      </w:r>
      <w:r w:rsidR="00151410">
        <w:t>for example,</w:t>
      </w:r>
      <w:r w:rsidRPr="00236E4A">
        <w:t xml:space="preserve"> under a published </w:t>
      </w:r>
      <w:r w:rsidR="000B3F79">
        <w:t>D</w:t>
      </w:r>
      <w:r w:rsidR="000B3F79" w:rsidRPr="00236E4A">
        <w:t xml:space="preserve">evelopment </w:t>
      </w:r>
      <w:r w:rsidR="000B3F79">
        <w:t>S</w:t>
      </w:r>
      <w:r w:rsidR="000B3F79" w:rsidRPr="00236E4A">
        <w:t xml:space="preserve">ervicing </w:t>
      </w:r>
      <w:r w:rsidR="000B3F79">
        <w:t>P</w:t>
      </w:r>
      <w:r w:rsidR="000B3F79" w:rsidRPr="00236E4A">
        <w:t>lan</w:t>
      </w:r>
      <w:r w:rsidRPr="00236E4A">
        <w:t>), and common across a group</w:t>
      </w:r>
      <w:r w:rsidR="0004132C">
        <w:t xml:space="preserve"> of </w:t>
      </w:r>
      <w:r w:rsidRPr="00236E4A">
        <w:t>connections</w:t>
      </w:r>
      <w:r w:rsidR="009E37B6">
        <w:t>. This</w:t>
      </w:r>
      <w:r w:rsidRPr="00236E4A">
        <w:t xml:space="preserve"> reduce</w:t>
      </w:r>
      <w:r w:rsidR="009E37B6">
        <w:t>s</w:t>
      </w:r>
      <w:r w:rsidRPr="00236E4A">
        <w:t xml:space="preserve"> administrative burden and improve</w:t>
      </w:r>
      <w:r w:rsidR="00AC021E">
        <w:t>s</w:t>
      </w:r>
      <w:r w:rsidRPr="00236E4A">
        <w:t xml:space="preserve"> the timeliness and predictability of costs faced by connection applicants in clearly defined development areas.</w:t>
      </w:r>
    </w:p>
    <w:p w14:paraId="6553F10E" w14:textId="7EBDFB66" w:rsidR="00235C95" w:rsidRDefault="00235C95" w:rsidP="002B7C2E">
      <w:pPr>
        <w:pStyle w:val="ListBullet"/>
      </w:pPr>
      <w:r w:rsidRPr="0033357D">
        <w:rPr>
          <w:b/>
          <w:bCs/>
        </w:rPr>
        <w:t>Negotiated NCCs</w:t>
      </w:r>
      <w:r w:rsidR="009E0F01">
        <w:rPr>
          <w:b/>
          <w:bCs/>
        </w:rPr>
        <w:t>:</w:t>
      </w:r>
      <w:r>
        <w:t xml:space="preserve"> </w:t>
      </w:r>
      <w:r w:rsidRPr="00F31B38">
        <w:t xml:space="preserve">apply where a new connection is outside the areas </w:t>
      </w:r>
      <w:r w:rsidR="00C164DA" w:rsidRPr="00F31B38">
        <w:t>chosen</w:t>
      </w:r>
      <w:r w:rsidRPr="00F31B38">
        <w:t xml:space="preserve"> as eligible for </w:t>
      </w:r>
      <w:r w:rsidR="004245CF">
        <w:t xml:space="preserve">a </w:t>
      </w:r>
      <w:r w:rsidRPr="00F31B38">
        <w:t>standard NCC or relates to a larger-scale development or redevelopment. This allows water businesses and connection applicants to negotiate site-specific arrangements that reflect the binding NCC pricing principles.</w:t>
      </w:r>
      <w:r w:rsidR="00304DB1">
        <w:t xml:space="preserve"> </w:t>
      </w:r>
    </w:p>
    <w:p w14:paraId="2C8250A0" w14:textId="3EE3E460" w:rsidR="00702CF3" w:rsidRPr="00054FC7" w:rsidRDefault="00702CF3" w:rsidP="00702CF3">
      <w:proofErr w:type="gramStart"/>
      <w:r w:rsidRPr="00054FC7">
        <w:t>Accordingly</w:t>
      </w:r>
      <w:proofErr w:type="gramEnd"/>
      <w:r w:rsidRPr="00054FC7">
        <w:t>, these two types of NCCs presen</w:t>
      </w:r>
      <w:r w:rsidR="0088346E" w:rsidRPr="00054FC7">
        <w:t>t</w:t>
      </w:r>
      <w:r w:rsidR="00936072" w:rsidRPr="00054FC7">
        <w:t xml:space="preserve"> circumstances</w:t>
      </w:r>
      <w:r w:rsidR="008A58CF" w:rsidRPr="00054FC7">
        <w:t xml:space="preserve"> where</w:t>
      </w:r>
      <w:r w:rsidR="00C32C5D" w:rsidRPr="00054FC7">
        <w:t xml:space="preserve"> it is </w:t>
      </w:r>
      <w:proofErr w:type="gramStart"/>
      <w:r w:rsidR="00C32C5D" w:rsidRPr="00054FC7">
        <w:t>feasible</w:t>
      </w:r>
      <w:proofErr w:type="gramEnd"/>
      <w:r w:rsidR="00C32C5D" w:rsidRPr="00054FC7">
        <w:t xml:space="preserve"> for the commission to</w:t>
      </w:r>
      <w:r w:rsidR="00D82915">
        <w:t xml:space="preserve"> approve</w:t>
      </w:r>
      <w:r w:rsidRPr="00054FC7">
        <w:t>:</w:t>
      </w:r>
    </w:p>
    <w:p w14:paraId="1E5BD50E" w14:textId="276E7E1C" w:rsidR="00702CF3" w:rsidRPr="00054FC7" w:rsidRDefault="00702CF3" w:rsidP="00702CF3">
      <w:pPr>
        <w:pStyle w:val="ListBullet"/>
      </w:pPr>
      <w:r w:rsidRPr="00054FC7">
        <w:t xml:space="preserve">maximum </w:t>
      </w:r>
      <w:r w:rsidR="004A1F19" w:rsidRPr="00054FC7">
        <w:t xml:space="preserve">standard </w:t>
      </w:r>
      <w:r w:rsidRPr="00054FC7">
        <w:t xml:space="preserve">NCC </w:t>
      </w:r>
      <w:r w:rsidR="00A01E7E" w:rsidRPr="00054FC7">
        <w:t>prices</w:t>
      </w:r>
      <w:r w:rsidR="00993802" w:rsidRPr="00054FC7">
        <w:t xml:space="preserve"> (standard)</w:t>
      </w:r>
    </w:p>
    <w:p w14:paraId="44094623" w14:textId="221CED3E" w:rsidR="00702CF3" w:rsidRPr="00054FC7" w:rsidRDefault="00702CF3" w:rsidP="00702CF3">
      <w:pPr>
        <w:pStyle w:val="ListBullet"/>
      </w:pPr>
      <w:r w:rsidRPr="00054FC7">
        <w:t xml:space="preserve">the </w:t>
      </w:r>
      <w:r w:rsidR="00AA5A0D" w:rsidRPr="00054FC7">
        <w:t>way</w:t>
      </w:r>
      <w:r w:rsidRPr="00054FC7">
        <w:t xml:space="preserve"> NCC prices will be </w:t>
      </w:r>
      <w:r w:rsidR="0080609D" w:rsidRPr="00054FC7">
        <w:t>calculated</w:t>
      </w:r>
      <w:r w:rsidRPr="00054FC7">
        <w:t xml:space="preserve"> on a case-by-case basis for all other circumstances (negotiated).</w:t>
      </w:r>
    </w:p>
    <w:p w14:paraId="32D49491" w14:textId="1296EC1F" w:rsidR="00702CF3" w:rsidRDefault="00702CF3" w:rsidP="00702CF3">
      <w:r w:rsidRPr="00054FC7">
        <w:t xml:space="preserve">Water businesses can </w:t>
      </w:r>
      <w:r w:rsidR="003E377D" w:rsidRPr="00054FC7">
        <w:t>(</w:t>
      </w:r>
      <w:r w:rsidRPr="00054FC7">
        <w:t xml:space="preserve">but are not </w:t>
      </w:r>
      <w:proofErr w:type="gramStart"/>
      <w:r w:rsidRPr="00054FC7">
        <w:t>required</w:t>
      </w:r>
      <w:proofErr w:type="gramEnd"/>
      <w:r w:rsidRPr="00054FC7">
        <w:t xml:space="preserve"> to</w:t>
      </w:r>
      <w:r w:rsidR="003E377D" w:rsidRPr="00054FC7">
        <w:t>)</w:t>
      </w:r>
      <w:r w:rsidRPr="00054FC7">
        <w:t xml:space="preserve"> include standard NCCs in their price submissions.</w:t>
      </w:r>
    </w:p>
    <w:p w14:paraId="1D3BA5A6" w14:textId="18835F3B" w:rsidR="00370467" w:rsidRDefault="00B428DA" w:rsidP="00905C41">
      <w:pPr>
        <w:pStyle w:val="Heading2"/>
        <w:ind w:left="851" w:hanging="851"/>
      </w:pPr>
      <w:bookmarkStart w:id="86" w:name="_Toc210908606"/>
      <w:bookmarkStart w:id="87" w:name="_Toc211246855"/>
      <w:r>
        <w:t>3.3</w:t>
      </w:r>
      <w:r>
        <w:tab/>
      </w:r>
      <w:bookmarkStart w:id="88" w:name="_Toc210127594"/>
      <w:r w:rsidR="005E037D">
        <w:t>F</w:t>
      </w:r>
      <w:r w:rsidR="00370467">
        <w:t>ramework administration</w:t>
      </w:r>
      <w:r w:rsidR="005E037D">
        <w:t xml:space="preserve"> improvements</w:t>
      </w:r>
      <w:bookmarkEnd w:id="86"/>
      <w:bookmarkEnd w:id="87"/>
      <w:bookmarkEnd w:id="88"/>
    </w:p>
    <w:p w14:paraId="24CFACBE" w14:textId="5FDE24D5" w:rsidR="00370467" w:rsidRDefault="005E037D" w:rsidP="000A1CCA">
      <w:r>
        <w:t xml:space="preserve">New and </w:t>
      </w:r>
      <w:r w:rsidR="00780466">
        <w:t>expanded</w:t>
      </w:r>
      <w:r>
        <w:t xml:space="preserve"> measures have been introduced to </w:t>
      </w:r>
      <w:r w:rsidR="00294432">
        <w:t xml:space="preserve">improve administration processes. </w:t>
      </w:r>
      <w:r w:rsidR="00FB33B6">
        <w:t>Th</w:t>
      </w:r>
      <w:r w:rsidR="000A1CCA">
        <w:t xml:space="preserve">e </w:t>
      </w:r>
      <w:r w:rsidR="00FB33B6">
        <w:t>new measures</w:t>
      </w:r>
      <w:r w:rsidR="000A1CCA">
        <w:t xml:space="preserve"> </w:t>
      </w:r>
      <w:r w:rsidR="00FB33B6">
        <w:t>will</w:t>
      </w:r>
      <w:r w:rsidR="000A1CCA">
        <w:t>:</w:t>
      </w:r>
    </w:p>
    <w:p w14:paraId="4E22B709" w14:textId="6837DCAA" w:rsidR="00370467" w:rsidRDefault="00322228" w:rsidP="002B7C2E">
      <w:pPr>
        <w:pStyle w:val="ListBullet"/>
      </w:pPr>
      <w:r>
        <w:rPr>
          <w:b/>
          <w:bCs/>
        </w:rPr>
        <w:t>c</w:t>
      </w:r>
      <w:r w:rsidR="00370467" w:rsidRPr="0033357D">
        <w:rPr>
          <w:b/>
          <w:bCs/>
        </w:rPr>
        <w:t>larify</w:t>
      </w:r>
      <w:r w:rsidR="00370467">
        <w:t xml:space="preserve"> </w:t>
      </w:r>
      <w:r w:rsidR="00017063" w:rsidRPr="00017063">
        <w:t xml:space="preserve">key aspects of the </w:t>
      </w:r>
      <w:r w:rsidR="00FB33B6">
        <w:t>NCC</w:t>
      </w:r>
      <w:r w:rsidR="00017063" w:rsidRPr="00017063">
        <w:t xml:space="preserve"> </w:t>
      </w:r>
      <w:r w:rsidR="003E377D">
        <w:t>F</w:t>
      </w:r>
      <w:r w:rsidR="003E377D" w:rsidRPr="00017063">
        <w:t>ramework</w:t>
      </w:r>
    </w:p>
    <w:p w14:paraId="24D4AF16" w14:textId="3695AED3" w:rsidR="00370467" w:rsidRDefault="00FA685B" w:rsidP="002B7C2E">
      <w:pPr>
        <w:pStyle w:val="ListBullet"/>
      </w:pPr>
      <w:r>
        <w:rPr>
          <w:b/>
          <w:bCs/>
        </w:rPr>
        <w:t>r</w:t>
      </w:r>
      <w:r w:rsidR="00370467" w:rsidRPr="0033357D">
        <w:rPr>
          <w:b/>
          <w:bCs/>
        </w:rPr>
        <w:t>equire</w:t>
      </w:r>
      <w:r w:rsidR="00370467">
        <w:t xml:space="preserve"> </w:t>
      </w:r>
      <w:r w:rsidR="00BE4658" w:rsidRPr="00BE4658">
        <w:t xml:space="preserve">minimum disclosures that </w:t>
      </w:r>
      <w:r w:rsidR="006B5AF4">
        <w:t xml:space="preserve">water </w:t>
      </w:r>
      <w:r w:rsidR="00BE4658">
        <w:t xml:space="preserve">businesses must provide </w:t>
      </w:r>
      <w:r w:rsidR="003A3C8E">
        <w:t>t</w:t>
      </w:r>
      <w:r w:rsidR="00BE4658" w:rsidRPr="00BE4658">
        <w:t xml:space="preserve">o support transparent and efficient NCC administration and negotiations </w:t>
      </w:r>
    </w:p>
    <w:p w14:paraId="0E4D982A" w14:textId="6909257E" w:rsidR="00370467" w:rsidRDefault="005042F6" w:rsidP="002B7C2E">
      <w:pPr>
        <w:pStyle w:val="ListBullet"/>
      </w:pPr>
      <w:r>
        <w:rPr>
          <w:b/>
          <w:bCs/>
        </w:rPr>
        <w:t>e</w:t>
      </w:r>
      <w:r w:rsidR="00370467" w:rsidRPr="0033357D">
        <w:rPr>
          <w:b/>
          <w:bCs/>
        </w:rPr>
        <w:t>mpower</w:t>
      </w:r>
      <w:r w:rsidR="00370467">
        <w:t xml:space="preserve"> </w:t>
      </w:r>
      <w:r w:rsidR="00AE6FB6" w:rsidRPr="00AE6FB6">
        <w:t>suitably informed NCC calculations and negotiations</w:t>
      </w:r>
      <w:r w:rsidR="00370467">
        <w:t xml:space="preserve"> </w:t>
      </w:r>
    </w:p>
    <w:p w14:paraId="51D34D70" w14:textId="5680955B" w:rsidR="00370467" w:rsidRDefault="00C9734D" w:rsidP="002B7C2E">
      <w:pPr>
        <w:pStyle w:val="ListBullet"/>
      </w:pPr>
      <w:r>
        <w:rPr>
          <w:b/>
          <w:bCs/>
        </w:rPr>
        <w:t>e</w:t>
      </w:r>
      <w:r w:rsidR="00370467" w:rsidRPr="0033357D">
        <w:rPr>
          <w:b/>
          <w:bCs/>
        </w:rPr>
        <w:t>ncourage</w:t>
      </w:r>
      <w:r w:rsidR="00370467">
        <w:t xml:space="preserve"> </w:t>
      </w:r>
      <w:r w:rsidR="00D21AA9">
        <w:t>advanced</w:t>
      </w:r>
      <w:r w:rsidR="00987640" w:rsidRPr="00987640">
        <w:t xml:space="preserve"> practice by reflecting aspects of good NCC practice into our PREMO ambition ratings</w:t>
      </w:r>
      <w:r w:rsidR="00370467">
        <w:t xml:space="preserve"> </w:t>
      </w:r>
    </w:p>
    <w:p w14:paraId="324E94C9" w14:textId="3150A72E" w:rsidR="00370467" w:rsidRDefault="00C9734D" w:rsidP="002B7C2E">
      <w:pPr>
        <w:pStyle w:val="ListBullet"/>
      </w:pPr>
      <w:r>
        <w:rPr>
          <w:b/>
          <w:bCs/>
        </w:rPr>
        <w:t>m</w:t>
      </w:r>
      <w:r w:rsidR="00370467" w:rsidRPr="0033357D">
        <w:rPr>
          <w:b/>
          <w:bCs/>
        </w:rPr>
        <w:t>onitor</w:t>
      </w:r>
      <w:r w:rsidR="00370467">
        <w:t xml:space="preserve"> </w:t>
      </w:r>
      <w:r w:rsidR="00F8691A" w:rsidRPr="00F8691A">
        <w:t xml:space="preserve">and </w:t>
      </w:r>
      <w:r w:rsidR="00803221" w:rsidRPr="00F8691A">
        <w:t>show</w:t>
      </w:r>
      <w:r w:rsidR="00F8691A" w:rsidRPr="00F8691A">
        <w:t xml:space="preserve"> key NCC outcomes</w:t>
      </w:r>
      <w:r w:rsidR="00370467">
        <w:t>.</w:t>
      </w:r>
    </w:p>
    <w:p w14:paraId="21FDA590" w14:textId="4E6E5B3E" w:rsidR="00370467" w:rsidRDefault="008D34CF" w:rsidP="00370467">
      <w:r w:rsidRPr="008D34CF">
        <w:t xml:space="preserve">The remaining sections of </w:t>
      </w:r>
      <w:r w:rsidR="00BC2925" w:rsidRPr="008D34CF">
        <w:t>th</w:t>
      </w:r>
      <w:r w:rsidR="00BC2925">
        <w:t>e</w:t>
      </w:r>
      <w:r w:rsidR="00BC2925" w:rsidRPr="008D34CF">
        <w:t xml:space="preserve"> </w:t>
      </w:r>
      <w:r w:rsidR="00775C52" w:rsidRPr="00DF3619">
        <w:rPr>
          <w:i/>
          <w:iCs/>
        </w:rPr>
        <w:t>Draft New Customer Contributions Framework</w:t>
      </w:r>
      <w:r w:rsidR="00775C52" w:rsidRPr="00DF3619">
        <w:t xml:space="preserve"> </w:t>
      </w:r>
      <w:r w:rsidR="00F442CA">
        <w:t>outline</w:t>
      </w:r>
      <w:r w:rsidRPr="008D34CF">
        <w:t xml:space="preserve"> these new and expanded measures. </w:t>
      </w:r>
      <w:r w:rsidR="00EC7204">
        <w:t>I</w:t>
      </w:r>
      <w:r w:rsidR="00FE39F1">
        <w:t>n</w:t>
      </w:r>
      <w:r w:rsidRPr="008D34CF">
        <w:t xml:space="preserve"> 2026</w:t>
      </w:r>
      <w:r w:rsidRPr="0081026A">
        <w:t xml:space="preserve">, we will consult with </w:t>
      </w:r>
      <w:r w:rsidR="000D53BD" w:rsidRPr="0081026A">
        <w:t>interested partie</w:t>
      </w:r>
      <w:r w:rsidRPr="0081026A">
        <w:t xml:space="preserve">s to develop supporting materials to further </w:t>
      </w:r>
      <w:r w:rsidR="00C71771" w:rsidRPr="0081026A">
        <w:t>aid</w:t>
      </w:r>
      <w:r w:rsidR="0056210F" w:rsidRPr="0081026A">
        <w:t xml:space="preserve"> in</w:t>
      </w:r>
      <w:r w:rsidRPr="0081026A">
        <w:t xml:space="preserve"> </w:t>
      </w:r>
      <w:r w:rsidR="00350730" w:rsidRPr="0081026A">
        <w:t>NCC</w:t>
      </w:r>
      <w:r w:rsidRPr="0081026A">
        <w:t xml:space="preserve"> administration</w:t>
      </w:r>
      <w:r w:rsidR="00DF125B" w:rsidRPr="0081026A">
        <w:t xml:space="preserve">, </w:t>
      </w:r>
      <w:r w:rsidRPr="008D34CF">
        <w:t>includ</w:t>
      </w:r>
      <w:r w:rsidR="00DF125B">
        <w:t>ing</w:t>
      </w:r>
      <w:r w:rsidRPr="008D34CF">
        <w:t xml:space="preserve"> case studies and proforma NCC calculation models.</w:t>
      </w:r>
      <w:r w:rsidR="00370467">
        <w:t xml:space="preserve"> </w:t>
      </w:r>
    </w:p>
    <w:p w14:paraId="442041D7" w14:textId="77777777" w:rsidR="0033357D" w:rsidRDefault="0033357D" w:rsidP="00370467">
      <w:pPr>
        <w:sectPr w:rsidR="0033357D" w:rsidSect="0033357D">
          <w:footerReference w:type="default" r:id="rId31"/>
          <w:pgSz w:w="11906" w:h="16838" w:code="9"/>
          <w:pgMar w:top="1134" w:right="1134" w:bottom="1134" w:left="1134" w:header="709" w:footer="692" w:gutter="0"/>
          <w:cols w:space="708"/>
          <w:docGrid w:linePitch="360"/>
        </w:sectPr>
      </w:pPr>
    </w:p>
    <w:p w14:paraId="1FEBD7D6" w14:textId="2E293383" w:rsidR="00370467" w:rsidRDefault="00496A52" w:rsidP="00905C41">
      <w:pPr>
        <w:pStyle w:val="Heading1"/>
        <w:ind w:left="567" w:hanging="567"/>
      </w:pPr>
      <w:bookmarkStart w:id="89" w:name="_Toc211246856"/>
      <w:r>
        <w:t>4.</w:t>
      </w:r>
      <w:r>
        <w:tab/>
      </w:r>
      <w:bookmarkStart w:id="90" w:name="_Toc210127595"/>
      <w:r w:rsidR="0033357D" w:rsidRPr="0033357D">
        <w:t xml:space="preserve">Clarifying the </w:t>
      </w:r>
      <w:r w:rsidR="00EE10A7">
        <w:t xml:space="preserve">NCC </w:t>
      </w:r>
      <w:bookmarkEnd w:id="90"/>
      <w:r w:rsidR="00CA7AAF">
        <w:t>F</w:t>
      </w:r>
      <w:r w:rsidR="00CA7AAF" w:rsidRPr="0033357D">
        <w:t>ramework</w:t>
      </w:r>
      <w:bookmarkEnd w:id="89"/>
    </w:p>
    <w:p w14:paraId="1963A800" w14:textId="336F9C36" w:rsidR="00AE31AA" w:rsidRDefault="00AE31AA" w:rsidP="00AE31AA">
      <w:r>
        <w:t xml:space="preserve">This section clarifies key elements of the NCC </w:t>
      </w:r>
      <w:r w:rsidR="00EE5AD9">
        <w:t>F</w:t>
      </w:r>
      <w:r>
        <w:t>ramework including:</w:t>
      </w:r>
    </w:p>
    <w:p w14:paraId="1F30CFB5" w14:textId="3A683337" w:rsidR="00AE31AA" w:rsidRDefault="00AE31AA" w:rsidP="002B7C2E">
      <w:pPr>
        <w:pStyle w:val="ListBullet"/>
      </w:pPr>
      <w:r>
        <w:t>appl</w:t>
      </w:r>
      <w:r w:rsidR="002A7BFE">
        <w:t>ying</w:t>
      </w:r>
      <w:r>
        <w:t xml:space="preserve"> negotiated versus standard NCCs</w:t>
      </w:r>
    </w:p>
    <w:p w14:paraId="2E9D2613" w14:textId="0683FA42" w:rsidR="00AE31AA" w:rsidRDefault="00AE31AA" w:rsidP="002B7C2E">
      <w:pPr>
        <w:pStyle w:val="ListBullet"/>
      </w:pPr>
      <w:r>
        <w:t>interpret</w:t>
      </w:r>
      <w:r w:rsidR="002A7BFE">
        <w:t>ing</w:t>
      </w:r>
      <w:r>
        <w:t xml:space="preserve"> incremental cost and incremental benefits when calculating NCCs</w:t>
      </w:r>
    </w:p>
    <w:p w14:paraId="5DCA8024" w14:textId="5BC89630" w:rsidR="00AE31AA" w:rsidRDefault="00AE31AA" w:rsidP="002B7C2E">
      <w:pPr>
        <w:pStyle w:val="ListBullet"/>
      </w:pPr>
      <w:r>
        <w:t>interpret</w:t>
      </w:r>
      <w:r w:rsidR="002A7BFE">
        <w:t>ing</w:t>
      </w:r>
      <w:r>
        <w:t xml:space="preserve"> and appl</w:t>
      </w:r>
      <w:r w:rsidR="002A7BFE">
        <w:t>ying</w:t>
      </w:r>
      <w:r>
        <w:t xml:space="preserve"> standalone and avoidable </w:t>
      </w:r>
      <w:r w:rsidR="00EE5AD9">
        <w:t>cost-</w:t>
      </w:r>
      <w:r>
        <w:t>efficient pricing bounds</w:t>
      </w:r>
    </w:p>
    <w:p w14:paraId="3CA2CBBB" w14:textId="24A55380" w:rsidR="00AE31AA" w:rsidRDefault="00AE31AA" w:rsidP="002B7C2E">
      <w:pPr>
        <w:pStyle w:val="ListBullet"/>
      </w:pPr>
      <w:r>
        <w:t>the scope of director attestation</w:t>
      </w:r>
    </w:p>
    <w:p w14:paraId="235ADEBE" w14:textId="75812C44" w:rsidR="00227973" w:rsidRDefault="00C90439" w:rsidP="002B7C2E">
      <w:pPr>
        <w:pStyle w:val="ListBullet"/>
      </w:pPr>
      <w:r>
        <w:t xml:space="preserve">access to </w:t>
      </w:r>
      <w:r w:rsidR="00270865">
        <w:t>dispute resol</w:t>
      </w:r>
      <w:r>
        <w:t>ution</w:t>
      </w:r>
      <w:r w:rsidR="00086EDE">
        <w:t>.</w:t>
      </w:r>
      <w:r>
        <w:t xml:space="preserve"> </w:t>
      </w:r>
    </w:p>
    <w:p w14:paraId="4C6E98EE" w14:textId="39FDE724" w:rsidR="00AE31AA" w:rsidRDefault="00B428DA" w:rsidP="00905C41">
      <w:pPr>
        <w:pStyle w:val="Heading2"/>
        <w:ind w:left="851" w:hanging="851"/>
      </w:pPr>
      <w:bookmarkStart w:id="91" w:name="_Toc211246857"/>
      <w:r>
        <w:t>4.1</w:t>
      </w:r>
      <w:r>
        <w:tab/>
      </w:r>
      <w:bookmarkStart w:id="92" w:name="_Toc210127596"/>
      <w:r w:rsidR="00AE31AA">
        <w:t>Using negotiated versus standard NCCs</w:t>
      </w:r>
      <w:bookmarkEnd w:id="91"/>
      <w:bookmarkEnd w:id="92"/>
    </w:p>
    <w:p w14:paraId="49EDADB0" w14:textId="4F26EE63" w:rsidR="00AE31AA" w:rsidRDefault="00AE31AA" w:rsidP="00AE31AA">
      <w:r>
        <w:t xml:space="preserve">Our </w:t>
      </w:r>
      <w:r w:rsidR="00655871" w:rsidRPr="0081026A">
        <w:rPr>
          <w:i/>
          <w:iCs/>
        </w:rPr>
        <w:t xml:space="preserve">Draft </w:t>
      </w:r>
      <w:r w:rsidRPr="0081026A">
        <w:rPr>
          <w:i/>
          <w:iCs/>
        </w:rPr>
        <w:t>N</w:t>
      </w:r>
      <w:r w:rsidR="00655871" w:rsidRPr="0081026A">
        <w:rPr>
          <w:i/>
          <w:iCs/>
        </w:rPr>
        <w:t xml:space="preserve">ew </w:t>
      </w:r>
      <w:r w:rsidRPr="0081026A">
        <w:rPr>
          <w:i/>
          <w:iCs/>
        </w:rPr>
        <w:t>C</w:t>
      </w:r>
      <w:r w:rsidR="00655871" w:rsidRPr="0081026A">
        <w:rPr>
          <w:i/>
          <w:iCs/>
        </w:rPr>
        <w:t xml:space="preserve">ustomer </w:t>
      </w:r>
      <w:r w:rsidRPr="0081026A">
        <w:rPr>
          <w:i/>
          <w:iCs/>
        </w:rPr>
        <w:t>C</w:t>
      </w:r>
      <w:r w:rsidR="00655871" w:rsidRPr="0081026A">
        <w:rPr>
          <w:i/>
          <w:iCs/>
        </w:rPr>
        <w:t>ontributions</w:t>
      </w:r>
      <w:r w:rsidRPr="0081026A">
        <w:rPr>
          <w:i/>
        </w:rPr>
        <w:t xml:space="preserve"> </w:t>
      </w:r>
      <w:r w:rsidR="00655871" w:rsidRPr="0081026A">
        <w:rPr>
          <w:i/>
          <w:iCs/>
        </w:rPr>
        <w:t>Framework</w:t>
      </w:r>
      <w:r w:rsidR="00655871">
        <w:t xml:space="preserve"> </w:t>
      </w:r>
      <w:r>
        <w:t>provides for two types of NCC: negotiated and standard.</w:t>
      </w:r>
    </w:p>
    <w:p w14:paraId="3E2D20DD" w14:textId="77777777" w:rsidR="00AE31AA" w:rsidRDefault="00AE31AA" w:rsidP="00BC3043">
      <w:pPr>
        <w:pStyle w:val="Heading3"/>
      </w:pPr>
      <w:bookmarkStart w:id="93" w:name="_Toc209447304"/>
      <w:bookmarkStart w:id="94" w:name="_Toc209969061"/>
      <w:bookmarkStart w:id="95" w:name="_Toc210028108"/>
      <w:bookmarkStart w:id="96" w:name="_Toc210127597"/>
      <w:bookmarkStart w:id="97" w:name="_Toc210908609"/>
      <w:bookmarkStart w:id="98" w:name="_Toc211246858"/>
      <w:r>
        <w:t>When negotiated NCCs apply</w:t>
      </w:r>
      <w:bookmarkEnd w:id="93"/>
      <w:bookmarkEnd w:id="94"/>
      <w:bookmarkEnd w:id="95"/>
      <w:bookmarkEnd w:id="96"/>
      <w:bookmarkEnd w:id="97"/>
      <w:bookmarkEnd w:id="98"/>
    </w:p>
    <w:p w14:paraId="0A1754F1" w14:textId="7C20CE57" w:rsidR="00053754" w:rsidRDefault="00053754" w:rsidP="00AE31AA">
      <w:r w:rsidRPr="00053754">
        <w:t xml:space="preserve">If no standard NCC is approved, the default under the Water Act is for NCCs to be negotiated between the connection applicant and the water business, with dispute resolution available if </w:t>
      </w:r>
      <w:r w:rsidR="00315001" w:rsidRPr="00053754">
        <w:t>needed</w:t>
      </w:r>
      <w:r w:rsidRPr="00053754">
        <w:t>.</w:t>
      </w:r>
    </w:p>
    <w:p w14:paraId="4F43F990" w14:textId="767341D3" w:rsidR="00AE31AA" w:rsidRDefault="00AE31AA" w:rsidP="00AE31AA">
      <w:r>
        <w:t xml:space="preserve">Even where we approve a standard NCC and </w:t>
      </w:r>
      <w:r w:rsidR="00350730">
        <w:t xml:space="preserve">its </w:t>
      </w:r>
      <w:r>
        <w:t xml:space="preserve">eligibility criteria, a connection applicant may still request to negotiate. </w:t>
      </w:r>
      <w:r w:rsidRPr="004F08AD">
        <w:t xml:space="preserve">Whether a negotiated process follows will depend on the assessment of </w:t>
      </w:r>
      <w:r w:rsidR="00FD2EC5" w:rsidRPr="004F08AD">
        <w:t>the benefits of negotiating</w:t>
      </w:r>
      <w:r w:rsidR="005B1459" w:rsidRPr="004F08AD">
        <w:t xml:space="preserve"> in those specific circumstances</w:t>
      </w:r>
      <w:r w:rsidR="00C93F52" w:rsidRPr="004F08AD">
        <w:t xml:space="preserve"> – measured by how much it would </w:t>
      </w:r>
      <w:r w:rsidR="004B4271" w:rsidRPr="004F08AD">
        <w:t>pro</w:t>
      </w:r>
      <w:r w:rsidR="00DA3566" w:rsidRPr="004F08AD">
        <w:t>mote</w:t>
      </w:r>
      <w:r w:rsidR="00C93F52" w:rsidRPr="004F08AD">
        <w:t xml:space="preserve"> compliance with the </w:t>
      </w:r>
      <w:r w:rsidR="00992FF7" w:rsidRPr="004F08AD">
        <w:t>Water</w:t>
      </w:r>
      <w:r w:rsidR="00C93F52" w:rsidRPr="004F08AD">
        <w:t xml:space="preserve"> Act NCC calculation requirements </w:t>
      </w:r>
      <w:r w:rsidR="002870D0" w:rsidRPr="004F08AD">
        <w:t xml:space="preserve">for relative </w:t>
      </w:r>
      <w:r w:rsidR="007C3A03" w:rsidRPr="004F08AD">
        <w:t xml:space="preserve">cost and benefit assessment </w:t>
      </w:r>
      <w:r w:rsidR="007665F3" w:rsidRPr="004F08AD">
        <w:t>–</w:t>
      </w:r>
      <w:r w:rsidR="00FD2EC5" w:rsidRPr="004F08AD">
        <w:t xml:space="preserve"> </w:t>
      </w:r>
      <w:r w:rsidR="00D13111" w:rsidRPr="004F08AD">
        <w:t>versus</w:t>
      </w:r>
      <w:r w:rsidR="008F13F0" w:rsidRPr="004F08AD">
        <w:t xml:space="preserve"> the transaction costs </w:t>
      </w:r>
      <w:r w:rsidR="00C14251" w:rsidRPr="004F08AD">
        <w:t xml:space="preserve">of updated calculations and conducting a negotiation </w:t>
      </w:r>
      <w:r w:rsidR="008F13F0" w:rsidRPr="004F08AD">
        <w:t>for that spe</w:t>
      </w:r>
      <w:r w:rsidR="00C7649A" w:rsidRPr="004F08AD">
        <w:t>cific connection applicant’s circumstances.</w:t>
      </w:r>
      <w:r w:rsidR="00C7649A">
        <w:t xml:space="preserve"> </w:t>
      </w:r>
      <w:r w:rsidR="00A76352">
        <w:t xml:space="preserve">The water business should </w:t>
      </w:r>
      <w:proofErr w:type="gramStart"/>
      <w:r w:rsidR="00A76352">
        <w:t>advise</w:t>
      </w:r>
      <w:proofErr w:type="gramEnd"/>
      <w:r w:rsidR="00A76352">
        <w:t xml:space="preserve"> the </w:t>
      </w:r>
      <w:r w:rsidR="000541CE">
        <w:t>connection applicants</w:t>
      </w:r>
      <w:r w:rsidR="00A76352">
        <w:t xml:space="preserve"> of the </w:t>
      </w:r>
      <w:proofErr w:type="gramStart"/>
      <w:r w:rsidR="00A76352">
        <w:t>costs</w:t>
      </w:r>
      <w:proofErr w:type="gramEnd"/>
      <w:r w:rsidR="00A76352">
        <w:t xml:space="preserve"> and </w:t>
      </w:r>
      <w:r w:rsidR="007E59F1">
        <w:t>it</w:t>
      </w:r>
      <w:r w:rsidR="00A76352">
        <w:t xml:space="preserve"> can decide whether to </w:t>
      </w:r>
      <w:proofErr w:type="gramStart"/>
      <w:r w:rsidR="00A76352">
        <w:t>proceed</w:t>
      </w:r>
      <w:proofErr w:type="gramEnd"/>
      <w:r w:rsidR="00A76352">
        <w:t xml:space="preserve"> with a negotiated charge. </w:t>
      </w:r>
    </w:p>
    <w:p w14:paraId="7DC9F79A" w14:textId="1D0F013B" w:rsidR="00AE31AA" w:rsidRDefault="00AE31AA" w:rsidP="00AE31AA">
      <w:r>
        <w:t>Negotiated</w:t>
      </w:r>
      <w:r w:rsidDel="00BD72AB">
        <w:t xml:space="preserve"> </w:t>
      </w:r>
      <w:r w:rsidR="00BD72AB">
        <w:t xml:space="preserve">NCCs </w:t>
      </w:r>
      <w:r>
        <w:t xml:space="preserve">can apply to both new connections and existing connections </w:t>
      </w:r>
      <w:r w:rsidR="00472362">
        <w:t>looking</w:t>
      </w:r>
      <w:r>
        <w:t xml:space="preserve"> to increase the </w:t>
      </w:r>
      <w:proofErr w:type="gramStart"/>
      <w:r>
        <w:t>capacity</w:t>
      </w:r>
      <w:proofErr w:type="gramEnd"/>
      <w:r>
        <w:t xml:space="preserve"> of services at that property.</w:t>
      </w:r>
    </w:p>
    <w:p w14:paraId="482CDD89" w14:textId="77777777" w:rsidR="00AE31AA" w:rsidRDefault="00AE31AA" w:rsidP="0069010A">
      <w:pPr>
        <w:pStyle w:val="Heading3"/>
      </w:pPr>
      <w:bookmarkStart w:id="99" w:name="_Toc209447305"/>
      <w:bookmarkStart w:id="100" w:name="_Toc209969062"/>
      <w:bookmarkStart w:id="101" w:name="_Toc210028109"/>
      <w:bookmarkStart w:id="102" w:name="_Toc210127598"/>
      <w:bookmarkStart w:id="103" w:name="_Toc210908610"/>
      <w:bookmarkStart w:id="104" w:name="_Toc211246859"/>
      <w:r>
        <w:t>When standard NCCs may apply</w:t>
      </w:r>
      <w:bookmarkEnd w:id="99"/>
      <w:bookmarkEnd w:id="100"/>
      <w:bookmarkEnd w:id="101"/>
      <w:bookmarkEnd w:id="102"/>
      <w:bookmarkEnd w:id="103"/>
      <w:bookmarkEnd w:id="104"/>
    </w:p>
    <w:p w14:paraId="7C3B9DB8" w14:textId="1DDDCE88" w:rsidR="00AE31AA" w:rsidRDefault="00373BDD" w:rsidP="00AE31AA">
      <w:r>
        <w:t xml:space="preserve">Through their </w:t>
      </w:r>
      <w:r w:rsidR="00AE31AA">
        <w:t>pric</w:t>
      </w:r>
      <w:r w:rsidR="0007129C">
        <w:t>ing</w:t>
      </w:r>
      <w:r w:rsidR="00AE31AA">
        <w:t xml:space="preserve"> proposals</w:t>
      </w:r>
      <w:r>
        <w:t>,</w:t>
      </w:r>
      <w:r w:rsidR="00AE31AA">
        <w:t xml:space="preserve"> </w:t>
      </w:r>
      <w:r>
        <w:t xml:space="preserve">water businesses </w:t>
      </w:r>
      <w:r w:rsidR="00AE31AA">
        <w:t xml:space="preserve">may seek our approval of standard NCCs that set the </w:t>
      </w:r>
      <w:proofErr w:type="gramStart"/>
      <w:r w:rsidR="00AE31AA">
        <w:t>maximum</w:t>
      </w:r>
      <w:proofErr w:type="gramEnd"/>
      <w:r w:rsidR="00AE31AA">
        <w:t xml:space="preserve"> approved price for NCCs in specified connection circumstances (the standard NCC eligibility criteria). </w:t>
      </w:r>
    </w:p>
    <w:p w14:paraId="16FA0F61" w14:textId="77777777" w:rsidR="00184BD6" w:rsidRDefault="00AE31AA" w:rsidP="00184BD6">
      <w:r>
        <w:t xml:space="preserve">We will only approve standard NCCs </w:t>
      </w:r>
      <w:r w:rsidR="00E970D3">
        <w:t>if</w:t>
      </w:r>
      <w:r>
        <w:t xml:space="preserve"> we are satisfied that</w:t>
      </w:r>
      <w:r w:rsidR="00111270">
        <w:t xml:space="preserve"> the</w:t>
      </w:r>
      <w:r>
        <w:t xml:space="preserve"> </w:t>
      </w:r>
      <w:r w:rsidR="002D163D">
        <w:t xml:space="preserve">water </w:t>
      </w:r>
      <w:r>
        <w:t>business</w:t>
      </w:r>
      <w:r w:rsidR="00097D58">
        <w:t>:</w:t>
      </w:r>
    </w:p>
    <w:p w14:paraId="55DAA046" w14:textId="294B696E" w:rsidR="000622D3" w:rsidRPr="000622D3" w:rsidRDefault="00B1151C" w:rsidP="002B7C2E">
      <w:pPr>
        <w:pStyle w:val="ListBullet"/>
      </w:pPr>
      <w:r>
        <w:t>has</w:t>
      </w:r>
      <w:r w:rsidR="0072530D">
        <w:t xml:space="preserve"> </w:t>
      </w:r>
      <w:r w:rsidR="0072530D" w:rsidRPr="000622D3">
        <w:t>provide</w:t>
      </w:r>
      <w:r w:rsidR="0072530D">
        <w:t>d</w:t>
      </w:r>
      <w:r w:rsidR="00AE31AA" w:rsidRPr="000622D3">
        <w:t xml:space="preserve"> evidence of attributed costs and </w:t>
      </w:r>
      <w:r w:rsidR="00AE31AA" w:rsidRPr="00184BD6">
        <w:t>benefits</w:t>
      </w:r>
      <w:r w:rsidR="009C6198">
        <w:t xml:space="preserve"> and </w:t>
      </w:r>
      <w:r w:rsidR="007C3F79" w:rsidRPr="00184BD6">
        <w:t>that</w:t>
      </w:r>
      <w:r w:rsidR="009C6198">
        <w:t xml:space="preserve"> the </w:t>
      </w:r>
      <w:r w:rsidR="00AE31AA">
        <w:t xml:space="preserve">proposed standard NCCs meet the </w:t>
      </w:r>
      <w:r w:rsidR="00DE0A56" w:rsidRPr="000622D3">
        <w:t>eligibility criteria</w:t>
      </w:r>
    </w:p>
    <w:p w14:paraId="161E8A97" w14:textId="7D6F2D41" w:rsidR="00AE31AA" w:rsidRPr="000622D3" w:rsidRDefault="00B1151C" w:rsidP="002B7C2E">
      <w:pPr>
        <w:pStyle w:val="ListBullet"/>
      </w:pPr>
      <w:proofErr w:type="gramStart"/>
      <w:r>
        <w:t>complies</w:t>
      </w:r>
      <w:r w:rsidR="0072530D" w:rsidRPr="000622D3">
        <w:t xml:space="preserve"> </w:t>
      </w:r>
      <w:r w:rsidR="000622D3" w:rsidRPr="000622D3">
        <w:t>with</w:t>
      </w:r>
      <w:proofErr w:type="gramEnd"/>
      <w:r w:rsidR="000622D3" w:rsidRPr="000622D3">
        <w:t xml:space="preserve"> the </w:t>
      </w:r>
      <w:r w:rsidR="00AE31AA" w:rsidRPr="000622D3">
        <w:t>NCC pricing principles</w:t>
      </w:r>
      <w:r w:rsidR="0093159D" w:rsidRPr="000622D3">
        <w:t xml:space="preserve"> set out in the </w:t>
      </w:r>
      <w:r w:rsidR="0072530D">
        <w:t xml:space="preserve">commission’s </w:t>
      </w:r>
      <w:r w:rsidR="0093159D" w:rsidRPr="000622D3">
        <w:t>guidance</w:t>
      </w:r>
      <w:r w:rsidR="00AE31AA" w:rsidRPr="000622D3">
        <w:t>.</w:t>
      </w:r>
    </w:p>
    <w:p w14:paraId="2CB78851" w14:textId="0245DBE7" w:rsidR="00AE31AA" w:rsidRDefault="00AE31AA" w:rsidP="0081026A">
      <w:pPr>
        <w:keepLines/>
      </w:pPr>
      <w:r>
        <w:t>Standard charges will apply</w:t>
      </w:r>
      <w:r w:rsidR="001D523E">
        <w:t xml:space="preserve"> only to </w:t>
      </w:r>
      <w:r>
        <w:t xml:space="preserve">new </w:t>
      </w:r>
      <w:r w:rsidRPr="0081026A">
        <w:t>connections</w:t>
      </w:r>
      <w:r w:rsidR="00035B0E" w:rsidRPr="0081026A">
        <w:t xml:space="preserve"> </w:t>
      </w:r>
      <w:r w:rsidRPr="0081026A">
        <w:t xml:space="preserve">in </w:t>
      </w:r>
      <w:r>
        <w:t xml:space="preserve">areas where infrastructure requirements and growth rates are relatively well known and forecasted by the water business. In these circumstances, standard NCCs reduce administrative burden and improve the timeliness and predictability of costs faced </w:t>
      </w:r>
      <w:r w:rsidRPr="0081026A">
        <w:t xml:space="preserve">by </w:t>
      </w:r>
      <w:r w:rsidR="008F425E">
        <w:t>connection applicants</w:t>
      </w:r>
      <w:r w:rsidRPr="0081026A">
        <w:t>.</w:t>
      </w:r>
    </w:p>
    <w:p w14:paraId="17F54D84" w14:textId="62996FEB" w:rsidR="00AE31AA" w:rsidRDefault="00AE31AA" w:rsidP="00AE31AA">
      <w:r w:rsidRPr="00E16ED0">
        <w:t>Section 5.2</w:t>
      </w:r>
      <w:r>
        <w:t xml:space="preserve"> </w:t>
      </w:r>
      <w:r w:rsidR="0034226F">
        <w:t>outlines</w:t>
      </w:r>
      <w:r>
        <w:t xml:space="preserve"> the preconditions for proposing a standard NCC and the evidence a </w:t>
      </w:r>
      <w:r w:rsidR="002D163D">
        <w:t xml:space="preserve">water </w:t>
      </w:r>
      <w:r>
        <w:t xml:space="preserve">business </w:t>
      </w:r>
      <w:r w:rsidR="00DB18CD">
        <w:t>must</w:t>
      </w:r>
      <w:r>
        <w:t xml:space="preserve"> provide </w:t>
      </w:r>
      <w:r w:rsidR="00B2361A">
        <w:t xml:space="preserve">to </w:t>
      </w:r>
      <w:r w:rsidR="00E92BA3">
        <w:t>the commission</w:t>
      </w:r>
      <w:r>
        <w:t xml:space="preserve"> to </w:t>
      </w:r>
      <w:r w:rsidR="0075742C">
        <w:t>show</w:t>
      </w:r>
      <w:r>
        <w:t xml:space="preserve"> compliance with the NCC pricing principles. A new </w:t>
      </w:r>
      <w:r w:rsidR="00612B54">
        <w:t>requirement</w:t>
      </w:r>
      <w:r>
        <w:t xml:space="preserve"> is that a water business must publish a </w:t>
      </w:r>
      <w:r w:rsidR="0072530D">
        <w:t>Development Servicing Plan (DSP)</w:t>
      </w:r>
      <w:r>
        <w:t xml:space="preserve"> that covers the locations and connection types that are eligible for the proposed standard NCC.</w:t>
      </w:r>
    </w:p>
    <w:p w14:paraId="38AB7C5F" w14:textId="0E6CFD31" w:rsidR="00AE31AA" w:rsidRDefault="00B428DA" w:rsidP="00905C41">
      <w:pPr>
        <w:pStyle w:val="Heading2"/>
        <w:ind w:left="851" w:hanging="851"/>
      </w:pPr>
      <w:bookmarkStart w:id="105" w:name="_Toc211246860"/>
      <w:r>
        <w:t>4.2</w:t>
      </w:r>
      <w:r>
        <w:tab/>
      </w:r>
      <w:bookmarkStart w:id="106" w:name="_Toc210127599"/>
      <w:r w:rsidR="00AE31AA">
        <w:t xml:space="preserve">Incremental </w:t>
      </w:r>
      <w:bookmarkEnd w:id="106"/>
      <w:r w:rsidR="00AE31AA">
        <w:t>cost</w:t>
      </w:r>
      <w:r w:rsidR="0072530D">
        <w:t>s</w:t>
      </w:r>
      <w:bookmarkEnd w:id="105"/>
    </w:p>
    <w:p w14:paraId="25CF23ED" w14:textId="096B6923" w:rsidR="00AE31AA" w:rsidRDefault="00AE31AA" w:rsidP="009A705C">
      <w:pPr>
        <w:pStyle w:val="Heading3"/>
      </w:pPr>
      <w:bookmarkStart w:id="107" w:name="_Toc209447307"/>
      <w:bookmarkStart w:id="108" w:name="_Toc209969064"/>
      <w:bookmarkStart w:id="109" w:name="_Toc210028111"/>
      <w:bookmarkStart w:id="110" w:name="_Toc210127600"/>
      <w:bookmarkStart w:id="111" w:name="_Toc210908612"/>
      <w:bookmarkStart w:id="112" w:name="_Toc211246861"/>
      <w:r>
        <w:t xml:space="preserve">What incremental costs may </w:t>
      </w:r>
      <w:bookmarkEnd w:id="107"/>
      <w:r w:rsidR="00C97CD5">
        <w:t>include</w:t>
      </w:r>
      <w:bookmarkEnd w:id="108"/>
      <w:bookmarkEnd w:id="109"/>
      <w:bookmarkEnd w:id="110"/>
      <w:bookmarkEnd w:id="111"/>
      <w:bookmarkEnd w:id="112"/>
    </w:p>
    <w:p w14:paraId="16A205A7" w14:textId="5D59F877" w:rsidR="00AE31AA" w:rsidRDefault="00AE31AA" w:rsidP="00AE31AA">
      <w:r>
        <w:t xml:space="preserve">When charging NCCs, the Water </w:t>
      </w:r>
      <w:r w:rsidR="00D87331">
        <w:t>A</w:t>
      </w:r>
      <w:r>
        <w:t xml:space="preserve">ct provides that a water business may: </w:t>
      </w:r>
    </w:p>
    <w:p w14:paraId="60BFA73D" w14:textId="59BAA167" w:rsidR="00AE31AA" w:rsidRDefault="00AE31AA" w:rsidP="002B6422">
      <w:pPr>
        <w:pStyle w:val="Quote"/>
      </w:pPr>
      <w:r>
        <w:t xml:space="preserve">require the owner of the property to meet or contribute to the present day cost of any works that are used or will be able to be used directly or indirectly for the provision of services that will </w:t>
      </w:r>
      <w:proofErr w:type="gramStart"/>
      <w:r>
        <w:t>benefit</w:t>
      </w:r>
      <w:proofErr w:type="gramEnd"/>
      <w:r>
        <w:t xml:space="preserve"> the property, and any fireplugs attached to those works.</w:t>
      </w:r>
      <w:r w:rsidR="00890B45">
        <w:rPr>
          <w:rStyle w:val="FootnoteReference"/>
        </w:rPr>
        <w:footnoteReference w:id="13"/>
      </w:r>
      <w:r>
        <w:t xml:space="preserve"> </w:t>
      </w:r>
    </w:p>
    <w:p w14:paraId="337FCB9E" w14:textId="322F5C9B" w:rsidR="00AE31AA" w:rsidRDefault="00385062" w:rsidP="00AE31AA">
      <w:r w:rsidRPr="00385062">
        <w:t xml:space="preserve">In practice, this requires water businesses to </w:t>
      </w:r>
      <w:proofErr w:type="gramStart"/>
      <w:r w:rsidRPr="00385062">
        <w:t>identify</w:t>
      </w:r>
      <w:proofErr w:type="gramEnd"/>
      <w:r w:rsidRPr="00385062">
        <w:t xml:space="preserve"> the incremental costs of the work</w:t>
      </w:r>
      <w:r>
        <w:t xml:space="preserve">. </w:t>
      </w:r>
      <w:r w:rsidR="00AE31AA">
        <w:t xml:space="preserve">In this context, incremental costs are costs that a </w:t>
      </w:r>
      <w:r w:rsidR="002D163D">
        <w:t>water</w:t>
      </w:r>
      <w:r w:rsidR="00AE31AA">
        <w:t xml:space="preserve"> business incurs to service one or more </w:t>
      </w:r>
      <w:r w:rsidR="00A81905">
        <w:t>added</w:t>
      </w:r>
      <w:r w:rsidR="00AE31AA">
        <w:t xml:space="preserve"> properties </w:t>
      </w:r>
      <w:r w:rsidR="00016666">
        <w:t>because of</w:t>
      </w:r>
      <w:r w:rsidR="00AE31AA">
        <w:t xml:space="preserve"> growth or expansion</w:t>
      </w:r>
      <w:r w:rsidR="00463378">
        <w:t xml:space="preserve">. </w:t>
      </w:r>
      <w:r w:rsidR="005579D8">
        <w:t>These</w:t>
      </w:r>
      <w:r w:rsidR="00E83C84">
        <w:t xml:space="preserve"> </w:t>
      </w:r>
      <w:r w:rsidR="005579D8">
        <w:t>costs</w:t>
      </w:r>
      <w:r w:rsidR="00AE31AA">
        <w:t xml:space="preserve"> would not have </w:t>
      </w:r>
      <w:r w:rsidR="00CF14E7">
        <w:t>arise</w:t>
      </w:r>
      <w:r w:rsidR="00090FA4">
        <w:t>n</w:t>
      </w:r>
      <w:r w:rsidR="00A63AF8">
        <w:t xml:space="preserve"> </w:t>
      </w:r>
      <w:r w:rsidR="00090FA4">
        <w:t xml:space="preserve">if the water business </w:t>
      </w:r>
      <w:r w:rsidR="00A36F2C">
        <w:t xml:space="preserve">were only </w:t>
      </w:r>
      <w:r w:rsidR="00AE31AA">
        <w:t xml:space="preserve">serving the existing customer base. </w:t>
      </w:r>
    </w:p>
    <w:p w14:paraId="5C1A0EBA" w14:textId="77777777" w:rsidR="00A14531" w:rsidRDefault="0034696C" w:rsidP="00AE31AA">
      <w:r>
        <w:t>Such c</w:t>
      </w:r>
      <w:r w:rsidR="00016666">
        <w:t>osts</w:t>
      </w:r>
      <w:r w:rsidR="00AE31AA">
        <w:t xml:space="preserve"> may include</w:t>
      </w:r>
      <w:r w:rsidR="0072530D">
        <w:t>:</w:t>
      </w:r>
    </w:p>
    <w:p w14:paraId="77A46D25" w14:textId="67CECAE7" w:rsidR="00A14531" w:rsidRDefault="00AE31AA" w:rsidP="00A14531">
      <w:pPr>
        <w:pStyle w:val="ListBullet"/>
      </w:pPr>
      <w:r>
        <w:t>capital expenditure to invest in plant and equipment</w:t>
      </w:r>
    </w:p>
    <w:p w14:paraId="5EC8CF9A" w14:textId="034ADBA2" w:rsidR="00A14531" w:rsidRDefault="00AE31AA" w:rsidP="00A14531">
      <w:pPr>
        <w:pStyle w:val="ListBullet"/>
      </w:pPr>
      <w:r>
        <w:t>operating and maintenance expenditure</w:t>
      </w:r>
    </w:p>
    <w:p w14:paraId="48B33AEC" w14:textId="6074A49A" w:rsidR="00AE31AA" w:rsidRDefault="00AE31AA" w:rsidP="0081026A">
      <w:pPr>
        <w:pStyle w:val="ListBullet"/>
      </w:pPr>
      <w:r>
        <w:t xml:space="preserve">taxation costs and financing costs associated with constructing an asset sooner than planned in a </w:t>
      </w:r>
      <w:r w:rsidR="00A14531">
        <w:t>Development Servicing Plan</w:t>
      </w:r>
      <w:r>
        <w:t>.</w:t>
      </w:r>
    </w:p>
    <w:p w14:paraId="1EE8575D" w14:textId="1DD80FF5" w:rsidR="00AE31AA" w:rsidRDefault="00AE31AA" w:rsidP="00AE31AA">
      <w:r>
        <w:t xml:space="preserve">Incremental costs should be calculated over a period that aligns with the </w:t>
      </w:r>
      <w:r w:rsidR="002D163D">
        <w:t xml:space="preserve">water </w:t>
      </w:r>
      <w:r>
        <w:t>business'</w:t>
      </w:r>
      <w:r w:rsidR="002D163D">
        <w:t>s</w:t>
      </w:r>
      <w:r>
        <w:t xml:space="preserve"> growth planning and asset service life and use horizons. For operating costs, this period should be the same as the revenue assessment period.</w:t>
      </w:r>
    </w:p>
    <w:p w14:paraId="513428C8" w14:textId="76E8D8A6" w:rsidR="00AE31AA" w:rsidRPr="00C34E1B" w:rsidRDefault="00AE31AA" w:rsidP="00FB2ADB">
      <w:r>
        <w:t>At the time of a connection application these incremental costs</w:t>
      </w:r>
      <w:r w:rsidR="00016666">
        <w:t xml:space="preserve"> may</w:t>
      </w:r>
      <w:r w:rsidR="00D5224F">
        <w:t xml:space="preserve"> have been incurred by the water business</w:t>
      </w:r>
      <w:r w:rsidR="00FB2ADB">
        <w:t xml:space="preserve"> </w:t>
      </w:r>
      <w:r w:rsidRPr="00C34E1B">
        <w:t>in prudent anticipation of growth (sunk costs)</w:t>
      </w:r>
      <w:r w:rsidR="00FB2ADB">
        <w:t xml:space="preserve"> or </w:t>
      </w:r>
      <w:r w:rsidR="0007745C" w:rsidRPr="00C34E1B">
        <w:t>t</w:t>
      </w:r>
      <w:r w:rsidRPr="00C34E1B">
        <w:t xml:space="preserve">o service </w:t>
      </w:r>
      <w:proofErr w:type="gramStart"/>
      <w:r w:rsidR="008B2C8F" w:rsidRPr="00C34E1B">
        <w:t>anticipated</w:t>
      </w:r>
      <w:proofErr w:type="gramEnd"/>
      <w:r w:rsidR="008B2C8F" w:rsidRPr="00C34E1B">
        <w:t xml:space="preserve"> </w:t>
      </w:r>
      <w:r w:rsidRPr="00C34E1B">
        <w:t>future</w:t>
      </w:r>
      <w:r w:rsidR="007A3800" w:rsidRPr="00C34E1B">
        <w:t xml:space="preserve"> growth</w:t>
      </w:r>
      <w:r w:rsidRPr="00C34E1B">
        <w:t xml:space="preserve"> (forecast costs).</w:t>
      </w:r>
    </w:p>
    <w:p w14:paraId="590D509B" w14:textId="1E76EFD9" w:rsidR="00AE31AA" w:rsidRDefault="00AE31AA" w:rsidP="00AE31AA">
      <w:r>
        <w:t xml:space="preserve">This means incremental cost can include an allocation </w:t>
      </w:r>
      <w:r w:rsidR="00016666">
        <w:t>for</w:t>
      </w:r>
      <w:r>
        <w:t xml:space="preserve"> costs of assets the </w:t>
      </w:r>
      <w:r w:rsidR="002D163D">
        <w:t xml:space="preserve">water </w:t>
      </w:r>
      <w:r>
        <w:t>business prudently built in expectation of future growth.</w:t>
      </w:r>
    </w:p>
    <w:p w14:paraId="6EDA1CE1" w14:textId="64995EC1" w:rsidR="00AE31AA" w:rsidRDefault="00AE31AA" w:rsidP="00AE31AA">
      <w:r>
        <w:t xml:space="preserve">While there is broad discretion in the costs that may be attributed </w:t>
      </w:r>
      <w:r w:rsidR="00264EAA">
        <w:t xml:space="preserve">to </w:t>
      </w:r>
      <w:r>
        <w:t xml:space="preserve">connection applicants in the calculation of NCCs, the Water Act requires that </w:t>
      </w:r>
      <w:r w:rsidR="002D163D">
        <w:t xml:space="preserve">water </w:t>
      </w:r>
      <w:r>
        <w:t xml:space="preserve">businesses </w:t>
      </w:r>
      <w:proofErr w:type="gramStart"/>
      <w:r>
        <w:t>identify</w:t>
      </w:r>
      <w:proofErr w:type="gramEnd"/>
      <w:r>
        <w:t xml:space="preserve"> these when charging an NCC.</w:t>
      </w:r>
      <w:r w:rsidR="00FC6911">
        <w:rPr>
          <w:rStyle w:val="FootnoteReference"/>
        </w:rPr>
        <w:footnoteReference w:id="14"/>
      </w:r>
      <w:r>
        <w:t xml:space="preserve"> </w:t>
      </w:r>
      <w:r w:rsidR="007B6D33">
        <w:t>C</w:t>
      </w:r>
      <w:r>
        <w:t xml:space="preserve">onnection applicants </w:t>
      </w:r>
      <w:r w:rsidR="00793F98">
        <w:t>should have clear visibility of the</w:t>
      </w:r>
      <w:r>
        <w:t xml:space="preserve"> costs they are contributing to.</w:t>
      </w:r>
    </w:p>
    <w:p w14:paraId="4092C405" w14:textId="2BB1DF12" w:rsidR="00AE31AA" w:rsidRDefault="00AE31AA" w:rsidP="00AE31AA">
      <w:r>
        <w:t xml:space="preserve">We set out a range of methods that water businesses may use when seeking to estimate incremental cost in </w:t>
      </w:r>
      <w:r w:rsidRPr="00F5186D">
        <w:t>section 6.2</w:t>
      </w:r>
      <w:r>
        <w:t xml:space="preserve">. </w:t>
      </w:r>
    </w:p>
    <w:p w14:paraId="5976DD64" w14:textId="77777777" w:rsidR="00AE31AA" w:rsidRDefault="00AE31AA" w:rsidP="001E41AF">
      <w:pPr>
        <w:pStyle w:val="Heading3"/>
      </w:pPr>
      <w:bookmarkStart w:id="113" w:name="_Toc209447308"/>
      <w:bookmarkStart w:id="114" w:name="_Toc209969065"/>
      <w:bookmarkStart w:id="115" w:name="_Toc210028112"/>
      <w:bookmarkStart w:id="116" w:name="_Toc210127601"/>
      <w:bookmarkStart w:id="117" w:name="_Toc210908613"/>
      <w:bookmarkStart w:id="118" w:name="_Toc211246862"/>
      <w:r>
        <w:t>Gifted assets</w:t>
      </w:r>
      <w:bookmarkEnd w:id="113"/>
      <w:bookmarkEnd w:id="114"/>
      <w:bookmarkEnd w:id="115"/>
      <w:bookmarkEnd w:id="116"/>
      <w:bookmarkEnd w:id="117"/>
      <w:bookmarkEnd w:id="118"/>
      <w:r>
        <w:t xml:space="preserve"> </w:t>
      </w:r>
    </w:p>
    <w:p w14:paraId="40181C8C" w14:textId="69E021F9" w:rsidR="00AE31AA" w:rsidRDefault="00AE31AA" w:rsidP="00AE31AA">
      <w:r>
        <w:t xml:space="preserve">For some connections </w:t>
      </w:r>
      <w:r w:rsidR="00556207">
        <w:t>or aug</w:t>
      </w:r>
      <w:r w:rsidR="00D1772C">
        <w:t>mentation</w:t>
      </w:r>
      <w:r w:rsidR="00473947">
        <w:t>s</w:t>
      </w:r>
      <w:r w:rsidR="00985DF9">
        <w:t>,</w:t>
      </w:r>
      <w:r>
        <w:t xml:space="preserve"> the water business may require a </w:t>
      </w:r>
      <w:r w:rsidR="002547B2">
        <w:t>connection</w:t>
      </w:r>
      <w:r w:rsidR="008354D7">
        <w:t xml:space="preserve"> applica</w:t>
      </w:r>
      <w:r w:rsidR="00006E96">
        <w:t>n</w:t>
      </w:r>
      <w:r w:rsidR="008354D7">
        <w:t>t</w:t>
      </w:r>
      <w:r>
        <w:t xml:space="preserve"> to build certain assets and gift those assets to the water business for its ongoing ownership and operation. Water businesses do not incur capital expenditure</w:t>
      </w:r>
      <w:r w:rsidR="005A68B9">
        <w:t xml:space="preserve"> </w:t>
      </w:r>
      <w:r>
        <w:t xml:space="preserve">to </w:t>
      </w:r>
      <w:proofErr w:type="gramStart"/>
      <w:r>
        <w:t>acquire</w:t>
      </w:r>
      <w:proofErr w:type="gramEnd"/>
      <w:r>
        <w:t xml:space="preserve"> these gifted assets.</w:t>
      </w:r>
      <w:r w:rsidR="004F067E">
        <w:rPr>
          <w:rStyle w:val="FootnoteReference"/>
        </w:rPr>
        <w:footnoteReference w:id="15"/>
      </w:r>
      <w:r>
        <w:t xml:space="preserve"> </w:t>
      </w:r>
      <w:r w:rsidR="00465D34">
        <w:t>Therefore, t</w:t>
      </w:r>
      <w:r>
        <w:t>hese assets are not included in the regulated asset base</w:t>
      </w:r>
      <w:r w:rsidR="00103C0F">
        <w:t xml:space="preserve">. </w:t>
      </w:r>
      <w:r>
        <w:t xml:space="preserve"> </w:t>
      </w:r>
    </w:p>
    <w:p w14:paraId="780BEAD1" w14:textId="77777777" w:rsidR="00AE31AA" w:rsidRDefault="00AE31AA" w:rsidP="00AE31AA">
      <w:r>
        <w:t>Where the connection arrangement requires assets to be gifted, the value of those gifted assets is excluded for the purposes of calculating incremental capital costs.</w:t>
      </w:r>
    </w:p>
    <w:p w14:paraId="7C3C4A76" w14:textId="3D23CCA0" w:rsidR="00AE31AA" w:rsidRDefault="00AE31AA" w:rsidP="00AE31AA">
      <w:r>
        <w:t xml:space="preserve">Where a water business </w:t>
      </w:r>
      <w:r w:rsidR="00FF6F71">
        <w:t>must</w:t>
      </w:r>
      <w:r>
        <w:t xml:space="preserve"> recognise gifted assets as assessable income for tax equivalence purposes, it may cause that </w:t>
      </w:r>
      <w:r w:rsidR="002D163D">
        <w:t xml:space="preserve">water </w:t>
      </w:r>
      <w:r>
        <w:t xml:space="preserve">business to have a calculated tax liability. Such tax costs </w:t>
      </w:r>
      <w:r w:rsidR="00C80DFD">
        <w:t>are</w:t>
      </w:r>
      <w:r>
        <w:t xml:space="preserve"> incremental costs for the purpose of</w:t>
      </w:r>
      <w:r w:rsidR="00840213">
        <w:t xml:space="preserve"> calculating</w:t>
      </w:r>
      <w:r>
        <w:t xml:space="preserve"> NCC</w:t>
      </w:r>
      <w:r w:rsidR="00840213">
        <w:t>s</w:t>
      </w:r>
      <w:r>
        <w:t>. The section below clarifies the circumstances where th</w:t>
      </w:r>
      <w:r w:rsidR="00016666">
        <w:t>ese costs</w:t>
      </w:r>
      <w:r>
        <w:t xml:space="preserve"> would be included in an NCC calculation </w:t>
      </w:r>
      <w:r w:rsidR="00E5718E">
        <w:t>and where it would be</w:t>
      </w:r>
      <w:r>
        <w:t xml:space="preserve"> funded through service charges</w:t>
      </w:r>
      <w:r w:rsidR="00053C9D">
        <w:t xml:space="preserve"> rather than </w:t>
      </w:r>
      <w:r w:rsidR="005E6EB0">
        <w:t>NCCs</w:t>
      </w:r>
      <w:r>
        <w:t>.</w:t>
      </w:r>
    </w:p>
    <w:p w14:paraId="3001787F" w14:textId="77777777" w:rsidR="00AE31AA" w:rsidRDefault="00AE31AA" w:rsidP="00FB2FAF">
      <w:pPr>
        <w:pStyle w:val="Heading3"/>
      </w:pPr>
      <w:bookmarkStart w:id="119" w:name="_Toc209447309"/>
      <w:bookmarkStart w:id="120" w:name="_Toc209969066"/>
      <w:bookmarkStart w:id="121" w:name="_Toc210028113"/>
      <w:bookmarkStart w:id="122" w:name="_Toc210127602"/>
      <w:bookmarkStart w:id="123" w:name="_Toc210908614"/>
      <w:bookmarkStart w:id="124" w:name="_Toc211246863"/>
      <w:r>
        <w:t>Treatment of tax costs</w:t>
      </w:r>
      <w:bookmarkEnd w:id="119"/>
      <w:bookmarkEnd w:id="120"/>
      <w:bookmarkEnd w:id="121"/>
      <w:bookmarkEnd w:id="122"/>
      <w:bookmarkEnd w:id="123"/>
      <w:bookmarkEnd w:id="124"/>
    </w:p>
    <w:p w14:paraId="43785BB4" w14:textId="0519C379" w:rsidR="00AE31AA" w:rsidRDefault="00AE31AA" w:rsidP="00AE31AA">
      <w:r>
        <w:t xml:space="preserve">There are two </w:t>
      </w:r>
      <w:r w:rsidR="00016241">
        <w:t>methods for recovering</w:t>
      </w:r>
      <w:r>
        <w:t xml:space="preserve"> the incremental tax costs that water businesses may incur </w:t>
      </w:r>
      <w:r w:rsidR="00C67FD8">
        <w:t>from</w:t>
      </w:r>
      <w:r>
        <w:t xml:space="preserve"> receiving NCC revenues and gifted assets. These </w:t>
      </w:r>
      <w:r w:rsidR="00C67FD8">
        <w:t xml:space="preserve">methods </w:t>
      </w:r>
      <w:r>
        <w:t>must be applied consistent</w:t>
      </w:r>
      <w:r w:rsidR="00C67FD8">
        <w:t>ly</w:t>
      </w:r>
      <w:r>
        <w:t xml:space="preserve"> to </w:t>
      </w:r>
      <w:r w:rsidR="00E66C99">
        <w:t>prevent</w:t>
      </w:r>
      <w:r>
        <w:t xml:space="preserve"> double recovery of tax or inappropriate deduction</w:t>
      </w:r>
      <w:r w:rsidR="00446571">
        <w:t>s</w:t>
      </w:r>
      <w:r>
        <w:t xml:space="preserve"> from a water business’</w:t>
      </w:r>
      <w:r w:rsidR="00C27B03">
        <w:t>s</w:t>
      </w:r>
      <w:r>
        <w:t xml:space="preserve"> regulated asset base.</w:t>
      </w:r>
    </w:p>
    <w:p w14:paraId="7B62F1BD" w14:textId="77777777" w:rsidR="00AE31AA" w:rsidRDefault="00AE31AA" w:rsidP="004A0773">
      <w:pPr>
        <w:pStyle w:val="Heading4"/>
      </w:pPr>
      <w:r>
        <w:t>Our default treatment of forecast tax liabilities</w:t>
      </w:r>
    </w:p>
    <w:p w14:paraId="65327898" w14:textId="2E2CE30A" w:rsidR="00AE31AA" w:rsidRDefault="001B3380" w:rsidP="00304C4A">
      <w:pPr>
        <w:keepNext/>
        <w:keepLines/>
      </w:pPr>
      <w:r w:rsidRPr="001B3380">
        <w:t xml:space="preserve">The commission supports including a tax allowance in the pricing model to </w:t>
      </w:r>
      <w:proofErr w:type="gramStart"/>
      <w:r w:rsidRPr="001B3380">
        <w:t>determine</w:t>
      </w:r>
      <w:proofErr w:type="gramEnd"/>
      <w:r w:rsidRPr="001B3380">
        <w:t xml:space="preserve"> required revenue.</w:t>
      </w:r>
      <w:r>
        <w:t xml:space="preserve"> </w:t>
      </w:r>
      <w:r w:rsidR="00AE31AA">
        <w:t xml:space="preserve">Taxes are calculated on gifted assets and NCC revenues, as these are treated as revenue </w:t>
      </w:r>
      <w:r w:rsidR="00FC0BD3">
        <w:t>within</w:t>
      </w:r>
      <w:r w:rsidR="00AE31AA">
        <w:t xml:space="preserve"> the pricing model. </w:t>
      </w:r>
      <w:r w:rsidR="00FC0BD3">
        <w:t>As a result</w:t>
      </w:r>
      <w:r w:rsidR="00AE31AA">
        <w:t>, taxes on the</w:t>
      </w:r>
      <w:r w:rsidR="002204E4">
        <w:t xml:space="preserve"> gifted assets </w:t>
      </w:r>
      <w:r w:rsidR="00A05767">
        <w:t xml:space="preserve">and NCC revenues </w:t>
      </w:r>
      <w:r w:rsidR="00AE31AA">
        <w:t xml:space="preserve">are reflected in water and sewerage prices and </w:t>
      </w:r>
      <w:r w:rsidR="00FF69DB">
        <w:t>are</w:t>
      </w:r>
      <w:r w:rsidR="006540A1">
        <w:t xml:space="preserve"> ultimately</w:t>
      </w:r>
      <w:r w:rsidR="00FF69DB">
        <w:t xml:space="preserve"> </w:t>
      </w:r>
      <w:r w:rsidR="00AE31AA">
        <w:t>paid for by customers. Where th</w:t>
      </w:r>
      <w:r w:rsidR="008C1610">
        <w:t>ese</w:t>
      </w:r>
      <w:r w:rsidR="00AE31AA">
        <w:t xml:space="preserve"> </w:t>
      </w:r>
      <w:r w:rsidR="008C1610">
        <w:t xml:space="preserve">tax costs </w:t>
      </w:r>
      <w:r w:rsidR="00AE31AA">
        <w:t>ha</w:t>
      </w:r>
      <w:r w:rsidR="008C1610">
        <w:t>ve</w:t>
      </w:r>
      <w:r w:rsidR="00AE31AA">
        <w:t xml:space="preserve"> been forecast, the incremental taxation costs of NCCs and gifted assets should not be included in a water business</w:t>
      </w:r>
      <w:r w:rsidR="00172C59">
        <w:t>’</w:t>
      </w:r>
      <w:r w:rsidR="00AE31AA">
        <w:t>s assessment of incremental cost.</w:t>
      </w:r>
    </w:p>
    <w:p w14:paraId="5C494D23" w14:textId="77777777" w:rsidR="00AE31AA" w:rsidRDefault="00AE31AA" w:rsidP="00E24719">
      <w:pPr>
        <w:pStyle w:val="Heading4"/>
      </w:pPr>
      <w:r>
        <w:t>Alternative treatment of NCC and gifted asset tax liabilities</w:t>
      </w:r>
    </w:p>
    <w:p w14:paraId="03212377" w14:textId="4D76E384" w:rsidR="00AE31AA" w:rsidRDefault="003F6F04" w:rsidP="00AE31AA">
      <w:r>
        <w:t xml:space="preserve">The commission </w:t>
      </w:r>
      <w:r w:rsidR="0072431A">
        <w:t xml:space="preserve">currently allows for </w:t>
      </w:r>
      <w:r w:rsidR="003E7A74">
        <w:t>a</w:t>
      </w:r>
      <w:r w:rsidR="00AE31AA">
        <w:t xml:space="preserve">n alternative approach </w:t>
      </w:r>
      <w:r w:rsidR="00AC1E41">
        <w:t xml:space="preserve">to the </w:t>
      </w:r>
      <w:r w:rsidR="001E05BD">
        <w:t xml:space="preserve">current </w:t>
      </w:r>
      <w:r w:rsidR="00AC1E41">
        <w:t>treatment of NCC and gifted asset tax liability</w:t>
      </w:r>
      <w:r w:rsidR="00AE31AA">
        <w:t xml:space="preserve"> in two circumstances:</w:t>
      </w:r>
    </w:p>
    <w:p w14:paraId="295A475A" w14:textId="7989E39B" w:rsidR="00AE31AA" w:rsidRDefault="00AE31AA" w:rsidP="002B7C2E">
      <w:pPr>
        <w:pStyle w:val="ListBullet"/>
      </w:pPr>
      <w:r w:rsidRPr="00552704">
        <w:rPr>
          <w:b/>
          <w:bCs/>
        </w:rPr>
        <w:t xml:space="preserve">Recovering tax liability </w:t>
      </w:r>
      <w:r w:rsidR="002B2265">
        <w:rPr>
          <w:b/>
          <w:bCs/>
        </w:rPr>
        <w:t>solely</w:t>
      </w:r>
      <w:r w:rsidRPr="00552704">
        <w:rPr>
          <w:b/>
          <w:bCs/>
        </w:rPr>
        <w:t xml:space="preserve"> from connecting or augmenting customers</w:t>
      </w:r>
      <w:r w:rsidR="00C27B03">
        <w:rPr>
          <w:b/>
          <w:bCs/>
        </w:rPr>
        <w:br/>
      </w:r>
      <w:r>
        <w:t xml:space="preserve">A </w:t>
      </w:r>
      <w:r w:rsidR="00E70B24">
        <w:t xml:space="preserve">water </w:t>
      </w:r>
      <w:r>
        <w:t xml:space="preserve">business </w:t>
      </w:r>
      <w:r w:rsidR="0075685D">
        <w:t>that receives consistently</w:t>
      </w:r>
      <w:r>
        <w:t xml:space="preserve"> high NCC revenues </w:t>
      </w:r>
      <w:r w:rsidR="00C84194">
        <w:t xml:space="preserve">and </w:t>
      </w:r>
      <w:r>
        <w:t xml:space="preserve">large amounts of gifted assets may </w:t>
      </w:r>
      <w:r w:rsidR="00636E70">
        <w:t>face</w:t>
      </w:r>
      <w:r>
        <w:t xml:space="preserve"> upward pressure on </w:t>
      </w:r>
      <w:r w:rsidR="00A016E2">
        <w:t xml:space="preserve">its </w:t>
      </w:r>
      <w:r>
        <w:t xml:space="preserve">water and sewerage tariffs. </w:t>
      </w:r>
      <w:r w:rsidR="00DC61EE" w:rsidRPr="00415633">
        <w:t>Where</w:t>
      </w:r>
      <w:r w:rsidR="00870DED" w:rsidRPr="00415633">
        <w:t xml:space="preserve"> supported through its engagement</w:t>
      </w:r>
      <w:r>
        <w:t xml:space="preserve">, </w:t>
      </w:r>
      <w:r w:rsidR="005E271E">
        <w:t>the</w:t>
      </w:r>
      <w:r w:rsidR="000249C4">
        <w:t xml:space="preserve"> business</w:t>
      </w:r>
      <w:r>
        <w:t xml:space="preserve"> may </w:t>
      </w:r>
      <w:r w:rsidR="005E271E">
        <w:t xml:space="preserve">propose </w:t>
      </w:r>
      <w:r>
        <w:t>in its pricing proposal to exclude</w:t>
      </w:r>
      <w:r w:rsidR="009329E1">
        <w:t xml:space="preserve"> these costs</w:t>
      </w:r>
      <w:r>
        <w:t xml:space="preserve"> from the water and sewerage pricing model</w:t>
      </w:r>
      <w:r w:rsidR="00A10F29">
        <w:t>. The water business may instead</w:t>
      </w:r>
      <w:r>
        <w:t xml:space="preserve"> </w:t>
      </w:r>
      <w:r w:rsidR="00903F22">
        <w:t>recover them through</w:t>
      </w:r>
      <w:r>
        <w:t xml:space="preserve"> its calculated NCCs (either standard or negotiated) to </w:t>
      </w:r>
      <w:r w:rsidR="00981D89">
        <w:t>account for the tax liabil</w:t>
      </w:r>
      <w:r w:rsidR="00880844">
        <w:t>ities with</w:t>
      </w:r>
      <w:r>
        <w:t xml:space="preserve"> NCC </w:t>
      </w:r>
      <w:r w:rsidR="00880844">
        <w:t xml:space="preserve">revenues </w:t>
      </w:r>
      <w:r>
        <w:t>and gifted asset</w:t>
      </w:r>
      <w:r w:rsidR="00880844">
        <w:t>s</w:t>
      </w:r>
      <w:r>
        <w:t>.</w:t>
      </w:r>
    </w:p>
    <w:p w14:paraId="0770073E" w14:textId="6E94A233" w:rsidR="00AE31AA" w:rsidRDefault="00AE31AA" w:rsidP="002B7C2E">
      <w:pPr>
        <w:pStyle w:val="ListBullet"/>
      </w:pPr>
      <w:r w:rsidRPr="00B20EE7">
        <w:rPr>
          <w:b/>
          <w:bCs/>
        </w:rPr>
        <w:t>Recovering unforeseen tax costs from connecting or augmenting customers</w:t>
      </w:r>
      <w:r w:rsidR="00C27B03">
        <w:rPr>
          <w:b/>
          <w:bCs/>
        </w:rPr>
        <w:br/>
      </w:r>
      <w:r>
        <w:t xml:space="preserve">A </w:t>
      </w:r>
      <w:r w:rsidR="00E70B24">
        <w:t xml:space="preserve">water </w:t>
      </w:r>
      <w:r>
        <w:t xml:space="preserve">business </w:t>
      </w:r>
      <w:r w:rsidR="005274A5">
        <w:t xml:space="preserve">that </w:t>
      </w:r>
      <w:r w:rsidR="0062517B">
        <w:t>receives</w:t>
      </w:r>
      <w:r>
        <w:t xml:space="preserve"> </w:t>
      </w:r>
      <w:r w:rsidR="00324327" w:rsidRPr="00415633">
        <w:t>material</w:t>
      </w:r>
      <w:r>
        <w:t xml:space="preserve"> NCC</w:t>
      </w:r>
      <w:r w:rsidR="0062517B">
        <w:t xml:space="preserve"> revenues</w:t>
      </w:r>
      <w:r>
        <w:t xml:space="preserve"> and gifted assets</w:t>
      </w:r>
      <w:r w:rsidR="00177BC4">
        <w:t>,</w:t>
      </w:r>
      <w:r>
        <w:t xml:space="preserve"> </w:t>
      </w:r>
      <w:r w:rsidR="00C61315">
        <w:t xml:space="preserve">that were </w:t>
      </w:r>
      <w:r>
        <w:t>not forecast in the water and sewerage pricing model</w:t>
      </w:r>
      <w:r w:rsidR="00177BC4">
        <w:t>,</w:t>
      </w:r>
      <w:r>
        <w:t xml:space="preserve"> may </w:t>
      </w:r>
      <w:r w:rsidR="00F87081">
        <w:t>propose</w:t>
      </w:r>
      <w:r>
        <w:t xml:space="preserve"> to include these </w:t>
      </w:r>
      <w:r w:rsidR="008F6C9E">
        <w:t>unforeseen tax costs in the</w:t>
      </w:r>
      <w:r>
        <w:t xml:space="preserve"> calculat</w:t>
      </w:r>
      <w:r w:rsidR="008F6C9E">
        <w:t>ion of</w:t>
      </w:r>
      <w:r>
        <w:t xml:space="preserve"> negotiated NCCs during the regulatory period.</w:t>
      </w:r>
    </w:p>
    <w:p w14:paraId="6FD27AD6" w14:textId="589C4A57" w:rsidR="00AE31AA" w:rsidRDefault="00254F67" w:rsidP="00AE31AA">
      <w:r>
        <w:t>Any proposed alternative to the current treatment of tax</w:t>
      </w:r>
      <w:r w:rsidR="00E3554E">
        <w:t xml:space="preserve"> in the pricing model</w:t>
      </w:r>
      <w:r>
        <w:t xml:space="preserve"> must be agreed with the commission </w:t>
      </w:r>
      <w:r w:rsidR="00572D1B">
        <w:t>before</w:t>
      </w:r>
      <w:r>
        <w:t xml:space="preserve"> the next pricing proposal.</w:t>
      </w:r>
      <w:r w:rsidRPr="00B151A5">
        <w:t xml:space="preserve"> </w:t>
      </w:r>
      <w:r w:rsidR="00572D1B">
        <w:t>Where an</w:t>
      </w:r>
      <w:r w:rsidR="00AE31AA">
        <w:t xml:space="preserve"> alternative approach is adopted, the </w:t>
      </w:r>
      <w:r w:rsidR="00132FE6">
        <w:t>part</w:t>
      </w:r>
      <w:r w:rsidR="00BB6545">
        <w:t xml:space="preserve"> of </w:t>
      </w:r>
      <w:r w:rsidR="00AE31AA">
        <w:t xml:space="preserve">incremental NCC revenue </w:t>
      </w:r>
      <w:r w:rsidR="00BB6545">
        <w:t>collected</w:t>
      </w:r>
      <w:r w:rsidR="00AE31AA">
        <w:t xml:space="preserve"> to fund tax costs must be separately reported to the commission. That element of NCC revenues </w:t>
      </w:r>
      <w:r w:rsidR="00F81415">
        <w:t>should</w:t>
      </w:r>
      <w:r w:rsidR="00AE31AA">
        <w:t xml:space="preserve"> not be deducted from gross capital expenditure when calculating the water business’</w:t>
      </w:r>
      <w:r w:rsidR="001C5AB3">
        <w:t>s</w:t>
      </w:r>
      <w:r w:rsidR="00AE31AA">
        <w:t xml:space="preserve"> regulated asset base. This </w:t>
      </w:r>
      <w:r w:rsidR="0099649C">
        <w:t>requirement ensures</w:t>
      </w:r>
      <w:r w:rsidR="00B70D53">
        <w:t xml:space="preserve"> that</w:t>
      </w:r>
      <w:r w:rsidR="00AE31AA">
        <w:t xml:space="preserve"> inappropriate</w:t>
      </w:r>
      <w:r w:rsidR="00B70D53">
        <w:t xml:space="preserve"> deductions from the</w:t>
      </w:r>
      <w:r w:rsidR="00AE31AA">
        <w:t xml:space="preserve"> regulated asset base </w:t>
      </w:r>
      <w:r w:rsidR="00B70D53">
        <w:t xml:space="preserve">are avoided. </w:t>
      </w:r>
    </w:p>
    <w:p w14:paraId="5E4AF09D" w14:textId="56E1CC5D" w:rsidR="00AE31AA" w:rsidRPr="00FC4A0F" w:rsidRDefault="00330086" w:rsidP="00AE31AA">
      <w:r w:rsidRPr="00B151A5">
        <w:t xml:space="preserve">We intend </w:t>
      </w:r>
      <w:r w:rsidR="00C27B03">
        <w:t xml:space="preserve">to include these two options </w:t>
      </w:r>
      <w:r w:rsidRPr="00B151A5">
        <w:t xml:space="preserve">in </w:t>
      </w:r>
      <w:r w:rsidR="00E770AF" w:rsidRPr="00B151A5">
        <w:t>o</w:t>
      </w:r>
      <w:r w:rsidR="004B22C3" w:rsidRPr="00B151A5">
        <w:t xml:space="preserve">ur future water price review guidance papers </w:t>
      </w:r>
      <w:r w:rsidR="00C36BDA">
        <w:t xml:space="preserve">and will provide </w:t>
      </w:r>
      <w:r w:rsidR="00F61EA1" w:rsidRPr="00B151A5">
        <w:t xml:space="preserve">financial templates </w:t>
      </w:r>
      <w:r w:rsidR="004B22C3" w:rsidRPr="00B151A5">
        <w:t xml:space="preserve">for </w:t>
      </w:r>
      <w:r w:rsidR="00F15B37" w:rsidRPr="00B151A5">
        <w:t>their application</w:t>
      </w:r>
      <w:r w:rsidR="00A9321E">
        <w:rPr>
          <w:lang w:val="en-GB"/>
        </w:rPr>
        <w:t>.</w:t>
      </w:r>
    </w:p>
    <w:p w14:paraId="7BFD9238" w14:textId="5262652D" w:rsidR="00AE31AA" w:rsidRDefault="00AE31AA" w:rsidP="007F22C2">
      <w:pPr>
        <w:pStyle w:val="Heading3"/>
      </w:pPr>
      <w:bookmarkStart w:id="125" w:name="_Toc209447310"/>
      <w:bookmarkStart w:id="126" w:name="_Toc209969067"/>
      <w:bookmarkStart w:id="127" w:name="_Toc210028114"/>
      <w:bookmarkStart w:id="128" w:name="_Toc210127603"/>
      <w:bookmarkStart w:id="129" w:name="_Toc210908615"/>
      <w:bookmarkStart w:id="130" w:name="_Toc211246864"/>
      <w:r>
        <w:t xml:space="preserve">Calculating incremental financing costs when an asset is </w:t>
      </w:r>
      <w:r w:rsidR="00B55BF5">
        <w:t>needed</w:t>
      </w:r>
      <w:r>
        <w:t xml:space="preserve"> earlier</w:t>
      </w:r>
      <w:bookmarkEnd w:id="125"/>
      <w:bookmarkEnd w:id="126"/>
      <w:bookmarkEnd w:id="127"/>
      <w:bookmarkEnd w:id="128"/>
      <w:bookmarkEnd w:id="129"/>
      <w:bookmarkEnd w:id="130"/>
      <w:r>
        <w:t xml:space="preserve"> </w:t>
      </w:r>
    </w:p>
    <w:p w14:paraId="49DF70B8" w14:textId="02D4A1E0" w:rsidR="00AE31AA" w:rsidRDefault="00AE31AA" w:rsidP="00304C4A">
      <w:pPr>
        <w:keepNext/>
        <w:keepLines/>
      </w:pPr>
      <w:r>
        <w:t xml:space="preserve">In cases where a development requires an asset to be built sooner than planned, the water business can recover any incremental financing costs (IFC) that it incurs using </w:t>
      </w:r>
      <w:r w:rsidR="006026F6">
        <w:t xml:space="preserve">the following </w:t>
      </w:r>
      <w:r>
        <w:t xml:space="preserve">formula: </w:t>
      </w:r>
    </w:p>
    <w:p w14:paraId="1BF41EC9" w14:textId="4706A613" w:rsidR="00AE31AA" w:rsidRDefault="00252608" w:rsidP="00304C4A">
      <w:pPr>
        <w:pStyle w:val="Pull-out"/>
      </w:pPr>
      <m:oMath>
        <m:r>
          <m:rPr>
            <m:sty m:val="p"/>
          </m:rPr>
          <w:rPr>
            <w:rFonts w:ascii="Cambria Math" w:eastAsiaTheme="minorEastAsia" w:hAnsi="Cambria Math"/>
            <w:sz w:val="24"/>
            <w:szCs w:val="24"/>
          </w:rPr>
          <m:t>IFC</m:t>
        </m:r>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1-</m:t>
            </m:r>
            <m:d>
              <m:dPr>
                <m:begChr m:val="["/>
                <m:endChr m:val="]"/>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1</m:t>
                    </m:r>
                  </m:num>
                  <m:den>
                    <m:sSup>
                      <m:sSupPr>
                        <m:ctrlPr>
                          <w:rPr>
                            <w:rFonts w:ascii="Cambria Math" w:hAnsi="Cambria Math" w:cstheme="minorHAnsi"/>
                            <w:i/>
                            <w:sz w:val="24"/>
                            <w:szCs w:val="24"/>
                          </w:rPr>
                        </m:ctrlPr>
                      </m:sSupPr>
                      <m:e>
                        <m:d>
                          <m:dPr>
                            <m:ctrlPr>
                              <w:rPr>
                                <w:rFonts w:ascii="Cambria Math" w:hAnsi="Cambria Math" w:cstheme="minorHAnsi"/>
                                <w:i/>
                                <w:sz w:val="24"/>
                                <w:szCs w:val="24"/>
                              </w:rPr>
                            </m:ctrlPr>
                          </m:dPr>
                          <m:e>
                            <m:r>
                              <w:rPr>
                                <w:rFonts w:ascii="Cambria Math" w:hAnsi="Cambria Math" w:cstheme="minorHAnsi"/>
                                <w:sz w:val="24"/>
                                <w:szCs w:val="24"/>
                              </w:rPr>
                              <m:t>1+r</m:t>
                            </m:r>
                          </m:e>
                        </m:d>
                      </m:e>
                      <m:sup>
                        <m:r>
                          <w:rPr>
                            <w:rFonts w:ascii="Cambria Math" w:hAnsi="Cambria Math" w:cstheme="minorHAnsi"/>
                            <w:sz w:val="24"/>
                            <w:szCs w:val="24"/>
                          </w:rPr>
                          <m:t>n</m:t>
                        </m:r>
                      </m:sup>
                    </m:sSup>
                  </m:den>
                </m:f>
              </m:e>
            </m:d>
          </m:e>
        </m:d>
        <m:r>
          <w:rPr>
            <w:rFonts w:ascii="Cambria Math" w:hAnsi="Cambria Math" w:cstheme="minorHAnsi"/>
            <w:sz w:val="24"/>
            <w:szCs w:val="24"/>
          </w:rPr>
          <m:t xml:space="preserve">× </m:t>
        </m:r>
      </m:oMath>
      <w:r w:rsidR="00AE31AA">
        <w:t>cost of capital expenditure being incurred sooner than planned</w:t>
      </w:r>
    </w:p>
    <w:p w14:paraId="7F4DB39F" w14:textId="77777777" w:rsidR="00AE31AA" w:rsidRDefault="00AE31AA" w:rsidP="00304C4A">
      <w:pPr>
        <w:pStyle w:val="Pull-out"/>
      </w:pPr>
      <w:r>
        <w:t>where:</w:t>
      </w:r>
    </w:p>
    <w:p w14:paraId="62F0DA37" w14:textId="272F6BE6" w:rsidR="00AE31AA" w:rsidRDefault="00AE31AA" w:rsidP="00304C4A">
      <w:pPr>
        <w:pStyle w:val="Pull-out"/>
      </w:pPr>
      <w:r>
        <w:t>r = estimated pre</w:t>
      </w:r>
      <w:r>
        <w:rPr>
          <w:rFonts w:ascii="Cambria Math" w:hAnsi="Cambria Math" w:cs="Cambria Math"/>
        </w:rPr>
        <w:t>‐</w:t>
      </w:r>
      <w:r>
        <w:t>tax</w:t>
      </w:r>
      <w:r w:rsidR="00DA4E93">
        <w:rPr>
          <w:rStyle w:val="FootnoteReference"/>
        </w:rPr>
        <w:footnoteReference w:id="16"/>
      </w:r>
      <w:r>
        <w:t xml:space="preserve"> </w:t>
      </w:r>
      <w:r>
        <w:rPr>
          <w:rFonts w:ascii="Arial" w:hAnsi="Arial" w:cs="Arial"/>
        </w:rPr>
        <w:t>‘</w:t>
      </w:r>
      <w:r>
        <w:t>standard</w:t>
      </w:r>
      <w:r>
        <w:rPr>
          <w:rFonts w:ascii="Arial" w:hAnsi="Arial" w:cs="Arial"/>
        </w:rPr>
        <w:t>’</w:t>
      </w:r>
      <w:r>
        <w:t xml:space="preserve"> regulatory rate of return (i.e. pre-tax </w:t>
      </w:r>
      <w:r w:rsidR="00EC6AC3">
        <w:t>regulatory rate of return</w:t>
      </w:r>
      <w:r>
        <w:t>) from our relevant guidance</w:t>
      </w:r>
    </w:p>
    <w:p w14:paraId="4CF048C5" w14:textId="77777777" w:rsidR="00AE31AA" w:rsidRDefault="00AE31AA" w:rsidP="00304C4A">
      <w:pPr>
        <w:pStyle w:val="Pull-out"/>
      </w:pPr>
      <w:r>
        <w:t xml:space="preserve">n = the number of years the capital expenditure is </w:t>
      </w:r>
      <w:proofErr w:type="gramStart"/>
      <w:r>
        <w:t>required</w:t>
      </w:r>
      <w:proofErr w:type="gramEnd"/>
      <w:r>
        <w:t xml:space="preserve"> sooner than planned.</w:t>
      </w:r>
    </w:p>
    <w:p w14:paraId="57BFDA5F" w14:textId="76ED8DDA" w:rsidR="004A662D" w:rsidRDefault="00653BAA" w:rsidP="00AE31AA">
      <w:r w:rsidRPr="00B151A5">
        <w:t xml:space="preserve">Water businesses can recover incremental financing costs whenever an asset is provided sooner than planned, regardless of whether development is in an area covered by a </w:t>
      </w:r>
      <w:r w:rsidR="00FE4E30" w:rsidRPr="00F05E91">
        <w:t>P</w:t>
      </w:r>
      <w:r w:rsidRPr="00F05E91">
        <w:t xml:space="preserve">recinct </w:t>
      </w:r>
      <w:r w:rsidR="00FE4E30" w:rsidRPr="00F05E91">
        <w:t>S</w:t>
      </w:r>
      <w:r w:rsidRPr="00F05E91">
        <w:t xml:space="preserve">tructure </w:t>
      </w:r>
      <w:r w:rsidR="00FE4E30" w:rsidRPr="00F05E91">
        <w:t>P</w:t>
      </w:r>
      <w:r w:rsidRPr="00F05E91">
        <w:t>lan</w:t>
      </w:r>
      <w:r w:rsidR="009917EA" w:rsidRPr="00F05E91">
        <w:t>.</w:t>
      </w:r>
      <w:r w:rsidR="00582B58" w:rsidRPr="00F05E91">
        <w:rPr>
          <w:rStyle w:val="FootnoteReference"/>
        </w:rPr>
        <w:footnoteReference w:id="17"/>
      </w:r>
      <w:r w:rsidR="009917EA" w:rsidRPr="00F05E91">
        <w:t xml:space="preserve"> </w:t>
      </w:r>
      <w:r w:rsidR="00375772" w:rsidRPr="00F05E91">
        <w:t>Water businesses will need to provide evidence to support the bring-f</w:t>
      </w:r>
      <w:r w:rsidR="00375772" w:rsidRPr="00B151A5">
        <w:t>orward</w:t>
      </w:r>
      <w:r w:rsidR="00995ABF">
        <w:t xml:space="preserve"> costs</w:t>
      </w:r>
      <w:r w:rsidR="00E07704">
        <w:t>.</w:t>
      </w:r>
      <w:r w:rsidR="00375772" w:rsidRPr="00DA0B78">
        <w:t xml:space="preserve"> </w:t>
      </w:r>
      <w:r w:rsidR="009917EA" w:rsidRPr="00B151A5">
        <w:t>This may be in the form of a</w:t>
      </w:r>
      <w:r w:rsidR="002222E4" w:rsidRPr="00B151A5">
        <w:t xml:space="preserve"> </w:t>
      </w:r>
      <w:r w:rsidR="00EC20BC">
        <w:t>D</w:t>
      </w:r>
      <w:r w:rsidR="00EC20BC" w:rsidRPr="00B151A5">
        <w:t xml:space="preserve">evelopment </w:t>
      </w:r>
      <w:r w:rsidR="00EC20BC">
        <w:t>S</w:t>
      </w:r>
      <w:r w:rsidR="00EC20BC" w:rsidRPr="00B151A5">
        <w:t xml:space="preserve">ervicing </w:t>
      </w:r>
      <w:r w:rsidR="00EC20BC">
        <w:t>P</w:t>
      </w:r>
      <w:r w:rsidR="00EC20BC" w:rsidRPr="00B151A5">
        <w:t xml:space="preserve">lan </w:t>
      </w:r>
      <w:r w:rsidR="002222E4" w:rsidRPr="00B151A5">
        <w:t xml:space="preserve">or </w:t>
      </w:r>
      <w:r w:rsidR="00CA1E22">
        <w:t>A</w:t>
      </w:r>
      <w:r w:rsidR="00CA1E22" w:rsidRPr="00B151A5">
        <w:t xml:space="preserve">sset </w:t>
      </w:r>
      <w:r w:rsidR="00CA1E22">
        <w:t>M</w:t>
      </w:r>
      <w:r w:rsidR="00CA1E22" w:rsidRPr="00B151A5">
        <w:t xml:space="preserve">anagement </w:t>
      </w:r>
      <w:r w:rsidR="00CA1E22">
        <w:t>P</w:t>
      </w:r>
      <w:r w:rsidR="00CA1E22" w:rsidRPr="00B151A5">
        <w:t>lan</w:t>
      </w:r>
      <w:r w:rsidR="000B689C" w:rsidRPr="00B151A5">
        <w:t xml:space="preserve">. </w:t>
      </w:r>
    </w:p>
    <w:p w14:paraId="4AD2C249" w14:textId="79DE145B" w:rsidR="00AE31AA" w:rsidRDefault="00AE31AA" w:rsidP="00AE31AA">
      <w:r>
        <w:t>Nevertheless, incremental financing costs should be offset against revenues earned earlier than expected, consistent with our NCC pricing principles.</w:t>
      </w:r>
    </w:p>
    <w:p w14:paraId="127459DE" w14:textId="54F5CFDD" w:rsidR="00AE31AA" w:rsidRDefault="00AE31AA" w:rsidP="00AE31AA">
      <w:r>
        <w:t xml:space="preserve">While our determinations specify a post-tax </w:t>
      </w:r>
      <w:r w:rsidR="00F61599">
        <w:t>regulatory rate of return</w:t>
      </w:r>
      <w:r>
        <w:t xml:space="preserve">, the implied pre-tax </w:t>
      </w:r>
      <w:r w:rsidR="00F61599">
        <w:t>regulatory rate of return</w:t>
      </w:r>
      <w:r>
        <w:t xml:space="preserve"> can be derived using the following general formula:</w:t>
      </w:r>
    </w:p>
    <w:p w14:paraId="14A849FB" w14:textId="0394BEC9" w:rsidR="00AE31AA" w:rsidRDefault="00AE31AA" w:rsidP="00304C4A">
      <w:pPr>
        <w:pStyle w:val="Pull-out"/>
      </w:pPr>
      <w:r>
        <w:t xml:space="preserve">Pre-tax </w:t>
      </w:r>
      <w:r w:rsidR="00874FFB">
        <w:t>regulatory rate of return</w:t>
      </w:r>
      <w:r>
        <w:t xml:space="preserve"> = </w:t>
      </w:r>
      <w:r>
        <w:tab/>
      </w:r>
      <w:r w:rsidR="00874FFB" w:rsidRPr="00A0436D">
        <w:rPr>
          <w:u w:val="single"/>
        </w:rPr>
        <w:t>post-tax</w:t>
      </w:r>
      <w:r w:rsidRPr="00A0436D">
        <w:rPr>
          <w:u w:val="single"/>
        </w:rPr>
        <w:t xml:space="preserve"> </w:t>
      </w:r>
      <w:r w:rsidR="00874FFB">
        <w:rPr>
          <w:u w:val="single"/>
        </w:rPr>
        <w:t>regulatory rate of return</w:t>
      </w:r>
    </w:p>
    <w:p w14:paraId="172ADBBB" w14:textId="3505DAF7" w:rsidR="00AE31AA" w:rsidRDefault="00AE31AA" w:rsidP="00304C4A">
      <w:pPr>
        <w:pStyle w:val="Pull-out"/>
      </w:pPr>
      <w:r>
        <w:t xml:space="preserve">   </w:t>
      </w:r>
      <w:r w:rsidR="00874FFB">
        <w:tab/>
      </w:r>
      <w:r w:rsidR="00874FFB">
        <w:tab/>
      </w:r>
      <w:r w:rsidR="00874FFB">
        <w:tab/>
      </w:r>
      <w:r>
        <w:t xml:space="preserve">1−T(1−γ) </w:t>
      </w:r>
    </w:p>
    <w:p w14:paraId="623C5B97" w14:textId="77777777" w:rsidR="00AE31AA" w:rsidRDefault="00AE31AA" w:rsidP="00304C4A">
      <w:pPr>
        <w:pStyle w:val="Pull-out"/>
      </w:pPr>
      <w:r>
        <w:t>Where:</w:t>
      </w:r>
    </w:p>
    <w:p w14:paraId="409294B6" w14:textId="79430B30" w:rsidR="00AE31AA" w:rsidRDefault="00AE31AA" w:rsidP="00304C4A">
      <w:pPr>
        <w:pStyle w:val="Pull-out"/>
      </w:pPr>
      <w:r>
        <w:t>T = corporate tax rate</w:t>
      </w:r>
    </w:p>
    <w:p w14:paraId="525FD053" w14:textId="77777777" w:rsidR="00AE31AA" w:rsidRDefault="00AE31AA" w:rsidP="00304C4A">
      <w:pPr>
        <w:pStyle w:val="Pull-out"/>
      </w:pPr>
      <w:r>
        <w:t>γ = value of imputation credits.</w:t>
      </w:r>
    </w:p>
    <w:p w14:paraId="40C7E18F" w14:textId="77777777" w:rsidR="00AE31AA" w:rsidRDefault="00AE31AA" w:rsidP="00B551FF">
      <w:pPr>
        <w:pStyle w:val="Heading3"/>
      </w:pPr>
      <w:bookmarkStart w:id="131" w:name="_Toc209447311"/>
      <w:bookmarkStart w:id="132" w:name="_Toc209969068"/>
      <w:bookmarkStart w:id="133" w:name="_Toc210028115"/>
      <w:bookmarkStart w:id="134" w:name="_Toc210127604"/>
      <w:bookmarkStart w:id="135" w:name="_Toc210908616"/>
      <w:bookmarkStart w:id="136" w:name="_Toc211246865"/>
      <w:r>
        <w:t>Present day costs</w:t>
      </w:r>
      <w:bookmarkEnd w:id="131"/>
      <w:bookmarkEnd w:id="132"/>
      <w:bookmarkEnd w:id="133"/>
      <w:bookmarkEnd w:id="134"/>
      <w:bookmarkEnd w:id="135"/>
      <w:bookmarkEnd w:id="136"/>
    </w:p>
    <w:p w14:paraId="4F2509E2" w14:textId="35139B47" w:rsidR="00AE31AA" w:rsidRDefault="00AE31AA" w:rsidP="00AE31AA">
      <w:r>
        <w:t>The incremental costs should be assessed as their net present value using the ‘standard’ regulat</w:t>
      </w:r>
      <w:r w:rsidR="00931FBD">
        <w:t>ory</w:t>
      </w:r>
      <w:r>
        <w:t xml:space="preserve"> rate of return from our applicable guidance paper as the discount rate.</w:t>
      </w:r>
    </w:p>
    <w:p w14:paraId="5AF90242" w14:textId="77777777" w:rsidR="00AE31AA" w:rsidRDefault="00AE31AA" w:rsidP="009B19AC">
      <w:pPr>
        <w:pStyle w:val="Heading3"/>
      </w:pPr>
      <w:bookmarkStart w:id="137" w:name="_Toc209447312"/>
      <w:bookmarkStart w:id="138" w:name="_Toc209969069"/>
      <w:bookmarkStart w:id="139" w:name="_Toc210028116"/>
      <w:bookmarkStart w:id="140" w:name="_Toc210127605"/>
      <w:bookmarkStart w:id="141" w:name="_Toc210908617"/>
      <w:bookmarkStart w:id="142" w:name="_Toc211246866"/>
      <w:r>
        <w:t>Period of incremental cost assessment</w:t>
      </w:r>
      <w:bookmarkEnd w:id="137"/>
      <w:bookmarkEnd w:id="138"/>
      <w:bookmarkEnd w:id="139"/>
      <w:bookmarkEnd w:id="140"/>
      <w:bookmarkEnd w:id="141"/>
      <w:bookmarkEnd w:id="142"/>
    </w:p>
    <w:p w14:paraId="1DD8920B" w14:textId="5F6D7538" w:rsidR="00AE31AA" w:rsidRDefault="00AE31AA" w:rsidP="00AE31AA">
      <w:r>
        <w:t xml:space="preserve">The NCC </w:t>
      </w:r>
      <w:r w:rsidR="008478C2">
        <w:t>Framework</w:t>
      </w:r>
      <w:r>
        <w:t xml:space="preserve"> </w:t>
      </w:r>
      <w:proofErr w:type="gramStart"/>
      <w:r>
        <w:t>requires</w:t>
      </w:r>
      <w:proofErr w:type="gramEnd"/>
      <w:r>
        <w:t xml:space="preserve"> </w:t>
      </w:r>
      <w:r w:rsidR="00755466">
        <w:t>choice</w:t>
      </w:r>
      <w:r>
        <w:t xml:space="preserve"> of a period over which incremental co</w:t>
      </w:r>
      <w:r w:rsidR="00CF654E">
        <w:t>s</w:t>
      </w:r>
      <w:r>
        <w:t>ts will be assessed. This may differ for different connection types.</w:t>
      </w:r>
      <w:r w:rsidR="0075634F">
        <w:rPr>
          <w:rStyle w:val="FootnoteReference"/>
        </w:rPr>
        <w:footnoteReference w:id="18"/>
      </w:r>
      <w:r>
        <w:t xml:space="preserve"> Water businesses can choose and justify these time horizons by considering the:</w:t>
      </w:r>
    </w:p>
    <w:p w14:paraId="18677156" w14:textId="77777777" w:rsidR="00AE31AA" w:rsidRDefault="00AE31AA" w:rsidP="002B7C2E">
      <w:pPr>
        <w:pStyle w:val="ListBullet"/>
      </w:pPr>
      <w:r>
        <w:t>length of development staging strategies</w:t>
      </w:r>
    </w:p>
    <w:p w14:paraId="5373B2B4" w14:textId="1A2D6853" w:rsidR="00AE31AA" w:rsidRDefault="00AE31AA" w:rsidP="002B7C2E">
      <w:pPr>
        <w:pStyle w:val="ListBullet"/>
      </w:pPr>
      <w:r w:rsidRPr="00EB3112">
        <w:t>business’</w:t>
      </w:r>
      <w:r w:rsidR="004972A3" w:rsidRPr="00EB3112">
        <w:t>s</w:t>
      </w:r>
      <w:r>
        <w:t xml:space="preserve"> growth planning horizon and life of assets involved in service provision</w:t>
      </w:r>
    </w:p>
    <w:p w14:paraId="189B81A7" w14:textId="77777777" w:rsidR="00AE31AA" w:rsidRDefault="00AE31AA" w:rsidP="002B7C2E">
      <w:pPr>
        <w:pStyle w:val="ListBullet"/>
      </w:pPr>
      <w:r>
        <w:t>practicality of developing reliable forecasts for longer horizons</w:t>
      </w:r>
    </w:p>
    <w:p w14:paraId="7572E245" w14:textId="1650A2FA" w:rsidR="00A94820" w:rsidRDefault="00AE31AA" w:rsidP="002B7C2E">
      <w:pPr>
        <w:pStyle w:val="ListBullet"/>
      </w:pPr>
      <w:r>
        <w:t>level of demand predictability.</w:t>
      </w:r>
    </w:p>
    <w:p w14:paraId="739DD6BF" w14:textId="0576C2D5" w:rsidR="00AE31AA" w:rsidRDefault="00B428DA" w:rsidP="00905C41">
      <w:pPr>
        <w:pStyle w:val="Heading2"/>
        <w:ind w:left="851" w:hanging="851"/>
      </w:pPr>
      <w:bookmarkStart w:id="143" w:name="_Toc211246867"/>
      <w:r>
        <w:t>4.3</w:t>
      </w:r>
      <w:r>
        <w:tab/>
      </w:r>
      <w:bookmarkStart w:id="144" w:name="_Toc210127606"/>
      <w:r w:rsidR="00AE31AA">
        <w:t>Incremental benefits</w:t>
      </w:r>
      <w:r w:rsidR="005408BF">
        <w:t xml:space="preserve"> </w:t>
      </w:r>
      <w:r w:rsidR="00ED4CC1">
        <w:t xml:space="preserve">and </w:t>
      </w:r>
      <w:r w:rsidR="0056048F">
        <w:t>revenues</w:t>
      </w:r>
      <w:bookmarkEnd w:id="143"/>
      <w:bookmarkEnd w:id="144"/>
    </w:p>
    <w:p w14:paraId="7D03B21C" w14:textId="41A8F6D4" w:rsidR="00B85B96" w:rsidRDefault="00B85B96" w:rsidP="00B85B96">
      <w:bookmarkStart w:id="145" w:name="_Toc209447314"/>
      <w:r w:rsidRPr="00B85B96">
        <w:t>When assessing NCC</w:t>
      </w:r>
      <w:r w:rsidR="004F0745">
        <w:t>s</w:t>
      </w:r>
      <w:r w:rsidRPr="00B85B96">
        <w:t xml:space="preserve">, it is important to consider not only the incremental costs of servicing new connections but also the incremental benefits that may arise. These benefits can take various forms, such as </w:t>
      </w:r>
      <w:r w:rsidR="00475B7D" w:rsidRPr="00B85B96">
        <w:t>more</w:t>
      </w:r>
      <w:r w:rsidRPr="00B85B96">
        <w:t xml:space="preserve"> revenues, avoided costs, or other financial or service-related advantages, and must be appropriately reflected in NCC calculations to ensure charges </w:t>
      </w:r>
      <w:proofErr w:type="gramStart"/>
      <w:r w:rsidRPr="00B85B96">
        <w:t>remain</w:t>
      </w:r>
      <w:proofErr w:type="gramEnd"/>
      <w:r w:rsidRPr="00B85B96">
        <w:t xml:space="preserve"> fair and reasonable </w:t>
      </w:r>
      <w:proofErr w:type="gramStart"/>
      <w:r w:rsidRPr="00B85B96">
        <w:t>in accordance with</w:t>
      </w:r>
      <w:proofErr w:type="gramEnd"/>
      <w:r w:rsidRPr="00B85B96">
        <w:t xml:space="preserve"> the Water Act.</w:t>
      </w:r>
    </w:p>
    <w:p w14:paraId="094441B8" w14:textId="41B06256" w:rsidR="00AE31AA" w:rsidRDefault="00AE31AA" w:rsidP="00FF51AC">
      <w:pPr>
        <w:pStyle w:val="Heading3"/>
      </w:pPr>
      <w:bookmarkStart w:id="146" w:name="_Toc209969071"/>
      <w:bookmarkStart w:id="147" w:name="_Toc210028118"/>
      <w:bookmarkStart w:id="148" w:name="_Toc210127607"/>
      <w:bookmarkStart w:id="149" w:name="_Toc210908619"/>
      <w:bookmarkStart w:id="150" w:name="_Toc211246868"/>
      <w:r>
        <w:t xml:space="preserve">What incremental benefits may </w:t>
      </w:r>
      <w:bookmarkEnd w:id="145"/>
      <w:r w:rsidR="00686FEC">
        <w:t>include</w:t>
      </w:r>
      <w:bookmarkEnd w:id="146"/>
      <w:bookmarkEnd w:id="147"/>
      <w:bookmarkEnd w:id="148"/>
      <w:bookmarkEnd w:id="149"/>
      <w:bookmarkEnd w:id="150"/>
    </w:p>
    <w:p w14:paraId="1A99EBB7" w14:textId="19C18B51" w:rsidR="00AE31AA" w:rsidRDefault="00AE31AA" w:rsidP="00AE31AA">
      <w:r>
        <w:t xml:space="preserve">When charging NCCs, the Water </w:t>
      </w:r>
      <w:r w:rsidR="00543161">
        <w:t>A</w:t>
      </w:r>
      <w:r>
        <w:t xml:space="preserve">ct provides that: </w:t>
      </w:r>
    </w:p>
    <w:p w14:paraId="2416A67C" w14:textId="77777777" w:rsidR="00F34DFB" w:rsidRDefault="00AE31AA" w:rsidP="00F34DFB">
      <w:pPr>
        <w:pStyle w:val="Quote"/>
      </w:pPr>
      <w:r>
        <w:t xml:space="preserve">The amount of payment </w:t>
      </w:r>
      <w:proofErr w:type="gramStart"/>
      <w:r>
        <w:t>required</w:t>
      </w:r>
      <w:proofErr w:type="gramEnd"/>
      <w:r>
        <w:t xml:space="preserve"> from an owner must be assessed by the Authority to be fair and reasonable, </w:t>
      </w:r>
      <w:proofErr w:type="gramStart"/>
      <w:r>
        <w:t>taking into account</w:t>
      </w:r>
      <w:proofErr w:type="gramEnd"/>
      <w:r>
        <w:t xml:space="preserve"> the benefit to that property </w:t>
      </w:r>
      <w:proofErr w:type="gramStart"/>
      <w:r>
        <w:t>relative</w:t>
      </w:r>
      <w:proofErr w:type="gramEnd"/>
      <w:r>
        <w:t xml:space="preserve"> to the benefit to other </w:t>
      </w:r>
      <w:r w:rsidR="00F34DFB">
        <w:t xml:space="preserve">properties.  </w:t>
      </w:r>
    </w:p>
    <w:p w14:paraId="13FDB15A" w14:textId="0AE0D9BD" w:rsidR="00F34DFB" w:rsidRDefault="00F34DFB" w:rsidP="00F34DFB">
      <w:r>
        <w:t xml:space="preserve">Our </w:t>
      </w:r>
      <w:r w:rsidR="00E35B95" w:rsidRPr="00FE7C3D">
        <w:rPr>
          <w:i/>
        </w:rPr>
        <w:t xml:space="preserve">Draft </w:t>
      </w:r>
      <w:r w:rsidR="00E35B95" w:rsidRPr="00DF3619">
        <w:rPr>
          <w:i/>
          <w:iCs/>
        </w:rPr>
        <w:t>New Customer Contributions</w:t>
      </w:r>
      <w:r w:rsidR="00E35B95" w:rsidRPr="00FE7C3D">
        <w:rPr>
          <w:i/>
        </w:rPr>
        <w:t xml:space="preserve"> Framework</w:t>
      </w:r>
      <w:r w:rsidR="00E35B95" w:rsidRPr="00DF3619">
        <w:t xml:space="preserve"> </w:t>
      </w:r>
      <w:r>
        <w:t>recognises two types of incremental benefits that must be reflected in NCC calculations:</w:t>
      </w:r>
    </w:p>
    <w:p w14:paraId="0689760F" w14:textId="7FD88EBF" w:rsidR="00F34DFB" w:rsidRDefault="006166E8" w:rsidP="00405762">
      <w:pPr>
        <w:pStyle w:val="ListBullet"/>
      </w:pPr>
      <w:r w:rsidRPr="00B3014A">
        <w:rPr>
          <w:b/>
        </w:rPr>
        <w:t>i</w:t>
      </w:r>
      <w:r w:rsidR="00F34DFB" w:rsidRPr="00B3014A">
        <w:rPr>
          <w:b/>
        </w:rPr>
        <w:t>ncremental revenue benefits</w:t>
      </w:r>
      <w:r w:rsidR="00D808A9">
        <w:br/>
        <w:t>M</w:t>
      </w:r>
      <w:r w:rsidR="00F34DFB">
        <w:t>ust always be considered</w:t>
      </w:r>
    </w:p>
    <w:p w14:paraId="2EADD579" w14:textId="65992C2C" w:rsidR="00E11447" w:rsidRDefault="006166E8" w:rsidP="00405762">
      <w:pPr>
        <w:pStyle w:val="ListBullet"/>
      </w:pPr>
      <w:r w:rsidRPr="00543FA3">
        <w:rPr>
          <w:b/>
        </w:rPr>
        <w:t>c</w:t>
      </w:r>
      <w:r w:rsidR="00F34DFB" w:rsidRPr="00543FA3">
        <w:rPr>
          <w:b/>
        </w:rPr>
        <w:t>ost-related connection benefits</w:t>
      </w:r>
      <w:r w:rsidR="00D808A9">
        <w:br/>
      </w:r>
      <w:r w:rsidR="0010442A">
        <w:t>M</w:t>
      </w:r>
      <w:r w:rsidR="00F34DFB">
        <w:t>ust be considered when gifted assets are upsized and may also be considered for other benefits, such as avoided bulk water costs from recycled water connections</w:t>
      </w:r>
      <w:r w:rsidR="0010442A">
        <w:t>.</w:t>
      </w:r>
    </w:p>
    <w:p w14:paraId="4763B873" w14:textId="151DAE21" w:rsidR="00B764D5" w:rsidRDefault="00B764D5" w:rsidP="001A4D18">
      <w:pPr>
        <w:pStyle w:val="Heading4"/>
      </w:pPr>
      <w:r>
        <w:t>Other incremental benefits</w:t>
      </w:r>
    </w:p>
    <w:p w14:paraId="57A7E034" w14:textId="053C1DD6" w:rsidR="00B764D5" w:rsidRDefault="00B764D5" w:rsidP="00B764D5">
      <w:r>
        <w:t xml:space="preserve">Other incremental benefits will arise where a water business expects to avoid costs or receive other financial benefit </w:t>
      </w:r>
      <w:r w:rsidR="00292728">
        <w:t>because of</w:t>
      </w:r>
      <w:r>
        <w:t xml:space="preserve"> a connection or augmented connection.</w:t>
      </w:r>
    </w:p>
    <w:p w14:paraId="5E510F38" w14:textId="7B0D8699" w:rsidR="00B764D5" w:rsidRDefault="00B764D5" w:rsidP="00B764D5">
      <w:r>
        <w:t xml:space="preserve">The Water Act and our NCC pricing principles mean such benefits </w:t>
      </w:r>
      <w:r w:rsidR="00EB550A">
        <w:t xml:space="preserve">must be </w:t>
      </w:r>
      <w:r>
        <w:t>accounted for in NCC calculations.</w:t>
      </w:r>
    </w:p>
    <w:p w14:paraId="66C1B97F" w14:textId="771857D5" w:rsidR="00B764D5" w:rsidRDefault="00B764D5" w:rsidP="00B764D5">
      <w:r>
        <w:t xml:space="preserve">Water businesses can </w:t>
      </w:r>
      <w:proofErr w:type="gramStart"/>
      <w:r>
        <w:t>identify</w:t>
      </w:r>
      <w:proofErr w:type="gramEnd"/>
      <w:r>
        <w:t>, estimate and justify th</w:t>
      </w:r>
      <w:r w:rsidR="00D36DF3">
        <w:t>e inclusion of these</w:t>
      </w:r>
      <w:r>
        <w:t xml:space="preserve"> other benefits </w:t>
      </w:r>
      <w:r w:rsidR="00067402">
        <w:t>in the calculation of NCC</w:t>
      </w:r>
      <w:r w:rsidR="00244BF5">
        <w:t xml:space="preserve">s </w:t>
      </w:r>
      <w:r>
        <w:t>by considering factors such as:</w:t>
      </w:r>
    </w:p>
    <w:p w14:paraId="30F63B64" w14:textId="77777777" w:rsidR="00B764D5" w:rsidRDefault="00B764D5" w:rsidP="002B7C2E">
      <w:pPr>
        <w:pStyle w:val="ListBullet"/>
      </w:pPr>
      <w:r>
        <w:t xml:space="preserve">upsizing of gifted assets required to service </w:t>
      </w:r>
      <w:proofErr w:type="gramStart"/>
      <w:r>
        <w:t>subsequent</w:t>
      </w:r>
      <w:proofErr w:type="gramEnd"/>
      <w:r>
        <w:t xml:space="preserve"> customers</w:t>
      </w:r>
    </w:p>
    <w:p w14:paraId="715147A3" w14:textId="77777777" w:rsidR="00B764D5" w:rsidRDefault="00B764D5" w:rsidP="002B7C2E">
      <w:pPr>
        <w:pStyle w:val="ListBullet"/>
      </w:pPr>
      <w:r>
        <w:t>the nature of a large customer’s service usage, for example:</w:t>
      </w:r>
    </w:p>
    <w:p w14:paraId="56363006" w14:textId="77777777" w:rsidR="00B764D5" w:rsidRPr="00E009C7" w:rsidRDefault="00B764D5" w:rsidP="00B764D5">
      <w:pPr>
        <w:pStyle w:val="ListBullet2"/>
      </w:pPr>
      <w:r w:rsidRPr="00E009C7">
        <w:t>the customer’s usage profile and whether this is likely to improve asset utilisation (a benefit) or drive high instantaneous loads (a cost)</w:t>
      </w:r>
    </w:p>
    <w:p w14:paraId="77DD4119" w14:textId="3F06BF51" w:rsidR="00B764D5" w:rsidRPr="00E009C7" w:rsidRDefault="00B764D5" w:rsidP="00B764D5">
      <w:pPr>
        <w:pStyle w:val="ListBullet2"/>
      </w:pPr>
      <w:r w:rsidRPr="00E009C7">
        <w:t xml:space="preserve">the customer’s willingness to accommodate </w:t>
      </w:r>
      <w:proofErr w:type="spellStart"/>
      <w:r w:rsidR="001A4D18" w:rsidRPr="001A4D18">
        <w:t>interruptability</w:t>
      </w:r>
      <w:proofErr w:type="spellEnd"/>
      <w:r w:rsidRPr="00E009C7">
        <w:t xml:space="preserve"> or curtailment where water availability or system incidents would otherwise drive reliability issues for other water users</w:t>
      </w:r>
    </w:p>
    <w:p w14:paraId="7E176400" w14:textId="29C3DC67" w:rsidR="00B764D5" w:rsidRDefault="00B764D5" w:rsidP="002B7C2E">
      <w:pPr>
        <w:pStyle w:val="ListBullet"/>
      </w:pPr>
      <w:r>
        <w:t xml:space="preserve">the avoided costs in provision of that service – </w:t>
      </w:r>
      <w:r w:rsidR="00290C0D">
        <w:t>for example,</w:t>
      </w:r>
      <w:r>
        <w:t xml:space="preserve"> where a business upgrades the </w:t>
      </w:r>
      <w:proofErr w:type="gramStart"/>
      <w:r>
        <w:t>capacity</w:t>
      </w:r>
      <w:proofErr w:type="gramEnd"/>
      <w:r>
        <w:t xml:space="preserve"> of an asset it would have otherwise replaced soon</w:t>
      </w:r>
    </w:p>
    <w:p w14:paraId="2014BF9C" w14:textId="252E174E" w:rsidR="00B764D5" w:rsidRDefault="00B764D5" w:rsidP="002B7C2E">
      <w:pPr>
        <w:pStyle w:val="ListBullet"/>
      </w:pPr>
      <w:r>
        <w:t xml:space="preserve">avoided costs in provision of a different service – </w:t>
      </w:r>
      <w:r w:rsidR="00CC3AF0">
        <w:t>for example,</w:t>
      </w:r>
      <w:r>
        <w:t xml:space="preserve"> having a recycled water connection may avoid bulk water costs or provide other benefits of integrated water management. </w:t>
      </w:r>
    </w:p>
    <w:p w14:paraId="3ABFD2EA" w14:textId="34259012" w:rsidR="00AE31AA" w:rsidRDefault="00AE31AA" w:rsidP="00300A58">
      <w:pPr>
        <w:pStyle w:val="Heading3"/>
      </w:pPr>
      <w:bookmarkStart w:id="151" w:name="_Toc209969072"/>
      <w:bookmarkStart w:id="152" w:name="_Toc210028119"/>
      <w:bookmarkStart w:id="153" w:name="_Toc210127608"/>
      <w:bookmarkStart w:id="154" w:name="_Toc210908620"/>
      <w:bookmarkStart w:id="155" w:name="_Toc211246869"/>
      <w:r>
        <w:t>Incremental revenue</w:t>
      </w:r>
      <w:bookmarkEnd w:id="151"/>
      <w:bookmarkEnd w:id="152"/>
      <w:bookmarkEnd w:id="153"/>
      <w:bookmarkEnd w:id="154"/>
      <w:bookmarkEnd w:id="155"/>
    </w:p>
    <w:p w14:paraId="62A655B1" w14:textId="5B87C5FF" w:rsidR="00730F65" w:rsidRDefault="00AE31AA" w:rsidP="00AE31AA">
      <w:r>
        <w:t>Incremental revenue is the revenue the water business expects to earn through selling prescribed services (</w:t>
      </w:r>
      <w:r w:rsidR="00C90C33">
        <w:t>for example,</w:t>
      </w:r>
      <w:r>
        <w:t xml:space="preserve"> water and sewerage services) to the connecting customer or customers. Our NCC pricing principles mean</w:t>
      </w:r>
      <w:r w:rsidR="00016666">
        <w:t xml:space="preserve"> that </w:t>
      </w:r>
      <w:r w:rsidR="00CB7D14">
        <w:t xml:space="preserve">incremental </w:t>
      </w:r>
      <w:r w:rsidR="00016666">
        <w:t>revenue</w:t>
      </w:r>
      <w:r>
        <w:t xml:space="preserve"> must be accounted for in NCC calculations.</w:t>
      </w:r>
    </w:p>
    <w:p w14:paraId="0C71BBC6" w14:textId="48BE018C" w:rsidR="00E571AA" w:rsidRDefault="00AE31AA" w:rsidP="00AE31AA">
      <w:r>
        <w:t>Estimating incremental revenue for calculating NCCs requires a water business to address the factors in Table 4.1.</w:t>
      </w:r>
    </w:p>
    <w:p w14:paraId="53877D89" w14:textId="71E3C98E" w:rsidR="00E41EB8" w:rsidRDefault="00E41EB8" w:rsidP="006A1530">
      <w:pPr>
        <w:pStyle w:val="Figure-Table-BoxHeading"/>
        <w:keepNext/>
        <w:keepLines/>
        <w:numPr>
          <w:ilvl w:val="0"/>
          <w:numId w:val="0"/>
        </w:numPr>
      </w:pPr>
      <w:r w:rsidRPr="00E41EB8">
        <w:t xml:space="preserve">Table 4.1 </w:t>
      </w:r>
      <w:r>
        <w:tab/>
      </w:r>
      <w:r w:rsidRPr="00E41EB8">
        <w:t>Elements of forecasting incremental revenue</w:t>
      </w:r>
    </w:p>
    <w:tbl>
      <w:tblPr>
        <w:tblStyle w:val="TableGrid"/>
        <w:tblW w:w="9781" w:type="dxa"/>
        <w:tblLayout w:type="fixed"/>
        <w:tblLook w:val="04A0" w:firstRow="1" w:lastRow="0" w:firstColumn="1" w:lastColumn="0" w:noHBand="0" w:noVBand="1"/>
      </w:tblPr>
      <w:tblGrid>
        <w:gridCol w:w="1985"/>
        <w:gridCol w:w="7796"/>
      </w:tblGrid>
      <w:tr w:rsidR="00DA5410" w14:paraId="147087FA" w14:textId="77777777" w:rsidTr="00DA5410">
        <w:trPr>
          <w:cnfStyle w:val="100000000000" w:firstRow="1" w:lastRow="0" w:firstColumn="0" w:lastColumn="0" w:oddVBand="0" w:evenVBand="0" w:oddHBand="0" w:evenHBand="0" w:firstRowFirstColumn="0" w:firstRowLastColumn="0" w:lastRowFirstColumn="0" w:lastRowLastColumn="0"/>
          <w:tblHeader/>
        </w:trPr>
        <w:tc>
          <w:tcPr>
            <w:tcW w:w="1985" w:type="dxa"/>
          </w:tcPr>
          <w:p w14:paraId="42FFAA8C" w14:textId="5767F89E" w:rsidR="00DA5410" w:rsidRDefault="00DA5410" w:rsidP="006A1530">
            <w:pPr>
              <w:pStyle w:val="TableHeading"/>
              <w:keepNext/>
              <w:keepLines/>
            </w:pPr>
            <w:r w:rsidRPr="00451A82">
              <w:t xml:space="preserve">Element </w:t>
            </w:r>
          </w:p>
        </w:tc>
        <w:tc>
          <w:tcPr>
            <w:tcW w:w="7796" w:type="dxa"/>
          </w:tcPr>
          <w:p w14:paraId="653EA649" w14:textId="4AB9B5A4" w:rsidR="00DA5410" w:rsidRDefault="00DA5410" w:rsidP="006A1530">
            <w:pPr>
              <w:pStyle w:val="TableHeading"/>
              <w:keepNext/>
              <w:keepLines/>
            </w:pPr>
            <w:r w:rsidRPr="00451A82">
              <w:t>Consideration</w:t>
            </w:r>
          </w:p>
        </w:tc>
      </w:tr>
      <w:tr w:rsidR="00DA5410" w14:paraId="2BDE8C22" w14:textId="77777777" w:rsidTr="00DA5410">
        <w:trPr>
          <w:cnfStyle w:val="000000100000" w:firstRow="0" w:lastRow="0" w:firstColumn="0" w:lastColumn="0" w:oddVBand="0" w:evenVBand="0" w:oddHBand="1" w:evenHBand="0" w:firstRowFirstColumn="0" w:firstRowLastColumn="0" w:lastRowFirstColumn="0" w:lastRowLastColumn="0"/>
        </w:trPr>
        <w:tc>
          <w:tcPr>
            <w:tcW w:w="1985" w:type="dxa"/>
          </w:tcPr>
          <w:p w14:paraId="3C1D2BB5" w14:textId="53F3FF38" w:rsidR="00DA5410" w:rsidRDefault="00DA5410" w:rsidP="006A1530">
            <w:pPr>
              <w:pStyle w:val="TableBody"/>
              <w:keepNext/>
              <w:keepLines/>
            </w:pPr>
            <w:r w:rsidRPr="00F13EA7">
              <w:t>Price of prescribed services</w:t>
            </w:r>
          </w:p>
        </w:tc>
        <w:tc>
          <w:tcPr>
            <w:tcW w:w="7796" w:type="dxa"/>
          </w:tcPr>
          <w:p w14:paraId="1A1F8EAF" w14:textId="27C063AC" w:rsidR="00DA5410" w:rsidRDefault="00DA5410" w:rsidP="006A1530">
            <w:pPr>
              <w:pStyle w:val="TableBody"/>
              <w:keepNext/>
              <w:keepLines/>
              <w:spacing w:afterLines="60" w:after="144"/>
            </w:pPr>
            <w:r>
              <w:t>Forecasting incremental revenue requires an assumed prescribed service price for the forecasting period, which will be longer than a water business’s price determination period.</w:t>
            </w:r>
          </w:p>
          <w:p w14:paraId="47B17FFA" w14:textId="77777777" w:rsidR="00DA5410" w:rsidRDefault="00DA5410" w:rsidP="006A1530">
            <w:pPr>
              <w:pStyle w:val="TableBody"/>
              <w:keepNext/>
              <w:keepLines/>
              <w:spacing w:afterLines="60" w:after="144"/>
            </w:pPr>
            <w:r w:rsidRPr="141FC085">
              <w:rPr>
                <w:lang w:val="en-AU"/>
              </w:rPr>
              <w:t>Prices used for the projected revenues beyond the current price determination period should use a flat real price path with only inflation escalation.</w:t>
            </w:r>
          </w:p>
          <w:p w14:paraId="462286D6" w14:textId="7CF38319" w:rsidR="00DA5410" w:rsidRDefault="00DA5410" w:rsidP="006A1530">
            <w:pPr>
              <w:pStyle w:val="TableBody"/>
              <w:keepNext/>
              <w:keepLines/>
              <w:spacing w:afterLines="60" w:after="144"/>
            </w:pPr>
            <w:r>
              <w:t xml:space="preserve">If a water business uses </w:t>
            </w:r>
            <w:r w:rsidR="00EA0E6D">
              <w:t xml:space="preserve">a prescribed service price which is </w:t>
            </w:r>
            <w:r>
              <w:t>greater than the inflation escalation, then it must justify this approach in its price submission.</w:t>
            </w:r>
          </w:p>
        </w:tc>
      </w:tr>
      <w:tr w:rsidR="00DA5410" w14:paraId="15F18A7C" w14:textId="77777777" w:rsidTr="00DA5410">
        <w:trPr>
          <w:cnfStyle w:val="000000010000" w:firstRow="0" w:lastRow="0" w:firstColumn="0" w:lastColumn="0" w:oddVBand="0" w:evenVBand="0" w:oddHBand="0" w:evenHBand="1" w:firstRowFirstColumn="0" w:firstRowLastColumn="0" w:lastRowFirstColumn="0" w:lastRowLastColumn="0"/>
        </w:trPr>
        <w:tc>
          <w:tcPr>
            <w:tcW w:w="1985" w:type="dxa"/>
          </w:tcPr>
          <w:p w14:paraId="13B2B684" w14:textId="5292ED2C" w:rsidR="00DA5410" w:rsidRDefault="00DA5410" w:rsidP="00FE7C3D">
            <w:pPr>
              <w:pStyle w:val="TableBody"/>
              <w:keepLines/>
            </w:pPr>
            <w:r w:rsidRPr="00F13EA7">
              <w:t>Forecast customer demand</w:t>
            </w:r>
          </w:p>
        </w:tc>
        <w:tc>
          <w:tcPr>
            <w:tcW w:w="7796" w:type="dxa"/>
          </w:tcPr>
          <w:p w14:paraId="0AD6E9A0" w14:textId="15328905" w:rsidR="00DA5410" w:rsidRDefault="00DA5410" w:rsidP="00FE7C3D">
            <w:pPr>
              <w:pStyle w:val="TableBody"/>
              <w:keepNext/>
              <w:keepLines/>
              <w:spacing w:after="60"/>
            </w:pPr>
            <w:r>
              <w:t>Forecasting incremental revenue requires water businesses to forecast expected customer demand for all NCCs, and customer connection numbers for standard NCCs.</w:t>
            </w:r>
          </w:p>
          <w:p w14:paraId="71CD6747" w14:textId="77777777" w:rsidR="00DA5410" w:rsidRDefault="00DA5410" w:rsidP="00FE7C3D">
            <w:pPr>
              <w:pStyle w:val="TableBody"/>
              <w:keepLines/>
              <w:spacing w:after="60"/>
            </w:pPr>
            <w:r>
              <w:t>Water businesses can forecast and justify their incremental customer demand by considering:</w:t>
            </w:r>
          </w:p>
          <w:p w14:paraId="70000BEC" w14:textId="50BDF820" w:rsidR="00DA5410" w:rsidRDefault="00DA5410" w:rsidP="00F07337">
            <w:pPr>
              <w:pStyle w:val="TableBullet"/>
              <w:keepLines/>
              <w:spacing w:before="120" w:line="264" w:lineRule="auto"/>
            </w:pPr>
            <w:r>
              <w:t>the likely nature of the connecting customers (residential or business, and form of business involved for large users)</w:t>
            </w:r>
          </w:p>
          <w:p w14:paraId="4CD643C3" w14:textId="63AD7EF5" w:rsidR="00DA5410" w:rsidRDefault="00DA5410" w:rsidP="00F07337">
            <w:pPr>
              <w:pStyle w:val="TableBullet"/>
              <w:keepLines/>
              <w:spacing w:before="120" w:line="264" w:lineRule="auto"/>
            </w:pPr>
            <w:r>
              <w:t>trends in service usage</w:t>
            </w:r>
          </w:p>
          <w:p w14:paraId="4A10A857" w14:textId="555AC821" w:rsidR="00DA5410" w:rsidRDefault="00DA5410" w:rsidP="00F07337">
            <w:pPr>
              <w:pStyle w:val="TableBullet"/>
              <w:keepLines/>
              <w:spacing w:before="120" w:line="264" w:lineRule="auto"/>
            </w:pPr>
            <w:r>
              <w:t>locational factors affecting water usage levels (</w:t>
            </w:r>
            <w:r w:rsidR="00EA0E6D">
              <w:t>for example,</w:t>
            </w:r>
            <w:r>
              <w:t xml:space="preserve"> access to recycled water).</w:t>
            </w:r>
          </w:p>
        </w:tc>
      </w:tr>
      <w:tr w:rsidR="00DA5410" w14:paraId="6F688277" w14:textId="77777777" w:rsidTr="00DA5410">
        <w:trPr>
          <w:cnfStyle w:val="000000100000" w:firstRow="0" w:lastRow="0" w:firstColumn="0" w:lastColumn="0" w:oddVBand="0" w:evenVBand="0" w:oddHBand="1" w:evenHBand="0" w:firstRowFirstColumn="0" w:firstRowLastColumn="0" w:lastRowFirstColumn="0" w:lastRowLastColumn="0"/>
        </w:trPr>
        <w:tc>
          <w:tcPr>
            <w:tcW w:w="1985" w:type="dxa"/>
          </w:tcPr>
          <w:p w14:paraId="6E5A8319" w14:textId="69A1850D" w:rsidR="00DA5410" w:rsidRDefault="00DA5410" w:rsidP="00AB02B3">
            <w:pPr>
              <w:pStyle w:val="TableBody"/>
            </w:pPr>
            <w:r w:rsidRPr="00F13EA7">
              <w:t>Forecasting period</w:t>
            </w:r>
          </w:p>
        </w:tc>
        <w:tc>
          <w:tcPr>
            <w:tcW w:w="7796" w:type="dxa"/>
          </w:tcPr>
          <w:p w14:paraId="4AF3B961" w14:textId="695D2725" w:rsidR="00DA5410" w:rsidRDefault="00DA5410" w:rsidP="008D3EA1">
            <w:pPr>
              <w:pStyle w:val="TableBody"/>
              <w:spacing w:afterLines="60" w:after="144"/>
            </w:pPr>
            <w:r w:rsidRPr="141FC085">
              <w:rPr>
                <w:lang w:val="en-AU"/>
              </w:rPr>
              <w:t xml:space="preserve">Incremental revenues should generally be forecast over the same period as is used to assess incremental costs. </w:t>
            </w:r>
            <w:r>
              <w:rPr>
                <w:lang w:val="en-AU"/>
              </w:rPr>
              <w:t>However,</w:t>
            </w:r>
            <w:r w:rsidRPr="141FC085">
              <w:rPr>
                <w:lang w:val="en-AU"/>
              </w:rPr>
              <w:t xml:space="preserve"> some connection circumstances may </w:t>
            </w:r>
            <w:proofErr w:type="gramStart"/>
            <w:r w:rsidRPr="141FC085">
              <w:rPr>
                <w:lang w:val="en-AU"/>
              </w:rPr>
              <w:t>warrant</w:t>
            </w:r>
            <w:proofErr w:type="gramEnd"/>
            <w:r w:rsidRPr="141FC085">
              <w:rPr>
                <w:lang w:val="en-AU"/>
              </w:rPr>
              <w:t xml:space="preserve"> shorter periods.</w:t>
            </w:r>
          </w:p>
          <w:p w14:paraId="031B9948" w14:textId="5CAC97D3" w:rsidR="00DA5410" w:rsidRDefault="00DA5410" w:rsidP="008D3EA1">
            <w:pPr>
              <w:pStyle w:val="TableBody"/>
              <w:spacing w:afterLines="60" w:after="144"/>
            </w:pPr>
            <w:r>
              <w:t xml:space="preserve">Water businesses can choose and justify their time horizons by </w:t>
            </w:r>
            <w:r w:rsidRPr="00620953">
              <w:t>considering</w:t>
            </w:r>
            <w:r>
              <w:t xml:space="preserve"> the:</w:t>
            </w:r>
          </w:p>
          <w:p w14:paraId="54D406DE" w14:textId="5F531AE8" w:rsidR="00DA5410" w:rsidRDefault="00DA5410" w:rsidP="00304C4A">
            <w:pPr>
              <w:pStyle w:val="TableBullet"/>
              <w:keepLines/>
              <w:spacing w:before="120" w:line="264" w:lineRule="auto"/>
            </w:pPr>
            <w:r>
              <w:t>expected tenure of the customer’s connection point</w:t>
            </w:r>
          </w:p>
          <w:p w14:paraId="651856D4" w14:textId="26379BF1" w:rsidR="00DA5410" w:rsidRDefault="00DA5410" w:rsidP="00304C4A">
            <w:pPr>
              <w:pStyle w:val="TableBullet"/>
              <w:keepLines/>
              <w:spacing w:before="120" w:line="264" w:lineRule="auto"/>
            </w:pPr>
            <w:r>
              <w:t>length of development staging strategies</w:t>
            </w:r>
          </w:p>
          <w:p w14:paraId="71C7EE3C" w14:textId="73D56570" w:rsidR="00DA5410" w:rsidRDefault="00DA5410" w:rsidP="00304C4A">
            <w:pPr>
              <w:pStyle w:val="TableBullet"/>
              <w:keepLines/>
              <w:spacing w:before="120" w:line="264" w:lineRule="auto"/>
            </w:pPr>
            <w:r>
              <w:t>life of the plant invested in by large commercial and industrial customers</w:t>
            </w:r>
          </w:p>
          <w:p w14:paraId="1E0B713B" w14:textId="38D3DCC1" w:rsidR="00DA5410" w:rsidRDefault="00DA5410" w:rsidP="00304C4A">
            <w:pPr>
              <w:pStyle w:val="TableBullet"/>
              <w:keepLines/>
              <w:spacing w:before="120" w:line="264" w:lineRule="auto"/>
            </w:pPr>
            <w:r>
              <w:t>practicality of developing reliable forecasts for longer horizons</w:t>
            </w:r>
          </w:p>
          <w:p w14:paraId="21643DEF" w14:textId="548B7B69" w:rsidR="00DA5410" w:rsidRDefault="00DA5410" w:rsidP="00304C4A">
            <w:pPr>
              <w:pStyle w:val="TableBullet"/>
              <w:keepLines/>
              <w:spacing w:before="120" w:line="264" w:lineRule="auto"/>
            </w:pPr>
            <w:r>
              <w:t>level of demand predictability.</w:t>
            </w:r>
          </w:p>
        </w:tc>
      </w:tr>
      <w:tr w:rsidR="00DA5410" w14:paraId="3262C2E1" w14:textId="77777777" w:rsidTr="00DA5410">
        <w:trPr>
          <w:cnfStyle w:val="000000010000" w:firstRow="0" w:lastRow="0" w:firstColumn="0" w:lastColumn="0" w:oddVBand="0" w:evenVBand="0" w:oddHBand="0" w:evenHBand="1" w:firstRowFirstColumn="0" w:firstRowLastColumn="0" w:lastRowFirstColumn="0" w:lastRowLastColumn="0"/>
        </w:trPr>
        <w:tc>
          <w:tcPr>
            <w:tcW w:w="1985" w:type="dxa"/>
          </w:tcPr>
          <w:p w14:paraId="1761F4E9" w14:textId="7D922165" w:rsidR="00DA5410" w:rsidRDefault="00DA5410" w:rsidP="005A1EE3">
            <w:pPr>
              <w:pStyle w:val="TableBody"/>
            </w:pPr>
            <w:r w:rsidRPr="00156A20">
              <w:t>Discount rate</w:t>
            </w:r>
          </w:p>
        </w:tc>
        <w:tc>
          <w:tcPr>
            <w:tcW w:w="7796" w:type="dxa"/>
          </w:tcPr>
          <w:p w14:paraId="23FD54DB" w14:textId="31B3C9CF" w:rsidR="00DA5410" w:rsidRDefault="00DA5410" w:rsidP="005A1EE3">
            <w:pPr>
              <w:pStyle w:val="TableBody"/>
            </w:pPr>
            <w:r w:rsidRPr="00156A20">
              <w:t xml:space="preserve">Incremental revenues should be assessed as their net present value using the ‘standard’ </w:t>
            </w:r>
            <w:r w:rsidRPr="00D12B41">
              <w:t>regulat</w:t>
            </w:r>
            <w:r w:rsidR="00D12B41" w:rsidRPr="00D12B41">
              <w:t>ory</w:t>
            </w:r>
            <w:r w:rsidRPr="00156A20">
              <w:t xml:space="preserve"> rate of return from our applicable guidance paper as the discount rate.</w:t>
            </w:r>
          </w:p>
        </w:tc>
      </w:tr>
    </w:tbl>
    <w:p w14:paraId="21E47F5C" w14:textId="4E5721EB" w:rsidR="002C3006" w:rsidRDefault="00B428DA" w:rsidP="00905C41">
      <w:pPr>
        <w:pStyle w:val="Heading2"/>
        <w:ind w:left="851" w:hanging="851"/>
      </w:pPr>
      <w:bookmarkStart w:id="156" w:name="_Toc211246870"/>
      <w:r>
        <w:t>4.4</w:t>
      </w:r>
      <w:r>
        <w:tab/>
      </w:r>
      <w:bookmarkStart w:id="157" w:name="_Toc210127609"/>
      <w:r w:rsidR="002C3006">
        <w:t>Standalone and avoidable cost</w:t>
      </w:r>
      <w:r w:rsidR="00327C28">
        <w:t>s</w:t>
      </w:r>
      <w:bookmarkEnd w:id="156"/>
      <w:bookmarkEnd w:id="157"/>
    </w:p>
    <w:p w14:paraId="55F6B939" w14:textId="4CC48C9E" w:rsidR="002C3006" w:rsidRDefault="002C3006" w:rsidP="00F07337">
      <w:pPr>
        <w:keepNext/>
        <w:keepLines/>
      </w:pPr>
      <w:r>
        <w:t xml:space="preserve">Our NCC </w:t>
      </w:r>
      <w:r w:rsidR="00EA0E6D">
        <w:t xml:space="preserve">Framework </w:t>
      </w:r>
      <w:r>
        <w:t xml:space="preserve">includes the NCC pricing principle that a </w:t>
      </w:r>
      <w:r w:rsidR="00215319">
        <w:t xml:space="preserve">water </w:t>
      </w:r>
      <w:r>
        <w:t>business calculat</w:t>
      </w:r>
      <w:r w:rsidR="00674BCC">
        <w:t>ing</w:t>
      </w:r>
      <w:r>
        <w:t xml:space="preserve"> an NCC </w:t>
      </w:r>
      <w:r w:rsidR="00FB0916">
        <w:t xml:space="preserve">based on </w:t>
      </w:r>
      <w:r w:rsidR="008E0ED8">
        <w:t>the incremental infrastructure and related costs of a connection</w:t>
      </w:r>
      <w:r w:rsidR="00E90696">
        <w:t xml:space="preserve"> </w:t>
      </w:r>
      <w:r>
        <w:t>must</w:t>
      </w:r>
      <w:r w:rsidR="00E90696">
        <w:t xml:space="preserve"> ensure those costs</w:t>
      </w:r>
      <w:r>
        <w:t xml:space="preserve"> </w:t>
      </w:r>
      <w:r w:rsidR="00036738">
        <w:t>are</w:t>
      </w:r>
      <w:r>
        <w:t xml:space="preserve">: </w:t>
      </w:r>
    </w:p>
    <w:p w14:paraId="752CA083" w14:textId="2B537346" w:rsidR="002C3006" w:rsidRDefault="002C3006" w:rsidP="00F07337">
      <w:pPr>
        <w:pStyle w:val="ListBullet"/>
        <w:keepNext/>
        <w:keepLines/>
      </w:pPr>
      <w:r>
        <w:t>gr</w:t>
      </w:r>
      <w:r w:rsidRPr="00F07337">
        <w:t xml:space="preserve">eater than the avoidable cost of not </w:t>
      </w:r>
      <w:r>
        <w:t xml:space="preserve">servicing the connection </w:t>
      </w:r>
    </w:p>
    <w:p w14:paraId="4C16B581" w14:textId="004E5CE8" w:rsidR="002C3006" w:rsidRDefault="002C3006" w:rsidP="002B7C2E">
      <w:pPr>
        <w:pStyle w:val="ListBullet"/>
      </w:pPr>
      <w:r>
        <w:t xml:space="preserve">less than the standalone cost of servicing that connection. </w:t>
      </w:r>
    </w:p>
    <w:p w14:paraId="1E3DEFB4" w14:textId="77777777" w:rsidR="002C3006" w:rsidRDefault="002C3006" w:rsidP="002C3006">
      <w:r>
        <w:t>These are called the efficient pricing bounds.</w:t>
      </w:r>
    </w:p>
    <w:p w14:paraId="49219E10" w14:textId="31411341" w:rsidR="002C3006" w:rsidRDefault="002C3006" w:rsidP="00076C61">
      <w:pPr>
        <w:pStyle w:val="Heading3"/>
      </w:pPr>
      <w:bookmarkStart w:id="158" w:name="_Toc209447318"/>
      <w:bookmarkStart w:id="159" w:name="_Toc209969074"/>
      <w:bookmarkStart w:id="160" w:name="_Toc210028121"/>
      <w:bookmarkStart w:id="161" w:name="_Toc210127610"/>
      <w:bookmarkStart w:id="162" w:name="_Toc210908622"/>
      <w:bookmarkStart w:id="163" w:name="_Toc211246871"/>
      <w:r>
        <w:t xml:space="preserve">What </w:t>
      </w:r>
      <w:r w:rsidR="007223A4">
        <w:t xml:space="preserve">are </w:t>
      </w:r>
      <w:r w:rsidR="00F10120">
        <w:t>standalone</w:t>
      </w:r>
      <w:r>
        <w:t xml:space="preserve"> and </w:t>
      </w:r>
      <w:r w:rsidR="00F10120">
        <w:t xml:space="preserve">avoidable costs </w:t>
      </w:r>
      <w:r>
        <w:t>and why they apply</w:t>
      </w:r>
      <w:bookmarkEnd w:id="158"/>
      <w:bookmarkEnd w:id="159"/>
      <w:bookmarkEnd w:id="160"/>
      <w:bookmarkEnd w:id="161"/>
      <w:bookmarkEnd w:id="162"/>
      <w:bookmarkEnd w:id="163"/>
    </w:p>
    <w:p w14:paraId="29B9A534" w14:textId="6ED4C7E3" w:rsidR="002C3006" w:rsidRDefault="004016A2" w:rsidP="002C3006">
      <w:r>
        <w:t>W</w:t>
      </w:r>
      <w:r w:rsidR="002C3006">
        <w:t>ater business</w:t>
      </w:r>
      <w:r>
        <w:t>es provide</w:t>
      </w:r>
      <w:r w:rsidR="002C3006">
        <w:t xml:space="preserve"> services </w:t>
      </w:r>
      <w:r w:rsidR="00CC1658">
        <w:t xml:space="preserve">that </w:t>
      </w:r>
      <w:r w:rsidR="002C3006">
        <w:t xml:space="preserve">involve shared use of </w:t>
      </w:r>
      <w:r w:rsidR="005269F8">
        <w:t>large-sca</w:t>
      </w:r>
      <w:r w:rsidR="00B5002E">
        <w:t>le</w:t>
      </w:r>
      <w:r w:rsidR="002C3006">
        <w:t xml:space="preserve"> assets with significant fixed costs, often </w:t>
      </w:r>
      <w:r w:rsidR="00B5002E">
        <w:t>requiring substantial but</w:t>
      </w:r>
      <w:r w:rsidR="002C3006">
        <w:t xml:space="preserve"> infrequent investments in growth and </w:t>
      </w:r>
      <w:proofErr w:type="gramStart"/>
      <w:r w:rsidR="002C3006">
        <w:t>capacity</w:t>
      </w:r>
      <w:proofErr w:type="gramEnd"/>
      <w:r w:rsidR="002C3006">
        <w:t>. In practice</w:t>
      </w:r>
      <w:r w:rsidR="007A7578">
        <w:t>,</w:t>
      </w:r>
      <w:r w:rsidR="002C3006">
        <w:t xml:space="preserve"> this means:</w:t>
      </w:r>
    </w:p>
    <w:p w14:paraId="52038A1D" w14:textId="3C36CC1A" w:rsidR="002C3006" w:rsidRDefault="00BD09AF" w:rsidP="002B7C2E">
      <w:pPr>
        <w:pStyle w:val="ListBullet"/>
      </w:pPr>
      <w:r>
        <w:t>estimating</w:t>
      </w:r>
      <w:r w:rsidR="002C3006">
        <w:t xml:space="preserve"> marginal costs </w:t>
      </w:r>
      <w:r w:rsidR="00415824">
        <w:t xml:space="preserve">for </w:t>
      </w:r>
      <w:r w:rsidR="002C3006">
        <w:t xml:space="preserve">efficient price </w:t>
      </w:r>
      <w:r w:rsidR="003E0C9A">
        <w:t xml:space="preserve">bounds </w:t>
      </w:r>
      <w:r w:rsidR="002C3006">
        <w:t xml:space="preserve">will require </w:t>
      </w:r>
      <w:r w:rsidR="002C3006" w:rsidRPr="00FE7C3D">
        <w:t>judgment</w:t>
      </w:r>
      <w:r w:rsidR="002C3006">
        <w:t xml:space="preserve"> and assumptions</w:t>
      </w:r>
    </w:p>
    <w:p w14:paraId="6CD66CA6" w14:textId="6218CBED" w:rsidR="002C3006" w:rsidRDefault="00512CB1" w:rsidP="002B7C2E">
      <w:pPr>
        <w:pStyle w:val="ListBullet"/>
      </w:pPr>
      <w:r>
        <w:t>recovering</w:t>
      </w:r>
      <w:r w:rsidR="002C3006">
        <w:t xml:space="preserve"> shared and fixed costs </w:t>
      </w:r>
      <w:r>
        <w:t>is necessary</w:t>
      </w:r>
      <w:r w:rsidR="002C3006">
        <w:t xml:space="preserve"> to ensure the </w:t>
      </w:r>
      <w:r w:rsidR="00B57A3B">
        <w:t xml:space="preserve">water </w:t>
      </w:r>
      <w:r w:rsidR="002C3006">
        <w:t xml:space="preserve">business recovers total costs and </w:t>
      </w:r>
      <w:r w:rsidR="00023FA8">
        <w:t>stays</w:t>
      </w:r>
      <w:r w:rsidR="002C3006">
        <w:t xml:space="preserve"> financially </w:t>
      </w:r>
      <w:proofErr w:type="gramStart"/>
      <w:r w:rsidR="002C3006">
        <w:t>viable</w:t>
      </w:r>
      <w:proofErr w:type="gramEnd"/>
      <w:r w:rsidR="002C3006">
        <w:t>.</w:t>
      </w:r>
    </w:p>
    <w:p w14:paraId="79130EA4" w14:textId="3D9D137A" w:rsidR="002C3006" w:rsidRDefault="002C3006" w:rsidP="002C3006">
      <w:r>
        <w:t xml:space="preserve">This means both upfront NCCs and ongoing service prices are </w:t>
      </w:r>
      <w:r w:rsidR="003C28EE">
        <w:t>based on assessments</w:t>
      </w:r>
      <w:r>
        <w:t xml:space="preserve"> </w:t>
      </w:r>
      <w:r w:rsidR="003C28EE">
        <w:t>of</w:t>
      </w:r>
      <w:r>
        <w:t xml:space="preserve"> customers’ (connection applicants</w:t>
      </w:r>
      <w:r w:rsidR="00A92C2E">
        <w:t>’</w:t>
      </w:r>
      <w:r>
        <w:t xml:space="preserve"> and water and sewerage customers</w:t>
      </w:r>
      <w:r w:rsidR="00A92C2E">
        <w:t>’</w:t>
      </w:r>
      <w:r>
        <w:t xml:space="preserve">) share of fixed versus variable costs. </w:t>
      </w:r>
      <w:r w:rsidR="009469AA">
        <w:t>To address this inherent</w:t>
      </w:r>
      <w:r>
        <w:t xml:space="preserve"> </w:t>
      </w:r>
      <w:r w:rsidRPr="00484197">
        <w:t>judgment</w:t>
      </w:r>
      <w:r>
        <w:t xml:space="preserve"> and broad range of possible outcomes, our NCC pricing principle </w:t>
      </w:r>
      <w:r w:rsidR="00130DEC">
        <w:t>sets up</w:t>
      </w:r>
      <w:r>
        <w:t xml:space="preserve"> efficient pric</w:t>
      </w:r>
      <w:r w:rsidR="00DA070D">
        <w:t>ing</w:t>
      </w:r>
      <w:r>
        <w:t xml:space="preserve"> bounds as an </w:t>
      </w:r>
      <w:proofErr w:type="gramStart"/>
      <w:r>
        <w:t>additional</w:t>
      </w:r>
      <w:proofErr w:type="gramEnd"/>
      <w:r>
        <w:t xml:space="preserve"> customer protection to </w:t>
      </w:r>
      <w:r w:rsidR="004E155F">
        <w:t>prevent</w:t>
      </w:r>
      <w:r>
        <w:t xml:space="preserve"> uneconomic levels of cross-subsidy.</w:t>
      </w:r>
    </w:p>
    <w:p w14:paraId="6B25B0F9" w14:textId="704CCEEB" w:rsidR="002C3006" w:rsidRDefault="002C3006" w:rsidP="002C3006">
      <w:r>
        <w:t xml:space="preserve">Pricing within the </w:t>
      </w:r>
      <w:r w:rsidR="00877793">
        <w:t>efficient pricing bounds</w:t>
      </w:r>
      <w:r>
        <w:t xml:space="preserve"> </w:t>
      </w:r>
      <w:r w:rsidR="00D018EF">
        <w:t>avoids</w:t>
      </w:r>
      <w:r>
        <w:t xml:space="preserve"> inefficient economic cross-subsidies for the following reasons: </w:t>
      </w:r>
    </w:p>
    <w:p w14:paraId="200322FD" w14:textId="3AA9B708" w:rsidR="002C3006" w:rsidRDefault="000E7D1A" w:rsidP="002B7C2E">
      <w:pPr>
        <w:pStyle w:val="ListBullet"/>
      </w:pPr>
      <w:r w:rsidRPr="003E0C9A">
        <w:rPr>
          <w:b/>
        </w:rPr>
        <w:t>Above standalone costs</w:t>
      </w:r>
      <w:r w:rsidR="00CA0861">
        <w:br/>
        <w:t>Charging</w:t>
      </w:r>
      <w:r w:rsidR="000770FC">
        <w:t xml:space="preserve"> more than </w:t>
      </w:r>
      <w:r w:rsidR="002C3006">
        <w:t xml:space="preserve">the standalone cost </w:t>
      </w:r>
      <w:r w:rsidR="000770FC">
        <w:t>could incentivise</w:t>
      </w:r>
      <w:r w:rsidR="002C3006">
        <w:t xml:space="preserve"> customers to </w:t>
      </w:r>
      <w:r w:rsidR="00476917">
        <w:t>seek</w:t>
      </w:r>
      <w:r w:rsidR="002C3006">
        <w:t xml:space="preserve"> alternative service solution</w:t>
      </w:r>
      <w:r w:rsidR="00476917">
        <w:t>s, potentially leading to</w:t>
      </w:r>
      <w:r w:rsidR="002C3006">
        <w:t xml:space="preserve"> inefficient bypass of the existing water infrastructure. </w:t>
      </w:r>
    </w:p>
    <w:p w14:paraId="3362185B" w14:textId="6A926E9B" w:rsidR="002C3006" w:rsidRDefault="0088575D" w:rsidP="002B7C2E">
      <w:pPr>
        <w:pStyle w:val="ListBullet"/>
      </w:pPr>
      <w:r w:rsidRPr="003E0C9A">
        <w:rPr>
          <w:b/>
        </w:rPr>
        <w:t>Below avoidable cost</w:t>
      </w:r>
      <w:r w:rsidR="00CA0861">
        <w:br/>
        <w:t>Charging</w:t>
      </w:r>
      <w:r>
        <w:t xml:space="preserve"> less than the</w:t>
      </w:r>
      <w:r w:rsidR="002C3006">
        <w:t xml:space="preserve"> avoidable cost</w:t>
      </w:r>
      <w:r w:rsidR="001E0633">
        <w:t xml:space="preserve"> </w:t>
      </w:r>
      <w:r w:rsidR="002C3006">
        <w:t xml:space="preserve">would </w:t>
      </w:r>
      <w:r w:rsidR="001E0633">
        <w:t>make it</w:t>
      </w:r>
      <w:r w:rsidR="002C3006">
        <w:t xml:space="preserve"> economically beneficial for the </w:t>
      </w:r>
      <w:r w:rsidR="00AE6901">
        <w:t xml:space="preserve">water </w:t>
      </w:r>
      <w:r w:rsidR="002C3006">
        <w:t>business to stop supplying the customers</w:t>
      </w:r>
      <w:r w:rsidR="00007660">
        <w:t>. This is because</w:t>
      </w:r>
      <w:r w:rsidR="002C3006">
        <w:t xml:space="preserve"> the associated costs would exceed the revenue obtained from the customer</w:t>
      </w:r>
      <w:r w:rsidR="00633EEB">
        <w:t>s</w:t>
      </w:r>
      <w:r w:rsidR="002C3006">
        <w:t xml:space="preserve">, </w:t>
      </w:r>
      <w:r w:rsidR="00633EEB">
        <w:t>meaning</w:t>
      </w:r>
      <w:r w:rsidR="002C3006">
        <w:t xml:space="preserve"> other customers</w:t>
      </w:r>
      <w:r w:rsidR="0090421A">
        <w:t xml:space="preserve"> would effectively</w:t>
      </w:r>
      <w:r w:rsidR="002C3006">
        <w:t xml:space="preserve"> be subsidising them at inefficient levels. </w:t>
      </w:r>
    </w:p>
    <w:p w14:paraId="554D29BB" w14:textId="620AC964" w:rsidR="002C3006" w:rsidRDefault="00720203" w:rsidP="008A534A">
      <w:pPr>
        <w:pStyle w:val="Heading3"/>
      </w:pPr>
      <w:bookmarkStart w:id="164" w:name="_Toc209447319"/>
      <w:bookmarkStart w:id="165" w:name="_Toc209969075"/>
      <w:bookmarkStart w:id="166" w:name="_Toc210028122"/>
      <w:bookmarkStart w:id="167" w:name="_Toc210127611"/>
      <w:bookmarkStart w:id="168" w:name="_Toc210908623"/>
      <w:bookmarkStart w:id="169" w:name="_Toc211246872"/>
      <w:r>
        <w:t>S</w:t>
      </w:r>
      <w:r w:rsidR="00F10120">
        <w:t>tandalone and avoidable costs appl</w:t>
      </w:r>
      <w:bookmarkEnd w:id="164"/>
      <w:bookmarkEnd w:id="165"/>
      <w:r>
        <w:t>icable to a connection</w:t>
      </w:r>
      <w:bookmarkEnd w:id="166"/>
      <w:bookmarkEnd w:id="167"/>
      <w:bookmarkEnd w:id="168"/>
      <w:bookmarkEnd w:id="169"/>
    </w:p>
    <w:p w14:paraId="0C46E080" w14:textId="04E5F896" w:rsidR="002C3006" w:rsidRDefault="002C3006" w:rsidP="002C3006">
      <w:r>
        <w:t xml:space="preserve">The efficient pricing bounds NCC pricing principle applies to assessing the adequacy of incremental costs included in an NCC calculation, not the </w:t>
      </w:r>
      <w:r w:rsidR="00F21884">
        <w:t>net incremental cost</w:t>
      </w:r>
      <w:r>
        <w:t xml:space="preserve"> NCC after </w:t>
      </w:r>
      <w:r w:rsidR="00526539">
        <w:t>accounting for</w:t>
      </w:r>
      <w:r>
        <w:t xml:space="preserve"> incremental revenues.</w:t>
      </w:r>
    </w:p>
    <w:p w14:paraId="161F41C1" w14:textId="1BBE2001" w:rsidR="002C3006" w:rsidRDefault="002C3006" w:rsidP="002C3006">
      <w:r>
        <w:t xml:space="preserve">In some cases, </w:t>
      </w:r>
      <w:r w:rsidR="00526539">
        <w:t>including</w:t>
      </w:r>
      <w:r>
        <w:t xml:space="preserve"> incremental revenues and benefits may result in a calculated NCC that is zero or lower than the avoided costs of servicing a connection. This does not </w:t>
      </w:r>
      <w:proofErr w:type="gramStart"/>
      <w:r>
        <w:t>indicate</w:t>
      </w:r>
      <w:proofErr w:type="gramEnd"/>
      <w:r>
        <w:t xml:space="preserve"> inefficient cross-subsidisation, but rather </w:t>
      </w:r>
      <w:r w:rsidR="00B619B8">
        <w:t>it reflects that</w:t>
      </w:r>
      <w:r>
        <w:t xml:space="preserve"> </w:t>
      </w:r>
      <w:r w:rsidR="00110241">
        <w:t>added</w:t>
      </w:r>
      <w:r>
        <w:t xml:space="preserve"> revenue from new customers offset</w:t>
      </w:r>
      <w:r w:rsidR="00385598">
        <w:t>s</w:t>
      </w:r>
      <w:r>
        <w:t xml:space="preserve"> costs</w:t>
      </w:r>
      <w:r w:rsidR="00385598">
        <w:t xml:space="preserve">, </w:t>
      </w:r>
      <w:proofErr w:type="gramStart"/>
      <w:r>
        <w:t>benefit</w:t>
      </w:r>
      <w:r w:rsidR="00E445D1">
        <w:t>ing</w:t>
      </w:r>
      <w:proofErr w:type="gramEnd"/>
      <w:r>
        <w:t xml:space="preserve"> existing customers through lower average service prices.</w:t>
      </w:r>
    </w:p>
    <w:p w14:paraId="482A45E1" w14:textId="40A00D45" w:rsidR="002C3006" w:rsidRDefault="002C3006" w:rsidP="00743E86">
      <w:pPr>
        <w:pStyle w:val="Heading3"/>
      </w:pPr>
      <w:bookmarkStart w:id="170" w:name="_Toc209447320"/>
      <w:bookmarkStart w:id="171" w:name="_Toc209969076"/>
      <w:bookmarkStart w:id="172" w:name="_Toc210028123"/>
      <w:bookmarkStart w:id="173" w:name="_Toc210127612"/>
      <w:bookmarkStart w:id="174" w:name="_Toc210908624"/>
      <w:bookmarkStart w:id="175" w:name="_Toc211246873"/>
      <w:r>
        <w:t xml:space="preserve">What </w:t>
      </w:r>
      <w:r w:rsidR="00E6708F">
        <w:t>i</w:t>
      </w:r>
      <w:r w:rsidR="00061072">
        <w:t>s</w:t>
      </w:r>
      <w:r w:rsidR="00E6708F">
        <w:t xml:space="preserve"> </w:t>
      </w:r>
      <w:r w:rsidR="00CE676C">
        <w:t xml:space="preserve">involved in estimating </w:t>
      </w:r>
      <w:r>
        <w:t>standalone and avoidable cost</w:t>
      </w:r>
      <w:bookmarkEnd w:id="170"/>
      <w:bookmarkEnd w:id="171"/>
      <w:bookmarkEnd w:id="172"/>
      <w:bookmarkEnd w:id="173"/>
      <w:bookmarkEnd w:id="174"/>
      <w:bookmarkEnd w:id="175"/>
    </w:p>
    <w:p w14:paraId="7852ABE9" w14:textId="7DCC3F71" w:rsidR="00CA0861" w:rsidRPr="00CA0861" w:rsidRDefault="00CA0861" w:rsidP="003E0C9A">
      <w:pPr>
        <w:pStyle w:val="Heading4"/>
      </w:pPr>
      <w:r>
        <w:t>Avoidable cost</w:t>
      </w:r>
    </w:p>
    <w:p w14:paraId="18C7AE7E" w14:textId="7DEDFBBA" w:rsidR="002C3006" w:rsidRDefault="008E5C55" w:rsidP="006A1530">
      <w:pPr>
        <w:keepNext/>
        <w:keepLines/>
      </w:pPr>
      <w:r w:rsidRPr="00634E6D">
        <w:t xml:space="preserve">The </w:t>
      </w:r>
      <w:r w:rsidRPr="003E0C9A">
        <w:t>a</w:t>
      </w:r>
      <w:r w:rsidR="002C3006" w:rsidRPr="003E0C9A">
        <w:t>voidable cost</w:t>
      </w:r>
      <w:r w:rsidR="002C3006">
        <w:t xml:space="preserve"> </w:t>
      </w:r>
      <w:r w:rsidR="00061072">
        <w:t>is</w:t>
      </w:r>
      <w:r w:rsidR="002C3006">
        <w:t xml:space="preserve"> the cost that would be avoided if the water business did not provide any service to a new or expanded customer or group of new customers, and it is forward-looking only.</w:t>
      </w:r>
    </w:p>
    <w:p w14:paraId="3F7DE4E0" w14:textId="6FD1591E" w:rsidR="002C3006" w:rsidRDefault="002C3006" w:rsidP="002C3006">
      <w:r>
        <w:t xml:space="preserve">This can be estimated by assessing a </w:t>
      </w:r>
      <w:r w:rsidR="00280177">
        <w:t xml:space="preserve">water </w:t>
      </w:r>
      <w:r>
        <w:t>business’</w:t>
      </w:r>
      <w:r w:rsidR="00280177">
        <w:t>s</w:t>
      </w:r>
      <w:r>
        <w:t xml:space="preserve"> costs with and without the new or expanded customer or group of new customers.</w:t>
      </w:r>
    </w:p>
    <w:p w14:paraId="5BC23BB1" w14:textId="0765AE8E" w:rsidR="002C3006" w:rsidRDefault="002C3006" w:rsidP="002C3006">
      <w:r>
        <w:t xml:space="preserve">Some economic cost estimates such as long run marginal cost or average incremental cost (discussed in </w:t>
      </w:r>
      <w:r w:rsidRPr="0048334F">
        <w:t>section 6.</w:t>
      </w:r>
      <w:r w:rsidR="0048334F" w:rsidRPr="0048334F">
        <w:t>2</w:t>
      </w:r>
      <w:r>
        <w:t xml:space="preserve">) may be used as proxies for avoidable cost for the purpose of </w:t>
      </w:r>
      <w:r w:rsidR="002E31AD">
        <w:t>proving</w:t>
      </w:r>
      <w:r>
        <w:t xml:space="preserve"> compliance with this pricing bound.</w:t>
      </w:r>
    </w:p>
    <w:p w14:paraId="63595326" w14:textId="4D93E45A" w:rsidR="00444DAC" w:rsidRDefault="00444DAC" w:rsidP="003E0C9A">
      <w:pPr>
        <w:pStyle w:val="Heading4"/>
      </w:pPr>
      <w:r>
        <w:t>Standalone cost</w:t>
      </w:r>
    </w:p>
    <w:p w14:paraId="4578D8BB" w14:textId="5EE71D3B" w:rsidR="002C3006" w:rsidRDefault="008E5C55" w:rsidP="002C3006">
      <w:r w:rsidRPr="00634E6D">
        <w:t>The</w:t>
      </w:r>
      <w:r w:rsidRPr="003E0C9A">
        <w:t xml:space="preserve"> s</w:t>
      </w:r>
      <w:r w:rsidR="002C3006" w:rsidRPr="003E0C9A">
        <w:t xml:space="preserve">tandalone cost </w:t>
      </w:r>
      <w:r w:rsidR="002E31AD" w:rsidRPr="002E31AD">
        <w:t>is</w:t>
      </w:r>
      <w:r w:rsidR="002C3006">
        <w:t xml:space="preserve"> the </w:t>
      </w:r>
      <w:r w:rsidR="001D49EB" w:rsidRPr="002E31AD">
        <w:t>cost of</w:t>
      </w:r>
      <w:r w:rsidR="002C3006">
        <w:t xml:space="preserve"> the </w:t>
      </w:r>
      <w:r w:rsidR="001D49EB">
        <w:t>lowest</w:t>
      </w:r>
      <w:r w:rsidR="002C3006">
        <w:t xml:space="preserve"> cost, technically efficient servicing solution (the optimised cost) to service the new or expanded customer or group of new customers. </w:t>
      </w:r>
      <w:r w:rsidR="00545004">
        <w:t xml:space="preserve">A water business can estimate the standalone cost in </w:t>
      </w:r>
      <w:r w:rsidR="00432E4E">
        <w:t>d</w:t>
      </w:r>
      <w:r w:rsidR="002C3006">
        <w:t>ifferent ways</w:t>
      </w:r>
      <w:r w:rsidR="00432E4E">
        <w:t>, including by</w:t>
      </w:r>
      <w:r w:rsidR="002C3006">
        <w:t>:</w:t>
      </w:r>
    </w:p>
    <w:p w14:paraId="481F5932" w14:textId="0A8B1938" w:rsidR="002C3006" w:rsidRDefault="00016666" w:rsidP="002B7C2E">
      <w:pPr>
        <w:pStyle w:val="ListBullet"/>
      </w:pPr>
      <w:proofErr w:type="gramStart"/>
      <w:r>
        <w:t>a</w:t>
      </w:r>
      <w:r w:rsidR="002C3006">
        <w:t>llocat</w:t>
      </w:r>
      <w:r w:rsidR="00432E4E">
        <w:t>ing</w:t>
      </w:r>
      <w:proofErr w:type="gramEnd"/>
      <w:r w:rsidR="002C3006">
        <w:t xml:space="preserve"> </w:t>
      </w:r>
      <w:r>
        <w:t xml:space="preserve">the </w:t>
      </w:r>
      <w:r w:rsidR="002C3006">
        <w:t xml:space="preserve">share </w:t>
      </w:r>
      <w:r>
        <w:t>of</w:t>
      </w:r>
      <w:r w:rsidR="002C3006">
        <w:t xml:space="preserve"> existing assets needed to service just the new or expanded customer or group of new customers and then add</w:t>
      </w:r>
      <w:r w:rsidR="006F478B">
        <w:t>ing</w:t>
      </w:r>
      <w:r w:rsidR="002C3006">
        <w:t xml:space="preserve"> the cost of new assets </w:t>
      </w:r>
      <w:proofErr w:type="gramStart"/>
      <w:r w:rsidR="002C3006">
        <w:t>required</w:t>
      </w:r>
      <w:proofErr w:type="gramEnd"/>
      <w:r w:rsidR="002C3006">
        <w:t xml:space="preserve"> to service just the new or expanded connection(s)</w:t>
      </w:r>
    </w:p>
    <w:p w14:paraId="761AF756" w14:textId="760A4EA2" w:rsidR="000C0EC6" w:rsidRDefault="00622C13" w:rsidP="002B7C2E">
      <w:pPr>
        <w:pStyle w:val="ListBullet"/>
      </w:pPr>
      <w:r>
        <w:t>e</w:t>
      </w:r>
      <w:r w:rsidR="002C3006">
        <w:t>stimat</w:t>
      </w:r>
      <w:r>
        <w:t>ing</w:t>
      </w:r>
      <w:r w:rsidR="002C3006">
        <w:t xml:space="preserve"> an entirely new servicing solution that is independent of the existing network.</w:t>
      </w:r>
    </w:p>
    <w:p w14:paraId="75ADB624" w14:textId="7984C8DE" w:rsidR="002C3006" w:rsidRDefault="007F5C9F" w:rsidP="00A3619B">
      <w:r w:rsidRPr="007F5C9F">
        <w:t>The water business should use whichever of the above methods provides a lesser cost estimate for the connection(s) being assessed.</w:t>
      </w:r>
    </w:p>
    <w:p w14:paraId="5A4132CB" w14:textId="799C899C" w:rsidR="00C820ED" w:rsidRDefault="003E409D" w:rsidP="00905C41">
      <w:pPr>
        <w:pStyle w:val="Heading2"/>
        <w:ind w:left="851" w:hanging="851"/>
      </w:pPr>
      <w:bookmarkStart w:id="176" w:name="_Toc211246874"/>
      <w:r>
        <w:t>4.5</w:t>
      </w:r>
      <w:r>
        <w:tab/>
      </w:r>
      <w:bookmarkStart w:id="177" w:name="_Toc210127613"/>
      <w:r w:rsidR="00C820ED" w:rsidRPr="004F08AD">
        <w:t>Transitioning to cost reflective NCCs</w:t>
      </w:r>
      <w:bookmarkEnd w:id="176"/>
      <w:bookmarkEnd w:id="177"/>
    </w:p>
    <w:p w14:paraId="353B172B" w14:textId="1746DFBB" w:rsidR="00F37DFC" w:rsidRDefault="008D0173" w:rsidP="00C820ED">
      <w:r>
        <w:t xml:space="preserve">In future guidance we may </w:t>
      </w:r>
      <w:r w:rsidR="00437CFA">
        <w:t>specify</w:t>
      </w:r>
      <w:r>
        <w:t xml:space="preserve"> that </w:t>
      </w:r>
      <w:r w:rsidR="00437CFA">
        <w:t>if</w:t>
      </w:r>
      <w:r w:rsidR="00F37DFC">
        <w:t xml:space="preserve"> a water business propose</w:t>
      </w:r>
      <w:r w:rsidR="00604508">
        <w:t>s</w:t>
      </w:r>
      <w:r w:rsidR="00F37DFC">
        <w:t xml:space="preserve"> a glide path transition, our guidance will require business</w:t>
      </w:r>
      <w:r w:rsidR="0043126F">
        <w:t>es to</w:t>
      </w:r>
      <w:r w:rsidR="00F37DFC">
        <w:t>:</w:t>
      </w:r>
    </w:p>
    <w:p w14:paraId="36F4A6E9" w14:textId="4372067E" w:rsidR="00F37DFC" w:rsidRDefault="007732A5" w:rsidP="006444D5">
      <w:pPr>
        <w:pStyle w:val="ListBullet"/>
      </w:pPr>
      <w:r>
        <w:t>t</w:t>
      </w:r>
      <w:r w:rsidR="00F37DFC">
        <w:t xml:space="preserve">ransparently </w:t>
      </w:r>
      <w:r w:rsidR="00FC2AC2">
        <w:t>quantify</w:t>
      </w:r>
      <w:r w:rsidR="00F37DFC">
        <w:t xml:space="preserve"> the customer bill impact of subsidising these developments</w:t>
      </w:r>
    </w:p>
    <w:p w14:paraId="62B40DC3" w14:textId="3AFD018A" w:rsidR="00F37DFC" w:rsidRDefault="00FC2AC2" w:rsidP="006444D5">
      <w:pPr>
        <w:pStyle w:val="ListBullet"/>
      </w:pPr>
      <w:r>
        <w:t>justify</w:t>
      </w:r>
      <w:r w:rsidR="00F37DFC">
        <w:t xml:space="preserve"> the length of the transition period</w:t>
      </w:r>
    </w:p>
    <w:p w14:paraId="3EEA4CD4" w14:textId="01D90C4B" w:rsidR="00F96FB0" w:rsidRDefault="007732A5" w:rsidP="006444D5">
      <w:pPr>
        <w:pStyle w:val="ListBullet"/>
      </w:pPr>
      <w:r>
        <w:t>c</w:t>
      </w:r>
      <w:r w:rsidR="00F37DFC">
        <w:t xml:space="preserve">onsult representatives of both connecting customers and existing customers about the reasonableness of the above points </w:t>
      </w:r>
      <w:r w:rsidR="0080664C">
        <w:t xml:space="preserve">(see </w:t>
      </w:r>
      <w:r w:rsidR="00F37DFC" w:rsidRPr="00EE583D">
        <w:t>section 7.2</w:t>
      </w:r>
      <w:r w:rsidR="0080664C">
        <w:t>)</w:t>
      </w:r>
      <w:r w:rsidR="00F37DFC">
        <w:t>.</w:t>
      </w:r>
    </w:p>
    <w:p w14:paraId="1A389653" w14:textId="740F1229" w:rsidR="002C3006" w:rsidRDefault="003E409D" w:rsidP="00905C41">
      <w:pPr>
        <w:pStyle w:val="Heading2"/>
        <w:ind w:left="851" w:hanging="851"/>
      </w:pPr>
      <w:bookmarkStart w:id="178" w:name="_Toc211246875"/>
      <w:r>
        <w:t>4.6</w:t>
      </w:r>
      <w:r>
        <w:tab/>
      </w:r>
      <w:bookmarkStart w:id="179" w:name="_Toc210127614"/>
      <w:r w:rsidR="001E5ECE">
        <w:t>D</w:t>
      </w:r>
      <w:r w:rsidR="002C3006">
        <w:t>irector attestation</w:t>
      </w:r>
      <w:bookmarkEnd w:id="178"/>
      <w:bookmarkEnd w:id="179"/>
    </w:p>
    <w:p w14:paraId="07EB9D5C" w14:textId="2A889453" w:rsidR="002C3006" w:rsidRDefault="002C3006" w:rsidP="006A1530">
      <w:pPr>
        <w:keepNext/>
        <w:keepLines/>
      </w:pPr>
      <w:r>
        <w:t xml:space="preserve">Our NCC </w:t>
      </w:r>
      <w:r w:rsidR="0080664C">
        <w:t>Framework</w:t>
      </w:r>
      <w:r>
        <w:t xml:space="preserve"> is supported by the director attestation require</w:t>
      </w:r>
      <w:r w:rsidR="008621D8">
        <w:t>d by</w:t>
      </w:r>
      <w:r>
        <w:t xml:space="preserve"> our water price review guidance papers. Our guidance requires the board of a water business to attest to the quality of its price submission and its compliance with our guidance (in all material respects). This promotes board involvement and ownership of </w:t>
      </w:r>
      <w:r w:rsidR="00462EC8">
        <w:t>the</w:t>
      </w:r>
      <w:r>
        <w:t xml:space="preserve"> proposals</w:t>
      </w:r>
      <w:r w:rsidR="00462EC8">
        <w:t xml:space="preserve"> </w:t>
      </w:r>
      <w:r w:rsidR="0096280F">
        <w:t>in the business</w:t>
      </w:r>
      <w:r w:rsidR="00BF23F6">
        <w:t>’s price submission</w:t>
      </w:r>
      <w:r>
        <w:t xml:space="preserve">. This attestation, endorsed by a resolution of the board of directors, must be included in the price submission. </w:t>
      </w:r>
    </w:p>
    <w:p w14:paraId="75009687" w14:textId="77777777" w:rsidR="002C3006" w:rsidRDefault="002C3006" w:rsidP="002C3006">
      <w:r>
        <w:t xml:space="preserve">The form of the required attestation set out in our 2023 guidance was: </w:t>
      </w:r>
    </w:p>
    <w:p w14:paraId="329BBD84" w14:textId="77777777" w:rsidR="002C3006" w:rsidRDefault="002C3006" w:rsidP="001E6E81">
      <w:pPr>
        <w:pStyle w:val="Quote"/>
      </w:pPr>
      <w:r>
        <w:t xml:space="preserve">The directors of [name of water business] having made such reasonable inquiries of management as we considered necessary (or having satisfied ourselves that we have no query), attest that, to the best of our knowledge, for the purpose of proposing prices for the Essential Services Commission’s 2023 water price review: </w:t>
      </w:r>
    </w:p>
    <w:p w14:paraId="1BC25031" w14:textId="77777777" w:rsidR="002C3006" w:rsidRDefault="002C3006" w:rsidP="001E6E81">
      <w:pPr>
        <w:pStyle w:val="Quote"/>
      </w:pPr>
      <w:r>
        <w:t xml:space="preserve">information and documentation provided in the price submission and relied upon to support [name of water business]’s price submission is reasonably based, complete and </w:t>
      </w:r>
      <w:proofErr w:type="gramStart"/>
      <w:r>
        <w:t>accurate</w:t>
      </w:r>
      <w:proofErr w:type="gramEnd"/>
      <w:r>
        <w:t xml:space="preserve"> in all material respects; </w:t>
      </w:r>
    </w:p>
    <w:p w14:paraId="088B161C" w14:textId="77777777" w:rsidR="002C3006" w:rsidRDefault="002C3006" w:rsidP="00C15190">
      <w:pPr>
        <w:pStyle w:val="Quote"/>
      </w:pPr>
      <w:r>
        <w:t xml:space="preserve">financial and demand forecasts are the business’s best estimates, and supporting information is available to justify the assumptions and methodologies used; and  </w:t>
      </w:r>
    </w:p>
    <w:p w14:paraId="5ADBED63" w14:textId="5F4D9793" w:rsidR="002C3006" w:rsidRDefault="002C3006" w:rsidP="00C15190">
      <w:pPr>
        <w:pStyle w:val="Quote"/>
      </w:pPr>
      <w:r>
        <w:t>the price submission satisfies the requirements of the 2023 water price review guidance paper issued by the Essential Services Commission in all material respects.</w:t>
      </w:r>
      <w:r w:rsidR="006046E6">
        <w:rPr>
          <w:rStyle w:val="FootnoteReference"/>
        </w:rPr>
        <w:footnoteReference w:id="19"/>
      </w:r>
      <w:r>
        <w:t xml:space="preserve"> </w:t>
      </w:r>
    </w:p>
    <w:p w14:paraId="422ED82A" w14:textId="77777777" w:rsidR="002C3006" w:rsidRDefault="002C3006" w:rsidP="002C3006">
      <w:r>
        <w:t>Our guidance on NCCs is a material aspect of our guidance that is covered by this required attestation.</w:t>
      </w:r>
    </w:p>
    <w:p w14:paraId="1A279E00" w14:textId="570B7647" w:rsidR="002C3006" w:rsidRDefault="003E409D" w:rsidP="00905C41">
      <w:pPr>
        <w:pStyle w:val="Heading2"/>
        <w:ind w:left="851" w:hanging="851"/>
      </w:pPr>
      <w:bookmarkStart w:id="180" w:name="_Hlk209441065"/>
      <w:bookmarkStart w:id="181" w:name="_Toc211246876"/>
      <w:r>
        <w:rPr>
          <w:lang w:val="en-GB"/>
        </w:rPr>
        <w:t>4.7</w:t>
      </w:r>
      <w:r>
        <w:rPr>
          <w:lang w:val="en-GB"/>
        </w:rPr>
        <w:tab/>
      </w:r>
      <w:bookmarkStart w:id="182" w:name="_Toc210127615"/>
      <w:r w:rsidR="00EC307E" w:rsidRPr="00304C4A">
        <w:t>Access to dispute resolution</w:t>
      </w:r>
      <w:bookmarkEnd w:id="180"/>
      <w:bookmarkEnd w:id="181"/>
      <w:bookmarkEnd w:id="182"/>
    </w:p>
    <w:p w14:paraId="1ADD9799" w14:textId="0DFD0399" w:rsidR="002C3006" w:rsidRDefault="00427C70" w:rsidP="006A1530">
      <w:pPr>
        <w:keepNext/>
        <w:keepLines/>
      </w:pPr>
      <w:r w:rsidRPr="00B56C37">
        <w:t>The</w:t>
      </w:r>
      <w:r>
        <w:t>re are</w:t>
      </w:r>
      <w:r w:rsidR="002C3006">
        <w:t xml:space="preserve"> t</w:t>
      </w:r>
      <w:r w:rsidR="009E341D">
        <w:t xml:space="preserve">hree </w:t>
      </w:r>
      <w:r w:rsidR="002C3006">
        <w:t>sections of the Water Act that are relevant for NCC negotiations.</w:t>
      </w:r>
      <w:r w:rsidR="0036750E">
        <w:rPr>
          <w:rStyle w:val="FootnoteReference"/>
        </w:rPr>
        <w:footnoteReference w:id="20"/>
      </w:r>
      <w:r w:rsidR="00DE44F9">
        <w:t xml:space="preserve"> </w:t>
      </w:r>
      <w:r w:rsidR="002C3006">
        <w:t>The sections ensure both parties negotiate in good faith.</w:t>
      </w:r>
      <w:r w:rsidR="00B72505">
        <w:t xml:space="preserve"> </w:t>
      </w:r>
      <w:r w:rsidR="002C3006">
        <w:t xml:space="preserve">Where negotiations between a water business and developer </w:t>
      </w:r>
      <w:r w:rsidR="00CF3602">
        <w:t>do not</w:t>
      </w:r>
      <w:r w:rsidR="002C3006">
        <w:t xml:space="preserve"> reach agreement, provision should be made for the concerned developer or connection applicant to:</w:t>
      </w:r>
    </w:p>
    <w:p w14:paraId="420D977B" w14:textId="7E020A8A" w:rsidR="002C3006" w:rsidRDefault="002C3006" w:rsidP="006A1530">
      <w:pPr>
        <w:pStyle w:val="ListBullet"/>
        <w:keepNext/>
        <w:keepLines/>
      </w:pPr>
      <w:r>
        <w:t>seek an internal review by the water business</w:t>
      </w:r>
    </w:p>
    <w:p w14:paraId="1E792DCA" w14:textId="5B1AB374" w:rsidR="002C3006" w:rsidRDefault="002C3006" w:rsidP="006A1530">
      <w:pPr>
        <w:pStyle w:val="ListBullet"/>
        <w:keepNext/>
        <w:keepLines/>
      </w:pPr>
      <w:r>
        <w:t>request independent commercial dispute resolution</w:t>
      </w:r>
    </w:p>
    <w:p w14:paraId="29DE6BA3" w14:textId="799C0B90" w:rsidR="002C3006" w:rsidRDefault="002C3006" w:rsidP="002B7C2E">
      <w:pPr>
        <w:pStyle w:val="ListBullet"/>
      </w:pPr>
      <w:r>
        <w:t xml:space="preserve">be informed of their rights to challenge a decision through </w:t>
      </w:r>
      <w:r w:rsidR="003B3258">
        <w:t>the Victorian Civil and Administrative Tribunal (</w:t>
      </w:r>
      <w:r>
        <w:t>VCAT</w:t>
      </w:r>
      <w:r w:rsidR="003B3258">
        <w:t>)</w:t>
      </w:r>
      <w:r>
        <w:t>, including a brief description of the VCAT process and timing.</w:t>
      </w:r>
    </w:p>
    <w:p w14:paraId="54D40A1B" w14:textId="06665309" w:rsidR="002C3006" w:rsidRDefault="002C3006" w:rsidP="002C3006">
      <w:r>
        <w:t>It is the commission’</w:t>
      </w:r>
      <w:r w:rsidR="00F51AFD">
        <w:t>s</w:t>
      </w:r>
      <w:r>
        <w:t xml:space="preserve"> view that offering an internal dispute resolution process reduces costs to both parties and improves timeliness, by minimising the likelihood of disputes going to VCAT. This </w:t>
      </w:r>
      <w:r w:rsidR="00D429A9">
        <w:t>must</w:t>
      </w:r>
      <w:r w:rsidR="00615734">
        <w:t xml:space="preserve"> be included</w:t>
      </w:r>
      <w:r>
        <w:t xml:space="preserve"> in a </w:t>
      </w:r>
      <w:r w:rsidR="004C4939">
        <w:t>water</w:t>
      </w:r>
      <w:r>
        <w:t xml:space="preserve"> business</w:t>
      </w:r>
      <w:r w:rsidR="000A4C30">
        <w:t>’s</w:t>
      </w:r>
      <w:r>
        <w:t xml:space="preserve"> </w:t>
      </w:r>
      <w:r w:rsidR="00F65BA2">
        <w:t>connection policy</w:t>
      </w:r>
      <w:r>
        <w:t xml:space="preserve"> – </w:t>
      </w:r>
      <w:r w:rsidRPr="00F65BA2">
        <w:t>see section 5.1.</w:t>
      </w:r>
    </w:p>
    <w:p w14:paraId="659488FF" w14:textId="0520EB35" w:rsidR="002C3006" w:rsidRDefault="002C3006" w:rsidP="002C3006">
      <w:r>
        <w:t>To aid dispute resolution for NCC</w:t>
      </w:r>
      <w:r w:rsidR="00075A6D">
        <w:t>s</w:t>
      </w:r>
      <w:r>
        <w:t>, a water business must:</w:t>
      </w:r>
    </w:p>
    <w:p w14:paraId="0E587AA7" w14:textId="447677F6" w:rsidR="002C3006" w:rsidRDefault="00EE7B8A" w:rsidP="002B7C2E">
      <w:pPr>
        <w:pStyle w:val="ListBullet"/>
      </w:pPr>
      <w:r>
        <w:t>Provide</w:t>
      </w:r>
      <w:r w:rsidR="002C3006">
        <w:t xml:space="preserve"> an internal review process as part of its negotiating framework, which will be subject to commission review and approval</w:t>
      </w:r>
      <w:r>
        <w:t>.</w:t>
      </w:r>
    </w:p>
    <w:p w14:paraId="73660E3D" w14:textId="502FC473" w:rsidR="002C3006" w:rsidRDefault="00EE7B8A" w:rsidP="002B7C2E">
      <w:pPr>
        <w:pStyle w:val="ListBullet"/>
      </w:pPr>
      <w:r>
        <w:t>Inform</w:t>
      </w:r>
      <w:r w:rsidR="002C3006">
        <w:t xml:space="preserve"> the commission of any disputed cases escalated for internal review before they go to VCAT</w:t>
      </w:r>
      <w:r w:rsidR="00AB4739">
        <w:t>.</w:t>
      </w:r>
    </w:p>
    <w:p w14:paraId="2D3D357E" w14:textId="121CAE03" w:rsidR="002C3006" w:rsidRDefault="00264FCC" w:rsidP="002B7C2E">
      <w:pPr>
        <w:pStyle w:val="ListBullet"/>
      </w:pPr>
      <w:r>
        <w:t>Specify</w:t>
      </w:r>
      <w:r w:rsidR="002C3006">
        <w:t xml:space="preserve"> the information required of the water business and of connection applicants in its negotiating framework to enable connection applicants to assess grounds for appeal</w:t>
      </w:r>
      <w:r>
        <w:t>.</w:t>
      </w:r>
      <w:r w:rsidR="002C3006">
        <w:t xml:space="preserve"> </w:t>
      </w:r>
    </w:p>
    <w:p w14:paraId="2039FC04" w14:textId="1A73ADBF" w:rsidR="002C3006" w:rsidRDefault="00264FCC" w:rsidP="002B7C2E">
      <w:pPr>
        <w:pStyle w:val="ListBullet"/>
      </w:pPr>
      <w:r>
        <w:t>Ensure</w:t>
      </w:r>
      <w:r w:rsidR="002C3006">
        <w:t xml:space="preserve"> that the information required to be compiled and shared during negotiations </w:t>
      </w:r>
      <w:proofErr w:type="gramStart"/>
      <w:r w:rsidR="002C3006">
        <w:t>pursuant to</w:t>
      </w:r>
      <w:proofErr w:type="gramEnd"/>
      <w:r w:rsidR="002C3006">
        <w:t xml:space="preserve"> an approved negotiating framework will align with categories or grounds for appeal to VCAT</w:t>
      </w:r>
      <w:r>
        <w:t>.</w:t>
      </w:r>
    </w:p>
    <w:p w14:paraId="6B85E5BD" w14:textId="5AF1030F" w:rsidR="002C3006" w:rsidRDefault="00264FCC" w:rsidP="002B7C2E">
      <w:pPr>
        <w:pStyle w:val="ListBullet"/>
      </w:pPr>
      <w:r>
        <w:t>Provide</w:t>
      </w:r>
      <w:r w:rsidR="002C3006">
        <w:t xml:space="preserve"> calculations </w:t>
      </w:r>
      <w:r w:rsidR="00F51AFD">
        <w:t>to</w:t>
      </w:r>
      <w:r w:rsidR="002C3006">
        <w:t xml:space="preserve"> help inform the decisions of a dispute resolution body or VCAT, if needed. </w:t>
      </w:r>
    </w:p>
    <w:p w14:paraId="0ACB7E06" w14:textId="76E65FC2" w:rsidR="002C3006" w:rsidRDefault="002C3006" w:rsidP="006C09F3">
      <w:pPr>
        <w:pStyle w:val="Heading3"/>
      </w:pPr>
      <w:bookmarkStart w:id="183" w:name="_Toc209447323"/>
      <w:bookmarkStart w:id="184" w:name="_Toc210028127"/>
      <w:bookmarkStart w:id="185" w:name="_Toc210127616"/>
      <w:bookmarkStart w:id="186" w:name="_Toc210908628"/>
      <w:bookmarkStart w:id="187" w:name="_Toc211246877"/>
      <w:r>
        <w:t>Process of appeal</w:t>
      </w:r>
      <w:bookmarkEnd w:id="183"/>
      <w:bookmarkEnd w:id="184"/>
      <w:bookmarkEnd w:id="185"/>
      <w:bookmarkEnd w:id="186"/>
      <w:bookmarkEnd w:id="187"/>
    </w:p>
    <w:p w14:paraId="3BAE511F" w14:textId="4C672F0B" w:rsidR="002C3006" w:rsidRDefault="002C3006" w:rsidP="006A1530">
      <w:pPr>
        <w:keepNext/>
        <w:keepLines/>
      </w:pPr>
      <w:r>
        <w:t xml:space="preserve">The process for appealing against </w:t>
      </w:r>
      <w:r w:rsidR="00543629">
        <w:t>a charge</w:t>
      </w:r>
      <w:r>
        <w:t xml:space="preserve"> is as follows:</w:t>
      </w:r>
    </w:p>
    <w:p w14:paraId="296ADACB" w14:textId="0B51CA05" w:rsidR="002C3006" w:rsidRDefault="002C3006" w:rsidP="007F4694">
      <w:pPr>
        <w:keepNext/>
        <w:keepLines/>
        <w:ind w:left="567"/>
      </w:pPr>
      <w:r w:rsidRPr="00395E12">
        <w:rPr>
          <w:b/>
          <w:bCs/>
        </w:rPr>
        <w:t>Notice</w:t>
      </w:r>
      <w:r w:rsidRPr="00304C4A">
        <w:rPr>
          <w:b/>
        </w:rPr>
        <w:t xml:space="preserve"> </w:t>
      </w:r>
      <w:r>
        <w:t xml:space="preserve">– The clock runs from the time the water </w:t>
      </w:r>
      <w:r w:rsidR="009D77BB">
        <w:t>business</w:t>
      </w:r>
      <w:r>
        <w:t xml:space="preserve"> </w:t>
      </w:r>
      <w:r w:rsidRPr="004C3DF5">
        <w:rPr>
          <w:b/>
          <w:bCs/>
        </w:rPr>
        <w:t>gives notice of a charge</w:t>
      </w:r>
      <w:r>
        <w:t xml:space="preserve">. </w:t>
      </w:r>
    </w:p>
    <w:p w14:paraId="035870FF" w14:textId="25D7C29F" w:rsidR="002C3006" w:rsidRDefault="002C3006" w:rsidP="007F4694">
      <w:pPr>
        <w:keepNext/>
        <w:keepLines/>
        <w:ind w:left="567"/>
      </w:pPr>
      <w:r w:rsidRPr="004C3DF5">
        <w:rPr>
          <w:b/>
          <w:bCs/>
        </w:rPr>
        <w:t>Objection</w:t>
      </w:r>
      <w:r>
        <w:t xml:space="preserve"> – Then the developer/property owner has </w:t>
      </w:r>
      <w:r w:rsidRPr="0070209A">
        <w:rPr>
          <w:b/>
          <w:bCs/>
        </w:rPr>
        <w:t>one month</w:t>
      </w:r>
      <w:r>
        <w:t xml:space="preserve"> to object to the </w:t>
      </w:r>
      <w:r w:rsidRPr="00BF433C">
        <w:t xml:space="preserve">water </w:t>
      </w:r>
      <w:r w:rsidR="00BF433C">
        <w:t xml:space="preserve">business </w:t>
      </w:r>
      <w:r>
        <w:t>to that notice (the contents of which are specified in s268(4)(a) to (g) and 270(3) of the Water Act)</w:t>
      </w:r>
    </w:p>
    <w:p w14:paraId="72F3928B" w14:textId="378220B3" w:rsidR="002C3006" w:rsidRDefault="002C3006" w:rsidP="007F4694">
      <w:pPr>
        <w:pStyle w:val="ListBullet2"/>
        <w:ind w:left="1701"/>
      </w:pPr>
      <w:r w:rsidRPr="002122B6">
        <w:t>OPTIONAL</w:t>
      </w:r>
      <w:r>
        <w:t xml:space="preserve"> – The water </w:t>
      </w:r>
      <w:r w:rsidR="000532DF">
        <w:t>business</w:t>
      </w:r>
      <w:r>
        <w:t xml:space="preserve"> has discretion to specify in the notice of charges a longer time than 1 month to allow objections (s271(1))</w:t>
      </w:r>
      <w:r w:rsidR="00DB567D">
        <w:t>.</w:t>
      </w:r>
    </w:p>
    <w:p w14:paraId="0549C946" w14:textId="2350E8C3" w:rsidR="002C3006" w:rsidRDefault="002C3006" w:rsidP="007F4694">
      <w:pPr>
        <w:ind w:left="567"/>
      </w:pPr>
      <w:r w:rsidRPr="0022694A">
        <w:rPr>
          <w:b/>
          <w:bCs/>
        </w:rPr>
        <w:t>Decision on objection</w:t>
      </w:r>
      <w:r>
        <w:t xml:space="preserve"> – The water </w:t>
      </w:r>
      <w:r w:rsidR="000532DF">
        <w:t>business</w:t>
      </w:r>
      <w:r>
        <w:t xml:space="preserve"> has </w:t>
      </w:r>
      <w:r w:rsidRPr="002D3637">
        <w:rPr>
          <w:b/>
          <w:bCs/>
        </w:rPr>
        <w:t>2 months</w:t>
      </w:r>
      <w:r>
        <w:t xml:space="preserve"> following receipt of an objection to notify the developer/property owner of its decision on the objection (s271(2))</w:t>
      </w:r>
    </w:p>
    <w:p w14:paraId="7ABB2FC2" w14:textId="13F992BA" w:rsidR="002C3006" w:rsidRDefault="002C3006" w:rsidP="007F4694">
      <w:pPr>
        <w:pStyle w:val="ListBullet2"/>
        <w:ind w:left="1701"/>
      </w:pPr>
      <w:r w:rsidRPr="007A05F7">
        <w:rPr>
          <w:b/>
          <w:bCs/>
        </w:rPr>
        <w:t>Optional step under VCAT Act</w:t>
      </w:r>
      <w:r>
        <w:t xml:space="preserve"> – </w:t>
      </w:r>
      <w:r w:rsidR="005012F4">
        <w:t xml:space="preserve">The </w:t>
      </w:r>
      <w:r>
        <w:t xml:space="preserve">developer/property owner can request a </w:t>
      </w:r>
      <w:r w:rsidRPr="00E45E3C">
        <w:rPr>
          <w:b/>
          <w:bCs/>
        </w:rPr>
        <w:t>statement of reasons</w:t>
      </w:r>
      <w:r>
        <w:t xml:space="preserve"> from the </w:t>
      </w:r>
      <w:r w:rsidRPr="00E34200">
        <w:t xml:space="preserve">water </w:t>
      </w:r>
      <w:r w:rsidR="000532DF">
        <w:t>business</w:t>
      </w:r>
      <w:r>
        <w:t xml:space="preserve"> (s46 of the </w:t>
      </w:r>
      <w:r w:rsidRPr="00E34200">
        <w:rPr>
          <w:i/>
          <w:iCs/>
        </w:rPr>
        <w:t>Victorian Civil and Administrative Tribunal Act 1998</w:t>
      </w:r>
      <w:r>
        <w:t xml:space="preserve"> (Vic))</w:t>
      </w:r>
      <w:r w:rsidR="00DB567D">
        <w:t>.</w:t>
      </w:r>
    </w:p>
    <w:p w14:paraId="1CBA847D" w14:textId="43C92F96" w:rsidR="0033357D" w:rsidRDefault="002C3006" w:rsidP="007F4694">
      <w:pPr>
        <w:ind w:left="567"/>
      </w:pPr>
      <w:r w:rsidRPr="00A91C71">
        <w:rPr>
          <w:b/>
          <w:bCs/>
        </w:rPr>
        <w:t>Appeal to VCAT</w:t>
      </w:r>
      <w:r>
        <w:t xml:space="preserve"> – After the later of the water </w:t>
      </w:r>
      <w:r w:rsidR="00A63BF5">
        <w:t>business</w:t>
      </w:r>
      <w:r>
        <w:t xml:space="preserve">’s decision on the objection, or receipt of a statement of reasons, or advice that a statement of reasons will not be given, the developer/property owner has </w:t>
      </w:r>
      <w:r w:rsidRPr="002D35E3">
        <w:rPr>
          <w:b/>
          <w:bCs/>
        </w:rPr>
        <w:t>28 days</w:t>
      </w:r>
      <w:r>
        <w:t xml:space="preserve"> to appeal the water </w:t>
      </w:r>
      <w:r w:rsidR="00A63BF5">
        <w:t>business</w:t>
      </w:r>
      <w:r>
        <w:t>’s response to the objection to VCAT (s271(4)(b) of the Water Act).</w:t>
      </w:r>
    </w:p>
    <w:p w14:paraId="7193BE08" w14:textId="77777777" w:rsidR="002C3006" w:rsidRDefault="002C3006" w:rsidP="0033357D">
      <w:pPr>
        <w:sectPr w:rsidR="002C3006" w:rsidSect="0033357D">
          <w:footerReference w:type="default" r:id="rId32"/>
          <w:pgSz w:w="11906" w:h="16838" w:code="9"/>
          <w:pgMar w:top="1134" w:right="1134" w:bottom="1134" w:left="1134" w:header="709" w:footer="692" w:gutter="0"/>
          <w:cols w:space="708"/>
          <w:docGrid w:linePitch="360"/>
        </w:sectPr>
      </w:pPr>
    </w:p>
    <w:p w14:paraId="1C0986AA" w14:textId="29B1D90B" w:rsidR="0033357D" w:rsidRDefault="00496A52" w:rsidP="00905C41">
      <w:pPr>
        <w:pStyle w:val="Heading1"/>
        <w:ind w:left="567" w:hanging="567"/>
      </w:pPr>
      <w:bookmarkStart w:id="188" w:name="_Toc211246878"/>
      <w:r>
        <w:t>5.</w:t>
      </w:r>
      <w:r>
        <w:tab/>
      </w:r>
      <w:bookmarkStart w:id="189" w:name="_Toc210127617"/>
      <w:r w:rsidR="0033357D" w:rsidRPr="0033357D">
        <w:t>Requiring minimum information disclosures</w:t>
      </w:r>
      <w:bookmarkEnd w:id="188"/>
      <w:bookmarkEnd w:id="189"/>
    </w:p>
    <w:p w14:paraId="7837E0A7" w14:textId="01CE8C03" w:rsidR="000D78D1" w:rsidRDefault="000D78D1" w:rsidP="000D78D1">
      <w:r>
        <w:t xml:space="preserve">This section </w:t>
      </w:r>
      <w:r w:rsidR="00967056">
        <w:t>outlines</w:t>
      </w:r>
      <w:r w:rsidR="00DE3FB0">
        <w:t xml:space="preserve"> the</w:t>
      </w:r>
      <w:r>
        <w:t xml:space="preserve"> requirements our future water price review guidance papers will </w:t>
      </w:r>
      <w:r w:rsidR="00A84E1A">
        <w:t>set</w:t>
      </w:r>
      <w:r w:rsidR="00EC344E">
        <w:t>. W</w:t>
      </w:r>
      <w:r>
        <w:t>ater businesses must:</w:t>
      </w:r>
    </w:p>
    <w:p w14:paraId="12B26201" w14:textId="23930C45" w:rsidR="000D78D1" w:rsidRDefault="000D78D1" w:rsidP="002B7C2E">
      <w:pPr>
        <w:pStyle w:val="ListBullet"/>
      </w:pPr>
      <w:r>
        <w:t>prepare connection policies that meet our minimum content requirements</w:t>
      </w:r>
    </w:p>
    <w:p w14:paraId="6066733D" w14:textId="7D4803B6" w:rsidR="000D78D1" w:rsidRDefault="000D78D1" w:rsidP="002B7C2E">
      <w:pPr>
        <w:pStyle w:val="ListBullet"/>
      </w:pPr>
      <w:r>
        <w:t xml:space="preserve">provide certain information to </w:t>
      </w:r>
      <w:r w:rsidR="00466455">
        <w:t>the commission</w:t>
      </w:r>
      <w:r>
        <w:t xml:space="preserve"> if they choose to propose standard NCCs.</w:t>
      </w:r>
    </w:p>
    <w:p w14:paraId="555FD1D0" w14:textId="30CC76E2" w:rsidR="000D78D1" w:rsidRDefault="003E409D" w:rsidP="00905C41">
      <w:pPr>
        <w:pStyle w:val="Heading2"/>
        <w:ind w:left="851" w:hanging="851"/>
      </w:pPr>
      <w:bookmarkStart w:id="190" w:name="_Toc211246879"/>
      <w:r>
        <w:t>5.1</w:t>
      </w:r>
      <w:r>
        <w:tab/>
      </w:r>
      <w:bookmarkStart w:id="191" w:name="_Toc210127618"/>
      <w:r w:rsidR="000D78D1">
        <w:t>Connection policies</w:t>
      </w:r>
      <w:bookmarkEnd w:id="190"/>
      <w:bookmarkEnd w:id="191"/>
    </w:p>
    <w:p w14:paraId="5800EC8E" w14:textId="77777777" w:rsidR="000D78D1" w:rsidRDefault="000D78D1" w:rsidP="003D0E38">
      <w:pPr>
        <w:pStyle w:val="Heading3"/>
      </w:pPr>
      <w:bookmarkStart w:id="192" w:name="_Toc209447326"/>
      <w:bookmarkStart w:id="193" w:name="_Toc210028130"/>
      <w:bookmarkStart w:id="194" w:name="_Toc210127619"/>
      <w:bookmarkStart w:id="195" w:name="_Toc210908631"/>
      <w:bookmarkStart w:id="196" w:name="_Toc211246880"/>
      <w:r>
        <w:t>Connection policy requirement and minimum content</w:t>
      </w:r>
      <w:bookmarkEnd w:id="192"/>
      <w:bookmarkEnd w:id="193"/>
      <w:bookmarkEnd w:id="194"/>
      <w:bookmarkEnd w:id="195"/>
      <w:bookmarkEnd w:id="196"/>
    </w:p>
    <w:p w14:paraId="367FF52E" w14:textId="24C94E96" w:rsidR="000D78D1" w:rsidRDefault="000D78D1" w:rsidP="000D78D1">
      <w:r>
        <w:t xml:space="preserve">In future price determination periods water businesses must prepare a connection policy, </w:t>
      </w:r>
      <w:proofErr w:type="gramStart"/>
      <w:r>
        <w:t>submit</w:t>
      </w:r>
      <w:proofErr w:type="gramEnd"/>
      <w:r>
        <w:t xml:space="preserve"> it for approval with their price proposals and publish their approved connection policy on their website. This requirement </w:t>
      </w:r>
      <w:r w:rsidR="00503EF1">
        <w:t xml:space="preserve">builds on </w:t>
      </w:r>
      <w:r>
        <w:t xml:space="preserve">the existing requirement </w:t>
      </w:r>
      <w:r w:rsidR="00F51AFD">
        <w:t xml:space="preserve">on </w:t>
      </w:r>
      <w:r w:rsidR="004B7EF3">
        <w:t xml:space="preserve">water </w:t>
      </w:r>
      <w:r w:rsidR="00F51AFD">
        <w:t>businesses to have a</w:t>
      </w:r>
      <w:r>
        <w:t xml:space="preserve"> negotiating framework, which will become part of the new connection polic</w:t>
      </w:r>
      <w:r w:rsidR="00F51AFD">
        <w:t>y</w:t>
      </w:r>
      <w:r>
        <w:t>.</w:t>
      </w:r>
    </w:p>
    <w:p w14:paraId="65EDA745" w14:textId="77777777" w:rsidR="000D78D1" w:rsidRDefault="000D78D1" w:rsidP="000D78D1">
      <w:r>
        <w:t>Connections policies will:</w:t>
      </w:r>
    </w:p>
    <w:p w14:paraId="6936FFCB" w14:textId="4722BB3C" w:rsidR="000D78D1" w:rsidRDefault="000D78D1" w:rsidP="002B7C2E">
      <w:pPr>
        <w:pStyle w:val="ListBullet"/>
      </w:pPr>
      <w:r>
        <w:t xml:space="preserve">ensure sufficient and </w:t>
      </w:r>
      <w:r w:rsidR="00155FA0">
        <w:t>transparent</w:t>
      </w:r>
      <w:r>
        <w:t xml:space="preserve"> connection process and pricing</w:t>
      </w:r>
    </w:p>
    <w:p w14:paraId="7E000701" w14:textId="10DCDAB8" w:rsidR="000D78D1" w:rsidRDefault="000D78D1" w:rsidP="002B7C2E">
      <w:pPr>
        <w:pStyle w:val="ListBullet"/>
      </w:pPr>
      <w:r>
        <w:t xml:space="preserve">support </w:t>
      </w:r>
      <w:r w:rsidR="00202689">
        <w:t xml:space="preserve">well </w:t>
      </w:r>
      <w:r>
        <w:t xml:space="preserve">informed connection applications and negotiations. </w:t>
      </w:r>
    </w:p>
    <w:p w14:paraId="62199FA8" w14:textId="67674070" w:rsidR="000D78D1" w:rsidRDefault="000D78D1" w:rsidP="000D78D1">
      <w:r>
        <w:t xml:space="preserve">An approved and published connection policy should </w:t>
      </w:r>
      <w:r w:rsidR="007354A8">
        <w:t>serve as</w:t>
      </w:r>
      <w:r>
        <w:t xml:space="preserve"> a comprehensive guide for connection applicants</w:t>
      </w:r>
      <w:r w:rsidR="00DD5E35">
        <w:t xml:space="preserve">. </w:t>
      </w:r>
      <w:r w:rsidR="00374AF0">
        <w:t>It should</w:t>
      </w:r>
      <w:r>
        <w:t xml:space="preserve"> clearly </w:t>
      </w:r>
      <w:r w:rsidR="00950E1A">
        <w:t>outline</w:t>
      </w:r>
      <w:r>
        <w:t xml:space="preserve"> the types of connection services and customers cover</w:t>
      </w:r>
      <w:r w:rsidR="00B81942">
        <w:t>ed</w:t>
      </w:r>
      <w:r>
        <w:t xml:space="preserve">, the </w:t>
      </w:r>
      <w:r w:rsidR="008C21ED">
        <w:t xml:space="preserve">connection </w:t>
      </w:r>
      <w:r>
        <w:t xml:space="preserve">processes, charges payable and </w:t>
      </w:r>
      <w:r w:rsidR="00C5087E">
        <w:t xml:space="preserve">dispute </w:t>
      </w:r>
      <w:r w:rsidR="007835DA">
        <w:t xml:space="preserve">resolution </w:t>
      </w:r>
      <w:r>
        <w:t>arrangements.</w:t>
      </w:r>
    </w:p>
    <w:p w14:paraId="0C0ED843" w14:textId="2F282908" w:rsidR="000D78D1" w:rsidRDefault="000D78D1" w:rsidP="000D78D1">
      <w:r>
        <w:t xml:space="preserve">A connection policy must address </w:t>
      </w:r>
      <w:r w:rsidR="005012F4">
        <w:t xml:space="preserve">the </w:t>
      </w:r>
      <w:r>
        <w:t>minimum content set out in Table 5.1.</w:t>
      </w:r>
    </w:p>
    <w:p w14:paraId="7D061355" w14:textId="02B45F6A" w:rsidR="0033357D" w:rsidRDefault="000D78D1" w:rsidP="006A1530">
      <w:pPr>
        <w:pStyle w:val="Figure-Table-BoxHeading"/>
        <w:keepNext/>
        <w:keepLines/>
        <w:numPr>
          <w:ilvl w:val="0"/>
          <w:numId w:val="0"/>
        </w:numPr>
      </w:pPr>
      <w:r>
        <w:t xml:space="preserve">Table 5.1 </w:t>
      </w:r>
      <w:r w:rsidR="00335A79">
        <w:tab/>
      </w:r>
      <w:r>
        <w:t>Required contents of connection policies</w:t>
      </w:r>
    </w:p>
    <w:tbl>
      <w:tblPr>
        <w:tblStyle w:val="TableGrid"/>
        <w:tblW w:w="0" w:type="auto"/>
        <w:tblLook w:val="04A0" w:firstRow="1" w:lastRow="0" w:firstColumn="1" w:lastColumn="0" w:noHBand="0" w:noVBand="1"/>
      </w:tblPr>
      <w:tblGrid>
        <w:gridCol w:w="1843"/>
        <w:gridCol w:w="7795"/>
      </w:tblGrid>
      <w:tr w:rsidR="00197495" w14:paraId="05E42EB5" w14:textId="77777777" w:rsidTr="00A2794B">
        <w:trPr>
          <w:cnfStyle w:val="100000000000" w:firstRow="1" w:lastRow="0" w:firstColumn="0" w:lastColumn="0" w:oddVBand="0" w:evenVBand="0" w:oddHBand="0" w:evenHBand="0" w:firstRowFirstColumn="0" w:firstRowLastColumn="0" w:lastRowFirstColumn="0" w:lastRowLastColumn="0"/>
          <w:tblHeader/>
        </w:trPr>
        <w:tc>
          <w:tcPr>
            <w:tcW w:w="0" w:type="dxa"/>
          </w:tcPr>
          <w:p w14:paraId="1A53571A" w14:textId="0B756591" w:rsidR="00197495" w:rsidRDefault="00197495" w:rsidP="006A1530">
            <w:pPr>
              <w:pStyle w:val="TableHeading"/>
              <w:keepNext/>
              <w:keepLines/>
            </w:pPr>
            <w:r w:rsidRPr="004070D5">
              <w:t xml:space="preserve">Element </w:t>
            </w:r>
          </w:p>
        </w:tc>
        <w:tc>
          <w:tcPr>
            <w:tcW w:w="0" w:type="dxa"/>
          </w:tcPr>
          <w:p w14:paraId="0A414AED" w14:textId="31C619AF" w:rsidR="00197495" w:rsidRDefault="00197495" w:rsidP="006A1530">
            <w:pPr>
              <w:pStyle w:val="TableHeading"/>
              <w:keepNext/>
              <w:keepLines/>
            </w:pPr>
            <w:r w:rsidRPr="004070D5">
              <w:t>Content required</w:t>
            </w:r>
          </w:p>
        </w:tc>
      </w:tr>
      <w:tr w:rsidR="004F4196" w14:paraId="41D5ECA7"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1DE0899B" w14:textId="07CE9E86" w:rsidR="004F4196" w:rsidRPr="007340FF" w:rsidRDefault="004F4196" w:rsidP="006A1530">
            <w:pPr>
              <w:pStyle w:val="TableBody"/>
              <w:keepNext/>
              <w:keepLines/>
              <w:rPr>
                <w:b/>
                <w:bCs/>
              </w:rPr>
            </w:pPr>
            <w:r w:rsidRPr="007340FF">
              <w:rPr>
                <w:b/>
                <w:bCs/>
              </w:rPr>
              <w:t>Connection services</w:t>
            </w:r>
          </w:p>
        </w:tc>
        <w:tc>
          <w:tcPr>
            <w:tcW w:w="7795" w:type="dxa"/>
          </w:tcPr>
          <w:p w14:paraId="4A0BCD75" w14:textId="1CA425D7" w:rsidR="004F4196" w:rsidRDefault="004F4196" w:rsidP="006A1530">
            <w:pPr>
              <w:pStyle w:val="TableBody"/>
              <w:keepNext/>
              <w:keepLines/>
            </w:pPr>
            <w:r w:rsidRPr="00403990">
              <w:t>Definitions of each connection service, the customers to whom they apply, details for when standard charges apply and the eligibility criteria for each approved standard NCC.</w:t>
            </w:r>
          </w:p>
        </w:tc>
      </w:tr>
      <w:tr w:rsidR="00C0486D" w14:paraId="161BA329"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46E492C4" w14:textId="45D75760" w:rsidR="00C0486D" w:rsidRPr="007340FF" w:rsidRDefault="00C0486D" w:rsidP="006A1530">
            <w:pPr>
              <w:pStyle w:val="TableBody"/>
              <w:keepNext/>
              <w:keepLines/>
              <w:rPr>
                <w:b/>
                <w:bCs/>
              </w:rPr>
            </w:pPr>
            <w:r w:rsidRPr="007340FF">
              <w:rPr>
                <w:b/>
                <w:bCs/>
              </w:rPr>
              <w:t>Processes</w:t>
            </w:r>
          </w:p>
        </w:tc>
        <w:tc>
          <w:tcPr>
            <w:tcW w:w="7795" w:type="dxa"/>
          </w:tcPr>
          <w:p w14:paraId="5B20E09D" w14:textId="77777777" w:rsidR="00C0486D" w:rsidRDefault="00C0486D" w:rsidP="006A1530">
            <w:pPr>
              <w:pStyle w:val="TableBody"/>
              <w:keepNext/>
              <w:keepLines/>
            </w:pPr>
            <w:r w:rsidRPr="141FC085">
              <w:rPr>
                <w:lang w:val="en-AU"/>
              </w:rPr>
              <w:t>Details of the application processes, contact details, information and documentation needed, and timeframes for assessing applications/enquiries and progressing these through stages of the application and connection process.</w:t>
            </w:r>
          </w:p>
          <w:p w14:paraId="49DF49B6" w14:textId="12BB1196" w:rsidR="00DA650F" w:rsidRDefault="0005526F" w:rsidP="006A1530">
            <w:pPr>
              <w:pStyle w:val="TableBody"/>
              <w:keepNext/>
              <w:keepLines/>
            </w:pPr>
            <w:r>
              <w:rPr>
                <w:lang w:val="en-AU"/>
              </w:rPr>
              <w:br/>
            </w:r>
            <w:r w:rsidR="00DA650F" w:rsidRPr="141FC085">
              <w:rPr>
                <w:lang w:val="en-AU"/>
              </w:rPr>
              <w:t xml:space="preserve">Where </w:t>
            </w:r>
            <w:r w:rsidR="004B7EF3">
              <w:rPr>
                <w:lang w:val="en-AU"/>
              </w:rPr>
              <w:t>water</w:t>
            </w:r>
            <w:r w:rsidR="00DA650F" w:rsidRPr="141FC085">
              <w:rPr>
                <w:lang w:val="en-AU"/>
              </w:rPr>
              <w:t xml:space="preserve"> businesses propose service level commitments for the response timeframes to steps in their connection process, those would be included here too </w:t>
            </w:r>
            <w:r w:rsidR="005012F4">
              <w:rPr>
                <w:lang w:val="en-AU"/>
              </w:rPr>
              <w:t>(</w:t>
            </w:r>
            <w:r w:rsidR="00DA650F" w:rsidRPr="141FC085">
              <w:rPr>
                <w:lang w:val="en-AU"/>
              </w:rPr>
              <w:t xml:space="preserve">see </w:t>
            </w:r>
            <w:r w:rsidR="00816CF9">
              <w:rPr>
                <w:lang w:val="en-AU"/>
              </w:rPr>
              <w:t>s</w:t>
            </w:r>
            <w:r w:rsidR="00816CF9" w:rsidRPr="00C12210">
              <w:rPr>
                <w:lang w:val="en-AU"/>
              </w:rPr>
              <w:t>ection</w:t>
            </w:r>
            <w:r w:rsidR="00DA650F" w:rsidRPr="00C12210">
              <w:rPr>
                <w:lang w:val="en-AU"/>
              </w:rPr>
              <w:t xml:space="preserve"> 7.2</w:t>
            </w:r>
            <w:r w:rsidR="005012F4">
              <w:rPr>
                <w:lang w:val="en-AU"/>
              </w:rPr>
              <w:t>)</w:t>
            </w:r>
            <w:r w:rsidR="00DA650F" w:rsidRPr="00C12210">
              <w:rPr>
                <w:lang w:val="en-AU"/>
              </w:rPr>
              <w:t>.</w:t>
            </w:r>
          </w:p>
        </w:tc>
      </w:tr>
      <w:tr w:rsidR="004F4196" w14:paraId="005E5786"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3D4F1FC8" w14:textId="3971A59C" w:rsidR="004F4196" w:rsidRPr="007340FF" w:rsidRDefault="004F4196" w:rsidP="00304C4A">
            <w:pPr>
              <w:pStyle w:val="TableBody"/>
              <w:keepNext/>
              <w:keepLines/>
              <w:rPr>
                <w:b/>
                <w:bCs/>
              </w:rPr>
            </w:pPr>
            <w:r w:rsidRPr="007340FF">
              <w:rPr>
                <w:b/>
                <w:bCs/>
              </w:rPr>
              <w:t>Negotiations</w:t>
            </w:r>
          </w:p>
        </w:tc>
        <w:tc>
          <w:tcPr>
            <w:tcW w:w="7795" w:type="dxa"/>
          </w:tcPr>
          <w:p w14:paraId="1F8304DD" w14:textId="0C7B08F0" w:rsidR="004F4196" w:rsidRDefault="004F4196" w:rsidP="00304C4A">
            <w:pPr>
              <w:pStyle w:val="TableBody"/>
              <w:keepNext/>
              <w:keepLines/>
            </w:pPr>
            <w:r w:rsidRPr="141FC085">
              <w:rPr>
                <w:lang w:val="en-AU"/>
              </w:rPr>
              <w:t xml:space="preserve">Sets out the </w:t>
            </w:r>
            <w:r w:rsidR="004B7EF3">
              <w:rPr>
                <w:lang w:val="en-AU"/>
              </w:rPr>
              <w:t xml:space="preserve">water </w:t>
            </w:r>
            <w:r w:rsidRPr="141FC085">
              <w:rPr>
                <w:lang w:val="en-AU"/>
              </w:rPr>
              <w:t>business’</w:t>
            </w:r>
            <w:r w:rsidR="004B7EF3">
              <w:rPr>
                <w:lang w:val="en-AU"/>
              </w:rPr>
              <w:t>s</w:t>
            </w:r>
            <w:r w:rsidRPr="141FC085">
              <w:rPr>
                <w:lang w:val="en-AU"/>
              </w:rPr>
              <w:t xml:space="preserve"> negotiating framework including addressing our </w:t>
            </w:r>
            <w:proofErr w:type="gramStart"/>
            <w:r w:rsidRPr="141FC085">
              <w:rPr>
                <w:lang w:val="en-AU"/>
              </w:rPr>
              <w:t>minimum</w:t>
            </w:r>
            <w:proofErr w:type="gramEnd"/>
            <w:r w:rsidRPr="141FC085">
              <w:rPr>
                <w:lang w:val="en-AU"/>
              </w:rPr>
              <w:t xml:space="preserve"> requirements for negotiating frameworks discussed below.</w:t>
            </w:r>
          </w:p>
        </w:tc>
      </w:tr>
      <w:tr w:rsidR="004F4196" w14:paraId="2FE43EDA"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3E505CDD" w14:textId="39592182" w:rsidR="004F4196" w:rsidRPr="007340FF" w:rsidRDefault="00762C70" w:rsidP="006D7F6D">
            <w:pPr>
              <w:pStyle w:val="TableBody"/>
              <w:rPr>
                <w:b/>
                <w:bCs/>
              </w:rPr>
            </w:pPr>
            <w:r w:rsidRPr="007340FF">
              <w:rPr>
                <w:b/>
                <w:bCs/>
              </w:rPr>
              <w:t>Fees and charges</w:t>
            </w:r>
          </w:p>
        </w:tc>
        <w:tc>
          <w:tcPr>
            <w:tcW w:w="7795" w:type="dxa"/>
          </w:tcPr>
          <w:p w14:paraId="511EE82B" w14:textId="2BF90AAB" w:rsidR="00AB02C7" w:rsidRDefault="00AB02C7" w:rsidP="006D7F6D">
            <w:pPr>
              <w:pStyle w:val="TableBody"/>
            </w:pPr>
            <w:r>
              <w:t>A comprehensive schedule of fees and charges that may be payable during a connection process, or the method through which charges will be calculated and relevant inputs to those calculations. This may include details of:</w:t>
            </w:r>
          </w:p>
          <w:p w14:paraId="29BD9B1B" w14:textId="6C2B0358" w:rsidR="00AB02C7" w:rsidRDefault="00AB02C7" w:rsidP="002B7C2E">
            <w:pPr>
              <w:pStyle w:val="TableBullet"/>
            </w:pPr>
            <w:r>
              <w:t>standard charges</w:t>
            </w:r>
            <w:r w:rsidR="00C102FF">
              <w:t xml:space="preserve"> and</w:t>
            </w:r>
            <w:r>
              <w:t>,</w:t>
            </w:r>
            <w:r w:rsidR="00C102FF">
              <w:t xml:space="preserve"> </w:t>
            </w:r>
            <w:r>
              <w:t>charge setting methods for negotiated NCCs</w:t>
            </w:r>
            <w:r w:rsidR="0006166E">
              <w:t xml:space="preserve"> (</w:t>
            </w:r>
            <w:r>
              <w:t>schedule of rates for miscellaneous charges</w:t>
            </w:r>
            <w:r w:rsidR="006F0B0F">
              <w:t xml:space="preserve"> (for example, for charges payable to recover the cost of preparing negotiated NCCs or for assessing designs for gifted assets and auditing their construction quality before interconnection)</w:t>
            </w:r>
            <w:r>
              <w:t xml:space="preserve"> </w:t>
            </w:r>
          </w:p>
          <w:p w14:paraId="69F41A58" w14:textId="3DD85B89" w:rsidR="00AB02C7" w:rsidRDefault="00AB02C7" w:rsidP="002B7C2E">
            <w:pPr>
              <w:pStyle w:val="TableBullet"/>
            </w:pPr>
            <w:r>
              <w:t>approach(es) to incremental cost estimation in negotiated NCCs</w:t>
            </w:r>
          </w:p>
          <w:p w14:paraId="54A3A35E" w14:textId="17FB5664" w:rsidR="00AB02C7" w:rsidRDefault="00AB02C7" w:rsidP="002B7C2E">
            <w:pPr>
              <w:pStyle w:val="TableBullet"/>
            </w:pPr>
            <w:r>
              <w:t>approach(es) to incremental demand forecasting</w:t>
            </w:r>
          </w:p>
          <w:p w14:paraId="24BF4197" w14:textId="7B28C3D1" w:rsidR="00AB02C7" w:rsidRDefault="00AB02C7" w:rsidP="002B7C2E">
            <w:pPr>
              <w:pStyle w:val="TableBullet"/>
            </w:pPr>
            <w:r>
              <w:t>circumstances where tax may be payable on the incremental costing or gifting</w:t>
            </w:r>
          </w:p>
          <w:p w14:paraId="5843FBAC" w14:textId="382042EE" w:rsidR="00AB02C7" w:rsidRDefault="00AB02C7" w:rsidP="002B7C2E">
            <w:pPr>
              <w:pStyle w:val="TableBullet"/>
            </w:pPr>
            <w:r>
              <w:t>approach to bring forward costs</w:t>
            </w:r>
          </w:p>
          <w:p w14:paraId="2C075212" w14:textId="4D27DB1F" w:rsidR="004F4196" w:rsidRDefault="00AB02C7" w:rsidP="002B7C2E">
            <w:pPr>
              <w:pStyle w:val="TableBullet"/>
            </w:pPr>
            <w:r>
              <w:t>operation of any pioneer scheme.</w:t>
            </w:r>
          </w:p>
        </w:tc>
      </w:tr>
      <w:tr w:rsidR="004F4196" w14:paraId="5B7753D3"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624C0184" w14:textId="4E438815" w:rsidR="004F4196" w:rsidRPr="007340FF" w:rsidRDefault="002618D3" w:rsidP="006D7F6D">
            <w:pPr>
              <w:pStyle w:val="TableBody"/>
              <w:rPr>
                <w:b/>
                <w:lang w:val="en-AU"/>
              </w:rPr>
            </w:pPr>
            <w:r w:rsidRPr="141FC085">
              <w:rPr>
                <w:b/>
                <w:lang w:val="en-AU"/>
              </w:rPr>
              <w:t>Asset gifting and rebates</w:t>
            </w:r>
          </w:p>
        </w:tc>
        <w:tc>
          <w:tcPr>
            <w:tcW w:w="7795" w:type="dxa"/>
          </w:tcPr>
          <w:p w14:paraId="1687BA39" w14:textId="23C658DB" w:rsidR="00522A13" w:rsidRDefault="00522A13" w:rsidP="006D7F6D">
            <w:pPr>
              <w:pStyle w:val="TableBody"/>
            </w:pPr>
            <w:r>
              <w:t xml:space="preserve">The </w:t>
            </w:r>
            <w:r w:rsidR="004B7EF3">
              <w:t xml:space="preserve">water </w:t>
            </w:r>
            <w:r>
              <w:t>business’</w:t>
            </w:r>
            <w:r w:rsidR="004B7EF3">
              <w:t>s</w:t>
            </w:r>
            <w:r>
              <w:t xml:space="preserve"> arrangements for asset gifting, including:</w:t>
            </w:r>
          </w:p>
          <w:p w14:paraId="6FFFC89D" w14:textId="2153F26C" w:rsidR="00522A13" w:rsidRDefault="00522A13" w:rsidP="002B7C2E">
            <w:pPr>
              <w:pStyle w:val="TableBullet"/>
            </w:pPr>
            <w:r>
              <w:t xml:space="preserve">circumstances where gifting will be </w:t>
            </w:r>
            <w:proofErr w:type="gramStart"/>
            <w:r>
              <w:t>required</w:t>
            </w:r>
            <w:proofErr w:type="gramEnd"/>
          </w:p>
          <w:p w14:paraId="42C030D0" w14:textId="71D087C2" w:rsidR="00522A13" w:rsidRDefault="00522A13" w:rsidP="002B7C2E">
            <w:pPr>
              <w:pStyle w:val="TableBullet"/>
            </w:pPr>
            <w:r>
              <w:t xml:space="preserve">circumstances where upsizing may be </w:t>
            </w:r>
            <w:proofErr w:type="gramStart"/>
            <w:r>
              <w:t>required</w:t>
            </w:r>
            <w:proofErr w:type="gramEnd"/>
          </w:p>
          <w:p w14:paraId="621D661D" w14:textId="4C7021FE" w:rsidR="00522A13" w:rsidRDefault="00522A13" w:rsidP="002B7C2E">
            <w:pPr>
              <w:pStyle w:val="TableBullet"/>
            </w:pPr>
            <w:r>
              <w:t xml:space="preserve">how incremental benefits are assessed and where and how rebates are applied </w:t>
            </w:r>
          </w:p>
          <w:p w14:paraId="1CE35C7A" w14:textId="76097CD6" w:rsidR="00522A13" w:rsidRDefault="00522A13" w:rsidP="002B7C2E">
            <w:pPr>
              <w:pStyle w:val="TableBullet"/>
            </w:pPr>
            <w:r>
              <w:t>arrangements for approving designs, auditing assets before connection, providing plans and installation maps</w:t>
            </w:r>
          </w:p>
          <w:p w14:paraId="18E31A5E" w14:textId="3C33A2EC" w:rsidR="004F4196" w:rsidRDefault="00522A13" w:rsidP="002B7C2E">
            <w:pPr>
              <w:pStyle w:val="TableBullet"/>
            </w:pPr>
            <w:r>
              <w:t>circumstances where incremental tax costs may be charged.</w:t>
            </w:r>
          </w:p>
        </w:tc>
      </w:tr>
      <w:tr w:rsidR="00522A13" w14:paraId="2F30D57C"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30C98623" w14:textId="2BF13F2A" w:rsidR="00522A13" w:rsidRPr="007340FF" w:rsidRDefault="0047250E" w:rsidP="00FE7C3D">
            <w:pPr>
              <w:pStyle w:val="TableBody"/>
              <w:keepNext/>
              <w:keepLines/>
              <w:rPr>
                <w:b/>
                <w:bCs/>
              </w:rPr>
            </w:pPr>
            <w:r w:rsidRPr="007340FF">
              <w:rPr>
                <w:b/>
                <w:bCs/>
              </w:rPr>
              <w:t>Terms</w:t>
            </w:r>
          </w:p>
        </w:tc>
        <w:tc>
          <w:tcPr>
            <w:tcW w:w="7795" w:type="dxa"/>
          </w:tcPr>
          <w:p w14:paraId="4E3D852A" w14:textId="77777777" w:rsidR="007E2FC0" w:rsidRDefault="007E2FC0" w:rsidP="00FE7C3D">
            <w:pPr>
              <w:pStyle w:val="TableBody"/>
              <w:keepNext/>
              <w:keepLines/>
            </w:pPr>
            <w:r>
              <w:t>Connection application and connection agreement terms and conditions.</w:t>
            </w:r>
          </w:p>
          <w:p w14:paraId="3E2BBE50" w14:textId="292A6C95" w:rsidR="00522A13" w:rsidRDefault="007E2FC0" w:rsidP="00FE7C3D">
            <w:pPr>
              <w:pStyle w:val="TableBody"/>
              <w:keepNext/>
              <w:keepLines/>
            </w:pPr>
            <w:r>
              <w:t>Requirements for security fees.</w:t>
            </w:r>
          </w:p>
        </w:tc>
      </w:tr>
      <w:tr w:rsidR="007E2FC0" w14:paraId="2596CB39"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5BA87508" w14:textId="541E7C0F" w:rsidR="007E2FC0" w:rsidRPr="007340FF" w:rsidRDefault="004A5112" w:rsidP="006D7F6D">
            <w:pPr>
              <w:pStyle w:val="TableBody"/>
              <w:rPr>
                <w:b/>
                <w:bCs/>
              </w:rPr>
            </w:pPr>
            <w:r w:rsidRPr="007340FF">
              <w:rPr>
                <w:b/>
                <w:bCs/>
              </w:rPr>
              <w:t>Dispute resolution</w:t>
            </w:r>
          </w:p>
        </w:tc>
        <w:tc>
          <w:tcPr>
            <w:tcW w:w="7795" w:type="dxa"/>
          </w:tcPr>
          <w:p w14:paraId="689E8D12" w14:textId="4EB00DA9" w:rsidR="007E2FC0" w:rsidRDefault="006D7F6D" w:rsidP="006D7F6D">
            <w:pPr>
              <w:pStyle w:val="TableBody"/>
            </w:pPr>
            <w:r w:rsidRPr="006D7F6D">
              <w:t>Rights to and processes for dispute resolution, including internal escalation and external dispute resolution pathways.</w:t>
            </w:r>
          </w:p>
        </w:tc>
      </w:tr>
    </w:tbl>
    <w:p w14:paraId="13866904" w14:textId="26B23F13" w:rsidR="00E946D3" w:rsidRDefault="00E946D3" w:rsidP="00E946D3">
      <w:r>
        <w:t>The following sections elaborate on some of the specific content requirements.</w:t>
      </w:r>
    </w:p>
    <w:p w14:paraId="26778902" w14:textId="77777777" w:rsidR="00E946D3" w:rsidRDefault="00E946D3" w:rsidP="00E946D3">
      <w:pPr>
        <w:pStyle w:val="Heading4"/>
      </w:pPr>
      <w:r>
        <w:t>Gifted assets</w:t>
      </w:r>
    </w:p>
    <w:p w14:paraId="52CFE14D" w14:textId="2653D805" w:rsidR="00E946D3" w:rsidRDefault="00E946D3" w:rsidP="00E946D3">
      <w:r>
        <w:t>In its connection policy</w:t>
      </w:r>
      <w:r w:rsidR="004B7EF3">
        <w:t>,</w:t>
      </w:r>
      <w:r>
        <w:t xml:space="preserve"> a water business must explain:</w:t>
      </w:r>
    </w:p>
    <w:p w14:paraId="0C031D12" w14:textId="26D99395" w:rsidR="00E946D3" w:rsidRDefault="00E946D3" w:rsidP="002B7C2E">
      <w:pPr>
        <w:pStyle w:val="ListBullet"/>
      </w:pPr>
      <w:r>
        <w:t xml:space="preserve">what constitutes a reticulation asset for the purpose of </w:t>
      </w:r>
      <w:proofErr w:type="gramStart"/>
      <w:r>
        <w:t>identifying</w:t>
      </w:r>
      <w:proofErr w:type="gramEnd"/>
      <w:r>
        <w:t xml:space="preserve"> asset gifting requirements</w:t>
      </w:r>
    </w:p>
    <w:p w14:paraId="6E7EE3B3" w14:textId="7B3FCB16" w:rsidR="00E946D3" w:rsidRDefault="00E946D3" w:rsidP="002B7C2E">
      <w:pPr>
        <w:pStyle w:val="ListBullet"/>
      </w:pPr>
      <w:r>
        <w:t>the treatment of upsizing gifted assets</w:t>
      </w:r>
    </w:p>
    <w:p w14:paraId="14F231A8" w14:textId="56A2458E" w:rsidR="00E946D3" w:rsidRDefault="00E946D3" w:rsidP="002B7C2E">
      <w:pPr>
        <w:pStyle w:val="ListBullet"/>
      </w:pPr>
      <w:r>
        <w:t xml:space="preserve">the treatment of incremental benefits from upsizing reticulation assets including when </w:t>
      </w:r>
      <w:r w:rsidR="008F425E">
        <w:t>connection applicants</w:t>
      </w:r>
      <w:r>
        <w:t xml:space="preserve"> are entitled to rebates when the upsizing cost is greater than the standalone cost of servicing just that development</w:t>
      </w:r>
    </w:p>
    <w:p w14:paraId="2A67B59A" w14:textId="19AA44BA" w:rsidR="00E946D3" w:rsidRDefault="00E946D3" w:rsidP="002B7C2E">
      <w:pPr>
        <w:pStyle w:val="ListBullet"/>
      </w:pPr>
      <w:r>
        <w:t>operation of any pioneer scheme.</w:t>
      </w:r>
    </w:p>
    <w:p w14:paraId="67AE97EE" w14:textId="77777777" w:rsidR="00E946D3" w:rsidRDefault="00E946D3" w:rsidP="0039729E">
      <w:pPr>
        <w:pStyle w:val="Heading4"/>
      </w:pPr>
      <w:r>
        <w:t>Negotiating framework</w:t>
      </w:r>
    </w:p>
    <w:p w14:paraId="30076E23" w14:textId="56583D93" w:rsidR="00E946D3" w:rsidRDefault="00F51AFD" w:rsidP="00E946D3">
      <w:r>
        <w:t>A</w:t>
      </w:r>
      <w:r w:rsidR="00E946D3">
        <w:t xml:space="preserve"> water business</w:t>
      </w:r>
      <w:r>
        <w:t>’s connection policy</w:t>
      </w:r>
      <w:r w:rsidR="00E946D3">
        <w:t xml:space="preserve"> must include its negotiating framework</w:t>
      </w:r>
      <w:r>
        <w:t>,</w:t>
      </w:r>
      <w:r w:rsidR="00E946D3">
        <w:t xml:space="preserve"> cover</w:t>
      </w:r>
      <w:r>
        <w:t>ing</w:t>
      </w:r>
      <w:r w:rsidR="00E946D3">
        <w:t>:</w:t>
      </w:r>
    </w:p>
    <w:p w14:paraId="2819050A" w14:textId="2E3CAECA" w:rsidR="00E946D3" w:rsidRDefault="00E946D3" w:rsidP="002B7C2E">
      <w:pPr>
        <w:pStyle w:val="ListBullet"/>
      </w:pPr>
      <w:r>
        <w:t xml:space="preserve">application and purpose of negotiating framework </w:t>
      </w:r>
    </w:p>
    <w:p w14:paraId="62E31FAE" w14:textId="47F0B15E" w:rsidR="00E946D3" w:rsidRDefault="00E946D3" w:rsidP="002B7C2E">
      <w:pPr>
        <w:pStyle w:val="ListBullet"/>
      </w:pPr>
      <w:r>
        <w:t xml:space="preserve">timeframes for negotiation </w:t>
      </w:r>
    </w:p>
    <w:p w14:paraId="3E434841" w14:textId="321A7C34" w:rsidR="00E946D3" w:rsidRDefault="00E946D3" w:rsidP="002B7C2E">
      <w:pPr>
        <w:pStyle w:val="ListBullet"/>
      </w:pPr>
      <w:r>
        <w:t xml:space="preserve">provision of information by connection applicant </w:t>
      </w:r>
    </w:p>
    <w:p w14:paraId="3637AAA0" w14:textId="67B16620" w:rsidR="00E946D3" w:rsidRDefault="00E946D3" w:rsidP="002B7C2E">
      <w:pPr>
        <w:pStyle w:val="ListBullet"/>
      </w:pPr>
      <w:r>
        <w:t xml:space="preserve">provision of information by water business </w:t>
      </w:r>
    </w:p>
    <w:p w14:paraId="10997AC5" w14:textId="307FC0E0" w:rsidR="00E946D3" w:rsidRDefault="008A2B8E" w:rsidP="002B7C2E">
      <w:pPr>
        <w:pStyle w:val="ListBullet"/>
      </w:pPr>
      <w:r>
        <w:t xml:space="preserve">how the NCC </w:t>
      </w:r>
      <w:r w:rsidR="00E946D3">
        <w:t xml:space="preserve">pricing principles </w:t>
      </w:r>
      <w:r w:rsidR="00C1187D">
        <w:t xml:space="preserve">will </w:t>
      </w:r>
      <w:r w:rsidR="00EC3360">
        <w:t xml:space="preserve">be applied and the information to be provided to </w:t>
      </w:r>
      <w:proofErr w:type="gramStart"/>
      <w:r w:rsidR="00EC3360">
        <w:t>demonstrate</w:t>
      </w:r>
      <w:proofErr w:type="gramEnd"/>
      <w:r w:rsidR="00EC3360">
        <w:t xml:space="preserve"> their application</w:t>
      </w:r>
    </w:p>
    <w:p w14:paraId="6B078558" w14:textId="219C3835" w:rsidR="00E946D3" w:rsidRDefault="00E946D3" w:rsidP="002B7C2E">
      <w:pPr>
        <w:pStyle w:val="ListBullet"/>
      </w:pPr>
      <w:r>
        <w:t xml:space="preserve">consultation with affected parties </w:t>
      </w:r>
    </w:p>
    <w:p w14:paraId="1A938080" w14:textId="06CBF7E6" w:rsidR="00E946D3" w:rsidRDefault="00E946D3" w:rsidP="002B7C2E">
      <w:pPr>
        <w:pStyle w:val="ListBullet"/>
      </w:pPr>
      <w:r>
        <w:t xml:space="preserve">payment of water business’s costs </w:t>
      </w:r>
    </w:p>
    <w:p w14:paraId="27B567F9" w14:textId="2E3B334A" w:rsidR="00E946D3" w:rsidRDefault="00E946D3" w:rsidP="002B7C2E">
      <w:pPr>
        <w:pStyle w:val="ListBullet"/>
      </w:pPr>
      <w:r>
        <w:t>termination of negotiations.</w:t>
      </w:r>
    </w:p>
    <w:p w14:paraId="75627B25" w14:textId="0FD01D5E" w:rsidR="00E946D3" w:rsidRDefault="00E946D3" w:rsidP="00E946D3">
      <w:r>
        <w:t xml:space="preserve">Proposed negotiating frameworks must set out </w:t>
      </w:r>
      <w:r w:rsidR="003C7790">
        <w:t>the</w:t>
      </w:r>
      <w:r>
        <w:t xml:space="preserve"> information the </w:t>
      </w:r>
      <w:r w:rsidR="004B7EF3">
        <w:t>water</w:t>
      </w:r>
      <w:r>
        <w:t xml:space="preserve"> businesses will provide during negotiations to ensure </w:t>
      </w:r>
      <w:r w:rsidR="00F3115A">
        <w:t>connection applicants</w:t>
      </w:r>
      <w:r>
        <w:t xml:space="preserve"> are suitably informed for the negotiation and meet the relevant requirements of Water Act s.268(4). They must seek to ensure negotiations are clear and transparent, and consistent with NCC principles, statutory rights, obligations and relevant provisions in the Water Act (Division 6 of Part 13).</w:t>
      </w:r>
    </w:p>
    <w:p w14:paraId="5E1B236A" w14:textId="47705F46" w:rsidR="00E946D3" w:rsidRDefault="003E409D" w:rsidP="00905C41">
      <w:pPr>
        <w:pStyle w:val="Heading2"/>
        <w:ind w:left="851" w:hanging="851"/>
      </w:pPr>
      <w:bookmarkStart w:id="197" w:name="_Toc211246881"/>
      <w:r>
        <w:t>5.2</w:t>
      </w:r>
      <w:r>
        <w:tab/>
      </w:r>
      <w:bookmarkStart w:id="198" w:name="_Toc210127620"/>
      <w:r w:rsidR="00E946D3">
        <w:t>Information supporting standard NCC proposals</w:t>
      </w:r>
      <w:bookmarkEnd w:id="197"/>
      <w:bookmarkEnd w:id="198"/>
    </w:p>
    <w:p w14:paraId="522A85C7" w14:textId="6A9B7A09" w:rsidR="00E946D3" w:rsidRDefault="00E946D3" w:rsidP="00E946D3">
      <w:r>
        <w:t xml:space="preserve">Our future water price review guidance papers will </w:t>
      </w:r>
      <w:r w:rsidR="00D94205">
        <w:t>set out</w:t>
      </w:r>
      <w:r>
        <w:t xml:space="preserve"> that water businesses propos</w:t>
      </w:r>
      <w:r w:rsidR="00C1463F">
        <w:t>ing</w:t>
      </w:r>
      <w:r>
        <w:t xml:space="preserve"> standard NCCs must provide certain information for </w:t>
      </w:r>
      <w:r w:rsidR="00CE5D32">
        <w:t>the commission</w:t>
      </w:r>
      <w:r>
        <w:t xml:space="preserve"> to assess and approve them, including:</w:t>
      </w:r>
    </w:p>
    <w:p w14:paraId="445B0F31" w14:textId="653F234B" w:rsidR="00E946D3" w:rsidRDefault="00E946D3" w:rsidP="002B7C2E">
      <w:pPr>
        <w:pStyle w:val="ListBullet"/>
      </w:pPr>
      <w:r>
        <w:t>modelled NCC calculations and justified inputs for each standard NCC</w:t>
      </w:r>
    </w:p>
    <w:p w14:paraId="746293DA" w14:textId="6CB75E9E" w:rsidR="00E946D3" w:rsidRDefault="00BC3BFA" w:rsidP="002B7C2E">
      <w:pPr>
        <w:pStyle w:val="ListBullet"/>
      </w:pPr>
      <w:r>
        <w:t>Development Servicing Plans</w:t>
      </w:r>
      <w:r w:rsidR="00E946D3">
        <w:t xml:space="preserve"> for the service areas that will be eligible for each standard NCC</w:t>
      </w:r>
    </w:p>
    <w:p w14:paraId="04CF1639" w14:textId="01BC53FD" w:rsidR="00E946D3" w:rsidRDefault="00E946D3" w:rsidP="002B7C2E">
      <w:pPr>
        <w:pStyle w:val="ListBullet"/>
      </w:pPr>
      <w:r>
        <w:t>their policies for attributing costs and benefits to the incremental cost calculations underpinning their NCC calculation models</w:t>
      </w:r>
    </w:p>
    <w:p w14:paraId="17943E49" w14:textId="5238E3EA" w:rsidR="00E946D3" w:rsidRDefault="00E946D3" w:rsidP="002B7C2E">
      <w:pPr>
        <w:pStyle w:val="ListBullet"/>
      </w:pPr>
      <w:r>
        <w:t>evidence of assessment of incremental benefits.</w:t>
      </w:r>
    </w:p>
    <w:p w14:paraId="2D262520" w14:textId="51B5D6E6" w:rsidR="00E946D3" w:rsidRDefault="00E946D3" w:rsidP="002B7C2E">
      <w:pPr>
        <w:pStyle w:val="ListBullet"/>
      </w:pPr>
      <w:r>
        <w:t xml:space="preserve">evidence of compliance with the avoidable </w:t>
      </w:r>
      <w:r w:rsidR="00BC3BFA">
        <w:t>cost-</w:t>
      </w:r>
      <w:r>
        <w:t>efficient pricing bound in our NCC pricing principles.</w:t>
      </w:r>
    </w:p>
    <w:p w14:paraId="462CE632" w14:textId="77777777" w:rsidR="00E946D3" w:rsidRDefault="00E946D3" w:rsidP="0048016A">
      <w:pPr>
        <w:pStyle w:val="Heading3"/>
      </w:pPr>
      <w:bookmarkStart w:id="199" w:name="_Toc209447328"/>
      <w:bookmarkStart w:id="200" w:name="_Toc210028132"/>
      <w:bookmarkStart w:id="201" w:name="_Toc210127621"/>
      <w:bookmarkStart w:id="202" w:name="_Toc210908633"/>
      <w:bookmarkStart w:id="203" w:name="_Toc211246882"/>
      <w:r>
        <w:t>Modelled NCC calculations and justified inputs</w:t>
      </w:r>
      <w:bookmarkEnd w:id="199"/>
      <w:bookmarkEnd w:id="200"/>
      <w:bookmarkEnd w:id="201"/>
      <w:bookmarkEnd w:id="202"/>
      <w:bookmarkEnd w:id="203"/>
    </w:p>
    <w:p w14:paraId="4387E867" w14:textId="0911FD8E" w:rsidR="00E946D3" w:rsidRDefault="00E946D3" w:rsidP="00E946D3">
      <w:r>
        <w:t xml:space="preserve">A price submission must provide the model(s) used to calculate the maximum standard NCC charges including accompanying notes describing the data sources and input assumptions used. The model(s) must use the same financial parameters as in the </w:t>
      </w:r>
      <w:r w:rsidR="00530119">
        <w:t>commission’s Financial Model Template</w:t>
      </w:r>
      <w:r>
        <w:t>.</w:t>
      </w:r>
    </w:p>
    <w:p w14:paraId="18E31D2A" w14:textId="7274CA35" w:rsidR="00E946D3" w:rsidRDefault="00E946D3" w:rsidP="00E946D3">
      <w:r>
        <w:t xml:space="preserve">If a water business develops and </w:t>
      </w:r>
      <w:proofErr w:type="gramStart"/>
      <w:r>
        <w:t>submits</w:t>
      </w:r>
      <w:proofErr w:type="gramEnd"/>
      <w:r>
        <w:t xml:space="preserve"> a bespoke NCC model instead of using one of our illustrative working models, we expect comprehensive documentation to </w:t>
      </w:r>
      <w:r w:rsidR="003636B7">
        <w:t>help</w:t>
      </w:r>
      <w:r>
        <w:t xml:space="preserve"> the assessment of the model used. The </w:t>
      </w:r>
      <w:r w:rsidR="004B7EF3">
        <w:t>water</w:t>
      </w:r>
      <w:r>
        <w:t xml:space="preserve"> business must </w:t>
      </w:r>
      <w:proofErr w:type="gramStart"/>
      <w:r>
        <w:t>demonstrate</w:t>
      </w:r>
      <w:proofErr w:type="gramEnd"/>
      <w:r>
        <w:t xml:space="preserve"> to our satisfaction that this model meets the requirements of our guidance and the Water Act and delivers against the NCC pricing principles.</w:t>
      </w:r>
    </w:p>
    <w:p w14:paraId="5BE2881B" w14:textId="77777777" w:rsidR="00E946D3" w:rsidRDefault="00E946D3" w:rsidP="00E946D3">
      <w:r w:rsidRPr="000B2B91">
        <w:t>Section 6.1</w:t>
      </w:r>
      <w:r>
        <w:t xml:space="preserve"> explains how we will empower improved compliance with this requirement by developing and publishing user guides for an expanded suite of illustrative working models that:</w:t>
      </w:r>
    </w:p>
    <w:p w14:paraId="1C8C6853" w14:textId="49535B47" w:rsidR="00E946D3" w:rsidRDefault="00E946D3" w:rsidP="002B7C2E">
      <w:pPr>
        <w:pStyle w:val="ListBullet"/>
      </w:pPr>
      <w:r>
        <w:t>can be used to calculate NCCs in a range of circumstances</w:t>
      </w:r>
    </w:p>
    <w:p w14:paraId="518AFCF0" w14:textId="351E537C" w:rsidR="00E946D3" w:rsidRDefault="00E946D3" w:rsidP="002B7C2E">
      <w:pPr>
        <w:pStyle w:val="ListBullet"/>
      </w:pPr>
      <w:proofErr w:type="gramStart"/>
      <w:r>
        <w:t>comply with</w:t>
      </w:r>
      <w:proofErr w:type="gramEnd"/>
      <w:r>
        <w:t xml:space="preserve"> the NCC pricing principle required to calculate net incremental cost.</w:t>
      </w:r>
    </w:p>
    <w:p w14:paraId="5C165349" w14:textId="7F0EEFE2" w:rsidR="00E946D3" w:rsidRDefault="00E946D3" w:rsidP="006D292D">
      <w:pPr>
        <w:pStyle w:val="Heading3"/>
      </w:pPr>
      <w:bookmarkStart w:id="204" w:name="_Toc209447329"/>
      <w:bookmarkStart w:id="205" w:name="_Toc210028133"/>
      <w:bookmarkStart w:id="206" w:name="_Toc210127622"/>
      <w:bookmarkStart w:id="207" w:name="_Toc210908634"/>
      <w:bookmarkStart w:id="208" w:name="_Toc211246883"/>
      <w:r>
        <w:t xml:space="preserve">Development </w:t>
      </w:r>
      <w:bookmarkEnd w:id="204"/>
      <w:bookmarkEnd w:id="205"/>
      <w:bookmarkEnd w:id="206"/>
      <w:r w:rsidR="00530119">
        <w:t>Servicing Plans</w:t>
      </w:r>
      <w:bookmarkEnd w:id="207"/>
      <w:bookmarkEnd w:id="208"/>
    </w:p>
    <w:p w14:paraId="5F85F807" w14:textId="33D7B17D" w:rsidR="00E946D3" w:rsidRDefault="00E946D3" w:rsidP="00E946D3">
      <w:r>
        <w:t xml:space="preserve">Where a </w:t>
      </w:r>
      <w:r w:rsidR="004B7EF3">
        <w:t>water</w:t>
      </w:r>
      <w:r>
        <w:t xml:space="preserve"> business is proposing standard NCC’s we will require that </w:t>
      </w:r>
      <w:r w:rsidR="00530119">
        <w:t xml:space="preserve">Development Servicing Plans </w:t>
      </w:r>
      <w:r>
        <w:t>are published</w:t>
      </w:r>
      <w:r w:rsidR="00530119">
        <w:t>,</w:t>
      </w:r>
      <w:r>
        <w:t xml:space="preserve"> describing the expected timing and sequencing of development and infrastructure for the services and locations that will be eligible for the standard NCCs.  </w:t>
      </w:r>
    </w:p>
    <w:p w14:paraId="3188FC96" w14:textId="1B474404" w:rsidR="00E946D3" w:rsidRDefault="00E946D3" w:rsidP="00E946D3">
      <w:r>
        <w:t xml:space="preserve">The commission requires that </w:t>
      </w:r>
      <w:r w:rsidR="00530119">
        <w:t xml:space="preserve">Development Servicing Plans </w:t>
      </w:r>
      <w:r>
        <w:t>should meet the following conditions:</w:t>
      </w:r>
    </w:p>
    <w:p w14:paraId="6F4ECA60" w14:textId="4C51CD97" w:rsidR="00E946D3" w:rsidRDefault="00E946D3" w:rsidP="002B7C2E">
      <w:pPr>
        <w:pStyle w:val="ListBullet"/>
      </w:pPr>
      <w:r>
        <w:t xml:space="preserve">are made publicly available on </w:t>
      </w:r>
      <w:r w:rsidR="00F51AFD">
        <w:t xml:space="preserve">the </w:t>
      </w:r>
      <w:r>
        <w:t>water business’</w:t>
      </w:r>
      <w:r w:rsidR="00F51AFD">
        <w:t>s</w:t>
      </w:r>
      <w:r>
        <w:t xml:space="preserve"> website and </w:t>
      </w:r>
      <w:r w:rsidR="00583979">
        <w:t>given</w:t>
      </w:r>
      <w:r>
        <w:t xml:space="preserve"> during price reviews</w:t>
      </w:r>
    </w:p>
    <w:p w14:paraId="3CB6B472" w14:textId="5E9505A1" w:rsidR="00E946D3" w:rsidRDefault="00E946D3" w:rsidP="002B7C2E">
      <w:pPr>
        <w:pStyle w:val="ListBullet"/>
      </w:pPr>
      <w:r>
        <w:t>describe the expected timing and sequencing of development and infrastructure delivery to various locations</w:t>
      </w:r>
    </w:p>
    <w:p w14:paraId="48353EB9" w14:textId="3017120A" w:rsidR="00E946D3" w:rsidRDefault="00E946D3" w:rsidP="002B7C2E">
      <w:pPr>
        <w:pStyle w:val="ListBullet"/>
      </w:pPr>
      <w:r>
        <w:t>provide the connection applicant with sufficient information to enable informed negotiations</w:t>
      </w:r>
      <w:r w:rsidR="000301A2">
        <w:t xml:space="preserve"> and transparent assessment of bring forward costs</w:t>
      </w:r>
    </w:p>
    <w:p w14:paraId="414B91DE" w14:textId="67B7DC61" w:rsidR="00E946D3" w:rsidRDefault="00E946D3" w:rsidP="002B7C2E">
      <w:pPr>
        <w:pStyle w:val="ListBullet"/>
      </w:pPr>
      <w:r>
        <w:t>are reviewed regularly and updated whenever changes occur</w:t>
      </w:r>
      <w:r w:rsidR="0089288F">
        <w:t>.</w:t>
      </w:r>
    </w:p>
    <w:p w14:paraId="0B27CC51" w14:textId="1549F0B1" w:rsidR="00E946D3" w:rsidRDefault="00A74F73" w:rsidP="00E946D3">
      <w:r>
        <w:t xml:space="preserve">The </w:t>
      </w:r>
      <w:r w:rsidR="00E946D3">
        <w:t xml:space="preserve">Minimum content we </w:t>
      </w:r>
      <w:proofErr w:type="gramStart"/>
      <w:r w:rsidR="00E946D3">
        <w:t>require</w:t>
      </w:r>
      <w:proofErr w:type="gramEnd"/>
      <w:r w:rsidR="00E946D3">
        <w:t xml:space="preserve"> in a </w:t>
      </w:r>
      <w:r w:rsidR="00530119">
        <w:t xml:space="preserve">Development Servicing Plan </w:t>
      </w:r>
      <w:r w:rsidR="00931572">
        <w:t>is set out in Appendix B</w:t>
      </w:r>
      <w:r w:rsidR="00217D4D">
        <w:t>.</w:t>
      </w:r>
    </w:p>
    <w:p w14:paraId="5F68E1A9" w14:textId="4171B67F" w:rsidR="009441C1" w:rsidRPr="00304C4A" w:rsidRDefault="001727CB" w:rsidP="004F08AD">
      <w:r>
        <w:t>A</w:t>
      </w:r>
      <w:r w:rsidR="009441C1" w:rsidRPr="00304C4A">
        <w:t xml:space="preserve"> DSP is not </w:t>
      </w:r>
      <w:proofErr w:type="gramStart"/>
      <w:r w:rsidR="009441C1" w:rsidRPr="00304C4A">
        <w:t>required</w:t>
      </w:r>
      <w:proofErr w:type="gramEnd"/>
      <w:r>
        <w:t xml:space="preserve"> where a</w:t>
      </w:r>
      <w:r w:rsidR="009441C1" w:rsidRPr="00304C4A">
        <w:t>:</w:t>
      </w:r>
    </w:p>
    <w:p w14:paraId="55A5FD7D" w14:textId="2EB48C52" w:rsidR="009441C1" w:rsidRPr="00304C4A" w:rsidRDefault="009441C1" w:rsidP="004F08AD">
      <w:pPr>
        <w:pStyle w:val="ListParagraph"/>
        <w:numPr>
          <w:ilvl w:val="0"/>
          <w:numId w:val="60"/>
        </w:numPr>
      </w:pPr>
      <w:r w:rsidRPr="00304C4A">
        <w:t>proposed standard NCC relates to an infill area that is not the subject of a DSP</w:t>
      </w:r>
    </w:p>
    <w:p w14:paraId="5BFA903B" w14:textId="3080DF79" w:rsidR="009441C1" w:rsidRPr="00304C4A" w:rsidRDefault="009441C1" w:rsidP="004F08AD">
      <w:pPr>
        <w:pStyle w:val="ListParagraph"/>
        <w:numPr>
          <w:ilvl w:val="0"/>
          <w:numId w:val="60"/>
        </w:numPr>
      </w:pPr>
      <w:r w:rsidRPr="00304C4A">
        <w:t xml:space="preserve">regional water business relies upon local government plans rather than its own DSPs, it should provide these plans and </w:t>
      </w:r>
      <w:proofErr w:type="gramStart"/>
      <w:r w:rsidRPr="00304C4A">
        <w:t>demonstrate</w:t>
      </w:r>
      <w:proofErr w:type="gramEnd"/>
      <w:r w:rsidRPr="00304C4A">
        <w:t xml:space="preserve"> how its forecast incremental costs are consistent with those plans. </w:t>
      </w:r>
    </w:p>
    <w:p w14:paraId="799827D0" w14:textId="77777777" w:rsidR="00E946D3" w:rsidRDefault="00E946D3" w:rsidP="003F7B95">
      <w:pPr>
        <w:pStyle w:val="Heading3"/>
      </w:pPr>
      <w:bookmarkStart w:id="209" w:name="_Toc209447330"/>
      <w:bookmarkStart w:id="210" w:name="_Toc210028134"/>
      <w:bookmarkStart w:id="211" w:name="_Toc210127623"/>
      <w:bookmarkStart w:id="212" w:name="_Toc210908635"/>
      <w:bookmarkStart w:id="213" w:name="_Toc211246884"/>
      <w:r>
        <w:t>Cost and benefit attribution policies</w:t>
      </w:r>
      <w:bookmarkEnd w:id="209"/>
      <w:bookmarkEnd w:id="210"/>
      <w:bookmarkEnd w:id="211"/>
      <w:bookmarkEnd w:id="212"/>
      <w:bookmarkEnd w:id="213"/>
    </w:p>
    <w:p w14:paraId="6DB9FBE1" w14:textId="3E8FC78C" w:rsidR="00E946D3" w:rsidRDefault="00E946D3" w:rsidP="00E946D3">
      <w:r>
        <w:t xml:space="preserve">Water businesses proposing standard NCCs must </w:t>
      </w:r>
      <w:r w:rsidR="00D35E86">
        <w:t>keep</w:t>
      </w:r>
      <w:r>
        <w:t xml:space="preserve"> and </w:t>
      </w:r>
      <w:proofErr w:type="gramStart"/>
      <w:r>
        <w:t>submit</w:t>
      </w:r>
      <w:proofErr w:type="gramEnd"/>
      <w:r>
        <w:t xml:space="preserve"> a cost and </w:t>
      </w:r>
      <w:proofErr w:type="gramStart"/>
      <w:r>
        <w:t>benefit</w:t>
      </w:r>
      <w:proofErr w:type="gramEnd"/>
      <w:r>
        <w:t xml:space="preserve"> attribution policy. </w:t>
      </w:r>
      <w:r w:rsidR="0028567B">
        <w:t xml:space="preserve">This policy must </w:t>
      </w:r>
      <w:r w:rsidR="007D407F">
        <w:t>clearly explain</w:t>
      </w:r>
      <w:r>
        <w:t xml:space="preserve"> the incremental cost estimation approach used and the </w:t>
      </w:r>
      <w:r w:rsidR="00890332">
        <w:t xml:space="preserve">underlying </w:t>
      </w:r>
      <w:r>
        <w:t>assumptions. Th</w:t>
      </w:r>
      <w:r w:rsidR="00C952AD">
        <w:t>is</w:t>
      </w:r>
      <w:r>
        <w:t xml:space="preserve"> approach should be </w:t>
      </w:r>
      <w:r w:rsidR="00C952AD">
        <w:t>applied consistently</w:t>
      </w:r>
      <w:r>
        <w:t xml:space="preserve"> over time and </w:t>
      </w:r>
      <w:r w:rsidR="004D4259">
        <w:t>enable</w:t>
      </w:r>
      <w:r>
        <w:t xml:space="preserve"> replicable cost estimat</w:t>
      </w:r>
      <w:r w:rsidR="001421B9">
        <w:t>es</w:t>
      </w:r>
      <w:r>
        <w:t xml:space="preserve"> </w:t>
      </w:r>
      <w:r w:rsidR="006A1A92">
        <w:t xml:space="preserve">and benefits assessments </w:t>
      </w:r>
      <w:r>
        <w:t>based on the information in the policy.</w:t>
      </w:r>
    </w:p>
    <w:p w14:paraId="1E9BD4DC" w14:textId="5E5A92FE" w:rsidR="001E0755" w:rsidRDefault="006B2D29" w:rsidP="00E946D3">
      <w:r>
        <w:t>The cost and benefit attribution policy</w:t>
      </w:r>
      <w:r w:rsidR="00E946D3">
        <w:t xml:space="preserve"> should address </w:t>
      </w:r>
      <w:r>
        <w:t>(where relev</w:t>
      </w:r>
      <w:r w:rsidR="001E0755">
        <w:t>ant) the:</w:t>
      </w:r>
    </w:p>
    <w:p w14:paraId="3BAF07F5" w14:textId="77777777" w:rsidR="001E0755" w:rsidRDefault="00E946D3" w:rsidP="001E0755">
      <w:pPr>
        <w:pStyle w:val="ListBullet"/>
      </w:pPr>
      <w:r>
        <w:t>types of attributed assets and costs</w:t>
      </w:r>
    </w:p>
    <w:p w14:paraId="6DAD2C77" w14:textId="6DD39B74" w:rsidR="001E0755" w:rsidRDefault="00E946D3" w:rsidP="001E0755">
      <w:pPr>
        <w:pStyle w:val="ListBullet"/>
      </w:pPr>
      <w:r>
        <w:t>allocators used</w:t>
      </w:r>
    </w:p>
    <w:p w14:paraId="227D67B2" w14:textId="0DE215B9" w:rsidR="001E0755" w:rsidRDefault="00E946D3" w:rsidP="001E0755">
      <w:pPr>
        <w:pStyle w:val="ListBullet"/>
      </w:pPr>
      <w:r>
        <w:t>treatment of sunk costs</w:t>
      </w:r>
    </w:p>
    <w:p w14:paraId="1300E392" w14:textId="7212F911" w:rsidR="00E946D3" w:rsidRDefault="00E946D3" w:rsidP="000D3A3E">
      <w:pPr>
        <w:pStyle w:val="ListBullet"/>
      </w:pPr>
      <w:r>
        <w:t xml:space="preserve">consideration of avoided cost benefits. </w:t>
      </w:r>
    </w:p>
    <w:p w14:paraId="24272332" w14:textId="1424C760" w:rsidR="00E946D3" w:rsidRDefault="00FF26C0" w:rsidP="00E946D3">
      <w:r>
        <w:t>Although this is not a</w:t>
      </w:r>
      <w:r w:rsidR="00E946D3">
        <w:t xml:space="preserve"> requirement for negotiated NCCs, under the Water Act such information should be </w:t>
      </w:r>
      <w:r w:rsidR="00E30285">
        <w:t xml:space="preserve">made </w:t>
      </w:r>
      <w:r w:rsidR="00E946D3">
        <w:t>available during a negotiation to support a</w:t>
      </w:r>
      <w:r w:rsidR="00123935">
        <w:t>ny</w:t>
      </w:r>
      <w:r w:rsidR="002C0C2F">
        <w:t xml:space="preserve"> </w:t>
      </w:r>
      <w:r w:rsidR="00E946D3">
        <w:t>proposed NCC.</w:t>
      </w:r>
      <w:r w:rsidR="003A3146">
        <w:rPr>
          <w:rStyle w:val="FootnoteReference"/>
        </w:rPr>
        <w:footnoteReference w:id="21"/>
      </w:r>
      <w:r w:rsidR="00E946D3">
        <w:t xml:space="preserve">   </w:t>
      </w:r>
    </w:p>
    <w:p w14:paraId="0C7DEFC3" w14:textId="77777777" w:rsidR="00E946D3" w:rsidRDefault="00E946D3" w:rsidP="00C65CC6">
      <w:pPr>
        <w:pStyle w:val="Heading3"/>
      </w:pPr>
      <w:bookmarkStart w:id="214" w:name="_Toc209447331"/>
      <w:bookmarkStart w:id="215" w:name="_Toc210028135"/>
      <w:bookmarkStart w:id="216" w:name="_Toc210127624"/>
      <w:bookmarkStart w:id="217" w:name="_Toc210908636"/>
      <w:bookmarkStart w:id="218" w:name="_Toc211246885"/>
      <w:r>
        <w:t>Assessment of incremental benefits</w:t>
      </w:r>
      <w:bookmarkEnd w:id="214"/>
      <w:bookmarkEnd w:id="215"/>
      <w:bookmarkEnd w:id="216"/>
      <w:bookmarkEnd w:id="217"/>
      <w:bookmarkEnd w:id="218"/>
    </w:p>
    <w:p w14:paraId="4BEE9541" w14:textId="7FB15164" w:rsidR="00E946D3" w:rsidRDefault="00604152" w:rsidP="00E946D3">
      <w:r>
        <w:t>W</w:t>
      </w:r>
      <w:r w:rsidR="00E946D3">
        <w:t>ater business</w:t>
      </w:r>
      <w:r>
        <w:t>es</w:t>
      </w:r>
      <w:r w:rsidR="00E946D3">
        <w:t xml:space="preserve"> proposing standard NCCs must provide evidence that they have considered incremental benefits </w:t>
      </w:r>
      <w:r w:rsidR="009F0FF2">
        <w:t>in calculating</w:t>
      </w:r>
      <w:r w:rsidR="00E946D3">
        <w:t xml:space="preserve"> standard NCCs. One way to do this will be to include the present day </w:t>
      </w:r>
      <w:r w:rsidR="00A12BB8">
        <w:t>value</w:t>
      </w:r>
      <w:r w:rsidR="00E946D3">
        <w:t xml:space="preserve"> of incremental revenues in their NCC calculations. Our </w:t>
      </w:r>
      <w:r w:rsidR="00324401">
        <w:t>preferred</w:t>
      </w:r>
      <w:r w:rsidR="00E946D3">
        <w:t xml:space="preserve"> NCC calculation illustrative working models discussed in section </w:t>
      </w:r>
      <w:r w:rsidR="00E946D3" w:rsidRPr="000B2B91">
        <w:t>6.1</w:t>
      </w:r>
      <w:r w:rsidR="00E946D3">
        <w:t xml:space="preserve"> will support compliance with this requirement.</w:t>
      </w:r>
    </w:p>
    <w:p w14:paraId="37E924A5" w14:textId="40D2487E" w:rsidR="00E946D3" w:rsidRDefault="00E946D3" w:rsidP="00E946D3">
      <w:r>
        <w:t xml:space="preserve">Water businesses proposing standard NCCs must </w:t>
      </w:r>
      <w:r w:rsidR="00296423">
        <w:t>show</w:t>
      </w:r>
      <w:r w:rsidR="0066387C">
        <w:t xml:space="preserve"> that their incre</w:t>
      </w:r>
      <w:r w:rsidR="009B1775">
        <w:t xml:space="preserve">mental cost assessment </w:t>
      </w:r>
      <w:proofErr w:type="gramStart"/>
      <w:r w:rsidR="00BF3A58">
        <w:t>complies with</w:t>
      </w:r>
      <w:proofErr w:type="gramEnd"/>
      <w:r w:rsidR="00BF3A58">
        <w:t xml:space="preserve"> the </w:t>
      </w:r>
      <w:r>
        <w:t>avoidable cost bound</w:t>
      </w:r>
      <w:r w:rsidR="00374CD7">
        <w:t>s</w:t>
      </w:r>
      <w:r>
        <w:t xml:space="preserve"> </w:t>
      </w:r>
      <w:r w:rsidR="00715989">
        <w:t xml:space="preserve">set out </w:t>
      </w:r>
      <w:r>
        <w:t>in our NCC pricing principles</w:t>
      </w:r>
      <w:r w:rsidR="005E2857">
        <w:t>.</w:t>
      </w:r>
      <w:r>
        <w:t xml:space="preserve"> </w:t>
      </w:r>
      <w:r w:rsidR="00893D9D">
        <w:t>This en</w:t>
      </w:r>
      <w:r w:rsidR="00591D06">
        <w:t>sures that</w:t>
      </w:r>
      <w:r w:rsidR="004F2639">
        <w:t xml:space="preserve"> standard NCCs do not create</w:t>
      </w:r>
      <w:r>
        <w:t xml:space="preserve"> uneconomic subsidies </w:t>
      </w:r>
      <w:r w:rsidR="00E65A54">
        <w:t xml:space="preserve">that would affect the broader customer base. </w:t>
      </w:r>
    </w:p>
    <w:p w14:paraId="15582D01" w14:textId="55615A73" w:rsidR="0033357D" w:rsidRDefault="00E946D3" w:rsidP="00E946D3">
      <w:r w:rsidRPr="000B2B91">
        <w:t>Section 6.2</w:t>
      </w:r>
      <w:r>
        <w:t xml:space="preserve"> </w:t>
      </w:r>
      <w:r w:rsidR="00282408">
        <w:t>outlines</w:t>
      </w:r>
      <w:r>
        <w:t xml:space="preserve"> cost estimation methods </w:t>
      </w:r>
      <w:r w:rsidR="00152B25">
        <w:t>for</w:t>
      </w:r>
      <w:r>
        <w:t xml:space="preserve"> assessing avoidable cost compliance</w:t>
      </w:r>
      <w:r w:rsidR="005136A7">
        <w:t xml:space="preserve">. We </w:t>
      </w:r>
      <w:r>
        <w:t xml:space="preserve">will include the avoidable cost compliance tests in our illustrative working NCC calculation models discussed in </w:t>
      </w:r>
      <w:r w:rsidRPr="00B260D0">
        <w:t>section 6.1.</w:t>
      </w:r>
    </w:p>
    <w:p w14:paraId="1F785A59" w14:textId="77777777" w:rsidR="00AF21BD" w:rsidRDefault="00AF21BD" w:rsidP="0033357D">
      <w:pPr>
        <w:sectPr w:rsidR="00AF21BD" w:rsidSect="0033357D">
          <w:footerReference w:type="default" r:id="rId33"/>
          <w:pgSz w:w="11906" w:h="16838" w:code="9"/>
          <w:pgMar w:top="1134" w:right="1134" w:bottom="1134" w:left="1134" w:header="709" w:footer="692" w:gutter="0"/>
          <w:cols w:space="708"/>
          <w:docGrid w:linePitch="360"/>
        </w:sectPr>
      </w:pPr>
    </w:p>
    <w:p w14:paraId="2B4AB3A8" w14:textId="6F9CD34D" w:rsidR="0033357D" w:rsidRDefault="00496A52" w:rsidP="00905C41">
      <w:pPr>
        <w:pStyle w:val="Heading1"/>
        <w:ind w:left="567" w:hanging="567"/>
      </w:pPr>
      <w:bookmarkStart w:id="219" w:name="_Toc211246886"/>
      <w:r>
        <w:t>6.</w:t>
      </w:r>
      <w:r>
        <w:tab/>
      </w:r>
      <w:bookmarkStart w:id="220" w:name="_Toc210127625"/>
      <w:r w:rsidR="0033357D" w:rsidRPr="0033357D">
        <w:t>Empowering NCC calculations and negotiations</w:t>
      </w:r>
      <w:bookmarkEnd w:id="219"/>
      <w:bookmarkEnd w:id="220"/>
    </w:p>
    <w:p w14:paraId="55F9F1E0" w14:textId="73490AD4" w:rsidR="008E11B6" w:rsidRDefault="003E409D" w:rsidP="007A0802">
      <w:pPr>
        <w:pStyle w:val="Heading2"/>
        <w:ind w:left="851" w:hanging="851"/>
      </w:pPr>
      <w:bookmarkStart w:id="221" w:name="_Toc211246887"/>
      <w:r>
        <w:t>6.1</w:t>
      </w:r>
      <w:r>
        <w:tab/>
      </w:r>
      <w:bookmarkStart w:id="222" w:name="_Toc210127626"/>
      <w:r w:rsidR="008E11B6">
        <w:t>NCC calculation models</w:t>
      </w:r>
      <w:bookmarkEnd w:id="221"/>
      <w:bookmarkEnd w:id="222"/>
    </w:p>
    <w:p w14:paraId="70C0FBBC" w14:textId="3232529B" w:rsidR="008E11B6" w:rsidRDefault="008E11B6" w:rsidP="008E11B6">
      <w:r>
        <w:t>We will empower improved transparency in and compliance of NCC calculations by developing and publishing illustrative working models and model user guides. These models will:</w:t>
      </w:r>
    </w:p>
    <w:p w14:paraId="6DA36E6C" w14:textId="77777777" w:rsidR="006E2DF9" w:rsidRDefault="008E11B6" w:rsidP="002B7C2E">
      <w:pPr>
        <w:pStyle w:val="ListBullet"/>
      </w:pPr>
      <w:r>
        <w:t xml:space="preserve">be </w:t>
      </w:r>
      <w:r w:rsidR="001631DB">
        <w:t>our preferre</w:t>
      </w:r>
      <w:r w:rsidR="0069664E">
        <w:t>d models</w:t>
      </w:r>
      <w:r>
        <w:t xml:space="preserve"> for water businesses to use when calculating NCCs in a range of circumstances</w:t>
      </w:r>
    </w:p>
    <w:p w14:paraId="36864193" w14:textId="6A551E7B" w:rsidR="008E11B6" w:rsidRDefault="008E11B6" w:rsidP="002B7C2E">
      <w:pPr>
        <w:pStyle w:val="ListBullet"/>
      </w:pPr>
      <w:r>
        <w:t xml:space="preserve">support </w:t>
      </w:r>
      <w:r w:rsidR="006E2DF9">
        <w:t xml:space="preserve">water businesses </w:t>
      </w:r>
      <w:r>
        <w:t>to provide compliant calculations for a range of circumstances</w:t>
      </w:r>
    </w:p>
    <w:p w14:paraId="578E7BFE" w14:textId="2FC8CF7A" w:rsidR="008E11B6" w:rsidRDefault="008E11B6" w:rsidP="002B7C2E">
      <w:pPr>
        <w:pStyle w:val="ListBullet"/>
      </w:pPr>
      <w:r>
        <w:t xml:space="preserve">provide a resource to connection applicants </w:t>
      </w:r>
      <w:r w:rsidR="005474DF">
        <w:t>looking</w:t>
      </w:r>
      <w:r>
        <w:t xml:space="preserve"> to perform due diligence on the reasonableness and likely compliance of NCCs proposed by water businesses.</w:t>
      </w:r>
    </w:p>
    <w:p w14:paraId="1037A614" w14:textId="3A15F3C0" w:rsidR="008E11B6" w:rsidRDefault="003E409D" w:rsidP="00905C41">
      <w:pPr>
        <w:pStyle w:val="Heading2"/>
        <w:ind w:left="851" w:hanging="851"/>
      </w:pPr>
      <w:bookmarkStart w:id="223" w:name="_Toc211246888"/>
      <w:r>
        <w:t>6.2</w:t>
      </w:r>
      <w:r>
        <w:tab/>
      </w:r>
      <w:bookmarkStart w:id="224" w:name="_Toc210127627"/>
      <w:r w:rsidR="008E11B6">
        <w:t>Examples of cost estimation methods</w:t>
      </w:r>
      <w:bookmarkEnd w:id="223"/>
      <w:bookmarkEnd w:id="224"/>
    </w:p>
    <w:p w14:paraId="41EB08D5" w14:textId="72813C97" w:rsidR="008E11B6" w:rsidRDefault="008E11B6" w:rsidP="008E11B6">
      <w:r>
        <w:t xml:space="preserve">Water businesses have broad discretion for choosing how they estimate incremental costs. </w:t>
      </w:r>
      <w:r w:rsidR="000076E6">
        <w:t>We have set out a range of possible estimation methods for water businesses to</w:t>
      </w:r>
      <w:r>
        <w:t xml:space="preserve"> support transparency and ease of NCC administration and compliance demonstration. </w:t>
      </w:r>
    </w:p>
    <w:p w14:paraId="70BEBCBA" w14:textId="0C641B1F" w:rsidR="008E11B6" w:rsidRDefault="008E11B6" w:rsidP="008E11B6">
      <w:r>
        <w:t>These methods can be used in combination</w:t>
      </w:r>
      <w:r w:rsidR="00F51AFD">
        <w:t xml:space="preserve"> and allow </w:t>
      </w:r>
      <w:r w:rsidR="004B7EF3">
        <w:t>water</w:t>
      </w:r>
      <w:r w:rsidR="00F51AFD">
        <w:t xml:space="preserve"> b</w:t>
      </w:r>
      <w:r>
        <w:t xml:space="preserve">usinesses to specify: </w:t>
      </w:r>
    </w:p>
    <w:p w14:paraId="16B8B45E" w14:textId="62FE5E12" w:rsidR="007C7ADD" w:rsidRPr="00801EC6" w:rsidRDefault="007C7ADD" w:rsidP="002B7C2E">
      <w:pPr>
        <w:pStyle w:val="ListBullet"/>
      </w:pPr>
      <w:r>
        <w:rPr>
          <w:b/>
          <w:bCs/>
        </w:rPr>
        <w:t>C</w:t>
      </w:r>
      <w:r w:rsidRPr="00801EC6">
        <w:rPr>
          <w:b/>
          <w:bCs/>
        </w:rPr>
        <w:t xml:space="preserve">ustomer </w:t>
      </w:r>
      <w:r w:rsidR="008E11B6" w:rsidRPr="00801EC6">
        <w:rPr>
          <w:b/>
        </w:rPr>
        <w:t xml:space="preserve">specific </w:t>
      </w:r>
      <w:r w:rsidR="00F51AFD" w:rsidRPr="00801EC6">
        <w:rPr>
          <w:b/>
        </w:rPr>
        <w:t>incremental cost</w:t>
      </w:r>
    </w:p>
    <w:p w14:paraId="605B143E" w14:textId="684D6663" w:rsidR="008E11B6" w:rsidRDefault="007C7ADD" w:rsidP="000A5A79">
      <w:pPr>
        <w:pStyle w:val="ListBullet2"/>
        <w:ind w:left="709"/>
      </w:pPr>
      <w:r>
        <w:t>The</w:t>
      </w:r>
      <w:r w:rsidR="008E11B6">
        <w:t xml:space="preserve"> costs associated with a specific connection. For example, reticulated assets and network extensions to connect out of sequence developments.</w:t>
      </w:r>
    </w:p>
    <w:p w14:paraId="455BA757" w14:textId="7C5DD63A" w:rsidR="007C7ADD" w:rsidRPr="00801EC6" w:rsidRDefault="007C7ADD" w:rsidP="002B7C2E">
      <w:pPr>
        <w:pStyle w:val="ListBullet"/>
      </w:pPr>
      <w:r>
        <w:rPr>
          <w:b/>
          <w:bCs/>
        </w:rPr>
        <w:t>S</w:t>
      </w:r>
      <w:r w:rsidRPr="00801EC6">
        <w:rPr>
          <w:b/>
          <w:bCs/>
        </w:rPr>
        <w:t xml:space="preserve">hared </w:t>
      </w:r>
      <w:r w:rsidR="008E11B6" w:rsidRPr="00801EC6">
        <w:rPr>
          <w:b/>
        </w:rPr>
        <w:t>network</w:t>
      </w:r>
      <w:r w:rsidR="00F51AFD" w:rsidRPr="00801EC6">
        <w:rPr>
          <w:b/>
        </w:rPr>
        <w:t xml:space="preserve"> incremental cost</w:t>
      </w:r>
    </w:p>
    <w:p w14:paraId="21248549" w14:textId="36F06F59" w:rsidR="008E11B6" w:rsidRDefault="00D5384F" w:rsidP="000A5A79">
      <w:pPr>
        <w:pStyle w:val="ListBullet2"/>
        <w:ind w:left="709"/>
      </w:pPr>
      <w:r>
        <w:t>The</w:t>
      </w:r>
      <w:r w:rsidR="008E11B6">
        <w:t xml:space="preserve"> costs related to augmentation of local network or system-wide </w:t>
      </w:r>
      <w:proofErr w:type="gramStart"/>
      <w:r w:rsidR="008E11B6">
        <w:t>capacity</w:t>
      </w:r>
      <w:proofErr w:type="gramEnd"/>
      <w:r w:rsidR="008E11B6">
        <w:t xml:space="preserve">. These costs are related to pre-building or planning sufficient system </w:t>
      </w:r>
      <w:proofErr w:type="gramStart"/>
      <w:r w:rsidR="008E11B6">
        <w:t>capacity</w:t>
      </w:r>
      <w:proofErr w:type="gramEnd"/>
      <w:r w:rsidR="008E11B6">
        <w:t xml:space="preserve"> to manage expected growth. This can be captured in the long-run marginal cost of supplying the service, which water businesses should already be developing in their long-term forward plans.</w:t>
      </w:r>
    </w:p>
    <w:p w14:paraId="6FCCDD91" w14:textId="59C52837" w:rsidR="003E409D" w:rsidRDefault="008E11B6" w:rsidP="00801EC6">
      <w:r>
        <w:t>Table 6.1 provides a non-exhaustive list of estimation methods</w:t>
      </w:r>
      <w:r w:rsidR="00F51AFD">
        <w:t xml:space="preserve"> and how they can be used</w:t>
      </w:r>
      <w:r w:rsidR="00D5384F">
        <w:t>. This includes</w:t>
      </w:r>
      <w:r w:rsidR="00F51AFD">
        <w:t xml:space="preserve"> how the</w:t>
      </w:r>
      <w:r w:rsidR="00D5384F">
        <w:t xml:space="preserve"> methods </w:t>
      </w:r>
      <w:r w:rsidR="00F51AFD">
        <w:t xml:space="preserve">can help </w:t>
      </w:r>
      <w:r w:rsidR="007A4938">
        <w:t>show</w:t>
      </w:r>
      <w:r>
        <w:t xml:space="preserve"> compliance with the avoidable </w:t>
      </w:r>
      <w:r w:rsidR="00F57920">
        <w:t>cost-</w:t>
      </w:r>
      <w:r>
        <w:t>efficient pricing bound in our NCC pricing principles.</w:t>
      </w:r>
    </w:p>
    <w:p w14:paraId="3EEDA78D" w14:textId="5B9E39E2" w:rsidR="0033357D" w:rsidRDefault="008E11B6" w:rsidP="00801EC6">
      <w:pPr>
        <w:pStyle w:val="Figure-Table-BoxHeading"/>
        <w:keepNext/>
        <w:keepLines/>
        <w:numPr>
          <w:ilvl w:val="0"/>
          <w:numId w:val="0"/>
        </w:numPr>
      </w:pPr>
      <w:r w:rsidRPr="00FB0EE3">
        <w:t xml:space="preserve">Table 6.1 </w:t>
      </w:r>
      <w:r w:rsidR="00C60613" w:rsidRPr="00DC773E">
        <w:rPr>
          <w:b w:val="0"/>
        </w:rPr>
        <w:tab/>
      </w:r>
      <w:r w:rsidRPr="00DC773E">
        <w:rPr>
          <w:b w:val="0"/>
        </w:rPr>
        <w:t>Examples of incremental cost estimation methods</w:t>
      </w:r>
    </w:p>
    <w:tbl>
      <w:tblPr>
        <w:tblStyle w:val="TableGrid"/>
        <w:tblW w:w="0" w:type="auto"/>
        <w:tblLook w:val="04A0" w:firstRow="1" w:lastRow="0" w:firstColumn="1" w:lastColumn="0" w:noHBand="0" w:noVBand="1"/>
      </w:tblPr>
      <w:tblGrid>
        <w:gridCol w:w="1842"/>
        <w:gridCol w:w="3825"/>
        <w:gridCol w:w="1276"/>
        <w:gridCol w:w="1279"/>
        <w:gridCol w:w="1416"/>
      </w:tblGrid>
      <w:tr w:rsidR="00F33D6C" w14:paraId="773A5A1D" w14:textId="77777777" w:rsidTr="00ED3DD6">
        <w:trPr>
          <w:cnfStyle w:val="100000000000" w:firstRow="1" w:lastRow="0" w:firstColumn="0" w:lastColumn="0" w:oddVBand="0" w:evenVBand="0" w:oddHBand="0" w:evenHBand="0" w:firstRowFirstColumn="0" w:firstRowLastColumn="0" w:lastRowFirstColumn="0" w:lastRowLastColumn="0"/>
          <w:trHeight w:val="197"/>
        </w:trPr>
        <w:tc>
          <w:tcPr>
            <w:tcW w:w="1843" w:type="dxa"/>
            <w:vMerge w:val="restart"/>
          </w:tcPr>
          <w:p w14:paraId="38D1AF41" w14:textId="0FBEFA44" w:rsidR="00F33D6C" w:rsidRDefault="00F33D6C" w:rsidP="00801EC6">
            <w:pPr>
              <w:pStyle w:val="TableHeading"/>
              <w:keepNext/>
              <w:keepLines/>
            </w:pPr>
            <w:r w:rsidRPr="005734AB">
              <w:t xml:space="preserve">Method </w:t>
            </w:r>
          </w:p>
        </w:tc>
        <w:tc>
          <w:tcPr>
            <w:tcW w:w="3827" w:type="dxa"/>
            <w:vMerge w:val="restart"/>
          </w:tcPr>
          <w:p w14:paraId="5F3D27C1" w14:textId="3A171081" w:rsidR="00F33D6C" w:rsidRDefault="00F33D6C" w:rsidP="00801EC6">
            <w:pPr>
              <w:pStyle w:val="TableHeading"/>
              <w:keepNext/>
              <w:keepLines/>
            </w:pPr>
            <w:r w:rsidRPr="005734AB">
              <w:t>Description</w:t>
            </w:r>
          </w:p>
        </w:tc>
        <w:tc>
          <w:tcPr>
            <w:tcW w:w="3968" w:type="dxa"/>
            <w:gridSpan w:val="3"/>
          </w:tcPr>
          <w:p w14:paraId="726A6890" w14:textId="2054870F" w:rsidR="00F33D6C" w:rsidRDefault="00F33D6C" w:rsidP="00801EC6">
            <w:pPr>
              <w:pStyle w:val="TableHeading"/>
              <w:keepNext/>
              <w:keepLines/>
              <w:jc w:val="center"/>
            </w:pPr>
            <w:r w:rsidRPr="141FC085">
              <w:rPr>
                <w:lang w:val="en-AU"/>
              </w:rPr>
              <w:t>Possible use cases</w:t>
            </w:r>
          </w:p>
        </w:tc>
      </w:tr>
      <w:tr w:rsidR="00383258" w14:paraId="68EE9F20" w14:textId="77777777" w:rsidTr="141FC085">
        <w:trPr>
          <w:cnfStyle w:val="000000100000" w:firstRow="0" w:lastRow="0" w:firstColumn="0" w:lastColumn="0" w:oddVBand="0" w:evenVBand="0" w:oddHBand="1" w:evenHBand="0" w:firstRowFirstColumn="0" w:firstRowLastColumn="0" w:lastRowFirstColumn="0" w:lastRowLastColumn="0"/>
          <w:trHeight w:val="196"/>
        </w:trPr>
        <w:tc>
          <w:tcPr>
            <w:tcW w:w="1843" w:type="dxa"/>
            <w:vMerge/>
          </w:tcPr>
          <w:p w14:paraId="0060DA60" w14:textId="77777777" w:rsidR="00383258" w:rsidRPr="005734AB" w:rsidRDefault="00383258" w:rsidP="00801EC6">
            <w:pPr>
              <w:pStyle w:val="TableHeading"/>
              <w:keepNext/>
              <w:keepLines/>
            </w:pPr>
          </w:p>
        </w:tc>
        <w:tc>
          <w:tcPr>
            <w:tcW w:w="3827" w:type="dxa"/>
            <w:vMerge/>
          </w:tcPr>
          <w:p w14:paraId="1EA63B51" w14:textId="77777777" w:rsidR="00383258" w:rsidRPr="005734AB" w:rsidRDefault="00383258" w:rsidP="00801EC6">
            <w:pPr>
              <w:pStyle w:val="TableHeading"/>
              <w:keepNext/>
              <w:keepLines/>
            </w:pPr>
          </w:p>
        </w:tc>
        <w:tc>
          <w:tcPr>
            <w:tcW w:w="1276" w:type="dxa"/>
            <w:shd w:val="clear" w:color="auto" w:fill="4986A0" w:themeFill="accent3"/>
          </w:tcPr>
          <w:p w14:paraId="6A3E4CDE" w14:textId="75687F72" w:rsidR="00383258" w:rsidRPr="00383258" w:rsidRDefault="00A6655D" w:rsidP="00801EC6">
            <w:pPr>
              <w:pStyle w:val="TableHeading"/>
              <w:keepNext/>
              <w:keepLines/>
              <w:jc w:val="center"/>
              <w:rPr>
                <w:b/>
                <w:bCs/>
              </w:rPr>
            </w:pPr>
            <w:r>
              <w:rPr>
                <w:b/>
                <w:bCs/>
              </w:rPr>
              <w:t>S</w:t>
            </w:r>
            <w:r w:rsidR="00383258" w:rsidRPr="00383258">
              <w:rPr>
                <w:b/>
                <w:bCs/>
              </w:rPr>
              <w:t>tandard NCCs</w:t>
            </w:r>
          </w:p>
        </w:tc>
        <w:tc>
          <w:tcPr>
            <w:tcW w:w="1276" w:type="dxa"/>
            <w:shd w:val="clear" w:color="auto" w:fill="4986A0" w:themeFill="accent3"/>
          </w:tcPr>
          <w:p w14:paraId="7317E2F2" w14:textId="036626E9" w:rsidR="00383258" w:rsidRPr="00383258" w:rsidRDefault="00A6655D" w:rsidP="00801EC6">
            <w:pPr>
              <w:pStyle w:val="TableHeading"/>
              <w:keepNext/>
              <w:keepLines/>
              <w:jc w:val="center"/>
              <w:rPr>
                <w:b/>
                <w:bCs/>
              </w:rPr>
            </w:pPr>
            <w:r>
              <w:rPr>
                <w:b/>
                <w:bCs/>
              </w:rPr>
              <w:t>N</w:t>
            </w:r>
            <w:r w:rsidR="00383258" w:rsidRPr="00383258">
              <w:rPr>
                <w:b/>
                <w:bCs/>
              </w:rPr>
              <w:t>egotiated NCCs</w:t>
            </w:r>
          </w:p>
        </w:tc>
        <w:tc>
          <w:tcPr>
            <w:tcW w:w="1416" w:type="dxa"/>
            <w:shd w:val="clear" w:color="auto" w:fill="4986A0" w:themeFill="accent3"/>
          </w:tcPr>
          <w:p w14:paraId="766A593E" w14:textId="53FA2BC1" w:rsidR="00383258" w:rsidRPr="00383258" w:rsidRDefault="00383258" w:rsidP="00801EC6">
            <w:pPr>
              <w:pStyle w:val="TableHeading"/>
              <w:keepNext/>
              <w:keepLines/>
              <w:jc w:val="center"/>
              <w:rPr>
                <w:b/>
                <w:bCs/>
              </w:rPr>
            </w:pPr>
            <w:r w:rsidRPr="00383258">
              <w:rPr>
                <w:b/>
                <w:bCs/>
              </w:rPr>
              <w:t>Avoidable cost compliance</w:t>
            </w:r>
          </w:p>
        </w:tc>
      </w:tr>
      <w:tr w:rsidR="00741996" w14:paraId="68B46678"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14A009D7" w14:textId="16B1E83A" w:rsidR="00741996" w:rsidRPr="00ED3DD6" w:rsidRDefault="00741996" w:rsidP="00801EC6">
            <w:pPr>
              <w:pStyle w:val="TableBody"/>
              <w:keepNext/>
              <w:keepLines/>
              <w:rPr>
                <w:b/>
                <w:bCs/>
              </w:rPr>
            </w:pPr>
            <w:r w:rsidRPr="00ED3DD6">
              <w:rPr>
                <w:b/>
                <w:bCs/>
              </w:rPr>
              <w:t>Full ESC financial template alignment</w:t>
            </w:r>
          </w:p>
        </w:tc>
        <w:tc>
          <w:tcPr>
            <w:tcW w:w="3827" w:type="dxa"/>
          </w:tcPr>
          <w:p w14:paraId="668AF95B" w14:textId="214C4A22" w:rsidR="00433B00" w:rsidRDefault="00433B00" w:rsidP="00801EC6">
            <w:pPr>
              <w:pStyle w:val="TableBullet"/>
              <w:keepNext/>
              <w:keepLines/>
              <w:spacing w:before="0" w:line="264" w:lineRule="auto"/>
            </w:pPr>
            <w:r>
              <w:t>Add worksheets into the financial templates</w:t>
            </w:r>
          </w:p>
          <w:p w14:paraId="7C8D023B" w14:textId="479752C6" w:rsidR="00433B00" w:rsidRDefault="00433B00" w:rsidP="00801EC6">
            <w:pPr>
              <w:pStyle w:val="TableBullet"/>
              <w:keepNext/>
              <w:keepLines/>
              <w:spacing w:before="120" w:line="264" w:lineRule="auto"/>
            </w:pPr>
            <w:r>
              <w:t>Link to relevant capital expenditure projects and input transparent attribution assumptions</w:t>
            </w:r>
          </w:p>
          <w:p w14:paraId="5AA647F5" w14:textId="66F5D03E" w:rsidR="00741996" w:rsidRDefault="00433B00" w:rsidP="00801EC6">
            <w:pPr>
              <w:pStyle w:val="TableBullet"/>
              <w:keepNext/>
              <w:keepLines/>
              <w:spacing w:before="120" w:line="264" w:lineRule="auto"/>
            </w:pPr>
            <w:r>
              <w:t>Link to opex related to customer growth and input transparent attribution assumptions</w:t>
            </w:r>
          </w:p>
        </w:tc>
        <w:tc>
          <w:tcPr>
            <w:tcW w:w="1276" w:type="dxa"/>
          </w:tcPr>
          <w:p w14:paraId="38236D74" w14:textId="7799F03B" w:rsidR="00741996" w:rsidRDefault="007E6499" w:rsidP="00801EC6">
            <w:pPr>
              <w:pStyle w:val="TableBody"/>
              <w:keepNext/>
              <w:keepLines/>
              <w:jc w:val="center"/>
            </w:pPr>
            <w:r>
              <w:rPr>
                <w:rFonts w:ascii="Wingdings" w:eastAsia="Wingdings" w:hAnsi="Wingdings" w:cs="Wingdings"/>
                <w:lang w:eastAsia="en-AU"/>
              </w:rPr>
              <w:t>ü</w:t>
            </w:r>
          </w:p>
        </w:tc>
        <w:tc>
          <w:tcPr>
            <w:tcW w:w="1276" w:type="dxa"/>
          </w:tcPr>
          <w:p w14:paraId="422AC0C0" w14:textId="77777777" w:rsidR="00741996" w:rsidRDefault="00741996" w:rsidP="00801EC6">
            <w:pPr>
              <w:pStyle w:val="TableBody"/>
              <w:keepNext/>
              <w:keepLines/>
              <w:jc w:val="center"/>
            </w:pPr>
          </w:p>
        </w:tc>
        <w:tc>
          <w:tcPr>
            <w:tcW w:w="1416" w:type="dxa"/>
          </w:tcPr>
          <w:p w14:paraId="7D3155C5" w14:textId="77777777" w:rsidR="00741996" w:rsidRDefault="00741996" w:rsidP="00801EC6">
            <w:pPr>
              <w:pStyle w:val="TableBody"/>
              <w:keepNext/>
              <w:keepLines/>
              <w:jc w:val="center"/>
            </w:pPr>
          </w:p>
        </w:tc>
      </w:tr>
      <w:tr w:rsidR="00741996" w14:paraId="3BF6042E" w14:textId="77777777" w:rsidTr="00ED3DD6">
        <w:trPr>
          <w:cnfStyle w:val="000000100000" w:firstRow="0" w:lastRow="0" w:firstColumn="0" w:lastColumn="0" w:oddVBand="0" w:evenVBand="0" w:oddHBand="1" w:evenHBand="0" w:firstRowFirstColumn="0" w:firstRowLastColumn="0" w:lastRowFirstColumn="0" w:lastRowLastColumn="0"/>
        </w:trPr>
        <w:tc>
          <w:tcPr>
            <w:tcW w:w="1843" w:type="dxa"/>
          </w:tcPr>
          <w:p w14:paraId="6BCBE5D4" w14:textId="4226C0B4" w:rsidR="00741996" w:rsidRPr="00ED3DD6" w:rsidRDefault="00741996" w:rsidP="00741996">
            <w:pPr>
              <w:pStyle w:val="TableBody"/>
              <w:rPr>
                <w:b/>
                <w:bCs/>
              </w:rPr>
            </w:pPr>
            <w:r w:rsidRPr="00ED3DD6">
              <w:rPr>
                <w:b/>
                <w:bCs/>
              </w:rPr>
              <w:t>ESC template hybrid</w:t>
            </w:r>
          </w:p>
        </w:tc>
        <w:tc>
          <w:tcPr>
            <w:tcW w:w="3827" w:type="dxa"/>
          </w:tcPr>
          <w:p w14:paraId="083CE6DD" w14:textId="5482A960" w:rsidR="00741996" w:rsidRDefault="00955718" w:rsidP="00741996">
            <w:pPr>
              <w:pStyle w:val="TableBody"/>
            </w:pPr>
            <w:r w:rsidRPr="141FC085">
              <w:rPr>
                <w:lang w:val="en-AU"/>
              </w:rPr>
              <w:t>Use a combination of water price review projects, updated project cost estimates and developer/water system specific project costs</w:t>
            </w:r>
          </w:p>
        </w:tc>
        <w:tc>
          <w:tcPr>
            <w:tcW w:w="1276" w:type="dxa"/>
          </w:tcPr>
          <w:p w14:paraId="23714EAE" w14:textId="77777777" w:rsidR="00741996" w:rsidRDefault="00741996" w:rsidP="00ED3DD6">
            <w:pPr>
              <w:pStyle w:val="TableBody"/>
              <w:jc w:val="center"/>
            </w:pPr>
          </w:p>
        </w:tc>
        <w:tc>
          <w:tcPr>
            <w:tcW w:w="1276" w:type="dxa"/>
          </w:tcPr>
          <w:p w14:paraId="4CE42AFF" w14:textId="601AF092" w:rsidR="00741996" w:rsidRDefault="00A472B7" w:rsidP="00ED3DD6">
            <w:pPr>
              <w:pStyle w:val="TableBody"/>
              <w:jc w:val="center"/>
            </w:pPr>
            <w:r>
              <w:rPr>
                <w:rFonts w:ascii="Wingdings" w:eastAsia="Wingdings" w:hAnsi="Wingdings" w:cs="Wingdings"/>
                <w:lang w:eastAsia="en-AU"/>
              </w:rPr>
              <w:t>ü</w:t>
            </w:r>
          </w:p>
        </w:tc>
        <w:tc>
          <w:tcPr>
            <w:tcW w:w="1416" w:type="dxa"/>
          </w:tcPr>
          <w:p w14:paraId="685264E8" w14:textId="77777777" w:rsidR="00741996" w:rsidRDefault="00741996" w:rsidP="00ED3DD6">
            <w:pPr>
              <w:pStyle w:val="TableBody"/>
              <w:jc w:val="center"/>
            </w:pPr>
          </w:p>
        </w:tc>
      </w:tr>
      <w:tr w:rsidR="007A4A3D" w14:paraId="3834C280"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680B21C4" w14:textId="63BB85BE" w:rsidR="007A4A3D" w:rsidRPr="00ED3DD6" w:rsidRDefault="007A4A3D" w:rsidP="007A4A3D">
            <w:pPr>
              <w:pStyle w:val="TableBody"/>
              <w:rPr>
                <w:b/>
                <w:bCs/>
              </w:rPr>
            </w:pPr>
            <w:r w:rsidRPr="00ED3DD6">
              <w:rPr>
                <w:b/>
                <w:bCs/>
              </w:rPr>
              <w:t>Activity based costing</w:t>
            </w:r>
          </w:p>
        </w:tc>
        <w:tc>
          <w:tcPr>
            <w:tcW w:w="3827" w:type="dxa"/>
          </w:tcPr>
          <w:p w14:paraId="0E1B39DE" w14:textId="63C6A8DD" w:rsidR="007A4A3D" w:rsidRDefault="007A4A3D" w:rsidP="007A4A3D">
            <w:pPr>
              <w:pStyle w:val="TableBody"/>
            </w:pPr>
            <w:r w:rsidRPr="008216A5">
              <w:t xml:space="preserve">Drawing from the </w:t>
            </w:r>
            <w:r w:rsidR="004B7EF3">
              <w:t xml:space="preserve">water </w:t>
            </w:r>
            <w:r w:rsidRPr="008216A5">
              <w:t>businesses</w:t>
            </w:r>
            <w:r w:rsidR="004B7EF3">
              <w:t>’</w:t>
            </w:r>
            <w:r w:rsidRPr="008216A5">
              <w:t xml:space="preserve"> work estimation practices or quantity surveyors</w:t>
            </w:r>
          </w:p>
        </w:tc>
        <w:tc>
          <w:tcPr>
            <w:tcW w:w="1276" w:type="dxa"/>
          </w:tcPr>
          <w:p w14:paraId="4587AF13" w14:textId="707C09C5" w:rsidR="007A4A3D" w:rsidRDefault="007A4A3D" w:rsidP="00ED3DD6">
            <w:pPr>
              <w:pStyle w:val="TableBody"/>
              <w:jc w:val="center"/>
            </w:pPr>
            <w:r w:rsidRPr="00CE6B08">
              <w:rPr>
                <w:rFonts w:ascii="Wingdings" w:eastAsia="Wingdings" w:hAnsi="Wingdings" w:cs="Wingdings"/>
                <w:lang w:eastAsia="en-AU"/>
              </w:rPr>
              <w:t>ü</w:t>
            </w:r>
          </w:p>
        </w:tc>
        <w:tc>
          <w:tcPr>
            <w:tcW w:w="1276" w:type="dxa"/>
          </w:tcPr>
          <w:p w14:paraId="015432F0" w14:textId="618FCD64" w:rsidR="007A4A3D" w:rsidRDefault="007A4A3D" w:rsidP="00ED3DD6">
            <w:pPr>
              <w:pStyle w:val="TableBody"/>
              <w:jc w:val="center"/>
            </w:pPr>
            <w:r w:rsidRPr="00CE6B08">
              <w:rPr>
                <w:rFonts w:ascii="Wingdings" w:eastAsia="Wingdings" w:hAnsi="Wingdings" w:cs="Wingdings"/>
                <w:lang w:eastAsia="en-AU"/>
              </w:rPr>
              <w:t>ü</w:t>
            </w:r>
          </w:p>
        </w:tc>
        <w:tc>
          <w:tcPr>
            <w:tcW w:w="1416" w:type="dxa"/>
          </w:tcPr>
          <w:p w14:paraId="1632DC29" w14:textId="77777777" w:rsidR="007A4A3D" w:rsidRDefault="007A4A3D" w:rsidP="00ED3DD6">
            <w:pPr>
              <w:pStyle w:val="TableBody"/>
              <w:jc w:val="center"/>
            </w:pPr>
          </w:p>
        </w:tc>
      </w:tr>
      <w:tr w:rsidR="007A4A3D" w14:paraId="297D2B7D" w14:textId="77777777" w:rsidTr="00ED3DD6">
        <w:trPr>
          <w:cnfStyle w:val="000000100000" w:firstRow="0" w:lastRow="0" w:firstColumn="0" w:lastColumn="0" w:oddVBand="0" w:evenVBand="0" w:oddHBand="1" w:evenHBand="0" w:firstRowFirstColumn="0" w:firstRowLastColumn="0" w:lastRowFirstColumn="0" w:lastRowLastColumn="0"/>
        </w:trPr>
        <w:tc>
          <w:tcPr>
            <w:tcW w:w="1843" w:type="dxa"/>
          </w:tcPr>
          <w:p w14:paraId="5B1670EB" w14:textId="2C06A763" w:rsidR="007A4A3D" w:rsidRPr="00ED3DD6" w:rsidRDefault="007A4A3D" w:rsidP="007A4A3D">
            <w:pPr>
              <w:pStyle w:val="TableBody"/>
              <w:rPr>
                <w:b/>
                <w:bCs/>
              </w:rPr>
            </w:pPr>
            <w:r w:rsidRPr="00ED3DD6">
              <w:rPr>
                <w:b/>
                <w:bCs/>
              </w:rPr>
              <w:t xml:space="preserve">Unitised costings </w:t>
            </w:r>
          </w:p>
        </w:tc>
        <w:tc>
          <w:tcPr>
            <w:tcW w:w="3827" w:type="dxa"/>
          </w:tcPr>
          <w:p w14:paraId="33C3453D" w14:textId="77777777" w:rsidR="009E03D6" w:rsidRDefault="007A4A3D" w:rsidP="009E03D6">
            <w:pPr>
              <w:pStyle w:val="TableBody"/>
              <w:spacing w:before="120" w:after="120"/>
            </w:pPr>
            <w:r>
              <w:t>Drawing from estimated or benchmark unitised costs</w:t>
            </w:r>
            <w:r w:rsidR="00515010">
              <w:t>.</w:t>
            </w:r>
          </w:p>
          <w:p w14:paraId="624B6F52" w14:textId="047994DA" w:rsidR="007A4A3D" w:rsidRDefault="007A4A3D" w:rsidP="009E03D6">
            <w:pPr>
              <w:pStyle w:val="TableBody"/>
              <w:spacing w:before="120" w:after="120"/>
            </w:pPr>
            <w:r w:rsidRPr="141FC085">
              <w:rPr>
                <w:lang w:val="en-AU"/>
              </w:rPr>
              <w:t xml:space="preserve">Employing economic cost estimates such as long run marginal cost or average incremental cost which can be for different aspects of service provision – </w:t>
            </w:r>
            <w:r w:rsidR="00F57920">
              <w:rPr>
                <w:lang w:val="en-AU"/>
              </w:rPr>
              <w:t>for example</w:t>
            </w:r>
            <w:r w:rsidR="002B73B2">
              <w:rPr>
                <w:lang w:val="en-AU"/>
              </w:rPr>
              <w:t>,</w:t>
            </w:r>
            <w:r w:rsidRPr="141FC085">
              <w:rPr>
                <w:lang w:val="en-AU"/>
              </w:rPr>
              <w:t xml:space="preserve"> shared water system augmentation, bulk water augmentation, sewerage pumping or treatment augmentation.</w:t>
            </w:r>
          </w:p>
          <w:p w14:paraId="06F6C363" w14:textId="5D4B8F8A" w:rsidR="007A4A3D" w:rsidRDefault="007A4A3D" w:rsidP="007A4A3D">
            <w:pPr>
              <w:pStyle w:val="TableBody"/>
            </w:pPr>
            <w:r>
              <w:t xml:space="preserve">These could also be geographic to account for locational cost differences – </w:t>
            </w:r>
            <w:r w:rsidR="0052545D">
              <w:t>for example,</w:t>
            </w:r>
            <w:r>
              <w:t xml:space="preserve"> infill vs greenfield, gravity fed vs pumped</w:t>
            </w:r>
          </w:p>
        </w:tc>
        <w:tc>
          <w:tcPr>
            <w:tcW w:w="1276" w:type="dxa"/>
          </w:tcPr>
          <w:p w14:paraId="43B2628A" w14:textId="6DE55B6E" w:rsidR="007A4A3D" w:rsidRDefault="007A4A3D" w:rsidP="00ED3DD6">
            <w:pPr>
              <w:pStyle w:val="TableBody"/>
              <w:jc w:val="center"/>
            </w:pPr>
            <w:r w:rsidRPr="000C1CD1">
              <w:rPr>
                <w:rFonts w:ascii="Wingdings" w:eastAsia="Wingdings" w:hAnsi="Wingdings" w:cs="Wingdings"/>
                <w:lang w:eastAsia="en-AU"/>
              </w:rPr>
              <w:t>ü</w:t>
            </w:r>
          </w:p>
        </w:tc>
        <w:tc>
          <w:tcPr>
            <w:tcW w:w="1276" w:type="dxa"/>
          </w:tcPr>
          <w:p w14:paraId="2D7B1D1A" w14:textId="12F18D0A" w:rsidR="007A4A3D" w:rsidRDefault="007A4A3D" w:rsidP="00ED3DD6">
            <w:pPr>
              <w:pStyle w:val="TableBody"/>
              <w:jc w:val="center"/>
            </w:pPr>
            <w:r w:rsidRPr="000C1CD1">
              <w:rPr>
                <w:rFonts w:ascii="Wingdings" w:eastAsia="Wingdings" w:hAnsi="Wingdings" w:cs="Wingdings"/>
                <w:lang w:eastAsia="en-AU"/>
              </w:rPr>
              <w:t>ü</w:t>
            </w:r>
          </w:p>
        </w:tc>
        <w:tc>
          <w:tcPr>
            <w:tcW w:w="1416" w:type="dxa"/>
          </w:tcPr>
          <w:p w14:paraId="67184788" w14:textId="57BC78B2" w:rsidR="007A4A3D" w:rsidRDefault="007A4A3D" w:rsidP="00ED3DD6">
            <w:pPr>
              <w:pStyle w:val="TableBody"/>
              <w:jc w:val="center"/>
            </w:pPr>
            <w:r w:rsidRPr="000C1CD1">
              <w:rPr>
                <w:rFonts w:ascii="Wingdings" w:eastAsia="Wingdings" w:hAnsi="Wingdings" w:cs="Wingdings"/>
                <w:lang w:eastAsia="en-AU"/>
              </w:rPr>
              <w:t>ü</w:t>
            </w:r>
          </w:p>
        </w:tc>
      </w:tr>
      <w:tr w:rsidR="003D444A" w14:paraId="341FE13D"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41FA1049" w14:textId="165040E2" w:rsidR="003D444A" w:rsidRPr="00ED3DD6" w:rsidRDefault="003D444A" w:rsidP="003D444A">
            <w:pPr>
              <w:pStyle w:val="TableBody"/>
              <w:rPr>
                <w:b/>
                <w:bCs/>
              </w:rPr>
            </w:pPr>
            <w:r w:rsidRPr="00ED3DD6">
              <w:rPr>
                <w:b/>
                <w:bCs/>
              </w:rPr>
              <w:t>Bespoke costings</w:t>
            </w:r>
          </w:p>
        </w:tc>
        <w:tc>
          <w:tcPr>
            <w:tcW w:w="3827" w:type="dxa"/>
          </w:tcPr>
          <w:p w14:paraId="314F8B00" w14:textId="7C8C55D4" w:rsidR="003D444A" w:rsidRDefault="003D444A" w:rsidP="003D444A">
            <w:pPr>
              <w:pStyle w:val="TableBody"/>
            </w:pPr>
            <w:r w:rsidRPr="141FC085">
              <w:rPr>
                <w:lang w:val="en-AU"/>
              </w:rPr>
              <w:t xml:space="preserve">Use actual works costings for specific planned projects – </w:t>
            </w:r>
            <w:r w:rsidR="00AF0F4F">
              <w:rPr>
                <w:lang w:val="en-AU"/>
              </w:rPr>
              <w:t>for exa</w:t>
            </w:r>
            <w:r w:rsidR="002E197F">
              <w:rPr>
                <w:lang w:val="en-AU"/>
              </w:rPr>
              <w:t>mple,</w:t>
            </w:r>
            <w:r w:rsidRPr="141FC085">
              <w:rPr>
                <w:lang w:val="en-AU"/>
              </w:rPr>
              <w:t xml:space="preserve"> specific developer or water system project and opex costings</w:t>
            </w:r>
          </w:p>
        </w:tc>
        <w:tc>
          <w:tcPr>
            <w:tcW w:w="1276" w:type="dxa"/>
          </w:tcPr>
          <w:p w14:paraId="5394479B" w14:textId="77777777" w:rsidR="003D444A" w:rsidRDefault="003D444A" w:rsidP="00ED3DD6">
            <w:pPr>
              <w:pStyle w:val="TableBody"/>
              <w:jc w:val="center"/>
            </w:pPr>
          </w:p>
        </w:tc>
        <w:tc>
          <w:tcPr>
            <w:tcW w:w="1276" w:type="dxa"/>
          </w:tcPr>
          <w:p w14:paraId="7A8BDF85" w14:textId="416409FB" w:rsidR="003D444A" w:rsidRDefault="003D444A" w:rsidP="00ED3DD6">
            <w:pPr>
              <w:pStyle w:val="TableBody"/>
              <w:jc w:val="center"/>
            </w:pPr>
            <w:r w:rsidRPr="000802DA">
              <w:rPr>
                <w:rFonts w:ascii="Wingdings" w:eastAsia="Wingdings" w:hAnsi="Wingdings" w:cs="Wingdings"/>
                <w:lang w:eastAsia="en-AU"/>
              </w:rPr>
              <w:t>ü</w:t>
            </w:r>
          </w:p>
        </w:tc>
        <w:tc>
          <w:tcPr>
            <w:tcW w:w="1416" w:type="dxa"/>
          </w:tcPr>
          <w:p w14:paraId="630AE5D4" w14:textId="35DFA94B" w:rsidR="003D444A" w:rsidRDefault="003D444A" w:rsidP="00ED3DD6">
            <w:pPr>
              <w:pStyle w:val="TableBody"/>
              <w:jc w:val="center"/>
            </w:pPr>
            <w:r w:rsidRPr="000802DA">
              <w:rPr>
                <w:rFonts w:ascii="Wingdings" w:eastAsia="Wingdings" w:hAnsi="Wingdings" w:cs="Wingdings"/>
                <w:lang w:eastAsia="en-AU"/>
              </w:rPr>
              <w:t>ü</w:t>
            </w:r>
          </w:p>
        </w:tc>
      </w:tr>
    </w:tbl>
    <w:p w14:paraId="4D518D5A" w14:textId="41FDE427" w:rsidR="00AF0735" w:rsidRDefault="00915EA6" w:rsidP="00905C41">
      <w:pPr>
        <w:pStyle w:val="Heading2"/>
        <w:ind w:left="851" w:hanging="851"/>
      </w:pPr>
      <w:bookmarkStart w:id="225" w:name="_Toc211246889"/>
      <w:r>
        <w:t>6.3</w:t>
      </w:r>
      <w:r>
        <w:tab/>
      </w:r>
      <w:bookmarkStart w:id="226" w:name="_Toc210127628"/>
      <w:r w:rsidR="00AF0735">
        <w:t>Including calculation methods and inputs in negotiating frameworks</w:t>
      </w:r>
      <w:bookmarkEnd w:id="225"/>
      <w:bookmarkEnd w:id="226"/>
    </w:p>
    <w:p w14:paraId="4CA8A304" w14:textId="2E7B62F3" w:rsidR="00AF0735" w:rsidRDefault="00AF0735" w:rsidP="00304C4A">
      <w:pPr>
        <w:keepNext/>
        <w:keepLines/>
      </w:pPr>
      <w:r>
        <w:t xml:space="preserve">We will empower </w:t>
      </w:r>
      <w:r w:rsidR="004B7EF3">
        <w:t xml:space="preserve">water </w:t>
      </w:r>
      <w:r>
        <w:t>businesses to include calculation formulae and calculation inputs in their proposed negotiating framework for our approval. Such formulae can aid transparency in negotiations and reduce the administrative burden of conducting negotiations.</w:t>
      </w:r>
      <w:r w:rsidR="00036EC4">
        <w:t xml:space="preserve"> A water business may include different formulae and inputs for different services. </w:t>
      </w:r>
    </w:p>
    <w:p w14:paraId="7C82AAD0" w14:textId="45AF8A0A" w:rsidR="00AF0735" w:rsidRDefault="00DD2DA2" w:rsidP="002C7607">
      <w:pPr>
        <w:pStyle w:val="Heading3"/>
      </w:pPr>
      <w:bookmarkStart w:id="227" w:name="_Toc209447336"/>
      <w:bookmarkStart w:id="228" w:name="_Toc210028140"/>
      <w:bookmarkStart w:id="229" w:name="_Toc210127629"/>
      <w:bookmarkStart w:id="230" w:name="_Toc210908641"/>
      <w:bookmarkStart w:id="231" w:name="_Toc211246890"/>
      <w:r>
        <w:t>Exa</w:t>
      </w:r>
      <w:r w:rsidR="00AF0735">
        <w:t>mple formula</w:t>
      </w:r>
      <w:bookmarkEnd w:id="227"/>
      <w:bookmarkEnd w:id="228"/>
      <w:bookmarkEnd w:id="229"/>
      <w:bookmarkEnd w:id="230"/>
      <w:bookmarkEnd w:id="231"/>
    </w:p>
    <w:p w14:paraId="3BDFF003" w14:textId="77777777" w:rsidR="00AF0735" w:rsidRDefault="00AF0735" w:rsidP="002C7607">
      <w:r>
        <w:t>An example formula could be:</w:t>
      </w:r>
    </w:p>
    <w:p w14:paraId="19078613" w14:textId="77777777" w:rsidR="00AF0735" w:rsidRDefault="00AF0735" w:rsidP="000B39A4">
      <w:pPr>
        <w:ind w:left="284"/>
      </w:pPr>
      <w:r>
        <w:t>NCC = ICCS + ICSN – IR(n=X)</w:t>
      </w:r>
    </w:p>
    <w:p w14:paraId="50AF385B" w14:textId="77777777" w:rsidR="00AF0735" w:rsidRDefault="00AF0735" w:rsidP="000B39A4">
      <w:pPr>
        <w:ind w:left="284"/>
      </w:pPr>
      <w:r>
        <w:t>Where:</w:t>
      </w:r>
    </w:p>
    <w:p w14:paraId="6D11D066" w14:textId="27B9D4D5" w:rsidR="00AF0735" w:rsidRDefault="00AF0735" w:rsidP="004C7715">
      <w:pPr>
        <w:pStyle w:val="ListBullet"/>
        <w:numPr>
          <w:ilvl w:val="0"/>
          <w:numId w:val="0"/>
        </w:numPr>
      </w:pPr>
      <w:r>
        <w:t>NCC = New Customer Contribution for the relevant prescribed service.</w:t>
      </w:r>
      <w:r w:rsidR="001C6BE3">
        <w:br/>
      </w:r>
    </w:p>
    <w:p w14:paraId="5F74D4FC" w14:textId="120FF97C" w:rsidR="00AF0735" w:rsidRDefault="00AF0735" w:rsidP="004C7715">
      <w:pPr>
        <w:pStyle w:val="ListBullet"/>
        <w:numPr>
          <w:ilvl w:val="0"/>
          <w:numId w:val="0"/>
        </w:numPr>
      </w:pPr>
      <w:r>
        <w:t>NCC ≥ 0 (NCCs cannot be negative)</w:t>
      </w:r>
      <w:r w:rsidR="001C6BE3">
        <w:t>.</w:t>
      </w:r>
      <w:r w:rsidR="001C6BE3">
        <w:br/>
      </w:r>
    </w:p>
    <w:p w14:paraId="201BB22C" w14:textId="5DE15C66" w:rsidR="00AF0735" w:rsidRDefault="00AF0735" w:rsidP="004C7715">
      <w:pPr>
        <w:pStyle w:val="ListBullet"/>
        <w:numPr>
          <w:ilvl w:val="0"/>
          <w:numId w:val="0"/>
        </w:numPr>
      </w:pPr>
      <w:r>
        <w:t>ICCS = Incremental Cost Customer Specific—the incremental costs incurred by the water business which are used solely by the connection applicant. This may include extensions and augmentation of premises connection assets at the customers’ connection point, or the costs of connecting gifted reticulation assets into the existing system. This can be net of benefits accounted for by the water business (</w:t>
      </w:r>
      <w:r w:rsidR="002B73B2">
        <w:t>for example,</w:t>
      </w:r>
      <w:r>
        <w:t xml:space="preserve"> upsizing of gifted assets)</w:t>
      </w:r>
      <w:r w:rsidR="002069B2">
        <w:t>.</w:t>
      </w:r>
      <w:r w:rsidR="002069B2">
        <w:br/>
      </w:r>
    </w:p>
    <w:p w14:paraId="618F07AA" w14:textId="2B94D2B8" w:rsidR="00AF0735" w:rsidRDefault="00AF0735" w:rsidP="004C7715">
      <w:pPr>
        <w:pStyle w:val="ListBullet"/>
        <w:numPr>
          <w:ilvl w:val="0"/>
          <w:numId w:val="0"/>
        </w:numPr>
      </w:pPr>
      <w:r>
        <w:t xml:space="preserve">ICSN = Incremental Cost Shared Network—the costs incurred by the water business which are not used solely by the connection applicant. This may include any shared system augmentation whether prebuilt or planned to provide sufficient </w:t>
      </w:r>
      <w:proofErr w:type="gramStart"/>
      <w:r>
        <w:t>capacity</w:t>
      </w:r>
      <w:proofErr w:type="gramEnd"/>
      <w:r>
        <w:t xml:space="preserve"> for the connecting customer</w:t>
      </w:r>
      <w:r w:rsidR="000839AA">
        <w:t>.</w:t>
      </w:r>
      <w:r w:rsidR="000839AA">
        <w:br/>
      </w:r>
    </w:p>
    <w:p w14:paraId="09F82078" w14:textId="5E72E04A" w:rsidR="00C60613" w:rsidRDefault="00AF0735" w:rsidP="004C7715">
      <w:pPr>
        <w:pStyle w:val="ListBullet"/>
        <w:numPr>
          <w:ilvl w:val="0"/>
          <w:numId w:val="0"/>
        </w:numPr>
      </w:pPr>
      <w:r>
        <w:t xml:space="preserve">IR(n=X) = Incremental </w:t>
      </w:r>
      <w:r w:rsidR="003A6874">
        <w:t xml:space="preserve">Revenue </w:t>
      </w:r>
      <w:r>
        <w:t>expected to be received from the new connection</w:t>
      </w:r>
      <w:r w:rsidR="003A6874">
        <w:t xml:space="preserve"> </w:t>
      </w:r>
      <w:r w:rsidR="005F19B4">
        <w:t>–</w:t>
      </w:r>
      <w:r w:rsidR="003A6874">
        <w:t xml:space="preserve"> </w:t>
      </w:r>
      <w:r>
        <w:t>the present value of a X year revenue stream directly attributable to the new connection and discounted using the ‘standard’ regulated rate of return from our applicable guidance paper.</w:t>
      </w:r>
    </w:p>
    <w:p w14:paraId="78BA57E7" w14:textId="77777777" w:rsidR="0033357D" w:rsidRDefault="0033357D" w:rsidP="00171874"/>
    <w:p w14:paraId="69413577" w14:textId="77777777" w:rsidR="0033357D" w:rsidRDefault="0033357D" w:rsidP="0033357D">
      <w:pPr>
        <w:sectPr w:rsidR="0033357D" w:rsidSect="0033357D">
          <w:footerReference w:type="default" r:id="rId34"/>
          <w:pgSz w:w="11906" w:h="16838" w:code="9"/>
          <w:pgMar w:top="1134" w:right="1134" w:bottom="1134" w:left="1134" w:header="709" w:footer="692" w:gutter="0"/>
          <w:cols w:space="708"/>
          <w:docGrid w:linePitch="360"/>
        </w:sectPr>
      </w:pPr>
    </w:p>
    <w:p w14:paraId="779B8D33" w14:textId="685CAD88" w:rsidR="0033357D" w:rsidRDefault="00496A52" w:rsidP="00905C41">
      <w:pPr>
        <w:pStyle w:val="Heading1"/>
        <w:ind w:left="567" w:hanging="567"/>
      </w:pPr>
      <w:bookmarkStart w:id="232" w:name="_Toc211246891"/>
      <w:r>
        <w:t>7.</w:t>
      </w:r>
      <w:r>
        <w:tab/>
      </w:r>
      <w:bookmarkStart w:id="233" w:name="_Toc210127630"/>
      <w:r w:rsidR="0033357D" w:rsidRPr="0033357D">
        <w:t xml:space="preserve">Encouraging </w:t>
      </w:r>
      <w:r w:rsidR="00C51654">
        <w:t>advanced</w:t>
      </w:r>
      <w:r w:rsidR="0033357D" w:rsidRPr="0033357D">
        <w:t xml:space="preserve"> practice</w:t>
      </w:r>
      <w:bookmarkEnd w:id="232"/>
      <w:bookmarkEnd w:id="233"/>
    </w:p>
    <w:p w14:paraId="3476B293" w14:textId="7B242EC3" w:rsidR="00F415A8" w:rsidRDefault="00F415A8" w:rsidP="00F415A8">
      <w:r>
        <w:t xml:space="preserve">We will continue to incentivise </w:t>
      </w:r>
      <w:r w:rsidR="00D85A2B">
        <w:t>advanced</w:t>
      </w:r>
      <w:r>
        <w:t xml:space="preserve"> practice in NCC administration via our PREMO approach. This section explains:</w:t>
      </w:r>
    </w:p>
    <w:p w14:paraId="48AD90DC" w14:textId="5F194BFE" w:rsidR="00F415A8" w:rsidRDefault="00F415A8" w:rsidP="002B7C2E">
      <w:pPr>
        <w:pStyle w:val="ListBullet"/>
      </w:pPr>
      <w:r>
        <w:t>how NCCs interact with our PREMO approach</w:t>
      </w:r>
    </w:p>
    <w:p w14:paraId="459B317F" w14:textId="5B3BA487" w:rsidR="00F415A8" w:rsidRDefault="00F415A8" w:rsidP="002B7C2E">
      <w:pPr>
        <w:pStyle w:val="ListBullet"/>
      </w:pPr>
      <w:r>
        <w:t xml:space="preserve">where we will issue PREMO ratings guidance to incentivise better NCC practices </w:t>
      </w:r>
    </w:p>
    <w:p w14:paraId="6DC6AC5A" w14:textId="17D48566" w:rsidR="00F415A8" w:rsidRDefault="00915EA6" w:rsidP="00905C41">
      <w:pPr>
        <w:pStyle w:val="Heading2"/>
        <w:ind w:left="851" w:hanging="851"/>
      </w:pPr>
      <w:bookmarkStart w:id="234" w:name="_Toc211246892"/>
      <w:r>
        <w:t>7.1</w:t>
      </w:r>
      <w:r>
        <w:tab/>
      </w:r>
      <w:bookmarkStart w:id="235" w:name="_Toc210127631"/>
      <w:r w:rsidR="00F415A8">
        <w:t>NCCs are an integral part of our PREMO framework</w:t>
      </w:r>
      <w:bookmarkEnd w:id="234"/>
      <w:bookmarkEnd w:id="235"/>
    </w:p>
    <w:p w14:paraId="79CEE304" w14:textId="4E8FC7CA" w:rsidR="00F415A8" w:rsidRDefault="00F415A8" w:rsidP="00F415A8">
      <w:r>
        <w:t xml:space="preserve">The PREMO incentive framework includes financial, reputational and procedural incentives to align the interests of water businesses and the customers they serve, which includes connecting </w:t>
      </w:r>
      <w:r w:rsidR="001110B9">
        <w:t xml:space="preserve">or augmenting </w:t>
      </w:r>
      <w:r>
        <w:t>customers.</w:t>
      </w:r>
    </w:p>
    <w:p w14:paraId="68145D3B" w14:textId="68E20CC6" w:rsidR="007A13D2" w:rsidRDefault="0059588A" w:rsidP="005C1B2F">
      <w:pPr>
        <w:pStyle w:val="Pull-out"/>
      </w:pPr>
      <w:r>
        <w:t xml:space="preserve">PREMO </w:t>
      </w:r>
      <w:r w:rsidR="00BD4138">
        <w:t xml:space="preserve">stands for </w:t>
      </w:r>
      <w:r w:rsidR="00940640">
        <w:t xml:space="preserve">Performance, Risk, Engagement, </w:t>
      </w:r>
      <w:r w:rsidR="00A5320B">
        <w:t>Management and Outcomes.</w:t>
      </w:r>
      <w:r w:rsidR="00BA34B6">
        <w:t xml:space="preserve"> Water businesses must </w:t>
      </w:r>
      <w:proofErr w:type="gramStart"/>
      <w:r w:rsidR="00BA34B6">
        <w:t>demonstrate</w:t>
      </w:r>
      <w:proofErr w:type="gramEnd"/>
      <w:r w:rsidR="00BA34B6">
        <w:t xml:space="preserve"> </w:t>
      </w:r>
      <w:r w:rsidR="00D05472">
        <w:t xml:space="preserve">their level of </w:t>
      </w:r>
      <w:r w:rsidR="00AC03C1">
        <w:t xml:space="preserve">ambition in delivering </w:t>
      </w:r>
      <w:r w:rsidR="007807EE">
        <w:t xml:space="preserve">value-for-money </w:t>
      </w:r>
      <w:r w:rsidR="002A6990">
        <w:t xml:space="preserve">for customers </w:t>
      </w:r>
      <w:r w:rsidR="003A6370">
        <w:t xml:space="preserve">in their price </w:t>
      </w:r>
      <w:r w:rsidR="00886750">
        <w:t xml:space="preserve">submissions across </w:t>
      </w:r>
      <w:r w:rsidR="008C701F">
        <w:t>the five elements:</w:t>
      </w:r>
    </w:p>
    <w:p w14:paraId="7B77B57F" w14:textId="1DCF7A21" w:rsidR="008C701F" w:rsidRDefault="009C7133" w:rsidP="005C1B2F">
      <w:pPr>
        <w:pStyle w:val="Pull-outBullet1"/>
      </w:pPr>
      <w:r>
        <w:t xml:space="preserve">Performance </w:t>
      </w:r>
      <w:r w:rsidR="005F19B4">
        <w:t>–</w:t>
      </w:r>
      <w:r w:rsidR="00EC222E">
        <w:t xml:space="preserve"> have the performance outcomes </w:t>
      </w:r>
      <w:r w:rsidR="009218A0">
        <w:t xml:space="preserve">to which </w:t>
      </w:r>
      <w:r w:rsidR="00D632BD">
        <w:t xml:space="preserve">the </w:t>
      </w:r>
      <w:r w:rsidR="002279CE">
        <w:t xml:space="preserve">water </w:t>
      </w:r>
      <w:r w:rsidR="00D632BD">
        <w:t xml:space="preserve">business committed </w:t>
      </w:r>
      <w:r w:rsidR="00561C0C">
        <w:t xml:space="preserve">in the </w:t>
      </w:r>
      <w:proofErr w:type="gramStart"/>
      <w:r w:rsidR="00561C0C">
        <w:t>previous</w:t>
      </w:r>
      <w:proofErr w:type="gramEnd"/>
      <w:r w:rsidR="00561C0C">
        <w:t xml:space="preserve"> </w:t>
      </w:r>
      <w:r w:rsidR="00D9745B">
        <w:t xml:space="preserve">regulatory period </w:t>
      </w:r>
      <w:r w:rsidR="0042706C">
        <w:t xml:space="preserve">been met or </w:t>
      </w:r>
      <w:r w:rsidR="00912446">
        <w:t>exceeded?</w:t>
      </w:r>
    </w:p>
    <w:p w14:paraId="1CF01DBC" w14:textId="3B8D12D0" w:rsidR="009A166C" w:rsidRDefault="00176FD1" w:rsidP="005C1B2F">
      <w:pPr>
        <w:pStyle w:val="Pull-outBullet1"/>
      </w:pPr>
      <w:r>
        <w:t xml:space="preserve">Risk </w:t>
      </w:r>
      <w:r w:rsidR="005F19B4">
        <w:t>–</w:t>
      </w:r>
      <w:r w:rsidRPr="00176FD1">
        <w:t xml:space="preserve"> </w:t>
      </w:r>
      <w:r w:rsidR="00C77EA3">
        <w:t xml:space="preserve">has the </w:t>
      </w:r>
      <w:r w:rsidR="002279CE">
        <w:t xml:space="preserve">water </w:t>
      </w:r>
      <w:r w:rsidR="00C77EA3">
        <w:t xml:space="preserve">business </w:t>
      </w:r>
      <w:proofErr w:type="gramStart"/>
      <w:r w:rsidR="005D21F7">
        <w:t>sought</w:t>
      </w:r>
      <w:proofErr w:type="gramEnd"/>
      <w:r w:rsidR="005D21F7">
        <w:t xml:space="preserve"> to </w:t>
      </w:r>
      <w:proofErr w:type="gramStart"/>
      <w:r w:rsidR="005D21F7">
        <w:t>allocate</w:t>
      </w:r>
      <w:proofErr w:type="gramEnd"/>
      <w:r w:rsidR="005D21F7">
        <w:t xml:space="preserve"> risk </w:t>
      </w:r>
      <w:r w:rsidR="00F67538">
        <w:t xml:space="preserve">to the party </w:t>
      </w:r>
      <w:r w:rsidR="00D83866">
        <w:t xml:space="preserve">best positioned </w:t>
      </w:r>
      <w:r w:rsidR="00DE05BA">
        <w:t xml:space="preserve">to manage that </w:t>
      </w:r>
      <w:r w:rsidR="00565641">
        <w:t xml:space="preserve">risk? </w:t>
      </w:r>
      <w:r w:rsidR="00705191">
        <w:t xml:space="preserve">To what extent </w:t>
      </w:r>
      <w:r w:rsidR="0007032C">
        <w:t xml:space="preserve">has the </w:t>
      </w:r>
      <w:r w:rsidR="002279CE">
        <w:t xml:space="preserve">water </w:t>
      </w:r>
      <w:r w:rsidR="0007032C">
        <w:t xml:space="preserve">business </w:t>
      </w:r>
      <w:r w:rsidR="00BB639B">
        <w:t xml:space="preserve">accepted risk </w:t>
      </w:r>
      <w:r w:rsidR="002418B3">
        <w:t xml:space="preserve">on behalf of </w:t>
      </w:r>
      <w:r w:rsidR="009A166C">
        <w:t>its customers?</w:t>
      </w:r>
    </w:p>
    <w:p w14:paraId="2D9435A4" w14:textId="2E1792B3" w:rsidR="00912446" w:rsidRDefault="00E16EDC" w:rsidP="005C1B2F">
      <w:pPr>
        <w:pStyle w:val="Pull-outBullet1"/>
      </w:pPr>
      <w:r>
        <w:t>Engagement</w:t>
      </w:r>
      <w:r w:rsidR="00176FD1">
        <w:t xml:space="preserve"> </w:t>
      </w:r>
      <w:r w:rsidR="005F19B4">
        <w:t>–</w:t>
      </w:r>
      <w:r>
        <w:t xml:space="preserve"> </w:t>
      </w:r>
      <w:r w:rsidR="00D10F96">
        <w:t xml:space="preserve">how effective was the </w:t>
      </w:r>
      <w:r w:rsidR="002279CE">
        <w:t>water</w:t>
      </w:r>
      <w:r w:rsidR="00D10F96">
        <w:t xml:space="preserve"> business</w:t>
      </w:r>
      <w:r w:rsidR="00A63AA0">
        <w:t xml:space="preserve">’s customer engagement </w:t>
      </w:r>
      <w:r w:rsidR="009F1B9B">
        <w:t>to inform its</w:t>
      </w:r>
      <w:r w:rsidR="00C57F17">
        <w:t xml:space="preserve"> price submission?</w:t>
      </w:r>
    </w:p>
    <w:p w14:paraId="310F5D3F" w14:textId="5963AE66" w:rsidR="00C57F17" w:rsidRDefault="00DE762C" w:rsidP="005C1B2F">
      <w:pPr>
        <w:pStyle w:val="Pull-outBullet1"/>
      </w:pPr>
      <w:r>
        <w:t xml:space="preserve">Management </w:t>
      </w:r>
      <w:r w:rsidR="005F19B4">
        <w:t>–</w:t>
      </w:r>
      <w:r>
        <w:t xml:space="preserve"> </w:t>
      </w:r>
      <w:r w:rsidR="00B00470">
        <w:t>i</w:t>
      </w:r>
      <w:r w:rsidR="00D379D2">
        <w:t xml:space="preserve">s there a strong </w:t>
      </w:r>
      <w:r w:rsidR="000E187A">
        <w:t>focus on efficiency</w:t>
      </w:r>
      <w:r w:rsidR="00C85B45">
        <w:t xml:space="preserve">? </w:t>
      </w:r>
      <w:r w:rsidR="00A36AAA">
        <w:t>Are controllab</w:t>
      </w:r>
      <w:r w:rsidR="00543CFA">
        <w:t xml:space="preserve">le costs </w:t>
      </w:r>
      <w:r w:rsidR="006E544D">
        <w:t>increasing</w:t>
      </w:r>
      <w:r w:rsidR="005F5B11">
        <w:t>, staying the same,</w:t>
      </w:r>
      <w:r w:rsidR="008E6E8A">
        <w:t xml:space="preserve"> or decreasing? </w:t>
      </w:r>
      <w:r w:rsidR="00A32032">
        <w:t xml:space="preserve">Is the price submission </w:t>
      </w:r>
      <w:r w:rsidR="0067268D">
        <w:t xml:space="preserve">succinct </w:t>
      </w:r>
      <w:r w:rsidR="00FC300B">
        <w:t xml:space="preserve">and free of </w:t>
      </w:r>
      <w:r w:rsidR="00C1652D">
        <w:t xml:space="preserve">material </w:t>
      </w:r>
      <w:r w:rsidR="00406B05">
        <w:t>errors?</w:t>
      </w:r>
    </w:p>
    <w:p w14:paraId="1E53BCB8" w14:textId="602662EF" w:rsidR="00406B05" w:rsidRDefault="00B00470" w:rsidP="005C1B2F">
      <w:pPr>
        <w:pStyle w:val="Pull-outBullet1"/>
      </w:pPr>
      <w:r>
        <w:t xml:space="preserve">Outcomes </w:t>
      </w:r>
      <w:r w:rsidR="005F19B4">
        <w:t>–</w:t>
      </w:r>
      <w:r w:rsidRPr="00B00470">
        <w:t xml:space="preserve"> </w:t>
      </w:r>
      <w:r>
        <w:t xml:space="preserve">do </w:t>
      </w:r>
      <w:r w:rsidR="00E34193">
        <w:t xml:space="preserve">proposed service outcomes </w:t>
      </w:r>
      <w:proofErr w:type="gramStart"/>
      <w:r w:rsidR="002C7331">
        <w:t>represent</w:t>
      </w:r>
      <w:proofErr w:type="gramEnd"/>
      <w:r w:rsidR="002C7331">
        <w:t xml:space="preserve"> </w:t>
      </w:r>
      <w:r w:rsidR="00214A36">
        <w:t xml:space="preserve">an improvement, </w:t>
      </w:r>
      <w:r w:rsidR="009134E0">
        <w:t xml:space="preserve">the status quo, </w:t>
      </w:r>
      <w:r w:rsidR="0019359D">
        <w:t>or a reduction of service</w:t>
      </w:r>
      <w:r w:rsidR="00C6698C">
        <w:t xml:space="preserve"> standards?</w:t>
      </w:r>
    </w:p>
    <w:p w14:paraId="3063DF55" w14:textId="6684004A" w:rsidR="00F415A8" w:rsidRDefault="00F415A8" w:rsidP="009E03D6">
      <w:pPr>
        <w:keepNext/>
        <w:keepLines/>
      </w:pPr>
      <w:r>
        <w:t xml:space="preserve">Various elements of PREMO have direct relevance to how </w:t>
      </w:r>
      <w:r w:rsidR="002279CE">
        <w:t xml:space="preserve">water </w:t>
      </w:r>
      <w:r>
        <w:t>businesses explain, justify and administer their NCCs. For example:</w:t>
      </w:r>
    </w:p>
    <w:p w14:paraId="027B96A6" w14:textId="4463465F" w:rsidR="00F415A8" w:rsidRDefault="00F415A8" w:rsidP="009E03D6">
      <w:pPr>
        <w:pStyle w:val="ListBullet"/>
        <w:keepNext/>
        <w:keepLines/>
      </w:pPr>
      <w:r w:rsidRPr="00284DEC">
        <w:rPr>
          <w:b/>
          <w:bCs/>
        </w:rPr>
        <w:t>Risk</w:t>
      </w:r>
      <w:r w:rsidR="00426898">
        <w:rPr>
          <w:b/>
          <w:bCs/>
        </w:rPr>
        <w:br/>
      </w:r>
      <w:r>
        <w:t>NCCs and asset gifting practices inherently involve trading off the risk of:</w:t>
      </w:r>
    </w:p>
    <w:p w14:paraId="5A4F1ED1" w14:textId="2377D1D8" w:rsidR="00F415A8" w:rsidRDefault="00F415A8" w:rsidP="00947596">
      <w:pPr>
        <w:pStyle w:val="ListBullet2"/>
        <w:keepNext/>
        <w:keepLines/>
        <w:ind w:left="568" w:hanging="284"/>
      </w:pPr>
      <w:r>
        <w:t xml:space="preserve">prudently foreseeing and building for growth between </w:t>
      </w:r>
      <w:r w:rsidR="00525593">
        <w:t>connection applicants</w:t>
      </w:r>
      <w:r>
        <w:t xml:space="preserve"> and water businesses</w:t>
      </w:r>
    </w:p>
    <w:p w14:paraId="285E20D4" w14:textId="32FD9CB1" w:rsidR="00F415A8" w:rsidRDefault="00F415A8" w:rsidP="00947596">
      <w:pPr>
        <w:pStyle w:val="ListBullet2"/>
        <w:keepNext/>
        <w:keepLines/>
        <w:ind w:left="568" w:hanging="284"/>
      </w:pPr>
      <w:r>
        <w:t>asset utilisation and forecast incremental revenue realisation risks</w:t>
      </w:r>
    </w:p>
    <w:p w14:paraId="3E1E3AE2" w14:textId="7F0FDD69" w:rsidR="00F415A8" w:rsidRDefault="00F415A8" w:rsidP="00947596">
      <w:pPr>
        <w:pStyle w:val="ListBullet2"/>
        <w:keepNext/>
        <w:keepLines/>
        <w:ind w:left="568" w:hanging="284"/>
      </w:pPr>
      <w:r>
        <w:t xml:space="preserve">cost recovery consequences for growth investment between </w:t>
      </w:r>
      <w:r w:rsidR="00525593">
        <w:t>connection appl</w:t>
      </w:r>
      <w:r w:rsidR="00F3115A">
        <w:t>icants</w:t>
      </w:r>
      <w:r>
        <w:t xml:space="preserve"> and ongoing water service customers.</w:t>
      </w:r>
    </w:p>
    <w:p w14:paraId="28C5D016" w14:textId="1E633D73" w:rsidR="00F415A8" w:rsidRDefault="00F415A8" w:rsidP="002B7C2E">
      <w:pPr>
        <w:pStyle w:val="ListBullet"/>
      </w:pPr>
      <w:r w:rsidRPr="000C0C7C">
        <w:rPr>
          <w:b/>
          <w:bCs/>
        </w:rPr>
        <w:t>Engagement</w:t>
      </w:r>
      <w:r w:rsidR="00426898">
        <w:rPr>
          <w:b/>
          <w:bCs/>
        </w:rPr>
        <w:br/>
      </w:r>
      <w:r>
        <w:t xml:space="preserve">Given the above risk trade-offs, engagement with both </w:t>
      </w:r>
      <w:r w:rsidR="00F3115A">
        <w:t>connection applicants</w:t>
      </w:r>
      <w:r>
        <w:t xml:space="preserve"> and ongoing water service customers on the risk trade-offs and adequacy of growth planning, </w:t>
      </w:r>
      <w:r w:rsidR="00B33231">
        <w:t>development servicing plans</w:t>
      </w:r>
      <w:r>
        <w:t xml:space="preserve"> and NCC pricing in managing those risks is essential.</w:t>
      </w:r>
    </w:p>
    <w:p w14:paraId="47CCA99E" w14:textId="31C3AC20" w:rsidR="00F415A8" w:rsidRDefault="00F415A8" w:rsidP="002B7C2E">
      <w:pPr>
        <w:pStyle w:val="ListBullet"/>
      </w:pPr>
      <w:r w:rsidRPr="000C0C7C">
        <w:rPr>
          <w:b/>
          <w:bCs/>
        </w:rPr>
        <w:t>Performance</w:t>
      </w:r>
      <w:r w:rsidR="00426898">
        <w:rPr>
          <w:b/>
          <w:bCs/>
        </w:rPr>
        <w:br/>
      </w:r>
      <w:r>
        <w:t xml:space="preserve">Connection services, like any regulated service, should be subject to clear performance commitments from water businesses and businesses should set targets for such performance and </w:t>
      </w:r>
      <w:proofErr w:type="gramStart"/>
      <w:r>
        <w:t>disclose</w:t>
      </w:r>
      <w:proofErr w:type="gramEnd"/>
      <w:r>
        <w:t xml:space="preserve"> their actual performance levels against those.</w:t>
      </w:r>
    </w:p>
    <w:p w14:paraId="1193F322" w14:textId="1C78096F" w:rsidR="00F415A8" w:rsidRDefault="00EB7E03" w:rsidP="00905C41">
      <w:pPr>
        <w:pStyle w:val="Heading2"/>
        <w:ind w:left="851" w:hanging="851"/>
      </w:pPr>
      <w:bookmarkStart w:id="236" w:name="_Toc211246893"/>
      <w:r>
        <w:t>7.2</w:t>
      </w:r>
      <w:r>
        <w:tab/>
      </w:r>
      <w:bookmarkStart w:id="237" w:name="_Toc210127632"/>
      <w:r w:rsidR="00F415A8">
        <w:t>Linking PREMO ratings to better NCC practices</w:t>
      </w:r>
      <w:bookmarkEnd w:id="236"/>
      <w:bookmarkEnd w:id="237"/>
    </w:p>
    <w:p w14:paraId="73E325EE" w14:textId="78D45F36" w:rsidR="00F415A8" w:rsidRDefault="00F415A8" w:rsidP="00F415A8">
      <w:r>
        <w:t xml:space="preserve">Our future water price review guidance papers will require consideration of NCCs in </w:t>
      </w:r>
      <w:r w:rsidR="00CA6564">
        <w:t xml:space="preserve">water </w:t>
      </w:r>
      <w:r>
        <w:t>businesses</w:t>
      </w:r>
      <w:r w:rsidR="00CA6564">
        <w:t>’</w:t>
      </w:r>
      <w:r>
        <w:t xml:space="preserve"> self-assessments</w:t>
      </w:r>
      <w:r w:rsidR="00DE6B89">
        <w:t xml:space="preserve"> for </w:t>
      </w:r>
      <w:r>
        <w:t>their</w:t>
      </w:r>
      <w:r w:rsidR="003C281A">
        <w:t xml:space="preserve"> PREMO ratings. </w:t>
      </w:r>
      <w:r>
        <w:t>Specific examples of this are discussed below.</w:t>
      </w:r>
    </w:p>
    <w:p w14:paraId="6C331FB5" w14:textId="77777777" w:rsidR="00F415A8" w:rsidRDefault="00F415A8" w:rsidP="00571E77">
      <w:pPr>
        <w:pStyle w:val="Heading3"/>
      </w:pPr>
      <w:bookmarkStart w:id="238" w:name="_Toc209447340"/>
      <w:bookmarkStart w:id="239" w:name="_Toc210028144"/>
      <w:bookmarkStart w:id="240" w:name="_Toc210127633"/>
      <w:bookmarkStart w:id="241" w:name="_Toc210908645"/>
      <w:bookmarkStart w:id="242" w:name="_Toc211246894"/>
      <w:r>
        <w:t>Connection process timing commitments and performance disclosures</w:t>
      </w:r>
      <w:bookmarkEnd w:id="238"/>
      <w:bookmarkEnd w:id="239"/>
      <w:bookmarkEnd w:id="240"/>
      <w:bookmarkEnd w:id="241"/>
      <w:bookmarkEnd w:id="242"/>
    </w:p>
    <w:p w14:paraId="00545386" w14:textId="1959D009" w:rsidR="00F415A8" w:rsidRDefault="009B4FCC" w:rsidP="00F415A8">
      <w:r>
        <w:t>For example, w</w:t>
      </w:r>
      <w:r w:rsidR="00F415A8">
        <w:t>e will include in</w:t>
      </w:r>
      <w:r w:rsidR="00791448">
        <w:t xml:space="preserve"> our PREMO </w:t>
      </w:r>
      <w:r w:rsidR="00F415A8">
        <w:t>rating guidance</w:t>
      </w:r>
      <w:r w:rsidR="00791448">
        <w:t xml:space="preserve"> that</w:t>
      </w:r>
      <w:r w:rsidR="00F415A8">
        <w:t>:</w:t>
      </w:r>
    </w:p>
    <w:p w14:paraId="3E14FD64" w14:textId="6B457B60" w:rsidR="00F415A8" w:rsidRDefault="007A2DCC" w:rsidP="002B7C2E">
      <w:pPr>
        <w:pStyle w:val="ListBullet"/>
      </w:pPr>
      <w:r>
        <w:t>water</w:t>
      </w:r>
      <w:r w:rsidR="00F415A8">
        <w:t xml:space="preserve"> businesses </w:t>
      </w:r>
      <w:r>
        <w:t xml:space="preserve">with </w:t>
      </w:r>
      <w:r w:rsidR="002D5DAE">
        <w:t xml:space="preserve">Standard </w:t>
      </w:r>
      <w:r>
        <w:t xml:space="preserve">PREMO ratings </w:t>
      </w:r>
      <w:r w:rsidR="00F415A8">
        <w:t xml:space="preserve">should </w:t>
      </w:r>
      <w:r w:rsidR="00A2657E">
        <w:t>show</w:t>
      </w:r>
      <w:r w:rsidR="00F415A8">
        <w:t xml:space="preserve"> average timeframes for negotiating connections</w:t>
      </w:r>
    </w:p>
    <w:p w14:paraId="4649CAA2" w14:textId="700F8F64" w:rsidR="00F415A8" w:rsidRDefault="007A2DCC" w:rsidP="002B7C2E">
      <w:pPr>
        <w:pStyle w:val="ListBullet"/>
      </w:pPr>
      <w:r>
        <w:t xml:space="preserve">water businesses with </w:t>
      </w:r>
      <w:r w:rsidR="002D5DAE">
        <w:t xml:space="preserve">Advanced </w:t>
      </w:r>
      <w:r>
        <w:t xml:space="preserve">PREMO ratings </w:t>
      </w:r>
      <w:r w:rsidR="007D7867">
        <w:t>should</w:t>
      </w:r>
      <w:r w:rsidR="001A6789">
        <w:t xml:space="preserve"> </w:t>
      </w:r>
      <w:r w:rsidR="00F415A8">
        <w:t xml:space="preserve">set performance targets </w:t>
      </w:r>
      <w:r w:rsidR="001A6789">
        <w:t xml:space="preserve">aligned with </w:t>
      </w:r>
      <w:r w:rsidR="00F415A8">
        <w:t>connection timeframes</w:t>
      </w:r>
      <w:r w:rsidR="001A6789">
        <w:t>,</w:t>
      </w:r>
      <w:r w:rsidR="00F415A8">
        <w:t xml:space="preserve"> and </w:t>
      </w:r>
      <w:r w:rsidR="00F4519C">
        <w:t>show</w:t>
      </w:r>
      <w:r w:rsidR="00F415A8">
        <w:t xml:space="preserve"> actual performance against these targets, with these targets informed through engagement.</w:t>
      </w:r>
    </w:p>
    <w:p w14:paraId="17EF80E5" w14:textId="77777777" w:rsidR="00F415A8" w:rsidRDefault="00F415A8" w:rsidP="00D21ADB">
      <w:pPr>
        <w:pStyle w:val="Heading3"/>
      </w:pPr>
      <w:bookmarkStart w:id="243" w:name="_Toc209447341"/>
      <w:bookmarkStart w:id="244" w:name="_Toc210028145"/>
      <w:bookmarkStart w:id="245" w:name="_Toc210127634"/>
      <w:bookmarkStart w:id="246" w:name="_Toc210908646"/>
      <w:bookmarkStart w:id="247" w:name="_Toc211246895"/>
      <w:r>
        <w:t>Clear and authorised cost attribution policies</w:t>
      </w:r>
      <w:bookmarkEnd w:id="243"/>
      <w:bookmarkEnd w:id="244"/>
      <w:bookmarkEnd w:id="245"/>
      <w:bookmarkEnd w:id="246"/>
      <w:bookmarkEnd w:id="247"/>
    </w:p>
    <w:p w14:paraId="5A309513" w14:textId="1F1A6D18" w:rsidR="00F415A8" w:rsidRDefault="009B4FCC" w:rsidP="00F415A8">
      <w:r>
        <w:t xml:space="preserve">For example, we </w:t>
      </w:r>
      <w:r w:rsidR="00F415A8">
        <w:t>will include in</w:t>
      </w:r>
      <w:r w:rsidR="00CB4636">
        <w:t xml:space="preserve"> our PREMO </w:t>
      </w:r>
      <w:r w:rsidR="00F415A8">
        <w:t>rating guidance</w:t>
      </w:r>
      <w:r w:rsidR="00CB4636">
        <w:t xml:space="preserve"> that:</w:t>
      </w:r>
    </w:p>
    <w:p w14:paraId="14D3E979" w14:textId="18D53245" w:rsidR="00F415A8" w:rsidRDefault="002C37EC" w:rsidP="002B7C2E">
      <w:pPr>
        <w:pStyle w:val="ListBullet"/>
      </w:pPr>
      <w:r>
        <w:t xml:space="preserve">water businesses with </w:t>
      </w:r>
      <w:r w:rsidR="00EA4BE3">
        <w:t xml:space="preserve">Standard </w:t>
      </w:r>
      <w:r>
        <w:t>PREMO rating</w:t>
      </w:r>
      <w:r w:rsidR="00543A8B">
        <w:t>s</w:t>
      </w:r>
      <w:r>
        <w:t xml:space="preserve"> </w:t>
      </w:r>
      <w:r w:rsidR="00F415A8">
        <w:t xml:space="preserve">should </w:t>
      </w:r>
      <w:r w:rsidR="002E3E7E">
        <w:t>keep</w:t>
      </w:r>
      <w:r w:rsidR="00F415A8">
        <w:t xml:space="preserve"> and provide to the commission NCC cost and benefit attribution policies</w:t>
      </w:r>
    </w:p>
    <w:p w14:paraId="20B08C31" w14:textId="3A4B8B3C" w:rsidR="00F415A8" w:rsidRDefault="00543A8B" w:rsidP="002B7C2E">
      <w:pPr>
        <w:pStyle w:val="ListBullet"/>
      </w:pPr>
      <w:r>
        <w:t xml:space="preserve">water businesses with </w:t>
      </w:r>
      <w:r w:rsidR="00EA4BE3">
        <w:t xml:space="preserve">Advanced </w:t>
      </w:r>
      <w:r>
        <w:t>PREMO ratings</w:t>
      </w:r>
      <w:r w:rsidR="00F415A8">
        <w:t xml:space="preserve"> </w:t>
      </w:r>
      <w:r w:rsidR="00654740">
        <w:t>should</w:t>
      </w:r>
      <w:r w:rsidR="00F415A8">
        <w:t xml:space="preserve"> provide evidence of suitable governance arrangements of NCC cost and benefit attribution policies</w:t>
      </w:r>
      <w:r w:rsidR="00E45F5C">
        <w:t>.</w:t>
      </w:r>
      <w:r w:rsidR="001A612B">
        <w:t xml:space="preserve"> This</w:t>
      </w:r>
      <w:r w:rsidR="00F415A8">
        <w:t xml:space="preserve"> </w:t>
      </w:r>
      <w:r w:rsidR="001A612B">
        <w:t xml:space="preserve">includes </w:t>
      </w:r>
      <w:r w:rsidR="00F415A8">
        <w:t xml:space="preserve">board endorsement where forecast NCC revenues </w:t>
      </w:r>
      <w:proofErr w:type="gramStart"/>
      <w:r w:rsidR="00F415A8">
        <w:t>represent</w:t>
      </w:r>
      <w:proofErr w:type="gramEnd"/>
      <w:r w:rsidR="00F415A8">
        <w:t xml:space="preserve"> </w:t>
      </w:r>
      <w:r w:rsidR="00325090" w:rsidRPr="00235B08">
        <w:t>material</w:t>
      </w:r>
      <w:r w:rsidR="007567DB" w:rsidRPr="00235B08">
        <w:t xml:space="preserve"> forecast growth capex</w:t>
      </w:r>
      <w:r w:rsidR="00F415A8">
        <w:t>.</w:t>
      </w:r>
    </w:p>
    <w:p w14:paraId="03A4FFF0" w14:textId="358AC63F" w:rsidR="004717C4" w:rsidRDefault="00C57C00" w:rsidP="00C57C00">
      <w:pPr>
        <w:pStyle w:val="Heading3"/>
      </w:pPr>
      <w:bookmarkStart w:id="248" w:name="_Toc209253958"/>
      <w:bookmarkStart w:id="249" w:name="_Toc209447342"/>
      <w:bookmarkStart w:id="250" w:name="_Toc210028146"/>
      <w:bookmarkStart w:id="251" w:name="_Toc210127635"/>
      <w:bookmarkStart w:id="252" w:name="_Toc210908647"/>
      <w:bookmarkStart w:id="253" w:name="_Toc211246896"/>
      <w:r>
        <w:t>A</w:t>
      </w:r>
      <w:r w:rsidR="004717C4">
        <w:t>dequate NCC engagement</w:t>
      </w:r>
      <w:bookmarkEnd w:id="248"/>
      <w:bookmarkEnd w:id="249"/>
      <w:bookmarkEnd w:id="250"/>
      <w:bookmarkEnd w:id="251"/>
      <w:bookmarkEnd w:id="252"/>
      <w:bookmarkEnd w:id="253"/>
    </w:p>
    <w:p w14:paraId="65C9A91D" w14:textId="04D15BC6" w:rsidR="00F415A8" w:rsidRDefault="00F415A8" w:rsidP="00F415A8">
      <w:r>
        <w:t xml:space="preserve">We recognise that each </w:t>
      </w:r>
      <w:r w:rsidR="0079190B">
        <w:t>water</w:t>
      </w:r>
      <w:r>
        <w:t xml:space="preserve"> business is best placed to design and undertake engagement to suit its circumstances and those of its customers and interested parties. However, </w:t>
      </w:r>
      <w:r w:rsidR="00880C94" w:rsidRPr="00880C94">
        <w:t>our guidance</w:t>
      </w:r>
      <w:r>
        <w:t xml:space="preserve"> will </w:t>
      </w:r>
      <w:r w:rsidR="00880C94" w:rsidRPr="00880C94">
        <w:t>set out our expectations</w:t>
      </w:r>
      <w:r>
        <w:t xml:space="preserve"> for </w:t>
      </w:r>
      <w:r w:rsidR="0079190B">
        <w:t xml:space="preserve">water businesses with </w:t>
      </w:r>
      <w:r w:rsidR="00880C94" w:rsidRPr="00880C94">
        <w:t>Standard</w:t>
      </w:r>
      <w:r>
        <w:t xml:space="preserve"> </w:t>
      </w:r>
      <w:r w:rsidR="0079190B">
        <w:t xml:space="preserve">PREMO </w:t>
      </w:r>
      <w:r w:rsidR="00880C94" w:rsidRPr="00880C94">
        <w:t>ratings, for example:</w:t>
      </w:r>
    </w:p>
    <w:p w14:paraId="046997D4" w14:textId="504CB00A" w:rsidR="00F415A8" w:rsidRDefault="00F415A8" w:rsidP="002B7C2E">
      <w:pPr>
        <w:pStyle w:val="ListBullet"/>
      </w:pPr>
      <w:r>
        <w:t xml:space="preserve">Water businesses should start engagement early in their </w:t>
      </w:r>
      <w:r w:rsidR="00794A00">
        <w:t>planning</w:t>
      </w:r>
      <w:r w:rsidR="00744CB8">
        <w:t xml:space="preserve"> for growth investment, </w:t>
      </w:r>
      <w:r w:rsidR="00EA4BE3">
        <w:t>Development Servicing Plans</w:t>
      </w:r>
      <w:r w:rsidR="00744CB8">
        <w:t xml:space="preserve">, standard NCCs and </w:t>
      </w:r>
      <w:r w:rsidR="00A42C01">
        <w:t xml:space="preserve">their </w:t>
      </w:r>
      <w:r w:rsidR="00744CB8">
        <w:t>negotia</w:t>
      </w:r>
      <w:r w:rsidR="00E82757">
        <w:t>ting framework</w:t>
      </w:r>
      <w:r>
        <w:t xml:space="preserve">. The engagement should be ongoing to keep testing proposals with customers. </w:t>
      </w:r>
    </w:p>
    <w:p w14:paraId="6F658ED3" w14:textId="11A947DA" w:rsidR="007A7FA8" w:rsidRDefault="007A7FA8" w:rsidP="002B7C2E">
      <w:pPr>
        <w:pStyle w:val="ListBullet"/>
      </w:pPr>
      <w:r w:rsidRPr="007A7FA8">
        <w:t xml:space="preserve">Water businesses must actively engage with customers in specific areas </w:t>
      </w:r>
      <w:proofErr w:type="gramStart"/>
      <w:r w:rsidRPr="007A7FA8">
        <w:t>impacted</w:t>
      </w:r>
      <w:proofErr w:type="gramEnd"/>
      <w:r w:rsidRPr="007A7FA8">
        <w:t xml:space="preserve"> by infrastructure costs, upgrades, or the addition of new connections within that location</w:t>
      </w:r>
      <w:r w:rsidR="00CF62B5">
        <w:t>.</w:t>
      </w:r>
    </w:p>
    <w:p w14:paraId="7A359049" w14:textId="2D992A02" w:rsidR="00F415A8" w:rsidRDefault="00F415A8" w:rsidP="002B7C2E">
      <w:pPr>
        <w:pStyle w:val="ListBullet"/>
      </w:pPr>
      <w:r>
        <w:t>Fit-for-purpose NCC engagement is needed to ensure both existing and new or expanded customers/connection applicants are consulted to ensure a fair and reasonable division of growth costs and benefits between the groups.</w:t>
      </w:r>
    </w:p>
    <w:p w14:paraId="66064A9C" w14:textId="1EA95284" w:rsidR="0075190E" w:rsidRDefault="00F01500" w:rsidP="002B7C2E">
      <w:pPr>
        <w:pStyle w:val="ListBullet"/>
      </w:pPr>
      <w:r>
        <w:t xml:space="preserve">If </w:t>
      </w:r>
      <w:r w:rsidRPr="004056E0">
        <w:t xml:space="preserve">proposed NCCs are </w:t>
      </w:r>
      <w:r>
        <w:t>not</w:t>
      </w:r>
      <w:r w:rsidR="00C27D3C">
        <w:t xml:space="preserve"> </w:t>
      </w:r>
      <w:r w:rsidRPr="004056E0">
        <w:t>cost reflective</w:t>
      </w:r>
      <w:r>
        <w:t xml:space="preserve">, </w:t>
      </w:r>
      <w:r w:rsidR="00176D22">
        <w:t xml:space="preserve">water businesses must </w:t>
      </w:r>
      <w:r w:rsidR="00ED3896">
        <w:t xml:space="preserve">engage </w:t>
      </w:r>
      <w:r w:rsidR="00200016" w:rsidRPr="00853CFC">
        <w:t xml:space="preserve">with their </w:t>
      </w:r>
      <w:r w:rsidRPr="00853CFC">
        <w:t>existing water</w:t>
      </w:r>
      <w:r w:rsidR="006C15E5">
        <w:t xml:space="preserve"> and sewerage</w:t>
      </w:r>
      <w:r w:rsidRPr="00853CFC">
        <w:t xml:space="preserve"> customers</w:t>
      </w:r>
      <w:r w:rsidR="00ED3896">
        <w:t xml:space="preserve"> on </w:t>
      </w:r>
      <w:r w:rsidR="00191D8F">
        <w:t xml:space="preserve">how they plan to recover their </w:t>
      </w:r>
      <w:r w:rsidR="00ED3896" w:rsidRPr="00853CFC">
        <w:t>growth</w:t>
      </w:r>
      <w:r w:rsidR="00191D8F">
        <w:t xml:space="preserve"> costs</w:t>
      </w:r>
      <w:r w:rsidR="00CC4D52">
        <w:t>.</w:t>
      </w:r>
      <w:r w:rsidR="000C7727">
        <w:t xml:space="preserve"> They must explain the scale of any </w:t>
      </w:r>
      <w:r w:rsidRPr="00853CFC">
        <w:t xml:space="preserve">subsidy and </w:t>
      </w:r>
      <w:r w:rsidR="00BE2726">
        <w:t xml:space="preserve">the </w:t>
      </w:r>
      <w:r w:rsidRPr="00853CFC">
        <w:t>time</w:t>
      </w:r>
      <w:r w:rsidR="00A36F1B">
        <w:t>frame</w:t>
      </w:r>
      <w:r w:rsidRPr="00853CFC">
        <w:t xml:space="preserve"> to remove it</w:t>
      </w:r>
      <w:r w:rsidR="00F415A8" w:rsidRPr="00853CFC">
        <w:t>.</w:t>
      </w:r>
      <w:r w:rsidR="00036C04" w:rsidRPr="00853CFC">
        <w:t xml:space="preserve"> </w:t>
      </w:r>
    </w:p>
    <w:p w14:paraId="46276616" w14:textId="77777777" w:rsidR="009E03D6" w:rsidRDefault="009E03D6" w:rsidP="009E03D6"/>
    <w:p w14:paraId="5C1B2FBC" w14:textId="77777777" w:rsidR="008E35AC" w:rsidRDefault="008E35AC" w:rsidP="009E03D6"/>
    <w:p w14:paraId="59E517BB" w14:textId="77777777" w:rsidR="008E35AC" w:rsidRDefault="008E35AC" w:rsidP="008E35AC">
      <w:pPr>
        <w:pStyle w:val="ListBullet"/>
        <w:sectPr w:rsidR="008E35AC" w:rsidSect="0033357D">
          <w:footerReference w:type="default" r:id="rId35"/>
          <w:pgSz w:w="11906" w:h="16838" w:code="9"/>
          <w:pgMar w:top="1134" w:right="1134" w:bottom="1134" w:left="1134" w:header="709" w:footer="692" w:gutter="0"/>
          <w:cols w:space="708"/>
          <w:docGrid w:linePitch="360"/>
        </w:sectPr>
      </w:pPr>
    </w:p>
    <w:p w14:paraId="20272A65" w14:textId="5D72A98E" w:rsidR="0075190E" w:rsidRDefault="00496A52" w:rsidP="00905C41">
      <w:pPr>
        <w:pStyle w:val="Heading1"/>
        <w:ind w:left="567" w:hanging="567"/>
      </w:pPr>
      <w:bookmarkStart w:id="254" w:name="_Toc211246897"/>
      <w:r>
        <w:t>8.</w:t>
      </w:r>
      <w:r>
        <w:tab/>
      </w:r>
      <w:bookmarkStart w:id="255" w:name="_Toc210127636"/>
      <w:r w:rsidR="0075190E" w:rsidRPr="0075190E">
        <w:t>Monitoring NCC implementation</w:t>
      </w:r>
      <w:bookmarkEnd w:id="254"/>
      <w:bookmarkEnd w:id="255"/>
    </w:p>
    <w:p w14:paraId="258DB0FB" w14:textId="30631AD1" w:rsidR="00032BE9" w:rsidRDefault="00032BE9" w:rsidP="00032BE9">
      <w:r>
        <w:t xml:space="preserve">We will </w:t>
      </w:r>
      <w:proofErr w:type="gramStart"/>
      <w:r>
        <w:t>monitor</w:t>
      </w:r>
      <w:proofErr w:type="gramEnd"/>
      <w:r>
        <w:t xml:space="preserve"> </w:t>
      </w:r>
      <w:r w:rsidR="00DC2222">
        <w:t>how</w:t>
      </w:r>
      <w:r w:rsidR="006E2889">
        <w:t xml:space="preserve"> the</w:t>
      </w:r>
      <w:r>
        <w:t xml:space="preserve"> NCC </w:t>
      </w:r>
      <w:r w:rsidR="0018619A">
        <w:t xml:space="preserve">Framework </w:t>
      </w:r>
      <w:r w:rsidR="00DC2222">
        <w:t>is administered</w:t>
      </w:r>
      <w:r>
        <w:t xml:space="preserve"> t</w:t>
      </w:r>
      <w:r w:rsidRPr="004B7973">
        <w:t xml:space="preserve">o </w:t>
      </w:r>
      <w:r w:rsidR="00B111E4" w:rsidRPr="004B7973">
        <w:t>promote</w:t>
      </w:r>
      <w:r>
        <w:t xml:space="preserve"> </w:t>
      </w:r>
      <w:r w:rsidR="00162F43">
        <w:t>compliance</w:t>
      </w:r>
      <w:r>
        <w:t xml:space="preserve"> </w:t>
      </w:r>
      <w:r w:rsidR="003E4073">
        <w:t xml:space="preserve">and </w:t>
      </w:r>
      <w:r>
        <w:t xml:space="preserve">track performance </w:t>
      </w:r>
      <w:r w:rsidR="008C16BF">
        <w:t>throughout</w:t>
      </w:r>
      <w:r>
        <w:t xml:space="preserve"> the price determination periods, not </w:t>
      </w:r>
      <w:r w:rsidR="00681D49">
        <w:t>just at</w:t>
      </w:r>
      <w:r>
        <w:t xml:space="preserve"> price reviews.</w:t>
      </w:r>
    </w:p>
    <w:p w14:paraId="47CB4C59" w14:textId="48A1BB35" w:rsidR="00032BE9" w:rsidRDefault="00DC3BF8" w:rsidP="00032BE9">
      <w:r>
        <w:t>In doing so,</w:t>
      </w:r>
      <w:r w:rsidR="00032BE9">
        <w:t xml:space="preserve"> we will:</w:t>
      </w:r>
    </w:p>
    <w:p w14:paraId="5D3CD0E4" w14:textId="0EACCC0E" w:rsidR="00032BE9" w:rsidRDefault="00515131" w:rsidP="002B7C2E">
      <w:pPr>
        <w:pStyle w:val="ListBullet"/>
      </w:pPr>
      <w:r>
        <w:t>r</w:t>
      </w:r>
      <w:r w:rsidR="00033F8B">
        <w:t xml:space="preserve">equire water businesses to </w:t>
      </w:r>
      <w:r>
        <w:t>provide</w:t>
      </w:r>
      <w:r w:rsidR="00032BE9">
        <w:t xml:space="preserve"> minimum annual disclosure</w:t>
      </w:r>
      <w:r w:rsidR="005D7078">
        <w:t>s of</w:t>
      </w:r>
      <w:r w:rsidR="00032BE9">
        <w:t xml:space="preserve"> NCC performance metrics</w:t>
      </w:r>
    </w:p>
    <w:p w14:paraId="01269D83" w14:textId="4130FB20" w:rsidR="00032BE9" w:rsidRDefault="00032BE9" w:rsidP="002B7C2E">
      <w:pPr>
        <w:pStyle w:val="ListBullet"/>
      </w:pPr>
      <w:r>
        <w:t>consider publishing comparative performance commentary where disclosed data</w:t>
      </w:r>
      <w:r w:rsidR="001F229E">
        <w:t xml:space="preserve"> </w:t>
      </w:r>
      <w:r w:rsidR="007C7715">
        <w:t>show</w:t>
      </w:r>
      <w:r w:rsidR="001F229E">
        <w:t xml:space="preserve"> potential issues in NCC administration. </w:t>
      </w:r>
    </w:p>
    <w:p w14:paraId="41756688" w14:textId="4A05063F" w:rsidR="00032BE9" w:rsidRDefault="00EB7E03" w:rsidP="00905C41">
      <w:pPr>
        <w:pStyle w:val="Heading2"/>
        <w:ind w:left="851" w:hanging="851"/>
      </w:pPr>
      <w:bookmarkStart w:id="256" w:name="_Toc211246898"/>
      <w:r>
        <w:t>8.1</w:t>
      </w:r>
      <w:r>
        <w:tab/>
      </w:r>
      <w:bookmarkStart w:id="257" w:name="_Toc210127637"/>
      <w:r w:rsidR="00032BE9">
        <w:t>Annual disclosure requirements</w:t>
      </w:r>
      <w:bookmarkEnd w:id="256"/>
      <w:bookmarkEnd w:id="257"/>
    </w:p>
    <w:p w14:paraId="4FEB553C" w14:textId="3DED45BC" w:rsidR="00032BE9" w:rsidRDefault="00032BE9" w:rsidP="004F08AD">
      <w:r>
        <w:t xml:space="preserve">We will require the following annual </w:t>
      </w:r>
      <w:r w:rsidR="00CB5BFE" w:rsidRPr="00BD1C74">
        <w:t xml:space="preserve">disclosures </w:t>
      </w:r>
      <w:r>
        <w:t>from water businesses:</w:t>
      </w:r>
    </w:p>
    <w:p w14:paraId="1FB91399" w14:textId="77777777" w:rsidR="00623C68" w:rsidRDefault="00623C68" w:rsidP="000C69F7">
      <w:pPr>
        <w:pStyle w:val="Heading4"/>
      </w:pPr>
      <w:r>
        <w:t>General disclosures</w:t>
      </w:r>
    </w:p>
    <w:p w14:paraId="1A31A296" w14:textId="22D89D5F" w:rsidR="00623C68" w:rsidRDefault="00623C68" w:rsidP="00623C68">
      <w:pPr>
        <w:pStyle w:val="ListBullet"/>
      </w:pPr>
      <w:r>
        <w:t>number of published current D</w:t>
      </w:r>
      <w:r w:rsidR="0018619A">
        <w:t xml:space="preserve">evelopment </w:t>
      </w:r>
      <w:r>
        <w:t>S</w:t>
      </w:r>
      <w:r w:rsidR="0018619A">
        <w:t xml:space="preserve">ervicing </w:t>
      </w:r>
      <w:r>
        <w:t>P</w:t>
      </w:r>
      <w:r w:rsidR="0018619A">
        <w:t>lan</w:t>
      </w:r>
      <w:r>
        <w:t>s</w:t>
      </w:r>
    </w:p>
    <w:p w14:paraId="7D370B56" w14:textId="400EC80E" w:rsidR="00623C68" w:rsidRDefault="00623C68" w:rsidP="00623C68">
      <w:pPr>
        <w:pStyle w:val="ListBullet"/>
      </w:pPr>
      <w:r>
        <w:t>number of published D</w:t>
      </w:r>
      <w:r w:rsidR="0018619A">
        <w:t xml:space="preserve">evelopment </w:t>
      </w:r>
      <w:r>
        <w:t>S</w:t>
      </w:r>
      <w:r w:rsidR="0018619A">
        <w:t xml:space="preserve">ervicing </w:t>
      </w:r>
      <w:r>
        <w:t>P</w:t>
      </w:r>
      <w:r w:rsidR="0018619A">
        <w:t>lan</w:t>
      </w:r>
      <w:r w:rsidR="00A41B1D">
        <w:t xml:space="preserve"> (</w:t>
      </w:r>
      <w:r>
        <w:t>DSP</w:t>
      </w:r>
      <w:r w:rsidR="00A41B1D">
        <w:t>)</w:t>
      </w:r>
      <w:r>
        <w:t xml:space="preserve"> zones</w:t>
      </w:r>
    </w:p>
    <w:p w14:paraId="43BAE0F2" w14:textId="472A615D" w:rsidR="00623C68" w:rsidRDefault="00623C68" w:rsidP="00623C68">
      <w:pPr>
        <w:pStyle w:val="ListBullet"/>
      </w:pPr>
      <w:r w:rsidRPr="00BD1C74">
        <w:t>n</w:t>
      </w:r>
      <w:r>
        <w:t>umber of disputed cases elevated to senior management</w:t>
      </w:r>
    </w:p>
    <w:p w14:paraId="735483BF" w14:textId="44D43906" w:rsidR="00623C68" w:rsidRDefault="00623C68" w:rsidP="00623C68">
      <w:pPr>
        <w:pStyle w:val="ListBullet"/>
      </w:pPr>
      <w:r>
        <w:t>number of Victorian Civil and Administrative Tribunal cases</w:t>
      </w:r>
    </w:p>
    <w:p w14:paraId="5202DDD0" w14:textId="2F8C302B" w:rsidR="00623C68" w:rsidRDefault="00623C68" w:rsidP="00623C68">
      <w:pPr>
        <w:pStyle w:val="ListBullet"/>
      </w:pPr>
      <w:r>
        <w:t xml:space="preserve">number of terminated negotiations. </w:t>
      </w:r>
    </w:p>
    <w:p w14:paraId="53044855" w14:textId="4D02C0EC" w:rsidR="00623C68" w:rsidRDefault="00623C68" w:rsidP="000C69F7">
      <w:pPr>
        <w:pStyle w:val="Heading4"/>
      </w:pPr>
      <w:r>
        <w:t>NCC charges or pricing disclosures</w:t>
      </w:r>
    </w:p>
    <w:p w14:paraId="6657C190" w14:textId="3BD91559" w:rsidR="00623C68" w:rsidRDefault="00623C68" w:rsidP="00361600">
      <w:pPr>
        <w:pStyle w:val="ListBullet"/>
      </w:pPr>
      <w:r>
        <w:t>number of subdivisions within regions</w:t>
      </w:r>
    </w:p>
    <w:p w14:paraId="4FA9A59A" w14:textId="0936365E" w:rsidR="00623C68" w:rsidRDefault="0074504E" w:rsidP="00361600">
      <w:pPr>
        <w:pStyle w:val="ListBullet"/>
      </w:pPr>
      <w:r>
        <w:t>n</w:t>
      </w:r>
      <w:r w:rsidR="00623C68">
        <w:t>umber of standard and negotiated zones</w:t>
      </w:r>
    </w:p>
    <w:p w14:paraId="3A42DB30" w14:textId="58DE64FC" w:rsidR="00623C68" w:rsidRDefault="00361600" w:rsidP="00361600">
      <w:pPr>
        <w:pStyle w:val="ListBullet"/>
      </w:pPr>
      <w:r>
        <w:t>n</w:t>
      </w:r>
      <w:r w:rsidR="00623C68">
        <w:t>umber of postage stamp and locational pricing zones</w:t>
      </w:r>
    </w:p>
    <w:p w14:paraId="31DF9CE6" w14:textId="7AE1EB04" w:rsidR="00623C68" w:rsidRDefault="00361600" w:rsidP="00361600">
      <w:pPr>
        <w:pStyle w:val="ListBullet"/>
      </w:pPr>
      <w:r>
        <w:t>n</w:t>
      </w:r>
      <w:r w:rsidR="00623C68">
        <w:t>umber of greenfield/infill developments</w:t>
      </w:r>
    </w:p>
    <w:p w14:paraId="49A87A72" w14:textId="74078597" w:rsidR="00623C68" w:rsidRDefault="00361600" w:rsidP="00361600">
      <w:pPr>
        <w:pStyle w:val="ListBullet"/>
      </w:pPr>
      <w:r>
        <w:t>n</w:t>
      </w:r>
      <w:r w:rsidR="00623C68">
        <w:t>umber of rebates approved for connection applicants.</w:t>
      </w:r>
    </w:p>
    <w:p w14:paraId="176CED18" w14:textId="77777777" w:rsidR="00F03728" w:rsidRDefault="00ED0089" w:rsidP="00F03728">
      <w:r>
        <w:t xml:space="preserve">Water businesses should also </w:t>
      </w:r>
      <w:r w:rsidR="00333083">
        <w:t>show</w:t>
      </w:r>
      <w:r>
        <w:t xml:space="preserve"> the average timeframe for negotiating a connection.</w:t>
      </w:r>
      <w:bookmarkStart w:id="258" w:name="_Hlk210397058"/>
    </w:p>
    <w:p w14:paraId="36FD0433" w14:textId="0790DD63" w:rsidR="00032BE9" w:rsidRDefault="00EB7E03" w:rsidP="00905C41">
      <w:pPr>
        <w:pStyle w:val="Heading2"/>
        <w:ind w:left="851" w:hanging="851"/>
      </w:pPr>
      <w:bookmarkStart w:id="259" w:name="_Toc211246899"/>
      <w:bookmarkEnd w:id="258"/>
      <w:r>
        <w:t>8.2</w:t>
      </w:r>
      <w:r>
        <w:tab/>
      </w:r>
      <w:bookmarkStart w:id="260" w:name="_Toc210127638"/>
      <w:r w:rsidR="00032BE9">
        <w:t>Comparative performance commentary</w:t>
      </w:r>
      <w:bookmarkEnd w:id="259"/>
      <w:bookmarkEnd w:id="260"/>
    </w:p>
    <w:p w14:paraId="0FAF272C" w14:textId="570803CB" w:rsidR="0075190E" w:rsidRPr="0075190E" w:rsidRDefault="00032BE9" w:rsidP="004F08AD">
      <w:r w:rsidRPr="004F08AD">
        <w:t>We may publish</w:t>
      </w:r>
      <w:r w:rsidR="00F51AFD" w:rsidRPr="004F08AD">
        <w:t xml:space="preserve"> a</w:t>
      </w:r>
      <w:r w:rsidRPr="004F08AD">
        <w:t xml:space="preserve"> comparative performance report or commentary on aspects of performance where disclosed data suggests that NCCs are not being administered in </w:t>
      </w:r>
      <w:r w:rsidR="00047CB8" w:rsidRPr="004F08AD">
        <w:t xml:space="preserve">line with our </w:t>
      </w:r>
      <w:r w:rsidRPr="004F08AD">
        <w:t xml:space="preserve">NCC </w:t>
      </w:r>
      <w:r w:rsidR="00A41B1D" w:rsidRPr="004F08AD">
        <w:t xml:space="preserve">Framework </w:t>
      </w:r>
      <w:proofErr w:type="gramStart"/>
      <w:r w:rsidRPr="004F08AD">
        <w:t>objectives</w:t>
      </w:r>
      <w:proofErr w:type="gramEnd"/>
      <w:r w:rsidRPr="004F08AD">
        <w:t xml:space="preserve"> </w:t>
      </w:r>
      <w:r w:rsidR="00047CB8" w:rsidRPr="004F08AD">
        <w:t>(</w:t>
      </w:r>
      <w:r w:rsidRPr="004F08AD">
        <w:t>see section 1.1</w:t>
      </w:r>
      <w:r w:rsidR="00047CB8" w:rsidRPr="004F08AD">
        <w:t>)</w:t>
      </w:r>
      <w:r w:rsidR="004B1218" w:rsidRPr="004F08AD">
        <w:t>.</w:t>
      </w:r>
      <w:r w:rsidR="004B1218">
        <w:t xml:space="preserve"> </w:t>
      </w:r>
    </w:p>
    <w:p w14:paraId="15F596F4" w14:textId="251ABD82" w:rsidR="0075190E" w:rsidRDefault="0075190E" w:rsidP="0075190E">
      <w:pPr>
        <w:sectPr w:rsidR="0075190E" w:rsidSect="0033357D">
          <w:footerReference w:type="default" r:id="rId36"/>
          <w:pgSz w:w="11906" w:h="16838" w:code="9"/>
          <w:pgMar w:top="1134" w:right="1134" w:bottom="1134" w:left="1134" w:header="709" w:footer="692" w:gutter="0"/>
          <w:cols w:space="708"/>
          <w:docGrid w:linePitch="360"/>
        </w:sectPr>
      </w:pPr>
    </w:p>
    <w:p w14:paraId="1D2C70A3" w14:textId="5E89BA89" w:rsidR="0075190E" w:rsidRDefault="0075190E" w:rsidP="0075190E">
      <w:pPr>
        <w:pStyle w:val="Heading1"/>
      </w:pPr>
      <w:bookmarkStart w:id="261" w:name="_Toc210127639"/>
      <w:bookmarkStart w:id="262" w:name="_Toc211246900"/>
      <w:r w:rsidRPr="0075190E">
        <w:t xml:space="preserve">Appendix </w:t>
      </w:r>
      <w:r w:rsidR="00F75847">
        <w:t>A</w:t>
      </w:r>
      <w:r w:rsidRPr="0075190E">
        <w:t xml:space="preserve"> </w:t>
      </w:r>
      <w:r>
        <w:t>–</w:t>
      </w:r>
      <w:r w:rsidRPr="0075190E">
        <w:t xml:space="preserve"> Glossary</w:t>
      </w:r>
      <w:bookmarkEnd w:id="261"/>
      <w:bookmarkEnd w:id="262"/>
    </w:p>
    <w:tbl>
      <w:tblPr>
        <w:tblStyle w:val="TableGrid"/>
        <w:tblW w:w="0" w:type="auto"/>
        <w:tblLook w:val="04A0" w:firstRow="1" w:lastRow="0" w:firstColumn="1" w:lastColumn="0" w:noHBand="0" w:noVBand="1"/>
      </w:tblPr>
      <w:tblGrid>
        <w:gridCol w:w="3402"/>
        <w:gridCol w:w="6236"/>
      </w:tblGrid>
      <w:tr w:rsidR="009C00F4" w14:paraId="6BD19886" w14:textId="77777777" w:rsidTr="00D74805">
        <w:trPr>
          <w:cnfStyle w:val="100000000000" w:firstRow="1" w:lastRow="0" w:firstColumn="0" w:lastColumn="0" w:oddVBand="0" w:evenVBand="0" w:oddHBand="0" w:evenHBand="0" w:firstRowFirstColumn="0" w:firstRowLastColumn="0" w:lastRowFirstColumn="0" w:lastRowLastColumn="0"/>
          <w:tblHeader/>
        </w:trPr>
        <w:tc>
          <w:tcPr>
            <w:tcW w:w="3402" w:type="dxa"/>
          </w:tcPr>
          <w:p w14:paraId="009597B4" w14:textId="41F80BA7" w:rsidR="009C00F4" w:rsidRDefault="009A43E6" w:rsidP="009C00F4">
            <w:pPr>
              <w:pStyle w:val="TableHeading"/>
            </w:pPr>
            <w:r w:rsidRPr="00F361BC">
              <w:rPr>
                <w:lang w:val="en-AU"/>
              </w:rPr>
              <w:t>Term</w:t>
            </w:r>
          </w:p>
        </w:tc>
        <w:tc>
          <w:tcPr>
            <w:tcW w:w="6236" w:type="dxa"/>
          </w:tcPr>
          <w:p w14:paraId="05E98CF7" w14:textId="0E1631F1" w:rsidR="009C00F4" w:rsidRDefault="009C00F4" w:rsidP="009C00F4">
            <w:pPr>
              <w:pStyle w:val="TableHeading"/>
            </w:pPr>
            <w:r w:rsidRPr="0052747A">
              <w:t>Definition</w:t>
            </w:r>
          </w:p>
        </w:tc>
      </w:tr>
      <w:tr w:rsidR="00AD6346" w14:paraId="7F779F75"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62D54C3D" w14:textId="53F141D1" w:rsidR="00AD6346" w:rsidRPr="00D74805" w:rsidRDefault="00AD6346" w:rsidP="00AD6346">
            <w:pPr>
              <w:pStyle w:val="TableBody"/>
              <w:rPr>
                <w:highlight w:val="yellow"/>
              </w:rPr>
            </w:pPr>
            <w:r w:rsidRPr="00322A69">
              <w:t>Average incremental cost approach</w:t>
            </w:r>
          </w:p>
        </w:tc>
        <w:tc>
          <w:tcPr>
            <w:tcW w:w="6236" w:type="dxa"/>
          </w:tcPr>
          <w:p w14:paraId="2BDAAEFB" w14:textId="2A8CAAEC" w:rsidR="00AD6346" w:rsidRDefault="00311B72" w:rsidP="00AD6346">
            <w:pPr>
              <w:pStyle w:val="TableBody"/>
            </w:pPr>
            <w:r w:rsidRPr="00311B72">
              <w:t>The average incremental cost approach calculates the new customer contribution charge by dividing the capital and operating cost of a growth area by the number of connections in that area.</w:t>
            </w:r>
          </w:p>
        </w:tc>
      </w:tr>
      <w:tr w:rsidR="00AD6346" w14:paraId="61B077E3"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B2D4843" w14:textId="2C210373" w:rsidR="00AD6346" w:rsidRDefault="00AD6346" w:rsidP="00AD6346">
            <w:pPr>
              <w:pStyle w:val="TableBody"/>
            </w:pPr>
            <w:r w:rsidRPr="00566C08">
              <w:t xml:space="preserve">Bills (prices and charges) </w:t>
            </w:r>
          </w:p>
        </w:tc>
        <w:tc>
          <w:tcPr>
            <w:tcW w:w="6236" w:type="dxa"/>
          </w:tcPr>
          <w:p w14:paraId="0339F674" w14:textId="3396D1D1" w:rsidR="00AD6346" w:rsidRDefault="00A14C51" w:rsidP="00AD6346">
            <w:pPr>
              <w:pStyle w:val="TableBody"/>
            </w:pPr>
            <w:r w:rsidRPr="00A14C51">
              <w:t>Bills reflect the actual amount that water and sewerage end users pay. It includes the breakdown of various fixed and variable charges (each charge has a price) plus any government fees or rebates. Different user groups may have different combinations of charges on the bill. Bills will also vary based on the volume measured.</w:t>
            </w:r>
          </w:p>
        </w:tc>
      </w:tr>
      <w:tr w:rsidR="001A0686" w14:paraId="0B9D418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9F41EB3" w14:textId="26C1C846" w:rsidR="001A0686" w:rsidRDefault="001A0686" w:rsidP="001A0686">
            <w:pPr>
              <w:pStyle w:val="TableBody"/>
            </w:pPr>
            <w:r w:rsidRPr="005833D2">
              <w:rPr>
                <w:rFonts w:cstheme="minorHAnsi"/>
                <w:lang w:val="en-AU" w:eastAsia="en-AU"/>
              </w:rPr>
              <w:t>Building block</w:t>
            </w:r>
          </w:p>
        </w:tc>
        <w:tc>
          <w:tcPr>
            <w:tcW w:w="6236" w:type="dxa"/>
          </w:tcPr>
          <w:p w14:paraId="354AA4B3" w14:textId="7DAA3B1A" w:rsidR="001A0686" w:rsidRDefault="002E402F" w:rsidP="001A0686">
            <w:pPr>
              <w:pStyle w:val="TableBody"/>
            </w:pPr>
            <w:r w:rsidRPr="002E402F">
              <w:rPr>
                <w:rFonts w:cstheme="minorHAnsi"/>
                <w:lang w:val="en-AU" w:eastAsia="en-AU"/>
              </w:rPr>
              <w:t xml:space="preserve">The allowed revenue of the regulated water </w:t>
            </w:r>
            <w:r w:rsidR="001E1A15">
              <w:rPr>
                <w:rFonts w:cstheme="minorHAnsi"/>
                <w:lang w:val="en-AU" w:eastAsia="en-AU"/>
              </w:rPr>
              <w:t>business</w:t>
            </w:r>
            <w:r w:rsidRPr="002E402F">
              <w:rPr>
                <w:rFonts w:cstheme="minorHAnsi"/>
                <w:lang w:val="en-AU" w:eastAsia="en-AU"/>
              </w:rPr>
              <w:t xml:space="preserve"> is equal to the sum of underlying components or ‘building blocks’ consisting of the return on capital, the return of capital (also known as depreciation), the operating expenditure, and various other components such as taxes and incentive mechanisms.</w:t>
            </w:r>
          </w:p>
        </w:tc>
      </w:tr>
      <w:tr w:rsidR="001A0686" w14:paraId="6795C1C2"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AE83528" w14:textId="440E9FD6" w:rsidR="001A0686" w:rsidRDefault="001A0686" w:rsidP="001A0686">
            <w:pPr>
              <w:pStyle w:val="TableBody"/>
            </w:pPr>
            <w:r w:rsidRPr="005833D2">
              <w:rPr>
                <w:rFonts w:cstheme="minorHAnsi"/>
                <w:lang w:val="en-AU" w:eastAsia="en-AU"/>
              </w:rPr>
              <w:t>Bulk water</w:t>
            </w:r>
          </w:p>
        </w:tc>
        <w:tc>
          <w:tcPr>
            <w:tcW w:w="6236" w:type="dxa"/>
          </w:tcPr>
          <w:p w14:paraId="294C1A32" w14:textId="33988169" w:rsidR="001A0686" w:rsidRDefault="00526A2E" w:rsidP="001A0686">
            <w:pPr>
              <w:pStyle w:val="TableBody"/>
            </w:pPr>
            <w:r w:rsidRPr="00526A2E">
              <w:rPr>
                <w:rFonts w:cstheme="minorHAnsi"/>
                <w:lang w:val="en-AU" w:eastAsia="en-AU"/>
              </w:rPr>
              <w:t xml:space="preserve">Water supplies between water </w:t>
            </w:r>
            <w:r w:rsidR="00A63BF5">
              <w:rPr>
                <w:rFonts w:cstheme="minorHAnsi"/>
                <w:lang w:val="en-AU" w:eastAsia="en-AU"/>
              </w:rPr>
              <w:t>businesses</w:t>
            </w:r>
            <w:r w:rsidRPr="00526A2E">
              <w:rPr>
                <w:rFonts w:cstheme="minorHAnsi"/>
                <w:lang w:val="en-AU" w:eastAsia="en-AU"/>
              </w:rPr>
              <w:t>.</w:t>
            </w:r>
          </w:p>
        </w:tc>
      </w:tr>
      <w:tr w:rsidR="00525264" w14:paraId="01F37F65"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77372842" w14:textId="3BF36D28" w:rsidR="00525264" w:rsidRDefault="00525264" w:rsidP="00525264">
            <w:pPr>
              <w:pStyle w:val="TableBody"/>
            </w:pPr>
            <w:r w:rsidRPr="00F60332">
              <w:t xml:space="preserve">Capital expenditure </w:t>
            </w:r>
          </w:p>
        </w:tc>
        <w:tc>
          <w:tcPr>
            <w:tcW w:w="6236" w:type="dxa"/>
          </w:tcPr>
          <w:p w14:paraId="1A1064B0" w14:textId="04AF726C" w:rsidR="00525264" w:rsidRDefault="00160A65" w:rsidP="00525264">
            <w:pPr>
              <w:pStyle w:val="TableBody"/>
            </w:pPr>
            <w:r w:rsidRPr="00160A65">
              <w:t xml:space="preserve">Investments in water and sewerage supply network. </w:t>
            </w:r>
            <w:r w:rsidR="00A41B1D">
              <w:t>That is,</w:t>
            </w:r>
            <w:r w:rsidRPr="00160A65">
              <w:t xml:space="preserve"> pipelines pumps, meters, treatment plans, </w:t>
            </w:r>
            <w:r w:rsidR="00135793">
              <w:t xml:space="preserve">and </w:t>
            </w:r>
            <w:r w:rsidRPr="00160A65">
              <w:t>storage system</w:t>
            </w:r>
            <w:r w:rsidR="00135793">
              <w:t>s</w:t>
            </w:r>
            <w:r>
              <w:t>.</w:t>
            </w:r>
          </w:p>
        </w:tc>
      </w:tr>
      <w:tr w:rsidR="009756D2" w14:paraId="643C02A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4EE083FB" w14:textId="4A580AC8" w:rsidR="009756D2" w:rsidRPr="00F60332" w:rsidRDefault="009756D2" w:rsidP="009756D2">
            <w:pPr>
              <w:pStyle w:val="TableBody"/>
            </w:pPr>
            <w:r w:rsidRPr="00E83B01">
              <w:t>Consumer price index (CPI)</w:t>
            </w:r>
          </w:p>
        </w:tc>
        <w:tc>
          <w:tcPr>
            <w:tcW w:w="6236" w:type="dxa"/>
          </w:tcPr>
          <w:p w14:paraId="163401F6" w14:textId="02C376F2" w:rsidR="009756D2" w:rsidRPr="00F60332" w:rsidRDefault="00B533BE" w:rsidP="009756D2">
            <w:pPr>
              <w:pStyle w:val="TableBody"/>
            </w:pPr>
            <w:r w:rsidRPr="00B533BE">
              <w:t>The consumer price index (all groups Australia) published by the Australian Bureau of Statistics.</w:t>
            </w:r>
          </w:p>
        </w:tc>
      </w:tr>
      <w:tr w:rsidR="00BC5D5F" w14:paraId="69A5BD7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C417543" w14:textId="723A92CB" w:rsidR="00BC5D5F" w:rsidRPr="00E83B01" w:rsidRDefault="00BC5D5F" w:rsidP="00BC5D5F">
            <w:pPr>
              <w:pStyle w:val="TableBody"/>
            </w:pPr>
            <w:r w:rsidRPr="00B4660C">
              <w:t>Development Servicing Plan (DSP)</w:t>
            </w:r>
          </w:p>
        </w:tc>
        <w:tc>
          <w:tcPr>
            <w:tcW w:w="6236" w:type="dxa"/>
          </w:tcPr>
          <w:p w14:paraId="563C7D74" w14:textId="1F2B9B38" w:rsidR="00BC5D5F" w:rsidRPr="00E83B01" w:rsidRDefault="000354FE" w:rsidP="00BC5D5F">
            <w:pPr>
              <w:pStyle w:val="TableBody"/>
            </w:pPr>
            <w:r w:rsidRPr="000354FE">
              <w:t xml:space="preserve">A publicly available plan prepared by a water business that describes the expected timing and sequencing of developments and infrastructure provision. DSPs can be used as a basis for deriving standard </w:t>
            </w:r>
            <w:r w:rsidR="0087010C">
              <w:t>NCCs</w:t>
            </w:r>
            <w:r w:rsidRPr="000354FE">
              <w:t xml:space="preserve"> during price reviews</w:t>
            </w:r>
            <w:r w:rsidR="00B4660C">
              <w:t>.</w:t>
            </w:r>
          </w:p>
        </w:tc>
      </w:tr>
      <w:tr w:rsidR="00E729B6" w14:paraId="4B14BE4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5AE305D4" w14:textId="4C4DF7B8" w:rsidR="00E729B6" w:rsidRPr="00B4660C" w:rsidRDefault="00E729B6" w:rsidP="00E729B6">
            <w:pPr>
              <w:pStyle w:val="TableBody"/>
            </w:pPr>
            <w:r w:rsidRPr="00B4660C">
              <w:t>Greenfield development</w:t>
            </w:r>
          </w:p>
        </w:tc>
        <w:tc>
          <w:tcPr>
            <w:tcW w:w="6236" w:type="dxa"/>
          </w:tcPr>
          <w:p w14:paraId="52636B35" w14:textId="1208DF08" w:rsidR="00E729B6" w:rsidRPr="00267D37" w:rsidRDefault="003550BE" w:rsidP="00E729B6">
            <w:pPr>
              <w:pStyle w:val="TableBody"/>
            </w:pPr>
            <w:r w:rsidRPr="003550BE">
              <w:t>A development that requires new infrastructure on previously undeveloped or vacant land outside of an urban area.</w:t>
            </w:r>
          </w:p>
        </w:tc>
      </w:tr>
      <w:tr w:rsidR="00E729B6" w14:paraId="30B82ED7"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3B6F94C3" w14:textId="59C5595F" w:rsidR="00E729B6" w:rsidRPr="00B4660C" w:rsidRDefault="00E729B6" w:rsidP="00E729B6">
            <w:pPr>
              <w:pStyle w:val="TableBody"/>
            </w:pPr>
            <w:r w:rsidRPr="00B4660C">
              <w:t xml:space="preserve">Gifted </w:t>
            </w:r>
            <w:r w:rsidR="00135793">
              <w:t>a</w:t>
            </w:r>
            <w:r w:rsidR="00135793" w:rsidRPr="00B4660C">
              <w:t>ssets</w:t>
            </w:r>
          </w:p>
        </w:tc>
        <w:tc>
          <w:tcPr>
            <w:tcW w:w="6236" w:type="dxa"/>
          </w:tcPr>
          <w:p w14:paraId="42AAE24B" w14:textId="225BC4E8" w:rsidR="00E729B6" w:rsidRPr="00267D37" w:rsidRDefault="00673B9C" w:rsidP="00E729B6">
            <w:pPr>
              <w:pStyle w:val="TableBody"/>
            </w:pPr>
            <w:r w:rsidRPr="00673B9C">
              <w:t>Assets, such as pipe infrastructure, gifted by the developer to the water business for ongoing operation and maintenance.</w:t>
            </w:r>
          </w:p>
        </w:tc>
      </w:tr>
      <w:tr w:rsidR="00E178F7" w14:paraId="409CF30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59FC64AA" w14:textId="05692C4D" w:rsidR="00E178F7" w:rsidRPr="00456A99" w:rsidRDefault="00E178F7" w:rsidP="00E178F7">
            <w:pPr>
              <w:pStyle w:val="TableBody"/>
            </w:pPr>
            <w:r w:rsidRPr="008134D1">
              <w:t>Guidance paper</w:t>
            </w:r>
          </w:p>
        </w:tc>
        <w:tc>
          <w:tcPr>
            <w:tcW w:w="6236" w:type="dxa"/>
          </w:tcPr>
          <w:p w14:paraId="42AEA280" w14:textId="51DE2853" w:rsidR="00E178F7" w:rsidRPr="00456A99" w:rsidRDefault="00756BD3" w:rsidP="00E178F7">
            <w:pPr>
              <w:pStyle w:val="TableBody"/>
            </w:pPr>
            <w:r w:rsidRPr="141FC085">
              <w:rPr>
                <w:lang w:val="en-AU"/>
              </w:rPr>
              <w:t xml:space="preserve">Issued to water </w:t>
            </w:r>
            <w:r w:rsidR="001E1A15">
              <w:rPr>
                <w:lang w:val="en-AU"/>
              </w:rPr>
              <w:t>businesse</w:t>
            </w:r>
            <w:r w:rsidRPr="141FC085">
              <w:rPr>
                <w:lang w:val="en-AU"/>
              </w:rPr>
              <w:t xml:space="preserve">s under clause 13 of the WIRO 2014. This paper sets out the manner the commission will regulate prices, governing criteria for each </w:t>
            </w:r>
            <w:proofErr w:type="gramStart"/>
            <w:r w:rsidRPr="141FC085">
              <w:rPr>
                <w:lang w:val="en-AU"/>
              </w:rPr>
              <w:t>component</w:t>
            </w:r>
            <w:proofErr w:type="gramEnd"/>
            <w:r w:rsidRPr="141FC085">
              <w:rPr>
                <w:lang w:val="en-AU"/>
              </w:rPr>
              <w:t xml:space="preserve"> of the building blocks method, and other matters that should be included in the price submission by a water </w:t>
            </w:r>
            <w:r w:rsidR="004B29D4">
              <w:rPr>
                <w:lang w:val="en-AU"/>
              </w:rPr>
              <w:t>business</w:t>
            </w:r>
            <w:r w:rsidRPr="141FC085">
              <w:rPr>
                <w:lang w:val="en-AU"/>
              </w:rPr>
              <w:t>.</w:t>
            </w:r>
          </w:p>
        </w:tc>
      </w:tr>
      <w:tr w:rsidR="006048EF" w14:paraId="680B5615"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6C5179F8" w14:textId="575D5FCD" w:rsidR="006048EF" w:rsidRPr="008134D1" w:rsidRDefault="006048EF" w:rsidP="006048EF">
            <w:pPr>
              <w:pStyle w:val="TableBody"/>
            </w:pPr>
            <w:r w:rsidRPr="004E50B3">
              <w:t>Headworks</w:t>
            </w:r>
          </w:p>
        </w:tc>
        <w:tc>
          <w:tcPr>
            <w:tcW w:w="6236" w:type="dxa"/>
          </w:tcPr>
          <w:p w14:paraId="0CC12093" w14:textId="1D4D17D5" w:rsidR="006048EF" w:rsidRPr="008134D1" w:rsidRDefault="003F1BCC" w:rsidP="006048EF">
            <w:pPr>
              <w:pStyle w:val="TableBody"/>
            </w:pPr>
            <w:r w:rsidRPr="141FC085">
              <w:rPr>
                <w:lang w:val="en-AU"/>
              </w:rPr>
              <w:t>Dams, weirs and associated works used for the harvest, storage and supply of water.</w:t>
            </w:r>
          </w:p>
        </w:tc>
      </w:tr>
      <w:tr w:rsidR="006048EF" w14:paraId="6D25A1FA"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B77CA21" w14:textId="5BAC3CFB" w:rsidR="006048EF" w:rsidRPr="00DB5690" w:rsidRDefault="006048EF" w:rsidP="006048EF">
            <w:pPr>
              <w:pStyle w:val="TableBody"/>
              <w:rPr>
                <w:highlight w:val="yellow"/>
              </w:rPr>
            </w:pPr>
            <w:r w:rsidRPr="00ED65BB">
              <w:t>Infill development</w:t>
            </w:r>
          </w:p>
        </w:tc>
        <w:tc>
          <w:tcPr>
            <w:tcW w:w="6236" w:type="dxa"/>
          </w:tcPr>
          <w:p w14:paraId="7D9235C4" w14:textId="1808DDE9" w:rsidR="006048EF" w:rsidRPr="008134D1" w:rsidRDefault="009E66AC" w:rsidP="006048EF">
            <w:pPr>
              <w:pStyle w:val="TableBody"/>
            </w:pPr>
            <w:r w:rsidRPr="009E66AC">
              <w:t>A development that uses existing infrastructure on underutilised land within an existing urban area.</w:t>
            </w:r>
          </w:p>
        </w:tc>
      </w:tr>
      <w:tr w:rsidR="008C2572" w14:paraId="5A007A5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22E27F6" w14:textId="5D77C890" w:rsidR="008C2572" w:rsidRPr="0087216E" w:rsidRDefault="008C2572" w:rsidP="008C2572">
            <w:pPr>
              <w:pStyle w:val="TableBody"/>
            </w:pPr>
            <w:r w:rsidRPr="00ED385A">
              <w:t>Negotiated charge</w:t>
            </w:r>
          </w:p>
        </w:tc>
        <w:tc>
          <w:tcPr>
            <w:tcW w:w="6236" w:type="dxa"/>
          </w:tcPr>
          <w:p w14:paraId="5FBFBE9D" w14:textId="160B5E1B" w:rsidR="008C2572" w:rsidRPr="0087216E" w:rsidRDefault="009A597C" w:rsidP="008C2572">
            <w:pPr>
              <w:pStyle w:val="TableBody"/>
            </w:pPr>
            <w:r w:rsidRPr="009A597C">
              <w:t xml:space="preserve">Negotiated charges allow water businesses and connection applicants to negotiate a site-specific arrangement where standard charges </w:t>
            </w:r>
            <w:r w:rsidR="00F367FA">
              <w:t>would</w:t>
            </w:r>
            <w:r w:rsidRPr="009A597C">
              <w:t xml:space="preserve"> not</w:t>
            </w:r>
            <w:r w:rsidR="00F367FA">
              <w:t xml:space="preserve"> be</w:t>
            </w:r>
            <w:r w:rsidRPr="009A597C">
              <w:t xml:space="preserve"> fair and reasonable, or where a new connection is outside the areas eligible for standard charges.</w:t>
            </w:r>
          </w:p>
        </w:tc>
      </w:tr>
      <w:tr w:rsidR="008C2572" w14:paraId="4F63A60E" w14:textId="77777777" w:rsidTr="0008045A">
        <w:trPr>
          <w:cnfStyle w:val="000000010000" w:firstRow="0" w:lastRow="0" w:firstColumn="0" w:lastColumn="0" w:oddVBand="0" w:evenVBand="0" w:oddHBand="0" w:evenHBand="1" w:firstRowFirstColumn="0" w:firstRowLastColumn="0" w:lastRowFirstColumn="0" w:lastRowLastColumn="0"/>
          <w:trHeight w:val="796"/>
        </w:trPr>
        <w:tc>
          <w:tcPr>
            <w:tcW w:w="3402" w:type="dxa"/>
          </w:tcPr>
          <w:p w14:paraId="0CAFB2B3" w14:textId="20120002" w:rsidR="008C2572" w:rsidRPr="0087216E" w:rsidRDefault="008C2572" w:rsidP="008C2572">
            <w:pPr>
              <w:pStyle w:val="TableBody"/>
            </w:pPr>
            <w:r w:rsidRPr="00ED385A">
              <w:t>Net incremental cost approach</w:t>
            </w:r>
          </w:p>
        </w:tc>
        <w:tc>
          <w:tcPr>
            <w:tcW w:w="6236" w:type="dxa"/>
          </w:tcPr>
          <w:p w14:paraId="4B672783" w14:textId="1CDF2B70" w:rsidR="008C2572" w:rsidRPr="0087216E" w:rsidRDefault="0008045A" w:rsidP="008C2572">
            <w:pPr>
              <w:pStyle w:val="TableBody"/>
            </w:pPr>
            <w:r w:rsidRPr="0008045A">
              <w:t xml:space="preserve">The net incremental cost approach </w:t>
            </w:r>
            <w:r w:rsidR="00DE4E5D">
              <w:t>uses</w:t>
            </w:r>
            <w:r w:rsidRPr="0008045A">
              <w:t xml:space="preserve"> incremental revenue less incremental cost to estimate the new customer contribution charge.</w:t>
            </w:r>
          </w:p>
        </w:tc>
      </w:tr>
      <w:tr w:rsidR="00B26E77" w14:paraId="30306D1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0A4C5A65" w14:textId="254F9F96" w:rsidR="00B26E77" w:rsidRPr="00821508" w:rsidRDefault="00B26E77" w:rsidP="000C12EC">
            <w:pPr>
              <w:pStyle w:val="TableBody"/>
            </w:pPr>
            <w:r>
              <w:t>New Customer Contributions (NCCs)</w:t>
            </w:r>
          </w:p>
        </w:tc>
        <w:tc>
          <w:tcPr>
            <w:tcW w:w="6236" w:type="dxa"/>
          </w:tcPr>
          <w:p w14:paraId="2E34871F" w14:textId="7E3D4462" w:rsidR="00B26E77" w:rsidRPr="00D5244E" w:rsidRDefault="00B26E77" w:rsidP="000C12EC">
            <w:pPr>
              <w:pStyle w:val="TableBody"/>
            </w:pPr>
            <w:r>
              <w:t xml:space="preserve">Charges </w:t>
            </w:r>
            <w:r w:rsidR="00F3115A">
              <w:t>connection applicants</w:t>
            </w:r>
            <w:r>
              <w:t xml:space="preserve"> </w:t>
            </w:r>
            <w:r w:rsidR="00E619EE">
              <w:t>pay</w:t>
            </w:r>
            <w:r>
              <w:t xml:space="preserve"> water businesses for extending water infrastructure to new (greenfield) and established (brownfield) areas in the water service area.</w:t>
            </w:r>
          </w:p>
        </w:tc>
      </w:tr>
      <w:tr w:rsidR="000C12EC" w14:paraId="46453097"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6405316" w14:textId="1EC12C5E" w:rsidR="000C12EC" w:rsidRPr="00A5058B" w:rsidRDefault="000C12EC" w:rsidP="000C12EC">
            <w:pPr>
              <w:pStyle w:val="TableBody"/>
            </w:pPr>
            <w:r w:rsidRPr="00821508">
              <w:t xml:space="preserve">Nominal prices </w:t>
            </w:r>
          </w:p>
        </w:tc>
        <w:tc>
          <w:tcPr>
            <w:tcW w:w="6236" w:type="dxa"/>
          </w:tcPr>
          <w:p w14:paraId="0CC03F33" w14:textId="409BA213" w:rsidR="000C12EC" w:rsidRPr="00A5058B" w:rsidRDefault="00D5244E" w:rsidP="000C12EC">
            <w:pPr>
              <w:pStyle w:val="TableBody"/>
            </w:pPr>
            <w:r w:rsidRPr="00D5244E">
              <w:t>Actual prices reflecting the inflation rate. This is the price that customers pay at the time they receive their bill.</w:t>
            </w:r>
          </w:p>
        </w:tc>
      </w:tr>
      <w:tr w:rsidR="000C12EC" w14:paraId="4EEFFCEF"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F039E70" w14:textId="08B6025A" w:rsidR="000C12EC" w:rsidRPr="00A5058B" w:rsidRDefault="000C12EC" w:rsidP="000C12EC">
            <w:pPr>
              <w:pStyle w:val="TableBody"/>
            </w:pPr>
            <w:r w:rsidRPr="00821508">
              <w:t xml:space="preserve">Operating </w:t>
            </w:r>
            <w:r w:rsidR="00656435">
              <w:t>expenditure</w:t>
            </w:r>
          </w:p>
        </w:tc>
        <w:tc>
          <w:tcPr>
            <w:tcW w:w="6236" w:type="dxa"/>
          </w:tcPr>
          <w:p w14:paraId="38E1F139" w14:textId="333127CD" w:rsidR="000C12EC" w:rsidRPr="00A5058B" w:rsidRDefault="009C3864" w:rsidP="000C12EC">
            <w:pPr>
              <w:pStyle w:val="TableBody"/>
            </w:pPr>
            <w:r>
              <w:t>T</w:t>
            </w:r>
            <w:r w:rsidR="00E14706" w:rsidRPr="00E14706">
              <w:t xml:space="preserve">he costs incurred by a </w:t>
            </w:r>
            <w:r w:rsidR="00FF5A67">
              <w:t xml:space="preserve">water </w:t>
            </w:r>
            <w:r w:rsidR="00E14706" w:rsidRPr="00E14706">
              <w:t>business for its normal operational activities, including expenses such as rent, payroll and utilities.</w:t>
            </w:r>
          </w:p>
        </w:tc>
      </w:tr>
      <w:tr w:rsidR="00D65720" w14:paraId="1813F052" w14:textId="77777777" w:rsidTr="008B5BA9">
        <w:trPr>
          <w:cnfStyle w:val="000000010000" w:firstRow="0" w:lastRow="0" w:firstColumn="0" w:lastColumn="0" w:oddVBand="0" w:evenVBand="0" w:oddHBand="0" w:evenHBand="1" w:firstRowFirstColumn="0" w:firstRowLastColumn="0" w:lastRowFirstColumn="0" w:lastRowLastColumn="0"/>
          <w:trHeight w:val="113"/>
        </w:trPr>
        <w:tc>
          <w:tcPr>
            <w:tcW w:w="3402" w:type="dxa"/>
          </w:tcPr>
          <w:p w14:paraId="21458C52" w14:textId="339FBC20" w:rsidR="00D65720" w:rsidRPr="00821508" w:rsidRDefault="00D65720" w:rsidP="00D65720">
            <w:pPr>
              <w:pStyle w:val="TableBody"/>
            </w:pPr>
            <w:r w:rsidRPr="00656435">
              <w:t>Postage stamp pricing</w:t>
            </w:r>
          </w:p>
        </w:tc>
        <w:tc>
          <w:tcPr>
            <w:tcW w:w="6236" w:type="dxa"/>
          </w:tcPr>
          <w:p w14:paraId="0424EFE6" w14:textId="72FA470B" w:rsidR="00D65720" w:rsidRPr="00821508" w:rsidRDefault="00AC6C37" w:rsidP="00D65720">
            <w:pPr>
              <w:pStyle w:val="TableBody"/>
            </w:pPr>
            <w:r w:rsidRPr="00AC6C37">
              <w:t>A uniform pricing structure across a geographical area.</w:t>
            </w:r>
          </w:p>
        </w:tc>
      </w:tr>
      <w:tr w:rsidR="00D65720" w14:paraId="46C22E88"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2121CA6" w14:textId="496E81A4" w:rsidR="00D65720" w:rsidRPr="00821508" w:rsidRDefault="00D65720" w:rsidP="00D65720">
            <w:pPr>
              <w:pStyle w:val="TableBody"/>
            </w:pPr>
            <w:r w:rsidRPr="00EA1B24">
              <w:t>Potable water</w:t>
            </w:r>
          </w:p>
        </w:tc>
        <w:tc>
          <w:tcPr>
            <w:tcW w:w="6236" w:type="dxa"/>
          </w:tcPr>
          <w:p w14:paraId="1BE1F6B5" w14:textId="77A33A36" w:rsidR="00D65720" w:rsidRPr="00821508" w:rsidRDefault="00EB5430" w:rsidP="00D65720">
            <w:pPr>
              <w:pStyle w:val="TableBody"/>
            </w:pPr>
            <w:r w:rsidRPr="00EB5430">
              <w:t>Water treated to a drinkable standard.</w:t>
            </w:r>
          </w:p>
        </w:tc>
      </w:tr>
      <w:tr w:rsidR="00063893" w14:paraId="18D8C584"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F6D0659" w14:textId="2EC70B6E" w:rsidR="00063893" w:rsidRPr="00EA1B24" w:rsidRDefault="00063893" w:rsidP="00063893">
            <w:pPr>
              <w:pStyle w:val="TableBody"/>
            </w:pPr>
            <w:r w:rsidRPr="005C4675">
              <w:t>PREMO</w:t>
            </w:r>
          </w:p>
        </w:tc>
        <w:tc>
          <w:tcPr>
            <w:tcW w:w="6236" w:type="dxa"/>
          </w:tcPr>
          <w:p w14:paraId="54995182" w14:textId="751A0B08" w:rsidR="00063893" w:rsidRPr="00EA1B24" w:rsidRDefault="00063893" w:rsidP="00063893">
            <w:pPr>
              <w:pStyle w:val="TableBody"/>
            </w:pPr>
            <w:r w:rsidRPr="005C4675">
              <w:t xml:space="preserve">Comprises five elements: </w:t>
            </w:r>
            <w:r w:rsidRPr="00BD1C74">
              <w:t>P</w:t>
            </w:r>
            <w:r w:rsidRPr="005C4675">
              <w:t xml:space="preserve">erformance, </w:t>
            </w:r>
            <w:r w:rsidRPr="00BD1C74">
              <w:t>R</w:t>
            </w:r>
            <w:r w:rsidRPr="005C4675">
              <w:t xml:space="preserve">isk, </w:t>
            </w:r>
            <w:r w:rsidRPr="00BD1C74">
              <w:t>E</w:t>
            </w:r>
            <w:r w:rsidRPr="005C4675">
              <w:t xml:space="preserve">ngagement, </w:t>
            </w:r>
            <w:r w:rsidRPr="00BD1C74">
              <w:t>M</w:t>
            </w:r>
            <w:r w:rsidRPr="005C4675">
              <w:t xml:space="preserve">anagement and </w:t>
            </w:r>
            <w:r w:rsidRPr="00BD1C74">
              <w:t>O</w:t>
            </w:r>
            <w:r w:rsidRPr="005C4675">
              <w:t xml:space="preserve">utcomes. It forms part of the commission’s incentive framework that links reputation and financial reward for water </w:t>
            </w:r>
            <w:r w:rsidR="004B29D4">
              <w:t>businesse</w:t>
            </w:r>
            <w:r w:rsidRPr="005C4675">
              <w:t>s to the quality of outcomes they deliver to customers.</w:t>
            </w:r>
          </w:p>
        </w:tc>
      </w:tr>
      <w:tr w:rsidR="00233E86" w14:paraId="0D973A36"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8446600" w14:textId="7EBDED51" w:rsidR="00233E86" w:rsidRPr="005C4675" w:rsidRDefault="00FE2E4E" w:rsidP="00063893">
            <w:pPr>
              <w:pStyle w:val="TableBody"/>
            </w:pPr>
            <w:r>
              <w:t>Precin</w:t>
            </w:r>
            <w:r w:rsidR="009F7D61">
              <w:t>ct</w:t>
            </w:r>
            <w:r w:rsidR="00EB080B">
              <w:t xml:space="preserve"> Structure Plan</w:t>
            </w:r>
          </w:p>
        </w:tc>
        <w:tc>
          <w:tcPr>
            <w:tcW w:w="6236" w:type="dxa"/>
          </w:tcPr>
          <w:p w14:paraId="6309E4B1" w14:textId="6A27CA40" w:rsidR="00233E86" w:rsidRPr="005C4675" w:rsidRDefault="00233E86" w:rsidP="00063893">
            <w:pPr>
              <w:pStyle w:val="TableBody"/>
            </w:pPr>
            <w:r w:rsidRPr="00233E86">
              <w:rPr>
                <w:lang w:val="en-AU"/>
              </w:rPr>
              <w:t>The Precinct Structure Plan is a long-term plan for urban development. It describes how the land is expected to be developed.</w:t>
            </w:r>
          </w:p>
        </w:tc>
      </w:tr>
      <w:tr w:rsidR="000C29B3" w14:paraId="2CF54B6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18267041" w14:textId="283EF33E" w:rsidR="000C29B3" w:rsidRPr="00EA1B24" w:rsidRDefault="000C29B3" w:rsidP="00D74805">
            <w:pPr>
              <w:pStyle w:val="TableBody"/>
              <w:keepNext/>
              <w:keepLines/>
            </w:pPr>
            <w:r w:rsidRPr="00730987">
              <w:t>Price determination</w:t>
            </w:r>
          </w:p>
        </w:tc>
        <w:tc>
          <w:tcPr>
            <w:tcW w:w="6236" w:type="dxa"/>
          </w:tcPr>
          <w:p w14:paraId="15AD1B19" w14:textId="01DB77B0" w:rsidR="000C29B3" w:rsidRPr="00EA1B24" w:rsidRDefault="000C29B3" w:rsidP="00D74805">
            <w:pPr>
              <w:pStyle w:val="TableBody"/>
              <w:keepNext/>
              <w:keepLines/>
            </w:pPr>
            <w:r w:rsidRPr="141FC085">
              <w:rPr>
                <w:lang w:val="en-AU"/>
              </w:rPr>
              <w:t xml:space="preserve">A determination applies for a regulatory period and sets the </w:t>
            </w:r>
            <w:proofErr w:type="gramStart"/>
            <w:r w:rsidRPr="141FC085">
              <w:rPr>
                <w:lang w:val="en-AU"/>
              </w:rPr>
              <w:t>manner in which</w:t>
            </w:r>
            <w:proofErr w:type="gramEnd"/>
            <w:r w:rsidRPr="141FC085">
              <w:rPr>
                <w:lang w:val="en-AU"/>
              </w:rPr>
              <w:t xml:space="preserve"> prices are to be calculated for a water </w:t>
            </w:r>
            <w:r w:rsidR="004B29D4">
              <w:rPr>
                <w:lang w:val="en-AU"/>
              </w:rPr>
              <w:t>business</w:t>
            </w:r>
            <w:r w:rsidRPr="141FC085">
              <w:rPr>
                <w:lang w:val="en-AU"/>
              </w:rPr>
              <w:t xml:space="preserve">. It is made by the commission under section 33 of the </w:t>
            </w:r>
            <w:r w:rsidRPr="141FC085">
              <w:rPr>
                <w:i/>
                <w:lang w:val="en-AU"/>
              </w:rPr>
              <w:t>Essential Services Commission Act 2001</w:t>
            </w:r>
            <w:r w:rsidRPr="141FC085">
              <w:rPr>
                <w:lang w:val="en-AU"/>
              </w:rPr>
              <w:t xml:space="preserve"> and clause 10 of the WIRO 2014.</w:t>
            </w:r>
          </w:p>
        </w:tc>
      </w:tr>
      <w:tr w:rsidR="006F6218" w14:paraId="0314E724"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3F1945F5" w14:textId="64787415" w:rsidR="006F6218" w:rsidRPr="00EA1B24" w:rsidRDefault="006F6218" w:rsidP="006F6218">
            <w:pPr>
              <w:pStyle w:val="TableBody"/>
            </w:pPr>
            <w:r w:rsidRPr="00E336A7">
              <w:t>Price submission</w:t>
            </w:r>
          </w:p>
        </w:tc>
        <w:tc>
          <w:tcPr>
            <w:tcW w:w="6236" w:type="dxa"/>
          </w:tcPr>
          <w:p w14:paraId="479D92C8" w14:textId="2F732E65" w:rsidR="006F6218" w:rsidRPr="00EA1B24" w:rsidRDefault="006F6218" w:rsidP="006F6218">
            <w:pPr>
              <w:pStyle w:val="TableBody"/>
            </w:pPr>
            <w:r w:rsidRPr="141FC085">
              <w:rPr>
                <w:lang w:val="en-AU"/>
              </w:rPr>
              <w:t xml:space="preserve">A price submission is a set of documents prepared by a water </w:t>
            </w:r>
            <w:r w:rsidR="005E5238">
              <w:rPr>
                <w:lang w:val="en-AU"/>
              </w:rPr>
              <w:t>business</w:t>
            </w:r>
            <w:r w:rsidRPr="141FC085">
              <w:rPr>
                <w:lang w:val="en-AU"/>
              </w:rPr>
              <w:t xml:space="preserve">, which sets out the services, key projects and prices it proposes to deliver over the next regulatory period. The price submission is written for the regulator and is informed by a water </w:t>
            </w:r>
            <w:r w:rsidR="005E5238">
              <w:rPr>
                <w:lang w:val="en-AU"/>
              </w:rPr>
              <w:t>business</w:t>
            </w:r>
            <w:r w:rsidRPr="141FC085">
              <w:rPr>
                <w:lang w:val="en-AU"/>
              </w:rPr>
              <w:t>’s engagement with its customers.</w:t>
            </w:r>
          </w:p>
        </w:tc>
      </w:tr>
      <w:tr w:rsidR="006F6218" w14:paraId="0E1573BB"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6DA55E1" w14:textId="592AF18D" w:rsidR="006F6218" w:rsidRPr="00EA1B24" w:rsidRDefault="006F6218" w:rsidP="006F6218">
            <w:pPr>
              <w:pStyle w:val="TableBody"/>
            </w:pPr>
            <w:r w:rsidRPr="00E336A7">
              <w:t xml:space="preserve">Real prices </w:t>
            </w:r>
          </w:p>
        </w:tc>
        <w:tc>
          <w:tcPr>
            <w:tcW w:w="6236" w:type="dxa"/>
          </w:tcPr>
          <w:p w14:paraId="711D5A13" w14:textId="38A1EEBC" w:rsidR="006F6218" w:rsidRPr="00EA1B24" w:rsidRDefault="006F6218" w:rsidP="006F6218">
            <w:pPr>
              <w:pStyle w:val="TableBody"/>
            </w:pPr>
            <w:r w:rsidRPr="00E336A7">
              <w:t>Prices used in the modelling. Th</w:t>
            </w:r>
            <w:r w:rsidR="00693280">
              <w:t>ese</w:t>
            </w:r>
            <w:r w:rsidRPr="00E336A7">
              <w:t xml:space="preserve"> price</w:t>
            </w:r>
            <w:r w:rsidR="003576D4">
              <w:t>s</w:t>
            </w:r>
            <w:r w:rsidRPr="00E336A7">
              <w:t xml:space="preserve"> do not reflect </w:t>
            </w:r>
            <w:r w:rsidR="00B329C2">
              <w:t xml:space="preserve">future </w:t>
            </w:r>
            <w:r w:rsidRPr="00E336A7">
              <w:t xml:space="preserve">inflation. Real prices relate to a baseline year and allow for comparison between years and across years without the ‘veil’ of inflation. </w:t>
            </w:r>
          </w:p>
        </w:tc>
      </w:tr>
      <w:tr w:rsidR="00D0167A" w14:paraId="6ACEDD8F"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5CBB5C1" w14:textId="247DA883" w:rsidR="00D0167A" w:rsidRPr="00EA1B24" w:rsidRDefault="0059433F" w:rsidP="00D65720">
            <w:pPr>
              <w:pStyle w:val="TableBody"/>
            </w:pPr>
            <w:r w:rsidRPr="0059433F">
              <w:t>Recycled water</w:t>
            </w:r>
          </w:p>
        </w:tc>
        <w:tc>
          <w:tcPr>
            <w:tcW w:w="6236" w:type="dxa"/>
          </w:tcPr>
          <w:p w14:paraId="04E5E7A0" w14:textId="51949BFE" w:rsidR="0049499D" w:rsidRDefault="0049499D" w:rsidP="0049499D">
            <w:pPr>
              <w:pStyle w:val="TableBody"/>
            </w:pPr>
            <w:r w:rsidRPr="141FC085">
              <w:rPr>
                <w:lang w:val="en-AU"/>
              </w:rPr>
              <w:t xml:space="preserve">Wastewater that is treated to a standard </w:t>
            </w:r>
            <w:proofErr w:type="gramStart"/>
            <w:r w:rsidRPr="141FC085">
              <w:rPr>
                <w:lang w:val="en-AU"/>
              </w:rPr>
              <w:t>appropriate for</w:t>
            </w:r>
            <w:proofErr w:type="gramEnd"/>
            <w:r w:rsidRPr="141FC085">
              <w:rPr>
                <w:lang w:val="en-AU"/>
              </w:rPr>
              <w:t xml:space="preserve"> its intended use.</w:t>
            </w:r>
            <w:r w:rsidR="007A5025">
              <w:rPr>
                <w:lang w:val="en-AU"/>
              </w:rPr>
              <w:br/>
            </w:r>
          </w:p>
          <w:p w14:paraId="330891D1" w14:textId="02F3A199" w:rsidR="00D0167A" w:rsidRPr="00EA1B24" w:rsidRDefault="0049499D" w:rsidP="0049499D">
            <w:pPr>
              <w:pStyle w:val="TableBody"/>
            </w:pPr>
            <w:r>
              <w:t>Class A: Recycled water treated to a level that allows it to be used for residential uses such as toilet flushing, washing machines and gardens. Not fit for human consumption.</w:t>
            </w:r>
          </w:p>
        </w:tc>
      </w:tr>
      <w:tr w:rsidR="008F52F4" w14:paraId="5F6BECE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2366426" w14:textId="50D7E981" w:rsidR="008F52F4" w:rsidRPr="00EA1B24" w:rsidRDefault="008F52F4" w:rsidP="008F52F4">
            <w:pPr>
              <w:pStyle w:val="TableBody"/>
            </w:pPr>
            <w:r w:rsidRPr="003F0123">
              <w:t xml:space="preserve">Regional water </w:t>
            </w:r>
            <w:r w:rsidR="005E5238">
              <w:t>businesse</w:t>
            </w:r>
            <w:r w:rsidRPr="003F0123">
              <w:t>s</w:t>
            </w:r>
          </w:p>
        </w:tc>
        <w:tc>
          <w:tcPr>
            <w:tcW w:w="6236" w:type="dxa"/>
          </w:tcPr>
          <w:p w14:paraId="6BACCE1C" w14:textId="18776C83" w:rsidR="008F52F4" w:rsidRPr="00EA1B24" w:rsidRDefault="008F52F4" w:rsidP="008F52F4">
            <w:pPr>
              <w:pStyle w:val="TableBody"/>
            </w:pPr>
            <w:r w:rsidRPr="141FC085">
              <w:rPr>
                <w:lang w:val="en-AU"/>
              </w:rPr>
              <w:t>Barwon Water, Central Highlands Water, Coliban Water, East Gippsland Water, Gippsland Water, Goulburn Valley Water, North East Water, South Gippsland Water, Wannon Water, Westernport Water, GWMWater (urban services) and Lower Murray Water (urban services).</w:t>
            </w:r>
          </w:p>
        </w:tc>
      </w:tr>
      <w:tr w:rsidR="008F52F4" w14:paraId="512C4B37"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68D6B0F" w14:textId="22BE52EE" w:rsidR="008F52F4" w:rsidRPr="00EA1B24" w:rsidRDefault="00837746" w:rsidP="008F52F4">
            <w:pPr>
              <w:pStyle w:val="TableBody"/>
            </w:pPr>
            <w:r w:rsidRPr="003F0123">
              <w:t>Regulat</w:t>
            </w:r>
            <w:r>
              <w:t>ed</w:t>
            </w:r>
            <w:r w:rsidRPr="003F0123">
              <w:t xml:space="preserve"> </w:t>
            </w:r>
            <w:r w:rsidR="008F52F4" w:rsidRPr="003F0123">
              <w:t>asset base (RAB)</w:t>
            </w:r>
          </w:p>
        </w:tc>
        <w:tc>
          <w:tcPr>
            <w:tcW w:w="6236" w:type="dxa"/>
          </w:tcPr>
          <w:p w14:paraId="3A5104A7" w14:textId="6CCDF479" w:rsidR="008F52F4" w:rsidRPr="00EA1B24" w:rsidRDefault="008F52F4" w:rsidP="008F52F4">
            <w:pPr>
              <w:pStyle w:val="TableBody"/>
            </w:pPr>
            <w:r w:rsidRPr="141FC085">
              <w:rPr>
                <w:lang w:val="en-AU"/>
              </w:rPr>
              <w:t xml:space="preserve">The value of water </w:t>
            </w:r>
            <w:r w:rsidR="005E5238">
              <w:rPr>
                <w:lang w:val="en-AU"/>
              </w:rPr>
              <w:t>business</w:t>
            </w:r>
            <w:r w:rsidRPr="141FC085">
              <w:rPr>
                <w:lang w:val="en-AU"/>
              </w:rPr>
              <w:t xml:space="preserve"> assets for regulatory purposes. These values were set initially for the water </w:t>
            </w:r>
            <w:r w:rsidR="005E5238">
              <w:rPr>
                <w:lang w:val="en-AU"/>
              </w:rPr>
              <w:t>businesse</w:t>
            </w:r>
            <w:r w:rsidRPr="141FC085">
              <w:rPr>
                <w:lang w:val="en-AU"/>
              </w:rPr>
              <w:t>s by the Minister for Water and are adjusted on an ongoing basis to account for new investments, asset disposals, depreciation and inflation.</w:t>
            </w:r>
          </w:p>
        </w:tc>
      </w:tr>
      <w:tr w:rsidR="008F52F4" w14:paraId="724940F4"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43F98FF" w14:textId="71A0885C" w:rsidR="008F52F4" w:rsidRPr="00EA1B24" w:rsidRDefault="00747386" w:rsidP="008F52F4">
            <w:pPr>
              <w:pStyle w:val="TableBody"/>
            </w:pPr>
            <w:r w:rsidRPr="003F0123">
              <w:t>Reticulation</w:t>
            </w:r>
            <w:r w:rsidR="0082009D">
              <w:t xml:space="preserve"> assets</w:t>
            </w:r>
          </w:p>
        </w:tc>
        <w:tc>
          <w:tcPr>
            <w:tcW w:w="6236" w:type="dxa"/>
          </w:tcPr>
          <w:p w14:paraId="06DD4914" w14:textId="4056409D" w:rsidR="008F52F4" w:rsidRPr="00EA1B24" w:rsidRDefault="008F52F4" w:rsidP="008F52F4">
            <w:pPr>
              <w:pStyle w:val="TableBody"/>
            </w:pPr>
            <w:r w:rsidRPr="003F0123">
              <w:t>Local supply pipes providing water and sewer services to individual properties</w:t>
            </w:r>
            <w:r w:rsidR="00231B94">
              <w:t>.</w:t>
            </w:r>
            <w:r w:rsidRPr="003F0123">
              <w:t xml:space="preserve"> </w:t>
            </w:r>
          </w:p>
        </w:tc>
      </w:tr>
      <w:tr w:rsidR="008F52F4" w14:paraId="607CD851"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704A8F1C" w14:textId="19BFF3DF" w:rsidR="008F52F4" w:rsidRPr="0056704B" w:rsidRDefault="008F52F4" w:rsidP="008F52F4">
            <w:pPr>
              <w:pStyle w:val="TableBody"/>
            </w:pPr>
            <w:r w:rsidRPr="0056704B">
              <w:t>Metropolitan retailers</w:t>
            </w:r>
          </w:p>
        </w:tc>
        <w:tc>
          <w:tcPr>
            <w:tcW w:w="6236" w:type="dxa"/>
          </w:tcPr>
          <w:p w14:paraId="77610800" w14:textId="1AC34A34" w:rsidR="008F52F4" w:rsidRPr="0056704B" w:rsidRDefault="00C02591" w:rsidP="008F52F4">
            <w:pPr>
              <w:pStyle w:val="TableBody"/>
            </w:pPr>
            <w:r w:rsidRPr="0056704B">
              <w:rPr>
                <w:lang w:val="en-AU"/>
              </w:rPr>
              <w:t>Greater Western Water</w:t>
            </w:r>
            <w:r w:rsidR="0056704B" w:rsidRPr="0056704B">
              <w:rPr>
                <w:lang w:val="en-AU"/>
              </w:rPr>
              <w:t>,</w:t>
            </w:r>
            <w:r w:rsidRPr="0056704B">
              <w:rPr>
                <w:lang w:val="en-AU"/>
              </w:rPr>
              <w:t xml:space="preserve"> South East Water and Yarra Valley Water.</w:t>
            </w:r>
          </w:p>
        </w:tc>
      </w:tr>
      <w:tr w:rsidR="008F52F4" w14:paraId="0E6EC96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7585976" w14:textId="1241222E" w:rsidR="008F52F4" w:rsidRPr="00EA1B24" w:rsidRDefault="008F52F4" w:rsidP="008F52F4">
            <w:pPr>
              <w:pStyle w:val="TableBody"/>
            </w:pPr>
            <w:r w:rsidRPr="003F0123">
              <w:t>Revenue requirement</w:t>
            </w:r>
          </w:p>
        </w:tc>
        <w:tc>
          <w:tcPr>
            <w:tcW w:w="6236" w:type="dxa"/>
          </w:tcPr>
          <w:p w14:paraId="536CC282" w14:textId="2DA12D50" w:rsidR="008F52F4" w:rsidRPr="00EA1B24" w:rsidRDefault="008F52F4" w:rsidP="008F52F4">
            <w:pPr>
              <w:pStyle w:val="TableBody"/>
            </w:pPr>
            <w:r w:rsidRPr="141FC085">
              <w:rPr>
                <w:lang w:val="en-AU"/>
              </w:rPr>
              <w:t xml:space="preserve">The revenue needed by each water </w:t>
            </w:r>
            <w:r w:rsidR="005E5238">
              <w:rPr>
                <w:lang w:val="en-AU"/>
              </w:rPr>
              <w:t>business</w:t>
            </w:r>
            <w:r w:rsidRPr="141FC085">
              <w:rPr>
                <w:lang w:val="en-AU"/>
              </w:rPr>
              <w:t xml:space="preserve"> to cover operating costs and taxes and provide a return on assets and a return of assets (depreciation). </w:t>
            </w:r>
          </w:p>
        </w:tc>
      </w:tr>
      <w:tr w:rsidR="008F52F4" w14:paraId="2A3446D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C77BF86" w14:textId="231CABD1" w:rsidR="008F52F4" w:rsidRPr="00EA1B24" w:rsidRDefault="008F52F4" w:rsidP="008F52F4">
            <w:pPr>
              <w:pStyle w:val="TableBody"/>
            </w:pPr>
            <w:r w:rsidRPr="003F0123">
              <w:t>Rising main</w:t>
            </w:r>
          </w:p>
        </w:tc>
        <w:tc>
          <w:tcPr>
            <w:tcW w:w="6236" w:type="dxa"/>
          </w:tcPr>
          <w:p w14:paraId="08FB4289" w14:textId="4CF7F70F" w:rsidR="008F52F4" w:rsidRPr="00EA1B24" w:rsidRDefault="008F52F4" w:rsidP="008F52F4">
            <w:pPr>
              <w:pStyle w:val="TableBody"/>
            </w:pPr>
            <w:r w:rsidRPr="003F0123">
              <w:t xml:space="preserve">A pipeline that is </w:t>
            </w:r>
            <w:r w:rsidR="00231B94" w:rsidRPr="003F0123">
              <w:t>pressuri</w:t>
            </w:r>
            <w:r w:rsidR="00231B94">
              <w:t>s</w:t>
            </w:r>
            <w:r w:rsidR="00231B94" w:rsidRPr="003F0123">
              <w:t xml:space="preserve">ed </w:t>
            </w:r>
            <w:r w:rsidRPr="003F0123">
              <w:t>to transport sewage to a higher level</w:t>
            </w:r>
            <w:r w:rsidR="004E7ACE">
              <w:t>.</w:t>
            </w:r>
            <w:r w:rsidRPr="003F0123">
              <w:t xml:space="preserve"> </w:t>
            </w:r>
          </w:p>
        </w:tc>
      </w:tr>
      <w:tr w:rsidR="008F52F4" w14:paraId="5D22A31E"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06FB5B8A" w14:textId="63ED5641" w:rsidR="008F52F4" w:rsidRPr="00FE7C3D" w:rsidRDefault="008F52F4" w:rsidP="008F52F4">
            <w:pPr>
              <w:pStyle w:val="TableBody"/>
            </w:pPr>
            <w:r w:rsidRPr="00FE7C3D">
              <w:t xml:space="preserve">Rural water </w:t>
            </w:r>
            <w:r w:rsidR="005E5238" w:rsidRPr="00FE7C3D">
              <w:t>businesse</w:t>
            </w:r>
            <w:r w:rsidRPr="00FE7C3D">
              <w:t>s</w:t>
            </w:r>
          </w:p>
        </w:tc>
        <w:tc>
          <w:tcPr>
            <w:tcW w:w="6236" w:type="dxa"/>
          </w:tcPr>
          <w:p w14:paraId="73F37028" w14:textId="551BC193" w:rsidR="008F52F4" w:rsidRPr="00FE7C3D" w:rsidRDefault="008F52F4" w:rsidP="008F52F4">
            <w:pPr>
              <w:pStyle w:val="TableBody"/>
            </w:pPr>
            <w:r w:rsidRPr="00FE7C3D">
              <w:rPr>
                <w:lang w:val="en-AU"/>
              </w:rPr>
              <w:t>GWMWater, Lower Murray Water and Southern Rural Water.</w:t>
            </w:r>
          </w:p>
        </w:tc>
      </w:tr>
      <w:tr w:rsidR="008F52F4" w14:paraId="38A7468E"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161CF5D9" w14:textId="24DE0882" w:rsidR="008F52F4" w:rsidRPr="00EA1B24" w:rsidRDefault="008F52F4" w:rsidP="008F52F4">
            <w:pPr>
              <w:pStyle w:val="TableBody"/>
            </w:pPr>
            <w:r w:rsidRPr="003F0123">
              <w:t>Sewage</w:t>
            </w:r>
          </w:p>
        </w:tc>
        <w:tc>
          <w:tcPr>
            <w:tcW w:w="6236" w:type="dxa"/>
          </w:tcPr>
          <w:p w14:paraId="701033FC" w14:textId="74F9307A" w:rsidR="008F52F4" w:rsidRPr="00EA1B24" w:rsidRDefault="008F52F4" w:rsidP="008F52F4">
            <w:pPr>
              <w:pStyle w:val="TableBody"/>
            </w:pPr>
            <w:r w:rsidRPr="003F0123">
              <w:t>Liquid waste discharged into the sewerage system.</w:t>
            </w:r>
          </w:p>
        </w:tc>
      </w:tr>
      <w:tr w:rsidR="001A1B74" w14:paraId="74D0271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E4D6339" w14:textId="06CFC701" w:rsidR="001A1B74" w:rsidRPr="003F0123" w:rsidRDefault="001A1B74" w:rsidP="001A1B74">
            <w:pPr>
              <w:pStyle w:val="TableBody"/>
            </w:pPr>
            <w:r w:rsidRPr="006771D6">
              <w:t>Sewerage</w:t>
            </w:r>
          </w:p>
        </w:tc>
        <w:tc>
          <w:tcPr>
            <w:tcW w:w="6236" w:type="dxa"/>
          </w:tcPr>
          <w:p w14:paraId="69E4424B" w14:textId="6C1235EC" w:rsidR="001A1B74" w:rsidRPr="003F0123" w:rsidRDefault="001A1B74" w:rsidP="001A1B74">
            <w:pPr>
              <w:pStyle w:val="TableBody"/>
            </w:pPr>
            <w:r w:rsidRPr="141FC085">
              <w:rPr>
                <w:lang w:val="en-AU"/>
              </w:rPr>
              <w:t>A physical arrangement of pipes and plant for the collection, removal, treatment and disposal of liquid waste.</w:t>
            </w:r>
          </w:p>
        </w:tc>
      </w:tr>
      <w:tr w:rsidR="001A1B74" w14:paraId="15360EA1"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125CDCB9" w14:textId="11AB804B" w:rsidR="001A1B74" w:rsidRPr="0070285D" w:rsidRDefault="001A1B74" w:rsidP="001A1B74">
            <w:pPr>
              <w:pStyle w:val="TableBody"/>
              <w:rPr>
                <w:highlight w:val="yellow"/>
              </w:rPr>
            </w:pPr>
            <w:r w:rsidRPr="00C12445">
              <w:t>Shared assets</w:t>
            </w:r>
          </w:p>
        </w:tc>
        <w:tc>
          <w:tcPr>
            <w:tcW w:w="6236" w:type="dxa"/>
          </w:tcPr>
          <w:p w14:paraId="0F8C5218" w14:textId="7B6583E6" w:rsidR="001A1B74" w:rsidRPr="003F0123" w:rsidRDefault="001A1B74" w:rsidP="001A1B74">
            <w:pPr>
              <w:pStyle w:val="TableBody"/>
            </w:pPr>
            <w:r w:rsidRPr="006771D6">
              <w:t>Assets, such as pipe infrastructure, upsized from the most cost-efficient servicing solution to serve multiple developments.</w:t>
            </w:r>
          </w:p>
        </w:tc>
      </w:tr>
      <w:tr w:rsidR="00130F61" w14:paraId="7061B39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57AD1619" w14:textId="4C1CCF9F" w:rsidR="00130F61" w:rsidRPr="003F0123" w:rsidRDefault="00130F61" w:rsidP="00130F61">
            <w:pPr>
              <w:pStyle w:val="TableBody"/>
            </w:pPr>
            <w:r w:rsidRPr="00C93C70">
              <w:t>Standard charge</w:t>
            </w:r>
          </w:p>
        </w:tc>
        <w:tc>
          <w:tcPr>
            <w:tcW w:w="6236" w:type="dxa"/>
          </w:tcPr>
          <w:p w14:paraId="26359354" w14:textId="0855F702" w:rsidR="00130F61" w:rsidRPr="003F0123" w:rsidRDefault="00130F61" w:rsidP="00130F61">
            <w:pPr>
              <w:pStyle w:val="TableBody"/>
            </w:pPr>
            <w:r w:rsidRPr="141FC085">
              <w:rPr>
                <w:lang w:val="en-AU"/>
              </w:rPr>
              <w:t xml:space="preserve">Standard charges apply to new connections in areas where infrastructure requirements and growth rates are relatively well known and </w:t>
            </w:r>
            <w:proofErr w:type="gramStart"/>
            <w:r w:rsidRPr="141FC085">
              <w:rPr>
                <w:lang w:val="en-AU"/>
              </w:rPr>
              <w:t>designated</w:t>
            </w:r>
            <w:proofErr w:type="gramEnd"/>
            <w:r w:rsidRPr="141FC085">
              <w:rPr>
                <w:lang w:val="en-AU"/>
              </w:rPr>
              <w:t xml:space="preserve"> by the water business.</w:t>
            </w:r>
          </w:p>
        </w:tc>
      </w:tr>
      <w:tr w:rsidR="008F1877" w14:paraId="7A12BD4C"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6BFEAF64" w14:textId="3A81D143" w:rsidR="008F1877" w:rsidRPr="00AD62BB" w:rsidRDefault="008F1877" w:rsidP="008F1877">
            <w:pPr>
              <w:pStyle w:val="TableBody"/>
              <w:rPr>
                <w:highlight w:val="yellow"/>
              </w:rPr>
            </w:pPr>
            <w:r w:rsidRPr="00C12445">
              <w:t>Sunk cost</w:t>
            </w:r>
          </w:p>
        </w:tc>
        <w:tc>
          <w:tcPr>
            <w:tcW w:w="6236" w:type="dxa"/>
          </w:tcPr>
          <w:p w14:paraId="249B6F8A" w14:textId="373ED906" w:rsidR="008F1877" w:rsidRPr="003F0123" w:rsidRDefault="008F1877" w:rsidP="008F1877">
            <w:pPr>
              <w:pStyle w:val="TableBody"/>
            </w:pPr>
            <w:r w:rsidRPr="00B90730">
              <w:t xml:space="preserve">Costs, typically for infrastructure, </w:t>
            </w:r>
            <w:r w:rsidR="001259AE">
              <w:t>that</w:t>
            </w:r>
            <w:r w:rsidRPr="00B90730">
              <w:t xml:space="preserve"> a water business </w:t>
            </w:r>
            <w:r w:rsidR="001259AE">
              <w:t xml:space="preserve">has already incurred </w:t>
            </w:r>
            <w:r w:rsidRPr="00B90730">
              <w:t xml:space="preserve">to service future growth. </w:t>
            </w:r>
          </w:p>
        </w:tc>
      </w:tr>
      <w:tr w:rsidR="003E2513" w14:paraId="248656BD"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8D94739" w14:textId="16A81F4E" w:rsidR="003E2513" w:rsidRPr="00B90730" w:rsidRDefault="003E2513" w:rsidP="003E2513">
            <w:pPr>
              <w:pStyle w:val="TableBody"/>
            </w:pPr>
            <w:r w:rsidRPr="005F0C09">
              <w:t xml:space="preserve">Water </w:t>
            </w:r>
            <w:r w:rsidR="005E5238">
              <w:t>business</w:t>
            </w:r>
          </w:p>
        </w:tc>
        <w:tc>
          <w:tcPr>
            <w:tcW w:w="6236" w:type="dxa"/>
          </w:tcPr>
          <w:p w14:paraId="028E34A5" w14:textId="34FEC229" w:rsidR="003E2513" w:rsidRPr="00B90730" w:rsidRDefault="003E2513" w:rsidP="003E2513">
            <w:pPr>
              <w:pStyle w:val="TableBody"/>
            </w:pPr>
            <w:r w:rsidRPr="141FC085">
              <w:rPr>
                <w:lang w:val="en-AU"/>
              </w:rPr>
              <w:t xml:space="preserve">The 18 Victorian water </w:t>
            </w:r>
            <w:r w:rsidR="005E5238">
              <w:rPr>
                <w:lang w:val="en-AU"/>
              </w:rPr>
              <w:t>businesse</w:t>
            </w:r>
            <w:r w:rsidRPr="141FC085">
              <w:rPr>
                <w:lang w:val="en-AU"/>
              </w:rPr>
              <w:t xml:space="preserve">s are State Government Business Entities. The Minister for Water is the portfolio </w:t>
            </w:r>
            <w:r w:rsidR="00245573">
              <w:rPr>
                <w:lang w:val="en-AU"/>
              </w:rPr>
              <w:t>m</w:t>
            </w:r>
            <w:r w:rsidR="00245573" w:rsidRPr="141FC085">
              <w:rPr>
                <w:lang w:val="en-AU"/>
              </w:rPr>
              <w:t xml:space="preserve">inister </w:t>
            </w:r>
            <w:r w:rsidRPr="141FC085">
              <w:rPr>
                <w:lang w:val="en-AU"/>
              </w:rPr>
              <w:t>for the Victorian water industry.</w:t>
            </w:r>
          </w:p>
        </w:tc>
      </w:tr>
      <w:tr w:rsidR="003E2513" w14:paraId="5C1AA5A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09362163" w14:textId="6E774DC4" w:rsidR="003E2513" w:rsidRPr="00B90730" w:rsidRDefault="003E2513" w:rsidP="003E2513">
            <w:pPr>
              <w:pStyle w:val="TableBody"/>
            </w:pPr>
            <w:r w:rsidRPr="005F0C09">
              <w:t>Water storage</w:t>
            </w:r>
          </w:p>
        </w:tc>
        <w:tc>
          <w:tcPr>
            <w:tcW w:w="6236" w:type="dxa"/>
          </w:tcPr>
          <w:p w14:paraId="7CAB8BAF" w14:textId="6B12B769" w:rsidR="003E2513" w:rsidRPr="00B90730" w:rsidRDefault="003E2513" w:rsidP="003E2513">
            <w:pPr>
              <w:pStyle w:val="TableBody"/>
            </w:pPr>
            <w:r w:rsidRPr="005F0C09">
              <w:t>A space to hold water, such as a dam or reservoir.</w:t>
            </w:r>
          </w:p>
        </w:tc>
      </w:tr>
      <w:tr w:rsidR="003E2513" w14:paraId="42308418"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5A0F6BC8" w14:textId="481315EE" w:rsidR="003E2513" w:rsidRPr="00B90730" w:rsidRDefault="003E2513" w:rsidP="003E2513">
            <w:pPr>
              <w:pStyle w:val="TableBody"/>
            </w:pPr>
            <w:r w:rsidRPr="005F0C09">
              <w:t>Water Industry Regulatory Order (WIRO)</w:t>
            </w:r>
          </w:p>
        </w:tc>
        <w:tc>
          <w:tcPr>
            <w:tcW w:w="6236" w:type="dxa"/>
          </w:tcPr>
          <w:p w14:paraId="1CA6B312" w14:textId="1F3D1CC3" w:rsidR="003E2513" w:rsidRPr="00B90730" w:rsidRDefault="003E2513" w:rsidP="003E2513">
            <w:pPr>
              <w:pStyle w:val="TableBody"/>
            </w:pPr>
            <w:r w:rsidRPr="005F0C09">
              <w:t>The 2014 legislative instrument governs the commission’s pricing power and functions for the Victorian water sector.</w:t>
            </w:r>
          </w:p>
        </w:tc>
      </w:tr>
      <w:bookmarkEnd w:id="14"/>
      <w:bookmarkEnd w:id="15"/>
      <w:bookmarkEnd w:id="16"/>
    </w:tbl>
    <w:p w14:paraId="4D676BDF" w14:textId="77777777" w:rsidR="00B10E32" w:rsidRPr="00BD1C74" w:rsidRDefault="00B10E32" w:rsidP="00BD1C74">
      <w:pPr>
        <w:sectPr w:rsidR="00B10E32" w:rsidRPr="00BD1C74" w:rsidSect="0033357D">
          <w:footerReference w:type="default" r:id="rId37"/>
          <w:pgSz w:w="11906" w:h="16838" w:code="9"/>
          <w:pgMar w:top="1134" w:right="1134" w:bottom="1134" w:left="1134" w:header="709" w:footer="692" w:gutter="0"/>
          <w:cols w:space="708"/>
          <w:docGrid w:linePitch="360"/>
        </w:sectPr>
      </w:pPr>
    </w:p>
    <w:p w14:paraId="478628C2" w14:textId="35F0E6D7" w:rsidR="003157E3" w:rsidRDefault="003157E3" w:rsidP="003157E3">
      <w:pPr>
        <w:pStyle w:val="Heading1"/>
      </w:pPr>
      <w:bookmarkStart w:id="263" w:name="_Toc210127640"/>
      <w:bookmarkStart w:id="264" w:name="_Toc211246901"/>
      <w:r w:rsidRPr="0075190E">
        <w:t xml:space="preserve">Appendix </w:t>
      </w:r>
      <w:r>
        <w:t>B</w:t>
      </w:r>
      <w:r w:rsidRPr="0075190E">
        <w:t xml:space="preserve"> </w:t>
      </w:r>
      <w:r>
        <w:t>–</w:t>
      </w:r>
      <w:r w:rsidRPr="0075190E">
        <w:t xml:space="preserve"> </w:t>
      </w:r>
      <w:r w:rsidR="00A34D34">
        <w:t xml:space="preserve">Suggested </w:t>
      </w:r>
      <w:r w:rsidR="00245573">
        <w:t xml:space="preserve">minimum content </w:t>
      </w:r>
      <w:r w:rsidR="00A34D34">
        <w:t>for a Development Servicing Plan</w:t>
      </w:r>
      <w:bookmarkEnd w:id="263"/>
      <w:bookmarkEnd w:id="264"/>
    </w:p>
    <w:p w14:paraId="7A2EF494" w14:textId="5CF42496" w:rsidR="00786DE2" w:rsidRDefault="00786DE2" w:rsidP="00786DE2">
      <w:r>
        <w:t xml:space="preserve">At a minimum, </w:t>
      </w:r>
      <w:r w:rsidR="00245573">
        <w:t xml:space="preserve">Development Servicing Plans </w:t>
      </w:r>
      <w:r>
        <w:t>must provide content that:</w:t>
      </w:r>
    </w:p>
    <w:p w14:paraId="7669C12E" w14:textId="53CD6B80" w:rsidR="00786DE2" w:rsidRDefault="00786DE2" w:rsidP="00491822">
      <w:pPr>
        <w:pStyle w:val="ListBullet"/>
        <w:rPr>
          <w:rFonts w:eastAsia="Times New Roman"/>
        </w:rPr>
      </w:pPr>
      <w:r>
        <w:rPr>
          <w:rFonts w:eastAsia="Times New Roman"/>
        </w:rPr>
        <w:t xml:space="preserve">Clearly </w:t>
      </w:r>
      <w:proofErr w:type="gramStart"/>
      <w:r>
        <w:rPr>
          <w:rFonts w:eastAsia="Times New Roman"/>
        </w:rPr>
        <w:t>demonstrates</w:t>
      </w:r>
      <w:proofErr w:type="gramEnd"/>
      <w:r>
        <w:rPr>
          <w:rFonts w:eastAsia="Times New Roman"/>
        </w:rPr>
        <w:t xml:space="preserve"> the </w:t>
      </w:r>
      <w:r>
        <w:rPr>
          <w:rFonts w:eastAsia="Times New Roman"/>
          <w:b/>
          <w:bCs/>
        </w:rPr>
        <w:t>location</w:t>
      </w:r>
      <w:r w:rsidRPr="00491822">
        <w:t xml:space="preserve"> </w:t>
      </w:r>
      <w:r>
        <w:rPr>
          <w:rFonts w:eastAsia="Times New Roman"/>
        </w:rPr>
        <w:t xml:space="preserve">of existing and proposed assets in high-growth areas. The related service and types of existing and proposed assets should be clearly differentiable. </w:t>
      </w:r>
    </w:p>
    <w:p w14:paraId="522505CF" w14:textId="20B17EB4" w:rsidR="00786DE2" w:rsidRDefault="00786DE2" w:rsidP="00491822">
      <w:pPr>
        <w:pStyle w:val="ListBullet"/>
        <w:rPr>
          <w:rFonts w:eastAsia="Times New Roman"/>
        </w:rPr>
      </w:pPr>
      <w:r>
        <w:rPr>
          <w:rFonts w:eastAsia="Times New Roman"/>
        </w:rPr>
        <w:t xml:space="preserve">Describes the </w:t>
      </w:r>
      <w:r>
        <w:rPr>
          <w:rFonts w:eastAsia="Times New Roman"/>
          <w:b/>
          <w:bCs/>
        </w:rPr>
        <w:t>forecast timing</w:t>
      </w:r>
      <w:r>
        <w:rPr>
          <w:rFonts w:eastAsia="Times New Roman"/>
        </w:rPr>
        <w:t xml:space="preserve"> of infrastructure delivery to service new customers</w:t>
      </w:r>
      <w:r w:rsidR="008B4E7F">
        <w:rPr>
          <w:rFonts w:eastAsia="Times New Roman"/>
        </w:rPr>
        <w:t>.</w:t>
      </w:r>
    </w:p>
    <w:p w14:paraId="0D3331CA" w14:textId="6BE3DEAC" w:rsidR="00786DE2" w:rsidRPr="00661D6A" w:rsidRDefault="00786DE2" w:rsidP="00491822">
      <w:pPr>
        <w:pStyle w:val="ListBullet"/>
        <w:rPr>
          <w:rFonts w:eastAsia="Times New Roman"/>
        </w:rPr>
      </w:pPr>
      <w:r>
        <w:rPr>
          <w:rFonts w:eastAsia="Times New Roman"/>
        </w:rPr>
        <w:t xml:space="preserve">Describes the </w:t>
      </w:r>
      <w:r>
        <w:rPr>
          <w:rFonts w:eastAsia="Times New Roman"/>
          <w:b/>
          <w:bCs/>
        </w:rPr>
        <w:t>forecast sequencing</w:t>
      </w:r>
      <w:r>
        <w:rPr>
          <w:rFonts w:eastAsia="Times New Roman"/>
        </w:rPr>
        <w:t xml:space="preserve"> of infrastructure delivery to service new customers</w:t>
      </w:r>
      <w:r w:rsidR="008B4E7F">
        <w:rPr>
          <w:rFonts w:eastAsia="Times New Roman"/>
        </w:rPr>
        <w:t>.</w:t>
      </w:r>
    </w:p>
    <w:p w14:paraId="0009C9C2" w14:textId="7BE5C947" w:rsidR="00786DE2" w:rsidRPr="009478E3" w:rsidRDefault="00786DE2" w:rsidP="00786DE2">
      <w:r>
        <w:t xml:space="preserve">In providing this content, </w:t>
      </w:r>
      <w:r w:rsidR="0089361A">
        <w:t>water businesses should include</w:t>
      </w:r>
      <w:r>
        <w:t>:</w:t>
      </w:r>
    </w:p>
    <w:p w14:paraId="128DD3DF" w14:textId="6CCA2219" w:rsidR="00786DE2" w:rsidRPr="00491822" w:rsidRDefault="00786DE2" w:rsidP="00491822">
      <w:pPr>
        <w:pStyle w:val="ListBullet"/>
      </w:pPr>
      <w:r w:rsidRPr="00D20476">
        <w:t xml:space="preserve">The </w:t>
      </w:r>
      <w:r w:rsidR="00245573">
        <w:t xml:space="preserve">Development </w:t>
      </w:r>
      <w:r w:rsidR="00C413C4">
        <w:t>Servicing Plans’</w:t>
      </w:r>
      <w:r w:rsidR="0089361A">
        <w:t xml:space="preserve"> </w:t>
      </w:r>
      <w:r w:rsidRPr="00D20476">
        <w:t>date of issue</w:t>
      </w:r>
      <w:r w:rsidR="008B4E7F">
        <w:t>.</w:t>
      </w:r>
    </w:p>
    <w:p w14:paraId="6605D4EC" w14:textId="453EEE47" w:rsidR="00786DE2" w:rsidRPr="00491822" w:rsidRDefault="00786DE2" w:rsidP="00491822">
      <w:pPr>
        <w:pStyle w:val="ListBullet"/>
      </w:pPr>
      <w:r w:rsidRPr="00D20476">
        <w:t xml:space="preserve">The date of the </w:t>
      </w:r>
      <w:r w:rsidR="00C413C4">
        <w:t>Development Servicing Plans</w:t>
      </w:r>
      <w:r w:rsidR="00C413C4" w:rsidRPr="00D20476">
        <w:t xml:space="preserve"> </w:t>
      </w:r>
      <w:r w:rsidRPr="00D20476">
        <w:t>most recent update</w:t>
      </w:r>
      <w:r w:rsidR="008B4E7F">
        <w:t>.</w:t>
      </w:r>
    </w:p>
    <w:p w14:paraId="08C6511A" w14:textId="7D982DC9" w:rsidR="00786DE2" w:rsidRPr="00BD1C74" w:rsidRDefault="00786DE2" w:rsidP="00491822">
      <w:pPr>
        <w:pStyle w:val="ListBullet"/>
      </w:pPr>
      <w:r w:rsidRPr="00D20476">
        <w:t>The water businesses’ contact information</w:t>
      </w:r>
      <w:bookmarkStart w:id="265" w:name="_Hlk209695534"/>
      <w:r w:rsidR="008B4E7F">
        <w:t>.</w:t>
      </w:r>
    </w:p>
    <w:bookmarkEnd w:id="265"/>
    <w:p w14:paraId="3B21FAE8" w14:textId="3075DFDF" w:rsidR="00786DE2" w:rsidRPr="00BD1C74" w:rsidRDefault="00786DE2" w:rsidP="00491822">
      <w:pPr>
        <w:pStyle w:val="ListBullet"/>
      </w:pPr>
      <w:r w:rsidRPr="00D20476">
        <w:t xml:space="preserve">A clear title of the development area represented in the </w:t>
      </w:r>
      <w:r w:rsidR="00CE5735">
        <w:t>Development Servicing Plan</w:t>
      </w:r>
      <w:r w:rsidR="008B4E7F">
        <w:t>.</w:t>
      </w:r>
    </w:p>
    <w:p w14:paraId="21A3736B" w14:textId="73D6E477" w:rsidR="00786DE2" w:rsidRPr="00BD1C74" w:rsidRDefault="00786DE2" w:rsidP="00491822">
      <w:pPr>
        <w:pStyle w:val="ListBullet"/>
      </w:pPr>
      <w:r w:rsidRPr="00386F5F">
        <w:t>A detailed map of development area</w:t>
      </w:r>
      <w:r w:rsidR="008B4E7F">
        <w:t>.</w:t>
      </w:r>
      <w:r w:rsidRPr="00386F5F">
        <w:t xml:space="preserve"> </w:t>
      </w:r>
    </w:p>
    <w:p w14:paraId="168FA13F" w14:textId="4940593D" w:rsidR="00786DE2" w:rsidRPr="00BD1C74" w:rsidRDefault="00786DE2" w:rsidP="00491822">
      <w:pPr>
        <w:pStyle w:val="ListBullet"/>
      </w:pPr>
      <w:r w:rsidRPr="00D20476">
        <w:t>A clear geographical outline of the development area</w:t>
      </w:r>
      <w:r w:rsidR="008B4E7F">
        <w:t>.</w:t>
      </w:r>
    </w:p>
    <w:p w14:paraId="1F29AB68" w14:textId="46D1942B" w:rsidR="00786DE2" w:rsidRPr="00BD1C74" w:rsidRDefault="00786DE2" w:rsidP="00491822">
      <w:pPr>
        <w:pStyle w:val="ListBullet"/>
      </w:pPr>
      <w:r w:rsidRPr="00386F5F">
        <w:t xml:space="preserve">The proposed construction year of each proposed asset included in the </w:t>
      </w:r>
      <w:r w:rsidR="00CE5735">
        <w:t>Development Servicing Plan</w:t>
      </w:r>
      <w:r w:rsidR="008B4E7F">
        <w:t>.</w:t>
      </w:r>
    </w:p>
    <w:p w14:paraId="1CA16D21" w14:textId="5297612C" w:rsidR="00786DE2" w:rsidRPr="00BD1C74" w:rsidRDefault="00786DE2" w:rsidP="00491822">
      <w:pPr>
        <w:pStyle w:val="ListBullet"/>
      </w:pPr>
      <w:r w:rsidRPr="00386F5F">
        <w:t xml:space="preserve">A clear outline of the growth assumptions used when developing the </w:t>
      </w:r>
      <w:r w:rsidR="00CE5735">
        <w:t>Development Servicing Plan</w:t>
      </w:r>
      <w:r w:rsidR="008B4E7F">
        <w:t>.</w:t>
      </w:r>
    </w:p>
    <w:p w14:paraId="77E4553D" w14:textId="0192CEDF" w:rsidR="00786DE2" w:rsidRPr="00BD1C74" w:rsidRDefault="00786DE2" w:rsidP="00491822">
      <w:pPr>
        <w:pStyle w:val="ListBullet"/>
      </w:pPr>
      <w:r w:rsidRPr="001F58A5">
        <w:t>A clear outline of the scope of investments underpinning the costs involved with making connection within that development area</w:t>
      </w:r>
      <w:r w:rsidR="008B4E7F">
        <w:t>.</w:t>
      </w:r>
    </w:p>
    <w:p w14:paraId="0DA70597" w14:textId="0B07E7CA" w:rsidR="00786DE2" w:rsidRPr="00BD1C74" w:rsidRDefault="00786DE2" w:rsidP="00491822">
      <w:pPr>
        <w:pStyle w:val="ListBullet"/>
      </w:pPr>
      <w:r w:rsidRPr="00386F5F">
        <w:t xml:space="preserve">Information that describes the size of the assets included in the </w:t>
      </w:r>
      <w:r w:rsidR="00CE5735">
        <w:t>Development Servicing Plan</w:t>
      </w:r>
      <w:r w:rsidR="008B4E7F">
        <w:t>.</w:t>
      </w:r>
    </w:p>
    <w:p w14:paraId="44B9C2CE" w14:textId="60B8AD79" w:rsidR="00786DE2" w:rsidRPr="00BD1C74" w:rsidRDefault="00786DE2" w:rsidP="00491822">
      <w:pPr>
        <w:pStyle w:val="ListBullet"/>
      </w:pPr>
      <w:r w:rsidRPr="00386F5F">
        <w:t>Labelling of any developer funded works</w:t>
      </w:r>
      <w:r w:rsidR="052CE192">
        <w:t>.</w:t>
      </w:r>
      <w:r w:rsidR="00901980" w:rsidRPr="00BD1C74">
        <w:t xml:space="preserve"> </w:t>
      </w:r>
      <w:r>
        <w:t xml:space="preserve">If the </w:t>
      </w:r>
      <w:r w:rsidR="00CE5735">
        <w:t>Development Servicing Plan</w:t>
      </w:r>
      <w:r>
        <w:t xml:space="preserve"> includes assets that are expected to be funded by </w:t>
      </w:r>
      <w:r w:rsidR="00F3115A">
        <w:t>connection applicants</w:t>
      </w:r>
      <w:r>
        <w:t>, information on the gifting process, or notice of where more information can be found, should be provided.</w:t>
      </w:r>
    </w:p>
    <w:p w14:paraId="25734137" w14:textId="3888EC50" w:rsidR="00786DE2" w:rsidRPr="00CF0D55" w:rsidRDefault="00786DE2" w:rsidP="00BD1C74">
      <w:pPr>
        <w:rPr>
          <w:rFonts w:eastAsia="Times New Roman" w:cs="Times New Roman"/>
        </w:rPr>
      </w:pPr>
      <w:r w:rsidRPr="00CF0D55">
        <w:rPr>
          <w:rFonts w:eastAsia="Times New Roman" w:cs="Times New Roman"/>
        </w:rPr>
        <w:t>We e</w:t>
      </w:r>
      <w:r>
        <w:rPr>
          <w:rFonts w:eastAsia="Times New Roman" w:cs="Times New Roman"/>
        </w:rPr>
        <w:t xml:space="preserve">ncourage water businesses to include the following in their </w:t>
      </w:r>
      <w:r w:rsidR="004C5FC6">
        <w:t>Development Servicing Plans</w:t>
      </w:r>
      <w:r>
        <w:rPr>
          <w:rFonts w:eastAsia="Times New Roman" w:cs="Times New Roman"/>
        </w:rPr>
        <w:t>:</w:t>
      </w:r>
    </w:p>
    <w:p w14:paraId="51998F6E" w14:textId="6CDE6600" w:rsidR="00786DE2" w:rsidRPr="00BD1C74" w:rsidRDefault="00786DE2" w:rsidP="00BD1C74">
      <w:pPr>
        <w:pStyle w:val="ListBullet"/>
      </w:pPr>
      <w:r w:rsidRPr="00C20A71">
        <w:t>Notice of where any</w:t>
      </w:r>
      <w:r>
        <w:t xml:space="preserve"> relevant</w:t>
      </w:r>
      <w:r w:rsidRPr="00C20A71">
        <w:t xml:space="preserve"> </w:t>
      </w:r>
      <w:proofErr w:type="gramStart"/>
      <w:r w:rsidRPr="00C20A71">
        <w:t>additional</w:t>
      </w:r>
      <w:proofErr w:type="gramEnd"/>
      <w:r w:rsidRPr="00C20A71">
        <w:t xml:space="preserve"> information can be found</w:t>
      </w:r>
      <w:r w:rsidR="0070663E">
        <w:t>.</w:t>
      </w:r>
    </w:p>
    <w:p w14:paraId="6E5D3F5A" w14:textId="77777777" w:rsidR="002203D4" w:rsidRDefault="00786DE2" w:rsidP="002203D4">
      <w:pPr>
        <w:pStyle w:val="ListBullet"/>
      </w:pPr>
      <w:r>
        <w:t>The o</w:t>
      </w:r>
      <w:r w:rsidRPr="00C20A71">
        <w:t>rientation and scale</w:t>
      </w:r>
      <w:r>
        <w:t xml:space="preserve"> of the </w:t>
      </w:r>
      <w:r w:rsidR="004C5FC6">
        <w:t xml:space="preserve">Development </w:t>
      </w:r>
      <w:r w:rsidR="00F54FA3">
        <w:t xml:space="preserve">Servicing Plan </w:t>
      </w:r>
      <w:r>
        <w:t>to improve clarity and readability</w:t>
      </w:r>
      <w:r w:rsidR="0070663E">
        <w:t>.</w:t>
      </w:r>
    </w:p>
    <w:p w14:paraId="71702850" w14:textId="6AC3A351" w:rsidR="00786DE2" w:rsidRPr="002203D4" w:rsidRDefault="00786DE2" w:rsidP="002203D4">
      <w:pPr>
        <w:pStyle w:val="ListBullet"/>
      </w:pPr>
      <w:r>
        <w:t>Labels for any m</w:t>
      </w:r>
      <w:r w:rsidRPr="00C20A71">
        <w:t>ajor road</w:t>
      </w:r>
      <w:r>
        <w:t>s</w:t>
      </w:r>
      <w:r w:rsidRPr="00C20A71">
        <w:t>/landmark</w:t>
      </w:r>
      <w:r>
        <w:t>s</w:t>
      </w:r>
      <w:r w:rsidRPr="00C20A71">
        <w:t xml:space="preserve"> </w:t>
      </w:r>
      <w:r>
        <w:t xml:space="preserve">in the development area the </w:t>
      </w:r>
      <w:r w:rsidR="00F54FA3">
        <w:t xml:space="preserve">Development Servicing Plans </w:t>
      </w:r>
      <w:r>
        <w:t>focuses on</w:t>
      </w:r>
      <w:r w:rsidR="0070663E">
        <w:t>.</w:t>
      </w:r>
    </w:p>
    <w:p w14:paraId="1CF19108" w14:textId="77777777" w:rsidR="0075190E" w:rsidRPr="0075190E" w:rsidRDefault="0075190E" w:rsidP="00171874"/>
    <w:sectPr w:rsidR="0075190E" w:rsidRPr="0075190E" w:rsidSect="0033357D">
      <w:headerReference w:type="default" r:id="rId38"/>
      <w:footerReference w:type="default" r:id="rId39"/>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D821" w14:textId="77777777" w:rsidR="005C5338" w:rsidRDefault="005C5338" w:rsidP="00AE03FA">
      <w:pPr>
        <w:spacing w:after="0"/>
      </w:pPr>
      <w:r>
        <w:separator/>
      </w:r>
    </w:p>
    <w:p w14:paraId="49713EE2" w14:textId="77777777" w:rsidR="005C5338" w:rsidRDefault="005C5338"/>
  </w:endnote>
  <w:endnote w:type="continuationSeparator" w:id="0">
    <w:p w14:paraId="6FDB058A" w14:textId="77777777" w:rsidR="005C5338" w:rsidRDefault="005C5338" w:rsidP="00AE03FA">
      <w:pPr>
        <w:spacing w:after="0"/>
      </w:pPr>
      <w:r>
        <w:continuationSeparator/>
      </w:r>
    </w:p>
    <w:p w14:paraId="4070815C" w14:textId="77777777" w:rsidR="005C5338" w:rsidRDefault="005C5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A376" w14:textId="77777777" w:rsidR="003A30F3" w:rsidRDefault="003A30F3" w:rsidP="00A236AB">
    <w:pPr>
      <w:pStyle w:val="FooterSpace"/>
      <w:ind w:right="707"/>
    </w:pPr>
    <w:r>
      <w:t>Preface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6F66F409"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E83BFEF"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w:t>
          </w:r>
          <w:r w:rsidRPr="009E15D6">
            <w:rPr>
              <w:rStyle w:val="PageNumber"/>
            </w:rPr>
            <w:fldChar w:fldCharType="end"/>
          </w:r>
        </w:p>
      </w:tc>
    </w:tr>
  </w:tbl>
  <w:p w14:paraId="5BACF0A8" w14:textId="21C147E8" w:rsidR="003A30F3" w:rsidRPr="002C2ADF" w:rsidRDefault="003A30F3" w:rsidP="00A236AB">
    <w:pPr>
      <w:pStyle w:val="Footer"/>
      <w:ind w:right="707"/>
      <w:rPr>
        <w:b/>
      </w:rPr>
    </w:pPr>
    <w:r>
      <w:t xml:space="preserve">Essential Services Commission </w:t>
    </w:r>
    <w:sdt>
      <w:sdtPr>
        <w:rPr>
          <w:b/>
        </w:rPr>
        <w:alias w:val="Title"/>
        <w:tag w:val=""/>
        <w:id w:val="779065399"/>
        <w:placeholder>
          <w:docPart w:val="E8FBB1693C42492B8F8EF5D86554E641"/>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7017" w14:textId="77777777" w:rsidR="00D362A3" w:rsidRDefault="00D362A3" w:rsidP="00390F9E">
    <w:pPr>
      <w:pStyle w:val="Footer"/>
      <w:spacing w:before="480"/>
      <w:ind w:right="709"/>
    </w:pPr>
    <w:r w:rsidRPr="00D362A3">
      <w:t>Encouraging advanced practice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512CF339"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94C5A32"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9F420A7" w14:textId="77777777" w:rsidR="00D362A3" w:rsidRPr="002C2ADF" w:rsidRDefault="00D362A3" w:rsidP="00A236AB">
    <w:pPr>
      <w:pStyle w:val="Footer"/>
      <w:ind w:right="707"/>
      <w:rPr>
        <w:b/>
      </w:rPr>
    </w:pPr>
    <w:r>
      <w:t xml:space="preserve">Essential Services Commission </w:t>
    </w:r>
    <w:sdt>
      <w:sdtPr>
        <w:rPr>
          <w:b/>
        </w:rPr>
        <w:alias w:val="Title"/>
        <w:tag w:val=""/>
        <w:id w:val="-688532491"/>
        <w:placeholder>
          <w:docPart w:val="AB89EA94DDF049C7A1711CD503D0B3D4"/>
        </w:placeholder>
        <w:dataBinding w:prefixMappings="xmlns:ns0='http://purl.org/dc/elements/1.1/' xmlns:ns1='http://schemas.openxmlformats.org/package/2006/metadata/core-properties' " w:xpath="/ns1:coreProperties[1]/ns0:title[1]" w:storeItemID="{6C3C8BC8-F283-45AE-878A-BAB7291924A1}"/>
        <w:text/>
      </w:sdtPr>
      <w:sdtEndPr/>
      <w:sdtContent>
        <w:r>
          <w:rPr>
            <w:b/>
          </w:rPr>
          <w:t>Draft New Customer Contributions Framework</w:t>
        </w:r>
      </w:sdtContent>
    </w:sdt>
    <w:r>
      <w:rPr>
        <w:b/>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8073" w14:textId="77777777" w:rsidR="0075190E" w:rsidRPr="00707B2F" w:rsidRDefault="0075190E" w:rsidP="00304C4A">
    <w:pPr>
      <w:pStyle w:val="Footer"/>
      <w:spacing w:before="480"/>
      <w:ind w:right="709"/>
    </w:pPr>
    <w:r w:rsidRPr="0075190E">
      <w:t>Monitoring NCC implementation</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5DE43FA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73D8356"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869BE9C" w14:textId="072AF9DB" w:rsidR="0075190E" w:rsidRPr="002C2ADF" w:rsidRDefault="0075190E" w:rsidP="00304C4A">
    <w:pPr>
      <w:pStyle w:val="Footer"/>
      <w:ind w:right="707"/>
      <w:rPr>
        <w:b/>
      </w:rPr>
    </w:pPr>
    <w:r>
      <w:t xml:space="preserve">Essential Services Commission </w:t>
    </w:r>
    <w:sdt>
      <w:sdtPr>
        <w:rPr>
          <w:b/>
        </w:rPr>
        <w:alias w:val="Title"/>
        <w:tag w:val=""/>
        <w:id w:val="391468416"/>
        <w:placeholder>
          <w:docPart w:val="0A5D3EED4DB9406EB55E1E132D8515AA"/>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B25B" w14:textId="77777777" w:rsidR="0075190E" w:rsidRPr="00707B2F" w:rsidRDefault="0075190E" w:rsidP="00304C4A">
    <w:pPr>
      <w:pStyle w:val="Footer"/>
      <w:spacing w:before="480"/>
      <w:ind w:right="709"/>
    </w:pPr>
    <w:r>
      <w:t xml:space="preserve">Appendix </w:t>
    </w:r>
    <w:r w:rsidR="00AA4562">
      <w:t>A</w:t>
    </w:r>
    <w:r>
      <w:t xml:space="preserve"> – </w:t>
    </w:r>
    <w:r w:rsidR="00AA4562">
      <w:t>Glossary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407EC018"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320F38"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99C3002" w14:textId="77777777" w:rsidR="0075190E" w:rsidRPr="002C2ADF" w:rsidRDefault="0075190E" w:rsidP="00304C4A">
    <w:pPr>
      <w:pStyle w:val="Footer"/>
      <w:ind w:right="707"/>
      <w:rPr>
        <w:b/>
      </w:rPr>
    </w:pPr>
    <w:r>
      <w:t xml:space="preserve">Essential Services Commission </w:t>
    </w:r>
    <w:sdt>
      <w:sdtPr>
        <w:rPr>
          <w:b/>
        </w:rPr>
        <w:alias w:val="Title"/>
        <w:tag w:val=""/>
        <w:id w:val="1013573442"/>
        <w:placeholder>
          <w:docPart w:val="800EF980A97541E0B5BF37F31427666E"/>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2669" w14:textId="574BF1CC" w:rsidR="0075190E" w:rsidRPr="00707B2F" w:rsidRDefault="0075190E" w:rsidP="00491822">
    <w:pPr>
      <w:pStyle w:val="Footer"/>
      <w:spacing w:before="480"/>
      <w:ind w:right="709"/>
    </w:pPr>
    <w:r>
      <w:t xml:space="preserve">Appendix </w:t>
    </w:r>
    <w:r w:rsidR="00940FA9">
      <w:t>B</w:t>
    </w:r>
    <w:r>
      <w:t xml:space="preserve"> – </w:t>
    </w:r>
    <w:r w:rsidR="00DE3373">
      <w:t xml:space="preserve">Suggested minimum content for a </w:t>
    </w:r>
    <w:r w:rsidR="00F54FA3">
      <w:t>Development Servicing Plan</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782430F2"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BC4EB4" w14:textId="77777777" w:rsidR="0075190E" w:rsidRPr="009E15D6" w:rsidRDefault="0075190E" w:rsidP="008757C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F76A0CA" w14:textId="77777777" w:rsidR="0075190E" w:rsidRPr="002C2ADF" w:rsidRDefault="0075190E" w:rsidP="008757CA">
    <w:pPr>
      <w:pStyle w:val="Footer"/>
      <w:ind w:right="707"/>
      <w:rPr>
        <w:b/>
      </w:rPr>
    </w:pPr>
    <w:r>
      <w:t xml:space="preserve">Essential Services Commission </w:t>
    </w:r>
    <w:sdt>
      <w:sdtPr>
        <w:rPr>
          <w:b/>
        </w:rPr>
        <w:alias w:val="Title"/>
        <w:tag w:val=""/>
        <w:id w:val="-2083214900"/>
        <w:placeholder>
          <w:docPart w:val="800EF980A97541E0B5BF37F31427666E"/>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CDA2" w14:textId="77777777" w:rsidR="003A30F3" w:rsidRPr="00707B2F" w:rsidRDefault="003A30F3" w:rsidP="00A236AB">
    <w:pPr>
      <w:pStyle w:val="FooterSpace"/>
      <w:ind w:right="707"/>
    </w:pPr>
    <w:r>
      <w:t>Contents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00C42F4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BBD85D7"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iii</w:t>
          </w:r>
          <w:r w:rsidRPr="009E15D6">
            <w:rPr>
              <w:rStyle w:val="PageNumber"/>
            </w:rPr>
            <w:fldChar w:fldCharType="end"/>
          </w:r>
        </w:p>
      </w:tc>
    </w:tr>
  </w:tbl>
  <w:p w14:paraId="015548D3" w14:textId="5C27911D" w:rsidR="003A30F3" w:rsidRPr="002C2ADF" w:rsidRDefault="003A30F3" w:rsidP="00A236AB">
    <w:pPr>
      <w:pStyle w:val="Footer"/>
      <w:ind w:right="283"/>
      <w:rPr>
        <w:b/>
      </w:rPr>
    </w:pPr>
    <w:r>
      <w:t xml:space="preserve">Essential Services Commission </w:t>
    </w:r>
    <w:sdt>
      <w:sdtPr>
        <w:rPr>
          <w:b/>
        </w:rPr>
        <w:alias w:val="Title"/>
        <w:tag w:val=""/>
        <w:id w:val="233746944"/>
        <w:placeholder>
          <w:docPart w:val="58A60AF94E8F418CA9D9039AA656CE76"/>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3C0C" w14:textId="77777777" w:rsidR="00370467" w:rsidRPr="00707B2F" w:rsidRDefault="00C70558" w:rsidP="00304C4A">
    <w:pPr>
      <w:pStyle w:val="Footer"/>
      <w:spacing w:before="480"/>
      <w:ind w:right="709"/>
    </w:pPr>
    <w:r>
      <w:t>Executive summary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3AD244BA"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0716F94"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2FA363BF" w14:textId="77777777" w:rsidR="00370467" w:rsidRPr="002C2ADF" w:rsidRDefault="00370467" w:rsidP="00304C4A">
    <w:pPr>
      <w:pStyle w:val="Footer"/>
      <w:ind w:right="707"/>
      <w:rPr>
        <w:b/>
      </w:rPr>
    </w:pPr>
    <w:r>
      <w:t xml:space="preserve">Essential Services Commission </w:t>
    </w:r>
    <w:sdt>
      <w:sdtPr>
        <w:rPr>
          <w:b/>
        </w:rPr>
        <w:alias w:val="Title"/>
        <w:tag w:val=""/>
        <w:id w:val="-571042740"/>
        <w:placeholder>
          <w:docPart w:val="40E09FD8103C4040BBC8246001F248DA"/>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E56A" w14:textId="77777777" w:rsidR="00370467" w:rsidRPr="00707B2F" w:rsidRDefault="00370467" w:rsidP="00304C4A">
    <w:pPr>
      <w:pStyle w:val="Footer"/>
      <w:spacing w:before="480"/>
      <w:ind w:right="709"/>
    </w:pPr>
    <w:r>
      <w:t xml:space="preserve">Overview </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6A12CE1F"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2A90ADE"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E7A758B" w14:textId="77777777" w:rsidR="00370467" w:rsidRPr="002C2ADF" w:rsidRDefault="00370467" w:rsidP="00304C4A">
    <w:pPr>
      <w:pStyle w:val="Footer"/>
      <w:ind w:right="707"/>
      <w:rPr>
        <w:b/>
      </w:rPr>
    </w:pPr>
    <w:r>
      <w:t xml:space="preserve">Essential Services Commission </w:t>
    </w:r>
    <w:sdt>
      <w:sdtPr>
        <w:rPr>
          <w:b/>
        </w:rPr>
        <w:alias w:val="Title"/>
        <w:tag w:val=""/>
        <w:id w:val="-2130695043"/>
        <w:placeholder>
          <w:docPart w:val="40E09FD8103C4040BBC8246001F248DA"/>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ADE" w14:textId="77777777" w:rsidR="00370467" w:rsidRPr="00707B2F" w:rsidRDefault="00370467" w:rsidP="003F6372">
    <w:pPr>
      <w:pStyle w:val="FooterSpace"/>
      <w:ind w:right="707"/>
    </w:pPr>
    <w:r w:rsidRPr="00370467">
      <w:t>New customer contributions and the regulatory framework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575E7D1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CB8C4B0"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EF0A2A8" w14:textId="34ECDF3E" w:rsidR="00370467" w:rsidRPr="002C2ADF" w:rsidRDefault="00370467" w:rsidP="00154A59">
    <w:pPr>
      <w:pStyle w:val="Footer"/>
      <w:ind w:right="283"/>
      <w:rPr>
        <w:b/>
      </w:rPr>
    </w:pPr>
    <w:r>
      <w:t xml:space="preserve">Essential Services Commission </w:t>
    </w:r>
    <w:sdt>
      <w:sdtPr>
        <w:rPr>
          <w:b/>
        </w:rPr>
        <w:alias w:val="Title"/>
        <w:tag w:val=""/>
        <w:id w:val="591364022"/>
        <w:placeholder>
          <w:docPart w:val="3623774336344EE5AD9D7E7B1E7B80D9"/>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24CD" w14:textId="5964EE74" w:rsidR="008607FE" w:rsidRPr="00707B2F" w:rsidRDefault="00085400" w:rsidP="00304C4A">
    <w:pPr>
      <w:pStyle w:val="Footer"/>
      <w:ind w:right="707"/>
    </w:pPr>
    <w:r>
      <w:t>Our principles-based NCC framework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607FE" w14:paraId="6FFE1BB2"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0C6A6E9" w14:textId="77777777" w:rsidR="008607FE" w:rsidRPr="009E15D6" w:rsidRDefault="008607F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027980D1" w14:textId="77777777" w:rsidR="003809FC" w:rsidRPr="002C2ADF" w:rsidRDefault="008607FE" w:rsidP="00304C4A">
    <w:pPr>
      <w:pStyle w:val="Footer"/>
      <w:ind w:right="707"/>
      <w:rPr>
        <w:b/>
      </w:rPr>
    </w:pPr>
    <w:r>
      <w:t xml:space="preserve">Essential Services Commission </w:t>
    </w:r>
    <w:sdt>
      <w:sdtPr>
        <w:rPr>
          <w:b/>
        </w:rPr>
        <w:alias w:val="Title"/>
        <w:tag w:val=""/>
        <w:id w:val="99844688"/>
        <w:placeholder>
          <w:docPart w:val="A299955D4E484940807840F17E8BCFC9"/>
        </w:placeholder>
        <w:dataBinding w:prefixMappings="xmlns:ns0='http://purl.org/dc/elements/1.1/' xmlns:ns1='http://schemas.openxmlformats.org/package/2006/metadata/core-properties' " w:xpath="/ns1:coreProperties[1]/ns0:title[1]" w:storeItemID="{6C3C8BC8-F283-45AE-878A-BAB7291924A1}"/>
        <w:text/>
      </w:sdtPr>
      <w:sdtEndPr/>
      <w:sdtContent>
        <w:r>
          <w:rPr>
            <w:b/>
          </w:rPr>
          <w:t>Draft New Customer Contributions Framework</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8F95" w14:textId="15E4CFE9" w:rsidR="00DA2212" w:rsidRPr="00707B2F" w:rsidRDefault="00C442D3" w:rsidP="00304C4A">
    <w:pPr>
      <w:pStyle w:val="Footer"/>
      <w:spacing w:before="480"/>
      <w:ind w:right="709"/>
    </w:pPr>
    <w:r>
      <w:t>Clarifying the NCC framework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DA2212" w14:paraId="18FBA64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0383FFD" w14:textId="77777777" w:rsidR="00DA2212" w:rsidRPr="009E15D6" w:rsidRDefault="00DA2212"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0927A634" w14:textId="77777777" w:rsidR="00EF03BB" w:rsidRPr="002C2ADF" w:rsidRDefault="00DA2212" w:rsidP="00304C4A">
    <w:pPr>
      <w:pStyle w:val="Footer"/>
      <w:ind w:right="707"/>
      <w:rPr>
        <w:b/>
      </w:rPr>
    </w:pPr>
    <w:r>
      <w:t xml:space="preserve">Essential Services Commission </w:t>
    </w:r>
    <w:sdt>
      <w:sdtPr>
        <w:rPr>
          <w:b/>
        </w:rPr>
        <w:alias w:val="Title"/>
        <w:tag w:val=""/>
        <w:id w:val="-1735005913"/>
        <w:placeholder>
          <w:docPart w:val="4948F762E9C442BCAE60487B1BC3FFF6"/>
        </w:placeholder>
        <w:dataBinding w:prefixMappings="xmlns:ns0='http://purl.org/dc/elements/1.1/' xmlns:ns1='http://schemas.openxmlformats.org/package/2006/metadata/core-properties' " w:xpath="/ns1:coreProperties[1]/ns0:title[1]" w:storeItemID="{6C3C8BC8-F283-45AE-878A-BAB7291924A1}"/>
        <w:text/>
      </w:sdtPr>
      <w:sdtEndPr/>
      <w:sdtContent>
        <w:r>
          <w:rPr>
            <w:b/>
          </w:rPr>
          <w:t>Draft New Customer Contributions Framework</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4CA" w14:textId="77777777" w:rsidR="0033357D" w:rsidRPr="00707B2F" w:rsidRDefault="0033357D" w:rsidP="006A1530">
    <w:pPr>
      <w:pStyle w:val="Footer"/>
      <w:spacing w:before="480"/>
      <w:ind w:right="709"/>
    </w:pPr>
    <w:r w:rsidRPr="0033357D">
      <w:t>Requiring minimum information disclosures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3357D" w14:paraId="36A23B47"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68FD318" w14:textId="77777777" w:rsidR="0033357D" w:rsidRPr="009E15D6" w:rsidRDefault="0033357D"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786ADF0" w14:textId="77777777" w:rsidR="0033357D" w:rsidRPr="002C2ADF" w:rsidRDefault="0033357D" w:rsidP="00A236AB">
    <w:pPr>
      <w:pStyle w:val="Footer"/>
      <w:ind w:right="707"/>
      <w:rPr>
        <w:b/>
      </w:rPr>
    </w:pPr>
    <w:r>
      <w:t xml:space="preserve">Essential Services Commission </w:t>
    </w:r>
    <w:sdt>
      <w:sdtPr>
        <w:rPr>
          <w:b/>
        </w:rPr>
        <w:alias w:val="Title"/>
        <w:tag w:val=""/>
        <w:id w:val="-1651671103"/>
        <w:placeholder>
          <w:docPart w:val="54A9A9232DE54E9BA2154DCE4A4C305A"/>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E4A" w14:textId="77777777" w:rsidR="0033357D" w:rsidRPr="00707B2F" w:rsidRDefault="0033357D" w:rsidP="00304C4A">
    <w:pPr>
      <w:pStyle w:val="Footer"/>
      <w:spacing w:before="480"/>
      <w:ind w:right="709"/>
    </w:pPr>
    <w:r w:rsidRPr="0033357D">
      <w:t>Empowering NCC calculations and negotiations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3357D" w14:paraId="7B2D5E9B"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C307CB7" w14:textId="77777777" w:rsidR="0033357D" w:rsidRPr="009E15D6" w:rsidRDefault="0033357D"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6935041" w14:textId="5FA49046" w:rsidR="0033357D" w:rsidRPr="002C2ADF" w:rsidRDefault="0033357D" w:rsidP="00304C4A">
    <w:pPr>
      <w:pStyle w:val="Footer"/>
      <w:ind w:right="707"/>
      <w:rPr>
        <w:b/>
      </w:rPr>
    </w:pPr>
    <w:r>
      <w:t xml:space="preserve">Essential Services Commission </w:t>
    </w:r>
    <w:sdt>
      <w:sdtPr>
        <w:rPr>
          <w:b/>
        </w:rPr>
        <w:alias w:val="Title"/>
        <w:tag w:val=""/>
        <w:id w:val="-1323728449"/>
        <w:placeholder>
          <w:docPart w:val="15EB10DE0DC647B08B462B91DFB4D415"/>
        </w:placeholder>
        <w:dataBinding w:prefixMappings="xmlns:ns0='http://purl.org/dc/elements/1.1/' xmlns:ns1='http://schemas.openxmlformats.org/package/2006/metadata/core-properties' " w:xpath="/ns1:coreProperties[1]/ns0:title[1]" w:storeItemID="{6C3C8BC8-F283-45AE-878A-BAB7291924A1}"/>
        <w:text/>
      </w:sdtPr>
      <w:sdtEndPr/>
      <w:sdtContent>
        <w:r w:rsidR="000968B4">
          <w:rPr>
            <w:b/>
          </w:rPr>
          <w:t>Draft New Customer Contributions Framework</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9B58" w14:textId="77777777" w:rsidR="005C5338" w:rsidRPr="00CF33F6" w:rsidRDefault="005C5338" w:rsidP="00AE03FA">
      <w:pPr>
        <w:spacing w:after="0"/>
        <w:rPr>
          <w:color w:val="75787B" w:themeColor="background2"/>
        </w:rPr>
      </w:pPr>
      <w:bookmarkStart w:id="0" w:name="_Hlk480978878"/>
      <w:bookmarkEnd w:id="0"/>
      <w:r w:rsidRPr="00CF33F6">
        <w:rPr>
          <w:color w:val="75787B" w:themeColor="background2"/>
        </w:rPr>
        <w:separator/>
      </w:r>
    </w:p>
  </w:footnote>
  <w:footnote w:type="continuationSeparator" w:id="0">
    <w:p w14:paraId="473F6000" w14:textId="77777777" w:rsidR="005C5338" w:rsidRDefault="005C5338" w:rsidP="00AE03FA">
      <w:pPr>
        <w:spacing w:after="0"/>
      </w:pPr>
      <w:r>
        <w:continuationSeparator/>
      </w:r>
    </w:p>
    <w:p w14:paraId="6552ABD3" w14:textId="77777777" w:rsidR="005C5338" w:rsidRDefault="005C5338"/>
  </w:footnote>
  <w:footnote w:id="1">
    <w:p w14:paraId="689C55AB" w14:textId="78B5FAC4" w:rsidR="00744AE3" w:rsidRDefault="00744AE3" w:rsidP="0002558E">
      <w:pPr>
        <w:pStyle w:val="FootnoteText"/>
        <w:ind w:left="284" w:hanging="284"/>
      </w:pPr>
      <w:r>
        <w:rPr>
          <w:rStyle w:val="FootnoteReference"/>
        </w:rPr>
        <w:footnoteRef/>
      </w:r>
      <w:r>
        <w:t xml:space="preserve"> </w:t>
      </w:r>
      <w:r w:rsidR="0002558E">
        <w:tab/>
      </w:r>
      <w:r w:rsidR="00E944AE">
        <w:t xml:space="preserve">Some of the issues raised related to </w:t>
      </w:r>
      <w:r w:rsidR="009E6B45" w:rsidRPr="00563187">
        <w:t>unjustified cost attributions</w:t>
      </w:r>
      <w:r w:rsidR="009E6B45">
        <w:t xml:space="preserve">, a </w:t>
      </w:r>
      <w:r w:rsidR="009E6B45" w:rsidRPr="00563187">
        <w:t>preference for standard NCC pricing</w:t>
      </w:r>
      <w:r w:rsidR="009E6B45">
        <w:t>, inadequate negotiating frameworks, poor engagement, inconsistent application of methodologies and uncertainty in the treatment of gifted/reticulation assets</w:t>
      </w:r>
      <w:r w:rsidR="0002558E">
        <w:t>.</w:t>
      </w:r>
    </w:p>
  </w:footnote>
  <w:footnote w:id="2">
    <w:p w14:paraId="6F1993A9" w14:textId="79A011E0" w:rsidR="00A405D1" w:rsidRDefault="00A405D1" w:rsidP="002F21E6">
      <w:pPr>
        <w:pStyle w:val="FootnoteText"/>
        <w:ind w:left="284" w:hanging="284"/>
      </w:pPr>
      <w:r>
        <w:rPr>
          <w:rStyle w:val="FootnoteReference"/>
        </w:rPr>
        <w:footnoteRef/>
      </w:r>
      <w:r>
        <w:t xml:space="preserve"> </w:t>
      </w:r>
      <w:r w:rsidR="002F21E6">
        <w:tab/>
      </w:r>
      <w:r w:rsidR="004E2E7C">
        <w:t xml:space="preserve">Essential Services Commission, </w:t>
      </w:r>
      <w:hyperlink r:id="rId1" w:history="1">
        <w:r w:rsidR="002A6476" w:rsidRPr="00F8018E">
          <w:rPr>
            <w:rStyle w:val="Hyperlink"/>
          </w:rPr>
          <w:t xml:space="preserve">Submissions </w:t>
        </w:r>
        <w:r w:rsidR="00F8018E" w:rsidRPr="00F8018E">
          <w:rPr>
            <w:rStyle w:val="Hyperlink"/>
          </w:rPr>
          <w:t>P</w:t>
        </w:r>
        <w:r w:rsidR="002A6476" w:rsidRPr="00F8018E">
          <w:rPr>
            <w:rStyle w:val="Hyperlink"/>
          </w:rPr>
          <w:t>olicy</w:t>
        </w:r>
      </w:hyperlink>
      <w:r w:rsidR="002A6476">
        <w:t xml:space="preserve">, </w:t>
      </w:r>
      <w:r w:rsidR="00F8018E">
        <w:t>1 Sep. 2020.</w:t>
      </w:r>
    </w:p>
  </w:footnote>
  <w:footnote w:id="3">
    <w:p w14:paraId="0A579A1F" w14:textId="186D661C" w:rsidR="00B23B33" w:rsidRDefault="00B23B33" w:rsidP="00B23B33">
      <w:pPr>
        <w:pStyle w:val="FootnoteText"/>
        <w:ind w:left="284" w:hanging="284"/>
      </w:pPr>
      <w:r>
        <w:rPr>
          <w:rStyle w:val="FootnoteReference"/>
        </w:rPr>
        <w:footnoteRef/>
      </w:r>
      <w:r>
        <w:t xml:space="preserve"> </w:t>
      </w:r>
      <w:r>
        <w:tab/>
      </w:r>
      <w:r w:rsidR="002F7DDC">
        <w:t xml:space="preserve">See </w:t>
      </w:r>
      <w:r w:rsidRPr="002F7DDC">
        <w:rPr>
          <w:i/>
        </w:rPr>
        <w:t>Water Act</w:t>
      </w:r>
      <w:r w:rsidR="002F7DDC" w:rsidRPr="002F7DDC">
        <w:rPr>
          <w:i/>
          <w:iCs/>
        </w:rPr>
        <w:t xml:space="preserve"> 1989</w:t>
      </w:r>
      <w:r w:rsidRPr="00B23B33">
        <w:t>, s.</w:t>
      </w:r>
      <w:r w:rsidR="008D0E04">
        <w:t xml:space="preserve"> </w:t>
      </w:r>
      <w:r w:rsidRPr="00B23B33">
        <w:t>268(2).</w:t>
      </w:r>
    </w:p>
  </w:footnote>
  <w:footnote w:id="4">
    <w:p w14:paraId="3821D492" w14:textId="77777777" w:rsidR="001723E8" w:rsidRDefault="001723E8" w:rsidP="001723E8">
      <w:pPr>
        <w:pStyle w:val="FootnoteText"/>
        <w:ind w:left="284" w:hanging="284"/>
      </w:pPr>
      <w:r>
        <w:rPr>
          <w:rStyle w:val="FootnoteReference"/>
        </w:rPr>
        <w:footnoteRef/>
      </w:r>
      <w:r>
        <w:t xml:space="preserve"> </w:t>
      </w:r>
      <w:r>
        <w:tab/>
        <w:t xml:space="preserve">See </w:t>
      </w:r>
      <w:r w:rsidRPr="00E26057">
        <w:rPr>
          <w:i/>
        </w:rPr>
        <w:t>Water Act 1989</w:t>
      </w:r>
      <w:r>
        <w:t>,</w:t>
      </w:r>
      <w:r w:rsidRPr="00B23B33">
        <w:t xml:space="preserve"> s.</w:t>
      </w:r>
      <w:r>
        <w:t xml:space="preserve"> </w:t>
      </w:r>
      <w:r w:rsidRPr="00B23B33">
        <w:t>268(3).</w:t>
      </w:r>
    </w:p>
  </w:footnote>
  <w:footnote w:id="5">
    <w:p w14:paraId="5AE7A80B" w14:textId="2A59AF7D" w:rsidR="00B23B33" w:rsidRDefault="00B23B33" w:rsidP="00B23B33">
      <w:pPr>
        <w:pStyle w:val="FootnoteText"/>
        <w:ind w:left="284" w:hanging="284"/>
      </w:pPr>
      <w:r>
        <w:rPr>
          <w:rStyle w:val="FootnoteReference"/>
        </w:rPr>
        <w:footnoteRef/>
      </w:r>
      <w:r>
        <w:t xml:space="preserve"> </w:t>
      </w:r>
      <w:r>
        <w:tab/>
      </w:r>
      <w:r w:rsidRPr="00B23B33">
        <w:t>W</w:t>
      </w:r>
      <w:r w:rsidR="000A7866">
        <w:t xml:space="preserve">ater </w:t>
      </w:r>
      <w:r w:rsidRPr="00B23B33">
        <w:t>I</w:t>
      </w:r>
      <w:r w:rsidR="000A7866">
        <w:t xml:space="preserve">ndustry </w:t>
      </w:r>
      <w:r w:rsidRPr="00B23B33">
        <w:t>R</w:t>
      </w:r>
      <w:r w:rsidR="000A7866">
        <w:t xml:space="preserve">egulatory </w:t>
      </w:r>
      <w:r w:rsidRPr="00B23B33">
        <w:t>O</w:t>
      </w:r>
      <w:r w:rsidR="000A7866">
        <w:t>rder (</w:t>
      </w:r>
      <w:r w:rsidRPr="00B23B33">
        <w:t>WIRO</w:t>
      </w:r>
      <w:r w:rsidR="000A7866">
        <w:t>)</w:t>
      </w:r>
      <w:r w:rsidRPr="00B23B33">
        <w:t>, cl</w:t>
      </w:r>
      <w:r w:rsidR="007D2CB8">
        <w:t>.</w:t>
      </w:r>
      <w:r w:rsidRPr="00B23B33">
        <w:t xml:space="preserve"> 7(b) identifies services to which developer charges apply: defined as '(a) contributions to the costs of works imposed under Division 6 of Part 13 of the </w:t>
      </w:r>
      <w:r w:rsidRPr="00F764A5">
        <w:t>Water Act 1989</w:t>
      </w:r>
      <w:r w:rsidRPr="00B23B33">
        <w:t>; or (b) contributions to the cost of works imposed under section 196 and 197 of the</w:t>
      </w:r>
      <w:r w:rsidRPr="00F764A5">
        <w:rPr>
          <w:i/>
        </w:rPr>
        <w:t xml:space="preserve"> </w:t>
      </w:r>
      <w:r w:rsidRPr="00D053EE">
        <w:rPr>
          <w:i/>
        </w:rPr>
        <w:t>Water Act 1989</w:t>
      </w:r>
      <w:r w:rsidRPr="00B23B33">
        <w:t>.</w:t>
      </w:r>
      <w:r w:rsidR="004E1F08">
        <w:t>’</w:t>
      </w:r>
    </w:p>
  </w:footnote>
  <w:footnote w:id="6">
    <w:p w14:paraId="09938D36" w14:textId="3D466093" w:rsidR="00921769" w:rsidRDefault="00921769" w:rsidP="00B4668E">
      <w:pPr>
        <w:pStyle w:val="FootnoteText"/>
        <w:ind w:left="284" w:hanging="284"/>
      </w:pPr>
      <w:r>
        <w:rPr>
          <w:rStyle w:val="FootnoteReference"/>
        </w:rPr>
        <w:footnoteRef/>
      </w:r>
      <w:r>
        <w:t xml:space="preserve"> </w:t>
      </w:r>
      <w:r>
        <w:tab/>
      </w:r>
      <w:r w:rsidRPr="00921769">
        <w:t>WIRO, cl</w:t>
      </w:r>
      <w:r w:rsidR="00F939B0">
        <w:t>.</w:t>
      </w:r>
      <w:r w:rsidRPr="00921769">
        <w:t xml:space="preserve"> 8.</w:t>
      </w:r>
    </w:p>
  </w:footnote>
  <w:footnote w:id="7">
    <w:p w14:paraId="7C3C1F17" w14:textId="4D1E9069" w:rsidR="001A6498" w:rsidRDefault="001A6498" w:rsidP="001A6498">
      <w:pPr>
        <w:pStyle w:val="FootnoteText"/>
        <w:ind w:left="284" w:hanging="284"/>
      </w:pPr>
      <w:r>
        <w:rPr>
          <w:rStyle w:val="FootnoteReference"/>
        </w:rPr>
        <w:footnoteRef/>
      </w:r>
      <w:r>
        <w:t xml:space="preserve"> </w:t>
      </w:r>
      <w:r>
        <w:tab/>
      </w:r>
      <w:r w:rsidRPr="001A6498">
        <w:t>WIRO, cl</w:t>
      </w:r>
      <w:r w:rsidR="00F939B0">
        <w:t>.</w:t>
      </w:r>
      <w:r w:rsidRPr="001A6498">
        <w:t xml:space="preserve"> 11.</w:t>
      </w:r>
    </w:p>
  </w:footnote>
  <w:footnote w:id="8">
    <w:p w14:paraId="73125997" w14:textId="12E79FA2" w:rsidR="005E168F" w:rsidRDefault="005E168F" w:rsidP="005E168F">
      <w:pPr>
        <w:pStyle w:val="FootnoteText"/>
        <w:ind w:left="284" w:hanging="284"/>
      </w:pPr>
      <w:r>
        <w:rPr>
          <w:rStyle w:val="FootnoteReference"/>
        </w:rPr>
        <w:footnoteRef/>
      </w:r>
      <w:r>
        <w:t xml:space="preserve"> </w:t>
      </w:r>
      <w:r>
        <w:tab/>
      </w:r>
      <w:r w:rsidRPr="005E168F">
        <w:t>W</w:t>
      </w:r>
      <w:r w:rsidR="00EA6C66">
        <w:t>I</w:t>
      </w:r>
      <w:r w:rsidRPr="005E168F">
        <w:t>RO, cl</w:t>
      </w:r>
      <w:r w:rsidR="00F939B0">
        <w:t>.</w:t>
      </w:r>
      <w:r w:rsidRPr="005E168F">
        <w:t xml:space="preserve"> 13</w:t>
      </w:r>
      <w:r>
        <w:t>.</w:t>
      </w:r>
    </w:p>
  </w:footnote>
  <w:footnote w:id="9">
    <w:p w14:paraId="395F5B1A" w14:textId="725B34E4" w:rsidR="00527862" w:rsidRDefault="00527862" w:rsidP="00527862">
      <w:pPr>
        <w:pStyle w:val="FootnoteText"/>
        <w:ind w:left="284" w:hanging="284"/>
      </w:pPr>
      <w:r>
        <w:rPr>
          <w:rStyle w:val="FootnoteReference"/>
        </w:rPr>
        <w:footnoteRef/>
      </w:r>
      <w:r>
        <w:t xml:space="preserve"> </w:t>
      </w:r>
      <w:r>
        <w:tab/>
      </w:r>
      <w:r w:rsidR="00104FF3" w:rsidRPr="00104FF3">
        <w:t>WIRO cl</w:t>
      </w:r>
      <w:r w:rsidR="00F939B0">
        <w:t>.</w:t>
      </w:r>
      <w:r w:rsidR="00104FF3" w:rsidRPr="00104FF3">
        <w:t xml:space="preserve"> 14(b)(i)</w:t>
      </w:r>
      <w:r w:rsidR="00104FF3">
        <w:t>.</w:t>
      </w:r>
    </w:p>
  </w:footnote>
  <w:footnote w:id="10">
    <w:p w14:paraId="1C1324F0" w14:textId="77777777" w:rsidR="00FD5395" w:rsidRDefault="00FD5395" w:rsidP="00FD5395">
      <w:pPr>
        <w:pStyle w:val="FootnoteText"/>
        <w:ind w:left="284" w:hanging="284"/>
      </w:pPr>
      <w:r>
        <w:rPr>
          <w:rStyle w:val="FootnoteReference"/>
        </w:rPr>
        <w:footnoteRef/>
      </w:r>
      <w:r>
        <w:t xml:space="preserve"> </w:t>
      </w:r>
      <w:r>
        <w:tab/>
        <w:t>WIRO</w:t>
      </w:r>
      <w:r w:rsidRPr="00B23B33">
        <w:t>, cl</w:t>
      </w:r>
      <w:r>
        <w:t>.</w:t>
      </w:r>
      <w:r w:rsidRPr="00B23B33">
        <w:t xml:space="preserve"> 13.</w:t>
      </w:r>
    </w:p>
  </w:footnote>
  <w:footnote w:id="11">
    <w:p w14:paraId="2DDA9761" w14:textId="15553E59" w:rsidR="00E3554B" w:rsidRDefault="00E3554B" w:rsidP="00E3554B">
      <w:pPr>
        <w:pStyle w:val="FootnoteText"/>
        <w:ind w:left="284" w:hanging="284"/>
      </w:pPr>
      <w:r>
        <w:rPr>
          <w:rStyle w:val="FootnoteReference"/>
        </w:rPr>
        <w:footnoteRef/>
      </w:r>
      <w:r>
        <w:t xml:space="preserve"> </w:t>
      </w:r>
      <w:r>
        <w:tab/>
      </w:r>
      <w:r w:rsidR="0096721A">
        <w:t>This may also apply</w:t>
      </w:r>
      <w:r w:rsidRPr="00B73B04">
        <w:t xml:space="preserve"> if a water business fails to submit a price submission within the time </w:t>
      </w:r>
      <w:r w:rsidR="00A5414A" w:rsidRPr="00B73B04">
        <w:t>period</w:t>
      </w:r>
      <w:r w:rsidRPr="00B73B04">
        <w:t xml:space="preserve"> specified by the commission</w:t>
      </w:r>
      <w:r>
        <w:t>.</w:t>
      </w:r>
    </w:p>
  </w:footnote>
  <w:footnote w:id="12">
    <w:p w14:paraId="2EE5E6BB" w14:textId="70002A45" w:rsidR="00E6715A" w:rsidRDefault="00E6715A" w:rsidP="00E531C9">
      <w:pPr>
        <w:pStyle w:val="FootnoteText"/>
        <w:ind w:left="284" w:hanging="284"/>
      </w:pPr>
      <w:r>
        <w:rPr>
          <w:rStyle w:val="FootnoteReference"/>
        </w:rPr>
        <w:footnoteRef/>
      </w:r>
      <w:r>
        <w:t xml:space="preserve"> </w:t>
      </w:r>
      <w:r w:rsidR="00E531C9">
        <w:tab/>
      </w:r>
      <w:r w:rsidR="00FA32A0">
        <w:t>Statu</w:t>
      </w:r>
      <w:r w:rsidR="00D453A6">
        <w:t xml:space="preserve">tory cost categories </w:t>
      </w:r>
      <w:r w:rsidR="00D42E85">
        <w:t>mean</w:t>
      </w:r>
      <w:r w:rsidR="00D453A6">
        <w:t xml:space="preserve"> costs for works imposed under Division 6 of Part 13 of the </w:t>
      </w:r>
      <w:r w:rsidR="00D453A6" w:rsidRPr="00E34552">
        <w:rPr>
          <w:i/>
          <w:iCs/>
        </w:rPr>
        <w:t>Water Act 19</w:t>
      </w:r>
      <w:r w:rsidR="00E34552" w:rsidRPr="00E34552">
        <w:rPr>
          <w:i/>
          <w:iCs/>
        </w:rPr>
        <w:t xml:space="preserve">89. </w:t>
      </w:r>
    </w:p>
  </w:footnote>
  <w:footnote w:id="13">
    <w:p w14:paraId="36B49928" w14:textId="1BB5E045" w:rsidR="00890B45" w:rsidRDefault="00890B45" w:rsidP="00890B45">
      <w:pPr>
        <w:pStyle w:val="FootnoteText"/>
        <w:ind w:left="284" w:hanging="284"/>
      </w:pPr>
      <w:r>
        <w:rPr>
          <w:rStyle w:val="FootnoteReference"/>
        </w:rPr>
        <w:footnoteRef/>
      </w:r>
      <w:r>
        <w:t xml:space="preserve"> </w:t>
      </w:r>
      <w:r>
        <w:tab/>
      </w:r>
      <w:r w:rsidR="006D06D3">
        <w:t xml:space="preserve">See </w:t>
      </w:r>
      <w:r w:rsidRPr="006D06D3">
        <w:rPr>
          <w:i/>
        </w:rPr>
        <w:t xml:space="preserve">Water Act </w:t>
      </w:r>
      <w:r w:rsidR="006D06D3" w:rsidRPr="006D06D3">
        <w:rPr>
          <w:i/>
          <w:iCs/>
        </w:rPr>
        <w:t>1989</w:t>
      </w:r>
      <w:r w:rsidR="006D06D3">
        <w:t xml:space="preserve"> </w:t>
      </w:r>
      <w:r w:rsidRPr="00890B45">
        <w:t>s.268(2).</w:t>
      </w:r>
    </w:p>
  </w:footnote>
  <w:footnote w:id="14">
    <w:p w14:paraId="2262FF20" w14:textId="16DD1782" w:rsidR="00FC6911" w:rsidRDefault="00FC6911" w:rsidP="00FC6911">
      <w:pPr>
        <w:pStyle w:val="FootnoteText"/>
        <w:ind w:left="284" w:hanging="284"/>
      </w:pPr>
      <w:r>
        <w:rPr>
          <w:rStyle w:val="FootnoteReference"/>
        </w:rPr>
        <w:footnoteRef/>
      </w:r>
      <w:r>
        <w:t xml:space="preserve"> </w:t>
      </w:r>
      <w:r>
        <w:tab/>
      </w:r>
      <w:r w:rsidRPr="0081026A">
        <w:rPr>
          <w:i/>
        </w:rPr>
        <w:t>Water Act</w:t>
      </w:r>
      <w:r w:rsidRPr="0081026A">
        <w:rPr>
          <w:i/>
          <w:iCs/>
        </w:rPr>
        <w:t xml:space="preserve"> </w:t>
      </w:r>
      <w:r w:rsidR="007B6D33" w:rsidRPr="0081026A">
        <w:rPr>
          <w:i/>
          <w:iCs/>
        </w:rPr>
        <w:t>1989</w:t>
      </w:r>
      <w:r w:rsidRPr="0081026A">
        <w:rPr>
          <w:i/>
        </w:rPr>
        <w:t xml:space="preserve"> </w:t>
      </w:r>
      <w:r w:rsidRPr="00FC6911">
        <w:t>s268(4)(c) requires that a notice imposing an NCC ‘must specify any works or services that have been or will be provided’ among other things.</w:t>
      </w:r>
    </w:p>
  </w:footnote>
  <w:footnote w:id="15">
    <w:p w14:paraId="36899DFC" w14:textId="51443A59" w:rsidR="004F067E" w:rsidRDefault="004F067E" w:rsidP="004F067E">
      <w:pPr>
        <w:pStyle w:val="FootnoteText"/>
        <w:ind w:left="284" w:hanging="284"/>
      </w:pPr>
      <w:r>
        <w:rPr>
          <w:rStyle w:val="FootnoteReference"/>
        </w:rPr>
        <w:footnoteRef/>
      </w:r>
      <w:r>
        <w:t xml:space="preserve"> </w:t>
      </w:r>
      <w:r>
        <w:tab/>
      </w:r>
      <w:r w:rsidRPr="002525E6">
        <w:t>Other than costs associated with connecting them into the existing system and any required capacity expansion upstream or downstream of the connection point. Such costs would be included in a water business</w:t>
      </w:r>
      <w:r w:rsidR="003D083F">
        <w:t>’</w:t>
      </w:r>
      <w:r w:rsidRPr="002525E6">
        <w:t>s incremental costs.</w:t>
      </w:r>
    </w:p>
  </w:footnote>
  <w:footnote w:id="16">
    <w:p w14:paraId="719455D9" w14:textId="1DAED32A" w:rsidR="00DA4E93" w:rsidRDefault="00DA4E93" w:rsidP="00DA4E93">
      <w:pPr>
        <w:pStyle w:val="FootnoteText"/>
        <w:ind w:left="284" w:hanging="284"/>
      </w:pPr>
      <w:r>
        <w:rPr>
          <w:rStyle w:val="FootnoteReference"/>
        </w:rPr>
        <w:footnoteRef/>
      </w:r>
      <w:r>
        <w:t xml:space="preserve"> </w:t>
      </w:r>
      <w:r>
        <w:tab/>
      </w:r>
      <w:r w:rsidRPr="00DA4E93">
        <w:t>While our pricing model uses a post-tax return to set service prices as those prices are inclusive of allowances for tax costs, a pre-tax return is used here to calculate incremental financing costs before accounting for any tax payable on the NCC revenues.</w:t>
      </w:r>
    </w:p>
  </w:footnote>
  <w:footnote w:id="17">
    <w:p w14:paraId="6471B3E8" w14:textId="3CFBDED6" w:rsidR="00582B58" w:rsidRDefault="00582B58" w:rsidP="00423E20">
      <w:pPr>
        <w:pStyle w:val="FootnoteText"/>
        <w:ind w:left="284" w:hanging="284"/>
      </w:pPr>
      <w:r>
        <w:rPr>
          <w:rStyle w:val="FootnoteReference"/>
        </w:rPr>
        <w:footnoteRef/>
      </w:r>
      <w:r>
        <w:t xml:space="preserve"> </w:t>
      </w:r>
      <w:r w:rsidR="00423E20">
        <w:tab/>
      </w:r>
      <w:r>
        <w:t xml:space="preserve">The Precinct Structure Plan is a long-term plan for urban development. It describes how the land is expected to be developed. </w:t>
      </w:r>
    </w:p>
  </w:footnote>
  <w:footnote w:id="18">
    <w:p w14:paraId="00382FDE" w14:textId="432CEAB9" w:rsidR="0075634F" w:rsidRDefault="0075634F" w:rsidP="0075634F">
      <w:pPr>
        <w:pStyle w:val="FootnoteText"/>
        <w:ind w:left="284" w:hanging="284"/>
      </w:pPr>
      <w:r>
        <w:rPr>
          <w:rStyle w:val="FootnoteReference"/>
        </w:rPr>
        <w:footnoteRef/>
      </w:r>
      <w:r>
        <w:t xml:space="preserve"> </w:t>
      </w:r>
      <w:r>
        <w:tab/>
      </w:r>
      <w:r w:rsidRPr="0075634F">
        <w:t>For example, Australia’s national electricity distribution connections regime provides guidance that this period be 30 years for a residential connection and 15 years for a business connection, although it affords businesses the ability to depart from this for business customers with reasons.</w:t>
      </w:r>
    </w:p>
  </w:footnote>
  <w:footnote w:id="19">
    <w:p w14:paraId="628CCCD9" w14:textId="4428F5A5" w:rsidR="006046E6" w:rsidRDefault="006046E6" w:rsidP="006046E6">
      <w:pPr>
        <w:pStyle w:val="FootnoteText"/>
        <w:ind w:left="284" w:hanging="284"/>
      </w:pPr>
      <w:r>
        <w:rPr>
          <w:rStyle w:val="FootnoteReference"/>
        </w:rPr>
        <w:footnoteRef/>
      </w:r>
      <w:r>
        <w:t xml:space="preserve"> </w:t>
      </w:r>
      <w:r>
        <w:tab/>
      </w:r>
      <w:r w:rsidRPr="006046E6">
        <w:t xml:space="preserve">Essential Services Commission, </w:t>
      </w:r>
      <w:r w:rsidRPr="006046E6">
        <w:rPr>
          <w:i/>
          <w:iCs/>
        </w:rPr>
        <w:t>2023 water price review: Guidance paper</w:t>
      </w:r>
      <w:r w:rsidRPr="00304C4A">
        <w:rPr>
          <w:i/>
        </w:rPr>
        <w:t>,</w:t>
      </w:r>
      <w:r w:rsidRPr="006046E6">
        <w:t xml:space="preserve"> 26 Oct 2021, p.62</w:t>
      </w:r>
      <w:r>
        <w:t>.</w:t>
      </w:r>
    </w:p>
  </w:footnote>
  <w:footnote w:id="20">
    <w:p w14:paraId="30EFB245" w14:textId="45B061EC" w:rsidR="0036750E" w:rsidRDefault="0036750E" w:rsidP="007E4448">
      <w:pPr>
        <w:pStyle w:val="FootnoteText"/>
        <w:ind w:left="284" w:hanging="284"/>
      </w:pPr>
      <w:r>
        <w:rPr>
          <w:rStyle w:val="FootnoteReference"/>
        </w:rPr>
        <w:footnoteRef/>
      </w:r>
      <w:r>
        <w:t xml:space="preserve"> </w:t>
      </w:r>
      <w:r w:rsidR="007E4448">
        <w:tab/>
      </w:r>
      <w:r w:rsidRPr="0036750E">
        <w:t xml:space="preserve">Sections 268, 269 and 270 of the </w:t>
      </w:r>
      <w:r w:rsidRPr="007F4694">
        <w:rPr>
          <w:i/>
        </w:rPr>
        <w:t xml:space="preserve">Water Act </w:t>
      </w:r>
      <w:r w:rsidR="00283DAB" w:rsidRPr="007F4694">
        <w:rPr>
          <w:i/>
          <w:iCs/>
        </w:rPr>
        <w:t>1989</w:t>
      </w:r>
      <w:r w:rsidR="00283DAB">
        <w:t xml:space="preserve"> </w:t>
      </w:r>
      <w:r w:rsidRPr="0036750E">
        <w:t>require water businesses to ensure charges are fair and reasonable. Section 145 of the Water Act states that a connection applicant must apply for consent from a water business to connect to their service, and that the water business may consent, refuse to consent, or consent subject to any terms and conditions it thinks fit.</w:t>
      </w:r>
    </w:p>
  </w:footnote>
  <w:footnote w:id="21">
    <w:p w14:paraId="73BF42B9" w14:textId="2CDC0E54" w:rsidR="003A3146" w:rsidRDefault="003A3146" w:rsidP="003A3146">
      <w:pPr>
        <w:pStyle w:val="FootnoteText"/>
        <w:ind w:left="284" w:hanging="284"/>
      </w:pPr>
      <w:r>
        <w:rPr>
          <w:rStyle w:val="FootnoteReference"/>
        </w:rPr>
        <w:footnoteRef/>
      </w:r>
      <w:r>
        <w:t xml:space="preserve"> </w:t>
      </w:r>
      <w:r>
        <w:tab/>
      </w:r>
      <w:r w:rsidR="005136A7">
        <w:t xml:space="preserve">The </w:t>
      </w:r>
      <w:r w:rsidRPr="000D3A3E">
        <w:rPr>
          <w:i/>
        </w:rPr>
        <w:t>Water Act</w:t>
      </w:r>
      <w:r w:rsidRPr="000D3A3E">
        <w:rPr>
          <w:i/>
          <w:iCs/>
        </w:rPr>
        <w:t xml:space="preserve"> </w:t>
      </w:r>
      <w:r w:rsidR="005136A7" w:rsidRPr="000D3A3E">
        <w:rPr>
          <w:i/>
          <w:iCs/>
        </w:rPr>
        <w:t>1989</w:t>
      </w:r>
      <w:r w:rsidRPr="003A3146">
        <w:t xml:space="preserve"> s2.6.8(4)(c) requires that a notice imposing an NCC ‘must specify any works or services that have been or will be provided’ among other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D566" w14:textId="0D834D9D" w:rsidR="00314712" w:rsidRDefault="00314712">
    <w:pPr>
      <w:pStyle w:val="Header"/>
    </w:pPr>
    <w:r>
      <w:rPr>
        <w:noProof/>
      </w:rPr>
      <mc:AlternateContent>
        <mc:Choice Requires="wps">
          <w:drawing>
            <wp:anchor distT="0" distB="0" distL="0" distR="0" simplePos="0" relativeHeight="251658253" behindDoc="0" locked="0" layoutInCell="1" allowOverlap="1" wp14:anchorId="0C8A149D" wp14:editId="284588A1">
              <wp:simplePos x="635" y="635"/>
              <wp:positionH relativeFrom="page">
                <wp:align>center</wp:align>
              </wp:positionH>
              <wp:positionV relativeFrom="page">
                <wp:align>top</wp:align>
              </wp:positionV>
              <wp:extent cx="551815" cy="552450"/>
              <wp:effectExtent l="0" t="0" r="635" b="0"/>
              <wp:wrapNone/>
              <wp:docPr id="7156089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0BD5730B"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8A149D"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0BD5730B"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7AA3" w14:textId="2A9E4354"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51" behindDoc="0" locked="1" layoutInCell="1" allowOverlap="1" wp14:anchorId="11965789" wp14:editId="4BC219C7">
              <wp:simplePos x="0" y="0"/>
              <wp:positionH relativeFrom="page">
                <wp:align>right</wp:align>
              </wp:positionH>
              <wp:positionV relativeFrom="page">
                <wp:align>bottom</wp:align>
              </wp:positionV>
              <wp:extent cx="7282800" cy="6199200"/>
              <wp:effectExtent l="0" t="0" r="0" b="0"/>
              <wp:wrapNone/>
              <wp:docPr id="1978578096" name="Group 1978578096"/>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808900245" name="Group 4"/>
                      <wpg:cNvGrpSpPr/>
                      <wpg:grpSpPr bwMode="auto">
                        <a:xfrm>
                          <a:off x="0" y="0"/>
                          <a:ext cx="7121457" cy="6026668"/>
                          <a:chOff x="0" y="0"/>
                          <a:chExt cx="4278" cy="3620"/>
                        </a:xfrm>
                      </wpg:grpSpPr>
                      <wps:wsp>
                        <wps:cNvPr id="198433556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398691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7498652"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657213952"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14B742C" id="Group 1978578096" o:spid="_x0000_s1026" style="position:absolute;margin-left:522.25pt;margin-top:0;width:573.45pt;height:488.15pt;z-index:251658252;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50" behindDoc="1" locked="1" layoutInCell="1" allowOverlap="1" wp14:anchorId="1C9190A7" wp14:editId="176727E5">
          <wp:simplePos x="0" y="0"/>
          <wp:positionH relativeFrom="page">
            <wp:posOffset>720090</wp:posOffset>
          </wp:positionH>
          <wp:positionV relativeFrom="page">
            <wp:posOffset>720090</wp:posOffset>
          </wp:positionV>
          <wp:extent cx="2656800" cy="828000"/>
          <wp:effectExtent l="0" t="0" r="0" b="0"/>
          <wp:wrapTopAndBottom/>
          <wp:docPr id="859971439" name="Picture 85997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D5EE" w14:textId="02E7BADE" w:rsidR="003A30F3" w:rsidRDefault="00314712"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52" behindDoc="0" locked="0" layoutInCell="1" allowOverlap="1" wp14:anchorId="6B722BC5" wp14:editId="16060B85">
              <wp:simplePos x="635" y="635"/>
              <wp:positionH relativeFrom="page">
                <wp:align>center</wp:align>
              </wp:positionH>
              <wp:positionV relativeFrom="page">
                <wp:align>top</wp:align>
              </wp:positionV>
              <wp:extent cx="551815" cy="552450"/>
              <wp:effectExtent l="0" t="0" r="635" b="0"/>
              <wp:wrapNone/>
              <wp:docPr id="19177953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B6D2527"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22BC5" id="_x0000_t202" coordsize="21600,21600" o:spt="202" path="m,l,21600r21600,l21600,xe">
              <v:stroke joinstyle="miter"/>
              <v:path gradientshapeok="t" o:connecttype="rect"/>
            </v:shapetype>
            <v:shape id="Text Box 1" o:spid="_x0000_s1027" type="#_x0000_t202" alt="OFFICIAL" style="position:absolute;margin-left:0;margin-top:0;width:43.45pt;height:43.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5B6D2527"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9" behindDoc="0" locked="1" layoutInCell="1" allowOverlap="1" wp14:anchorId="00F4B6FA" wp14:editId="471C3723">
              <wp:simplePos x="0" y="0"/>
              <wp:positionH relativeFrom="page">
                <wp:align>right</wp:align>
              </wp:positionH>
              <wp:positionV relativeFrom="page">
                <wp:align>bottom</wp:align>
              </wp:positionV>
              <wp:extent cx="7282800" cy="6199200"/>
              <wp:effectExtent l="0" t="0" r="0" b="0"/>
              <wp:wrapNone/>
              <wp:docPr id="549377115" name="Group 549377115"/>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735095625" name="Group 4"/>
                      <wpg:cNvGrpSpPr/>
                      <wpg:grpSpPr bwMode="auto">
                        <a:xfrm>
                          <a:off x="0" y="0"/>
                          <a:ext cx="7121457" cy="6026668"/>
                          <a:chOff x="0" y="0"/>
                          <a:chExt cx="4278" cy="3620"/>
                        </a:xfrm>
                      </wpg:grpSpPr>
                      <wps:wsp>
                        <wps:cNvPr id="758186988"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05628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4600569"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26568080"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A990F34" id="Group 29" o:spid="_x0000_s1026" style="position:absolute;margin-left:522.25pt;margin-top:0;width:573.45pt;height:488.15pt;z-index:251660288;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8" behindDoc="1" locked="1" layoutInCell="1" allowOverlap="1" wp14:anchorId="207C1AE6" wp14:editId="5420BF0C">
          <wp:simplePos x="0" y="0"/>
          <wp:positionH relativeFrom="page">
            <wp:posOffset>720090</wp:posOffset>
          </wp:positionH>
          <wp:positionV relativeFrom="page">
            <wp:posOffset>720090</wp:posOffset>
          </wp:positionV>
          <wp:extent cx="2656800" cy="828000"/>
          <wp:effectExtent l="0" t="0" r="0" b="0"/>
          <wp:wrapTopAndBottom/>
          <wp:docPr id="921312205" name="Picture 92131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27F" w14:textId="674D44B2" w:rsidR="00822CA9" w:rsidRDefault="00822CA9">
    <w:pPr>
      <w:pStyle w:val="Header"/>
    </w:pPr>
    <w:r>
      <w:rPr>
        <w:noProof/>
      </w:rPr>
      <mc:AlternateContent>
        <mc:Choice Requires="wps">
          <w:drawing>
            <wp:anchor distT="0" distB="0" distL="0" distR="0" simplePos="0" relativeHeight="251658245" behindDoc="0" locked="0" layoutInCell="1" allowOverlap="1" wp14:anchorId="1A5150FC" wp14:editId="6EA74D7E">
              <wp:simplePos x="635" y="635"/>
              <wp:positionH relativeFrom="page">
                <wp:align>center</wp:align>
              </wp:positionH>
              <wp:positionV relativeFrom="page">
                <wp:align>top</wp:align>
              </wp:positionV>
              <wp:extent cx="551815" cy="552450"/>
              <wp:effectExtent l="0" t="0" r="635" b="0"/>
              <wp:wrapNone/>
              <wp:docPr id="20682784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713924F2" w14:textId="384B5BB7"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150FC" id="_x0000_t202" coordsize="21600,21600" o:spt="202" path="m,l,21600r21600,l21600,xe">
              <v:stroke joinstyle="miter"/>
              <v:path gradientshapeok="t" o:connecttype="rect"/>
            </v:shapetype>
            <v:shape id="Text Box 3" o:spid="_x0000_s1028"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713924F2" w14:textId="384B5BB7"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8721" w14:textId="08B50255" w:rsidR="003A30F3" w:rsidRPr="00633068" w:rsidRDefault="00822CA9" w:rsidP="00633068">
    <w:pPr>
      <w:pStyle w:val="Header"/>
      <w:tabs>
        <w:tab w:val="clear" w:pos="4680"/>
        <w:tab w:val="clear" w:pos="9360"/>
        <w:tab w:val="left" w:pos="2236"/>
      </w:tabs>
    </w:pPr>
    <w:r>
      <w:rPr>
        <w:noProof/>
        <w:lang w:eastAsia="en-AU"/>
      </w:rPr>
      <mc:AlternateContent>
        <mc:Choice Requires="wps">
          <w:drawing>
            <wp:anchor distT="0" distB="0" distL="0" distR="0" simplePos="0" relativeHeight="251658246" behindDoc="0" locked="0" layoutInCell="1" allowOverlap="1" wp14:anchorId="23271B99" wp14:editId="040D6453">
              <wp:simplePos x="635" y="635"/>
              <wp:positionH relativeFrom="page">
                <wp:align>center</wp:align>
              </wp:positionH>
              <wp:positionV relativeFrom="page">
                <wp:align>top</wp:align>
              </wp:positionV>
              <wp:extent cx="551815" cy="552450"/>
              <wp:effectExtent l="0" t="0" r="635" b="0"/>
              <wp:wrapNone/>
              <wp:docPr id="11153058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4F6F6F" w14:textId="7C72C44C"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71B99" id="_x0000_t202" coordsize="21600,21600" o:spt="202" path="m,l,21600r21600,l21600,xe">
              <v:stroke joinstyle="miter"/>
              <v:path gradientshapeok="t" o:connecttype="rect"/>
            </v:shapetype>
            <v:shape id="Text Box 4" o:spid="_x0000_s1029" type="#_x0000_t202" alt="OFFICIAL"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textbox style="mso-fit-shape-to-text:t" inset="0,15pt,0,0">
                <w:txbxContent>
                  <w:p w14:paraId="424F6F6F" w14:textId="7C72C44C"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3" behindDoc="0" locked="1" layoutInCell="1" allowOverlap="1" wp14:anchorId="656EA788" wp14:editId="611DF036">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DABFE9D"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2" behindDoc="1" locked="1" layoutInCell="1" allowOverlap="1" wp14:anchorId="54951F5B" wp14:editId="77E0DACB">
          <wp:simplePos x="0" y="0"/>
          <wp:positionH relativeFrom="page">
            <wp:posOffset>720090</wp:posOffset>
          </wp:positionH>
          <wp:positionV relativeFrom="page">
            <wp:posOffset>720090</wp:posOffset>
          </wp:positionV>
          <wp:extent cx="2656800" cy="828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423" w14:textId="2669FF82" w:rsidR="003A30F3" w:rsidRDefault="00822CA9"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4B7BE0D6" wp14:editId="4DC8E767">
              <wp:simplePos x="635" y="635"/>
              <wp:positionH relativeFrom="page">
                <wp:align>center</wp:align>
              </wp:positionH>
              <wp:positionV relativeFrom="page">
                <wp:align>top</wp:align>
              </wp:positionV>
              <wp:extent cx="551815" cy="552450"/>
              <wp:effectExtent l="0" t="0" r="635" b="0"/>
              <wp:wrapNone/>
              <wp:docPr id="6306853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D003D12" w14:textId="3D33DF31"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BE0D6" id="_x0000_t202" coordsize="21600,21600" o:spt="202" path="m,l,21600r21600,l21600,xe">
              <v:stroke joinstyle="miter"/>
              <v:path gradientshapeok="t" o:connecttype="rect"/>
            </v:shapetype>
            <v:shape id="_x0000_s1030"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6D003D12" w14:textId="3D33DF31"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08369DCD" wp14:editId="32508549">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EC95D7A"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561603C1" wp14:editId="259AF2D5">
          <wp:simplePos x="0" y="0"/>
          <wp:positionH relativeFrom="page">
            <wp:posOffset>720090</wp:posOffset>
          </wp:positionH>
          <wp:positionV relativeFrom="page">
            <wp:posOffset>720090</wp:posOffset>
          </wp:positionV>
          <wp:extent cx="2656800" cy="82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43DF" w14:textId="5EEC1CD2" w:rsidR="003A30F3" w:rsidRPr="00633068" w:rsidRDefault="00314712" w:rsidP="00633068">
    <w:pPr>
      <w:pStyle w:val="Header"/>
      <w:tabs>
        <w:tab w:val="clear" w:pos="4680"/>
        <w:tab w:val="clear" w:pos="9360"/>
        <w:tab w:val="left" w:pos="2236"/>
      </w:tabs>
    </w:pPr>
    <w:r>
      <w:rPr>
        <w:noProof/>
      </w:rPr>
      <mc:AlternateContent>
        <mc:Choice Requires="wps">
          <w:drawing>
            <wp:anchor distT="0" distB="0" distL="0" distR="0" simplePos="0" relativeHeight="251658255" behindDoc="0" locked="0" layoutInCell="1" allowOverlap="1" wp14:anchorId="231A93A2" wp14:editId="4D9E848B">
              <wp:simplePos x="635" y="635"/>
              <wp:positionH relativeFrom="page">
                <wp:align>center</wp:align>
              </wp:positionH>
              <wp:positionV relativeFrom="page">
                <wp:align>top</wp:align>
              </wp:positionV>
              <wp:extent cx="551815" cy="552450"/>
              <wp:effectExtent l="0" t="0" r="635" b="0"/>
              <wp:wrapNone/>
              <wp:docPr id="1261112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D4C5F86"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A93A2" id="_x0000_t202" coordsize="21600,21600" o:spt="202" path="m,l,21600r21600,l21600,xe">
              <v:stroke joinstyle="miter"/>
              <v:path gradientshapeok="t" o:connecttype="rect"/>
            </v:shapetype>
            <v:shape id="_x0000_s1031" type="#_x0000_t202" alt="OFFICIAL" style="position:absolute;margin-left:0;margin-top:0;width:43.45pt;height:43.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fNDQ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Gmk/Tb6E50lIeTnwHJ9cdtX4QAZ+FJ4JpDxIt&#10;PtGhDQw1h7PFWQv+x9/8MZ9wpyhnAwmm5pYUzZn5ZomPqK1kFJ/zMqebn9zbybD7/g5IhgW9CCeT&#10;GfPQTKb20L+SnFexEYWEldSu5jiZd3hSLj0HqVarlEQycgIf7MbJWDrCFbF8GV+Fd2fAkZh6hElN&#10;onqD+yk3/hncao+EfiIlQnsC8ow4STBxdX4uUeO/3lPW9VEvfwI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V1H3zQ0CAAAcBAAA&#10;DgAAAAAAAAAAAAAAAAAuAgAAZHJzL2Uyb0RvYy54bWxQSwECLQAUAAYACAAAACEAXspiZdkAAAAD&#10;AQAADwAAAAAAAAAAAAAAAABnBAAAZHJzL2Rvd25yZXYueG1sUEsFBgAAAAAEAAQA8wAAAG0FAAAA&#10;AA==&#10;" filled="f" stroked="f">
              <v:textbox style="mso-fit-shape-to-text:t" inset="0,15pt,0,0">
                <w:txbxContent>
                  <w:p w14:paraId="5D4C5F86"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v:textbox>
              <w10:wrap anchorx="page" anchory="page"/>
            </v:shape>
          </w:pict>
        </mc:Fallback>
      </mc:AlternateContent>
    </w:r>
    <w:r w:rsidR="00822CA9">
      <w:rPr>
        <w:noProof/>
      </w:rPr>
      <mc:AlternateContent>
        <mc:Choice Requires="wps">
          <w:drawing>
            <wp:anchor distT="0" distB="0" distL="0" distR="0" simplePos="0" relativeHeight="251658247" behindDoc="0" locked="0" layoutInCell="1" allowOverlap="1" wp14:anchorId="777E449A" wp14:editId="465E5EB9">
              <wp:simplePos x="635" y="635"/>
              <wp:positionH relativeFrom="page">
                <wp:align>center</wp:align>
              </wp:positionH>
              <wp:positionV relativeFrom="page">
                <wp:align>top</wp:align>
              </wp:positionV>
              <wp:extent cx="551815" cy="552450"/>
              <wp:effectExtent l="0" t="0" r="635" b="0"/>
              <wp:wrapNone/>
              <wp:docPr id="165402926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3E40B63A" w14:textId="539BACA8"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77E449A" id="Text Box 5" o:spid="_x0000_s1032" type="#_x0000_t202" alt="OFFICIAL"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OCQIIsOAgAAHAQA&#10;AA4AAAAAAAAAAAAAAAAALgIAAGRycy9lMm9Eb2MueG1sUEsBAi0AFAAGAAgAAAAhAF7KYmXZAAAA&#10;AwEAAA8AAAAAAAAAAAAAAAAAaAQAAGRycy9kb3ducmV2LnhtbFBLBQYAAAAABAAEAPMAAABuBQAA&#10;AAA=&#10;" filled="f" stroked="f">
              <v:textbox style="mso-fit-shape-to-text:t" inset="0,15pt,0,0">
                <w:txbxContent>
                  <w:p w14:paraId="3E40B63A" w14:textId="539BACA8"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CB8D" w14:textId="17B4E54D" w:rsidR="003A30F3" w:rsidRPr="00633068" w:rsidRDefault="003A30F3" w:rsidP="00633068">
    <w:pPr>
      <w:pStyle w:val="Header"/>
      <w:tabs>
        <w:tab w:val="clear" w:pos="4680"/>
        <w:tab w:val="clear" w:pos="9360"/>
        <w:tab w:val="left" w:pos="223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96AC" w14:textId="0D1C7B6A" w:rsidR="008E7C00" w:rsidRDefault="00FB0EE3">
    <w:pPr>
      <w:pStyle w:val="Header"/>
    </w:pPr>
    <w:r>
      <w:rPr>
        <w:noProof/>
      </w:rPr>
      <mc:AlternateContent>
        <mc:Choice Requires="wps">
          <w:drawing>
            <wp:anchor distT="0" distB="0" distL="0" distR="0" simplePos="0" relativeHeight="251658254" behindDoc="0" locked="0" layoutInCell="1" allowOverlap="1" wp14:anchorId="6204FB1B" wp14:editId="7422249B">
              <wp:simplePos x="723900" y="450850"/>
              <wp:positionH relativeFrom="page">
                <wp:align>center</wp:align>
              </wp:positionH>
              <wp:positionV relativeFrom="page">
                <wp:align>top</wp:align>
              </wp:positionV>
              <wp:extent cx="551815" cy="552450"/>
              <wp:effectExtent l="0" t="0" r="635" b="0"/>
              <wp:wrapNone/>
              <wp:docPr id="194399228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825A0EF" w14:textId="77777777" w:rsidR="00FB0EE3" w:rsidRPr="00822CA9" w:rsidRDefault="00FB0EE3"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FB1B" id="_x0000_t202" coordsize="21600,21600" o:spt="202" path="m,l,21600r21600,l21600,xe">
              <v:stroke joinstyle="miter"/>
              <v:path gradientshapeok="t" o:connecttype="rect"/>
            </v:shapetype>
            <v:shape id="Text Box 6" o:spid="_x0000_s1033" type="#_x0000_t202" alt="OFFICIAL" style="position:absolute;margin-left:0;margin-top:0;width:43.45pt;height:43.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K2DgIAABw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ynL+sUywZtefrfPhqwBNolFTh6wksNhx&#10;4wM2xNQpJfYysO6USswo85sDE6Mnu04YrTDsBtI1Nf08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I0vkrYOAgAAHAQA&#10;AA4AAAAAAAAAAAAAAAAALgIAAGRycy9lMm9Eb2MueG1sUEsBAi0AFAAGAAgAAAAhAF7KYmXZAAAA&#10;AwEAAA8AAAAAAAAAAAAAAAAAaAQAAGRycy9kb3ducmV2LnhtbFBLBQYAAAAABAAEAPMAAABuBQAA&#10;AAA=&#10;" filled="f" stroked="f">
              <v:textbox style="mso-fit-shape-to-text:t" inset="0,15pt,0,0">
                <w:txbxContent>
                  <w:p w14:paraId="6825A0EF" w14:textId="77777777" w:rsidR="00FB0EE3" w:rsidRPr="00822CA9" w:rsidRDefault="00FB0EE3"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6C2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2B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multilevel"/>
    <w:tmpl w:val="510EE69C"/>
    <w:lvl w:ilvl="0">
      <w:start w:val="1"/>
      <w:numFmt w:val="low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FFFFFF80"/>
    <w:multiLevelType w:val="singleLevel"/>
    <w:tmpl w:val="A8C2C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29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FFFFFF83"/>
    <w:multiLevelType w:val="multilevel"/>
    <w:tmpl w:val="BA4EED84"/>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46F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1"/>
    <w:multiLevelType w:val="hybridMultilevel"/>
    <w:tmpl w:val="00000011"/>
    <w:lvl w:ilvl="0" w:tplc="507ACBD4">
      <w:start w:val="1"/>
      <w:numFmt w:val="bullet"/>
      <w:lvlText w:val=""/>
      <w:lvlJc w:val="left"/>
      <w:pPr>
        <w:ind w:left="360" w:hanging="360"/>
      </w:pPr>
      <w:rPr>
        <w:rFonts w:ascii="Symbol" w:hAnsi="Symbol"/>
        <w:b w:val="0"/>
        <w:bCs w:val="0"/>
      </w:rPr>
    </w:lvl>
    <w:lvl w:ilvl="1" w:tplc="FA66C1D0">
      <w:start w:val="1"/>
      <w:numFmt w:val="bullet"/>
      <w:lvlText w:val="o"/>
      <w:lvlJc w:val="left"/>
      <w:pPr>
        <w:tabs>
          <w:tab w:val="num" w:pos="1080"/>
        </w:tabs>
        <w:ind w:left="1080" w:hanging="360"/>
      </w:pPr>
      <w:rPr>
        <w:rFonts w:ascii="Courier New" w:hAnsi="Courier New"/>
      </w:rPr>
    </w:lvl>
    <w:lvl w:ilvl="2" w:tplc="E562A2AC">
      <w:start w:val="1"/>
      <w:numFmt w:val="bullet"/>
      <w:lvlText w:val=""/>
      <w:lvlJc w:val="left"/>
      <w:pPr>
        <w:tabs>
          <w:tab w:val="num" w:pos="1800"/>
        </w:tabs>
        <w:ind w:left="1800" w:hanging="360"/>
      </w:pPr>
      <w:rPr>
        <w:rFonts w:ascii="Wingdings" w:hAnsi="Wingdings"/>
      </w:rPr>
    </w:lvl>
    <w:lvl w:ilvl="3" w:tplc="4F9EE9A0">
      <w:start w:val="1"/>
      <w:numFmt w:val="bullet"/>
      <w:lvlText w:val=""/>
      <w:lvlJc w:val="left"/>
      <w:pPr>
        <w:tabs>
          <w:tab w:val="num" w:pos="2520"/>
        </w:tabs>
        <w:ind w:left="2520" w:hanging="360"/>
      </w:pPr>
      <w:rPr>
        <w:rFonts w:ascii="Symbol" w:hAnsi="Symbol"/>
      </w:rPr>
    </w:lvl>
    <w:lvl w:ilvl="4" w:tplc="51C44336">
      <w:start w:val="1"/>
      <w:numFmt w:val="bullet"/>
      <w:lvlText w:val="o"/>
      <w:lvlJc w:val="left"/>
      <w:pPr>
        <w:tabs>
          <w:tab w:val="num" w:pos="3240"/>
        </w:tabs>
        <w:ind w:left="3240" w:hanging="360"/>
      </w:pPr>
      <w:rPr>
        <w:rFonts w:ascii="Courier New" w:hAnsi="Courier New"/>
      </w:rPr>
    </w:lvl>
    <w:lvl w:ilvl="5" w:tplc="E2FC5828">
      <w:start w:val="1"/>
      <w:numFmt w:val="bullet"/>
      <w:lvlText w:val=""/>
      <w:lvlJc w:val="left"/>
      <w:pPr>
        <w:tabs>
          <w:tab w:val="num" w:pos="3960"/>
        </w:tabs>
        <w:ind w:left="3960" w:hanging="360"/>
      </w:pPr>
      <w:rPr>
        <w:rFonts w:ascii="Wingdings" w:hAnsi="Wingdings"/>
      </w:rPr>
    </w:lvl>
    <w:lvl w:ilvl="6" w:tplc="673E3B8A">
      <w:start w:val="1"/>
      <w:numFmt w:val="bullet"/>
      <w:lvlText w:val=""/>
      <w:lvlJc w:val="left"/>
      <w:pPr>
        <w:tabs>
          <w:tab w:val="num" w:pos="4680"/>
        </w:tabs>
        <w:ind w:left="4680" w:hanging="360"/>
      </w:pPr>
      <w:rPr>
        <w:rFonts w:ascii="Symbol" w:hAnsi="Symbol"/>
      </w:rPr>
    </w:lvl>
    <w:lvl w:ilvl="7" w:tplc="98241E7C">
      <w:start w:val="1"/>
      <w:numFmt w:val="bullet"/>
      <w:lvlText w:val="o"/>
      <w:lvlJc w:val="left"/>
      <w:pPr>
        <w:tabs>
          <w:tab w:val="num" w:pos="5400"/>
        </w:tabs>
        <w:ind w:left="5400" w:hanging="360"/>
      </w:pPr>
      <w:rPr>
        <w:rFonts w:ascii="Courier New" w:hAnsi="Courier New"/>
      </w:rPr>
    </w:lvl>
    <w:lvl w:ilvl="8" w:tplc="F56E0624">
      <w:start w:val="1"/>
      <w:numFmt w:val="bullet"/>
      <w:lvlText w:val=""/>
      <w:lvlJc w:val="left"/>
      <w:pPr>
        <w:tabs>
          <w:tab w:val="num" w:pos="6120"/>
        </w:tabs>
        <w:ind w:left="6120" w:hanging="360"/>
      </w:pPr>
      <w:rPr>
        <w:rFonts w:ascii="Wingdings" w:hAnsi="Wingdings"/>
      </w:rPr>
    </w:lvl>
  </w:abstractNum>
  <w:abstractNum w:abstractNumId="11" w15:restartNumberingAfterBreak="0">
    <w:nsid w:val="00000012"/>
    <w:multiLevelType w:val="hybridMultilevel"/>
    <w:tmpl w:val="00000012"/>
    <w:lvl w:ilvl="0" w:tplc="0CEE4588">
      <w:start w:val="1"/>
      <w:numFmt w:val="bullet"/>
      <w:lvlText w:val=""/>
      <w:lvlJc w:val="left"/>
      <w:pPr>
        <w:ind w:left="720" w:hanging="360"/>
      </w:pPr>
      <w:rPr>
        <w:rFonts w:ascii="Symbol" w:hAnsi="Symbol"/>
        <w:b w:val="0"/>
        <w:bCs w:val="0"/>
      </w:rPr>
    </w:lvl>
    <w:lvl w:ilvl="1" w:tplc="F6DCF800">
      <w:start w:val="1"/>
      <w:numFmt w:val="bullet"/>
      <w:lvlText w:val="o"/>
      <w:lvlJc w:val="left"/>
      <w:pPr>
        <w:tabs>
          <w:tab w:val="num" w:pos="1440"/>
        </w:tabs>
        <w:ind w:left="1440" w:hanging="360"/>
      </w:pPr>
      <w:rPr>
        <w:rFonts w:ascii="Courier New" w:hAnsi="Courier New"/>
      </w:rPr>
    </w:lvl>
    <w:lvl w:ilvl="2" w:tplc="D8525984">
      <w:start w:val="1"/>
      <w:numFmt w:val="bullet"/>
      <w:lvlText w:val=""/>
      <w:lvlJc w:val="left"/>
      <w:pPr>
        <w:tabs>
          <w:tab w:val="num" w:pos="2160"/>
        </w:tabs>
        <w:ind w:left="2160" w:hanging="360"/>
      </w:pPr>
      <w:rPr>
        <w:rFonts w:ascii="Wingdings" w:hAnsi="Wingdings"/>
      </w:rPr>
    </w:lvl>
    <w:lvl w:ilvl="3" w:tplc="6E82DDA4">
      <w:start w:val="1"/>
      <w:numFmt w:val="bullet"/>
      <w:lvlText w:val=""/>
      <w:lvlJc w:val="left"/>
      <w:pPr>
        <w:tabs>
          <w:tab w:val="num" w:pos="2880"/>
        </w:tabs>
        <w:ind w:left="2880" w:hanging="360"/>
      </w:pPr>
      <w:rPr>
        <w:rFonts w:ascii="Symbol" w:hAnsi="Symbol"/>
      </w:rPr>
    </w:lvl>
    <w:lvl w:ilvl="4" w:tplc="85405B0A">
      <w:start w:val="1"/>
      <w:numFmt w:val="bullet"/>
      <w:lvlText w:val="o"/>
      <w:lvlJc w:val="left"/>
      <w:pPr>
        <w:tabs>
          <w:tab w:val="num" w:pos="3600"/>
        </w:tabs>
        <w:ind w:left="3600" w:hanging="360"/>
      </w:pPr>
      <w:rPr>
        <w:rFonts w:ascii="Courier New" w:hAnsi="Courier New"/>
      </w:rPr>
    </w:lvl>
    <w:lvl w:ilvl="5" w:tplc="ED209B08">
      <w:start w:val="1"/>
      <w:numFmt w:val="bullet"/>
      <w:lvlText w:val=""/>
      <w:lvlJc w:val="left"/>
      <w:pPr>
        <w:tabs>
          <w:tab w:val="num" w:pos="4320"/>
        </w:tabs>
        <w:ind w:left="4320" w:hanging="360"/>
      </w:pPr>
      <w:rPr>
        <w:rFonts w:ascii="Wingdings" w:hAnsi="Wingdings"/>
      </w:rPr>
    </w:lvl>
    <w:lvl w:ilvl="6" w:tplc="27B0DA54">
      <w:start w:val="1"/>
      <w:numFmt w:val="bullet"/>
      <w:lvlText w:val=""/>
      <w:lvlJc w:val="left"/>
      <w:pPr>
        <w:tabs>
          <w:tab w:val="num" w:pos="5040"/>
        </w:tabs>
        <w:ind w:left="5040" w:hanging="360"/>
      </w:pPr>
      <w:rPr>
        <w:rFonts w:ascii="Symbol" w:hAnsi="Symbol"/>
      </w:rPr>
    </w:lvl>
    <w:lvl w:ilvl="7" w:tplc="80549B1A">
      <w:start w:val="1"/>
      <w:numFmt w:val="bullet"/>
      <w:lvlText w:val="o"/>
      <w:lvlJc w:val="left"/>
      <w:pPr>
        <w:tabs>
          <w:tab w:val="num" w:pos="5760"/>
        </w:tabs>
        <w:ind w:left="5760" w:hanging="360"/>
      </w:pPr>
      <w:rPr>
        <w:rFonts w:ascii="Courier New" w:hAnsi="Courier New"/>
      </w:rPr>
    </w:lvl>
    <w:lvl w:ilvl="8" w:tplc="9C3404F8">
      <w:start w:val="1"/>
      <w:numFmt w:val="bullet"/>
      <w:lvlText w:val=""/>
      <w:lvlJc w:val="left"/>
      <w:pPr>
        <w:tabs>
          <w:tab w:val="num" w:pos="6480"/>
        </w:tabs>
        <w:ind w:left="6480" w:hanging="360"/>
      </w:pPr>
      <w:rPr>
        <w:rFonts w:ascii="Wingdings" w:hAnsi="Wingdings"/>
      </w:rPr>
    </w:lvl>
  </w:abstractNum>
  <w:abstractNum w:abstractNumId="12" w15:restartNumberingAfterBreak="0">
    <w:nsid w:val="02193770"/>
    <w:multiLevelType w:val="hybridMultilevel"/>
    <w:tmpl w:val="41FE2612"/>
    <w:lvl w:ilvl="0" w:tplc="4FE433A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611C39"/>
    <w:multiLevelType w:val="hybridMultilevel"/>
    <w:tmpl w:val="F266D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73E742D"/>
    <w:multiLevelType w:val="hybridMultilevel"/>
    <w:tmpl w:val="3C7837F6"/>
    <w:lvl w:ilvl="0" w:tplc="66FEA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3E7C69"/>
    <w:multiLevelType w:val="hybridMultilevel"/>
    <w:tmpl w:val="112E6F44"/>
    <w:lvl w:ilvl="0" w:tplc="7A6CF2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3B7288"/>
    <w:multiLevelType w:val="hybridMultilevel"/>
    <w:tmpl w:val="A920D77C"/>
    <w:lvl w:ilvl="0" w:tplc="57D63A4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0CDF0391"/>
    <w:multiLevelType w:val="hybridMultilevel"/>
    <w:tmpl w:val="E39A3F72"/>
    <w:lvl w:ilvl="0" w:tplc="7782368E">
      <w:start w:val="1"/>
      <w:numFmt w:val="bullet"/>
      <w:lvlText w:val=""/>
      <w:lvlJc w:val="left"/>
      <w:pPr>
        <w:ind w:left="1420" w:hanging="360"/>
      </w:pPr>
      <w:rPr>
        <w:rFonts w:ascii="Symbol" w:hAnsi="Symbol"/>
      </w:rPr>
    </w:lvl>
    <w:lvl w:ilvl="1" w:tplc="6602D4AC">
      <w:start w:val="1"/>
      <w:numFmt w:val="bullet"/>
      <w:lvlText w:val=""/>
      <w:lvlJc w:val="left"/>
      <w:pPr>
        <w:ind w:left="1420" w:hanging="360"/>
      </w:pPr>
      <w:rPr>
        <w:rFonts w:ascii="Symbol" w:hAnsi="Symbol"/>
      </w:rPr>
    </w:lvl>
    <w:lvl w:ilvl="2" w:tplc="6F4C35E6">
      <w:start w:val="1"/>
      <w:numFmt w:val="bullet"/>
      <w:lvlText w:val=""/>
      <w:lvlJc w:val="left"/>
      <w:pPr>
        <w:ind w:left="1420" w:hanging="360"/>
      </w:pPr>
      <w:rPr>
        <w:rFonts w:ascii="Symbol" w:hAnsi="Symbol"/>
      </w:rPr>
    </w:lvl>
    <w:lvl w:ilvl="3" w:tplc="0C547134">
      <w:start w:val="1"/>
      <w:numFmt w:val="bullet"/>
      <w:lvlText w:val=""/>
      <w:lvlJc w:val="left"/>
      <w:pPr>
        <w:ind w:left="1420" w:hanging="360"/>
      </w:pPr>
      <w:rPr>
        <w:rFonts w:ascii="Symbol" w:hAnsi="Symbol"/>
      </w:rPr>
    </w:lvl>
    <w:lvl w:ilvl="4" w:tplc="53042D3A">
      <w:start w:val="1"/>
      <w:numFmt w:val="bullet"/>
      <w:lvlText w:val=""/>
      <w:lvlJc w:val="left"/>
      <w:pPr>
        <w:ind w:left="1420" w:hanging="360"/>
      </w:pPr>
      <w:rPr>
        <w:rFonts w:ascii="Symbol" w:hAnsi="Symbol"/>
      </w:rPr>
    </w:lvl>
    <w:lvl w:ilvl="5" w:tplc="509E0E8E">
      <w:start w:val="1"/>
      <w:numFmt w:val="bullet"/>
      <w:lvlText w:val=""/>
      <w:lvlJc w:val="left"/>
      <w:pPr>
        <w:ind w:left="1420" w:hanging="360"/>
      </w:pPr>
      <w:rPr>
        <w:rFonts w:ascii="Symbol" w:hAnsi="Symbol"/>
      </w:rPr>
    </w:lvl>
    <w:lvl w:ilvl="6" w:tplc="BCA8F794">
      <w:start w:val="1"/>
      <w:numFmt w:val="bullet"/>
      <w:lvlText w:val=""/>
      <w:lvlJc w:val="left"/>
      <w:pPr>
        <w:ind w:left="1420" w:hanging="360"/>
      </w:pPr>
      <w:rPr>
        <w:rFonts w:ascii="Symbol" w:hAnsi="Symbol"/>
      </w:rPr>
    </w:lvl>
    <w:lvl w:ilvl="7" w:tplc="877AE7C6">
      <w:start w:val="1"/>
      <w:numFmt w:val="bullet"/>
      <w:lvlText w:val=""/>
      <w:lvlJc w:val="left"/>
      <w:pPr>
        <w:ind w:left="1420" w:hanging="360"/>
      </w:pPr>
      <w:rPr>
        <w:rFonts w:ascii="Symbol" w:hAnsi="Symbol"/>
      </w:rPr>
    </w:lvl>
    <w:lvl w:ilvl="8" w:tplc="4CA24A94">
      <w:start w:val="1"/>
      <w:numFmt w:val="bullet"/>
      <w:lvlText w:val=""/>
      <w:lvlJc w:val="left"/>
      <w:pPr>
        <w:ind w:left="1420" w:hanging="360"/>
      </w:pPr>
      <w:rPr>
        <w:rFonts w:ascii="Symbol" w:hAnsi="Symbol"/>
      </w:rPr>
    </w:lvl>
  </w:abstractNum>
  <w:abstractNum w:abstractNumId="18"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CFB3A07"/>
    <w:multiLevelType w:val="hybridMultilevel"/>
    <w:tmpl w:val="D6E49AD6"/>
    <w:lvl w:ilvl="0" w:tplc="45BC88D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510C0B"/>
    <w:multiLevelType w:val="multilevel"/>
    <w:tmpl w:val="3D66CBA2"/>
    <w:numStyleLink w:val="CustomNumberlist"/>
  </w:abstractNum>
  <w:abstractNum w:abstractNumId="23" w15:restartNumberingAfterBreak="0">
    <w:nsid w:val="164B7F78"/>
    <w:multiLevelType w:val="multilevel"/>
    <w:tmpl w:val="DDE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2D7DCC"/>
    <w:multiLevelType w:val="hybridMultilevel"/>
    <w:tmpl w:val="42DC7012"/>
    <w:lvl w:ilvl="0" w:tplc="5448C99C">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3C049B"/>
    <w:multiLevelType w:val="multilevel"/>
    <w:tmpl w:val="BA4EED84"/>
    <w:lvl w:ilvl="0">
      <w:numFmt w:val="decimal"/>
      <w:pStyle w:val="Heading1numbered"/>
      <w:lvlText w:val=""/>
      <w:lvlJc w:val="left"/>
    </w:lvl>
    <w:lvl w:ilvl="1">
      <w:numFmt w:val="decimal"/>
      <w:pStyle w:val="Heading2numbered"/>
      <w:lvlText w:val=""/>
      <w:lvlJc w:val="left"/>
    </w:lvl>
    <w:lvl w:ilvl="2">
      <w:numFmt w:val="decimal"/>
      <w:pStyle w:val="Heading3numbered"/>
      <w:lvlText w:val=""/>
      <w:lvlJc w:val="left"/>
    </w:lvl>
    <w:lvl w:ilvl="3">
      <w:numFmt w:val="decimal"/>
      <w:pStyle w:val="Figure-Table-BoxHeading"/>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8052EF"/>
    <w:multiLevelType w:val="multilevel"/>
    <w:tmpl w:val="DF4A9966"/>
    <w:numStyleLink w:val="TableBullets"/>
  </w:abstractNum>
  <w:abstractNum w:abstractNumId="27" w15:restartNumberingAfterBreak="0">
    <w:nsid w:val="1FCF7766"/>
    <w:multiLevelType w:val="singleLevel"/>
    <w:tmpl w:val="44F6E1D8"/>
    <w:lvl w:ilvl="0">
      <w:start w:val="1"/>
      <w:numFmt w:val="decimal"/>
      <w:lvlText w:val="%1."/>
      <w:lvlJc w:val="left"/>
      <w:pPr>
        <w:tabs>
          <w:tab w:val="num" w:pos="926"/>
        </w:tabs>
        <w:ind w:left="926" w:hanging="360"/>
      </w:pPr>
    </w:lvl>
  </w:abstractNum>
  <w:abstractNum w:abstractNumId="28" w15:restartNumberingAfterBreak="0">
    <w:nsid w:val="22391238"/>
    <w:multiLevelType w:val="multilevel"/>
    <w:tmpl w:val="BA4EED84"/>
    <w:numStyleLink w:val="NumberedHeadings"/>
  </w:abstractNum>
  <w:abstractNum w:abstractNumId="29" w15:restartNumberingAfterBreak="0">
    <w:nsid w:val="29DC24E6"/>
    <w:multiLevelType w:val="hybridMultilevel"/>
    <w:tmpl w:val="7CB474D2"/>
    <w:lvl w:ilvl="0" w:tplc="F8C077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95244D"/>
    <w:multiLevelType w:val="hybridMultilevel"/>
    <w:tmpl w:val="A6D4C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538523A"/>
    <w:multiLevelType w:val="hybridMultilevel"/>
    <w:tmpl w:val="907C6332"/>
    <w:lvl w:ilvl="0" w:tplc="F99A2E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9E348D"/>
    <w:multiLevelType w:val="multilevel"/>
    <w:tmpl w:val="3D66CBA2"/>
    <w:numStyleLink w:val="CustomNumberlist"/>
  </w:abstractNum>
  <w:abstractNum w:abstractNumId="33" w15:restartNumberingAfterBreak="0">
    <w:nsid w:val="380960B1"/>
    <w:multiLevelType w:val="hybridMultilevel"/>
    <w:tmpl w:val="84B22354"/>
    <w:lvl w:ilvl="0" w:tplc="E5E639D8">
      <w:start w:val="1"/>
      <w:numFmt w:val="bullet"/>
      <w:pStyle w:val="List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B40E02"/>
    <w:multiLevelType w:val="hybridMultilevel"/>
    <w:tmpl w:val="375626A6"/>
    <w:lvl w:ilvl="0" w:tplc="0E5403B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9454A0B"/>
    <w:multiLevelType w:val="hybridMultilevel"/>
    <w:tmpl w:val="7D548BA0"/>
    <w:lvl w:ilvl="0" w:tplc="FFECAC5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9C20E77"/>
    <w:multiLevelType w:val="multilevel"/>
    <w:tmpl w:val="BA4EED84"/>
    <w:numStyleLink w:val="NumberedHeadings"/>
  </w:abstractNum>
  <w:abstractNum w:abstractNumId="37" w15:restartNumberingAfterBreak="0">
    <w:nsid w:val="3AA454D7"/>
    <w:multiLevelType w:val="multilevel"/>
    <w:tmpl w:val="BA4EED84"/>
    <w:numStyleLink w:val="NumberedHeadings"/>
  </w:abstractNum>
  <w:abstractNum w:abstractNumId="38" w15:restartNumberingAfterBreak="0">
    <w:nsid w:val="3CAC65B2"/>
    <w:multiLevelType w:val="hybridMultilevel"/>
    <w:tmpl w:val="3902540E"/>
    <w:lvl w:ilvl="0" w:tplc="FDE4DC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F2F361C"/>
    <w:multiLevelType w:val="hybridMultilevel"/>
    <w:tmpl w:val="FCC49B3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407ED"/>
    <w:multiLevelType w:val="hybridMultilevel"/>
    <w:tmpl w:val="7284A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A8B0109"/>
    <w:multiLevelType w:val="multilevel"/>
    <w:tmpl w:val="3D66CBA2"/>
    <w:lvl w:ilvl="0">
      <w:numFmt w:val="decimal"/>
      <w:pStyle w:val="ListNumber"/>
      <w:lvlText w:val=""/>
      <w:lvlJc w:val="left"/>
    </w:lvl>
    <w:lvl w:ilvl="1">
      <w:numFmt w:val="decimal"/>
      <w:pStyle w:val="ListNumber2"/>
      <w:lvlText w:val=""/>
      <w:lvlJc w:val="left"/>
    </w:lvl>
    <w:lvl w:ilvl="2">
      <w:numFmt w:val="decimal"/>
      <w:pStyle w:val="ListNumber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F062D"/>
    <w:multiLevelType w:val="hybridMultilevel"/>
    <w:tmpl w:val="2174C5FC"/>
    <w:lvl w:ilvl="0" w:tplc="04965EE6">
      <w:start w:val="1"/>
      <w:numFmt w:val="bullet"/>
      <w:lvlText w:val=""/>
      <w:lvlJc w:val="left"/>
      <w:pPr>
        <w:ind w:left="1420" w:hanging="360"/>
      </w:pPr>
      <w:rPr>
        <w:rFonts w:ascii="Symbol" w:hAnsi="Symbol"/>
      </w:rPr>
    </w:lvl>
    <w:lvl w:ilvl="1" w:tplc="F76CACBC">
      <w:start w:val="1"/>
      <w:numFmt w:val="bullet"/>
      <w:lvlText w:val=""/>
      <w:lvlJc w:val="left"/>
      <w:pPr>
        <w:ind w:left="1420" w:hanging="360"/>
      </w:pPr>
      <w:rPr>
        <w:rFonts w:ascii="Symbol" w:hAnsi="Symbol"/>
      </w:rPr>
    </w:lvl>
    <w:lvl w:ilvl="2" w:tplc="39840F3C">
      <w:start w:val="1"/>
      <w:numFmt w:val="bullet"/>
      <w:lvlText w:val=""/>
      <w:lvlJc w:val="left"/>
      <w:pPr>
        <w:ind w:left="1420" w:hanging="360"/>
      </w:pPr>
      <w:rPr>
        <w:rFonts w:ascii="Symbol" w:hAnsi="Symbol"/>
      </w:rPr>
    </w:lvl>
    <w:lvl w:ilvl="3" w:tplc="BA861870">
      <w:start w:val="1"/>
      <w:numFmt w:val="bullet"/>
      <w:lvlText w:val=""/>
      <w:lvlJc w:val="left"/>
      <w:pPr>
        <w:ind w:left="1420" w:hanging="360"/>
      </w:pPr>
      <w:rPr>
        <w:rFonts w:ascii="Symbol" w:hAnsi="Symbol"/>
      </w:rPr>
    </w:lvl>
    <w:lvl w:ilvl="4" w:tplc="CF60510A">
      <w:start w:val="1"/>
      <w:numFmt w:val="bullet"/>
      <w:lvlText w:val=""/>
      <w:lvlJc w:val="left"/>
      <w:pPr>
        <w:ind w:left="1420" w:hanging="360"/>
      </w:pPr>
      <w:rPr>
        <w:rFonts w:ascii="Symbol" w:hAnsi="Symbol"/>
      </w:rPr>
    </w:lvl>
    <w:lvl w:ilvl="5" w:tplc="425C3C96">
      <w:start w:val="1"/>
      <w:numFmt w:val="bullet"/>
      <w:lvlText w:val=""/>
      <w:lvlJc w:val="left"/>
      <w:pPr>
        <w:ind w:left="1420" w:hanging="360"/>
      </w:pPr>
      <w:rPr>
        <w:rFonts w:ascii="Symbol" w:hAnsi="Symbol"/>
      </w:rPr>
    </w:lvl>
    <w:lvl w:ilvl="6" w:tplc="A4E0D91E">
      <w:start w:val="1"/>
      <w:numFmt w:val="bullet"/>
      <w:lvlText w:val=""/>
      <w:lvlJc w:val="left"/>
      <w:pPr>
        <w:ind w:left="1420" w:hanging="360"/>
      </w:pPr>
      <w:rPr>
        <w:rFonts w:ascii="Symbol" w:hAnsi="Symbol"/>
      </w:rPr>
    </w:lvl>
    <w:lvl w:ilvl="7" w:tplc="0144CB56">
      <w:start w:val="1"/>
      <w:numFmt w:val="bullet"/>
      <w:lvlText w:val=""/>
      <w:lvlJc w:val="left"/>
      <w:pPr>
        <w:ind w:left="1420" w:hanging="360"/>
      </w:pPr>
      <w:rPr>
        <w:rFonts w:ascii="Symbol" w:hAnsi="Symbol"/>
      </w:rPr>
    </w:lvl>
    <w:lvl w:ilvl="8" w:tplc="308022DE">
      <w:start w:val="1"/>
      <w:numFmt w:val="bullet"/>
      <w:lvlText w:val=""/>
      <w:lvlJc w:val="left"/>
      <w:pPr>
        <w:ind w:left="1420" w:hanging="360"/>
      </w:pPr>
      <w:rPr>
        <w:rFonts w:ascii="Symbol" w:hAnsi="Symbol"/>
      </w:rPr>
    </w:lvl>
  </w:abstractNum>
  <w:abstractNum w:abstractNumId="44" w15:restartNumberingAfterBreak="0">
    <w:nsid w:val="4E4338A9"/>
    <w:multiLevelType w:val="hybridMultilevel"/>
    <w:tmpl w:val="E8EAF34E"/>
    <w:lvl w:ilvl="0" w:tplc="9F5C085E">
      <w:start w:val="1"/>
      <w:numFmt w:val="bullet"/>
      <w:lvlText w:val=""/>
      <w:lvlJc w:val="left"/>
      <w:pPr>
        <w:ind w:left="720" w:hanging="360"/>
      </w:pPr>
      <w:rPr>
        <w:rFonts w:ascii="Symbol" w:hAnsi="Symbol"/>
      </w:rPr>
    </w:lvl>
    <w:lvl w:ilvl="1" w:tplc="73CA6B8E">
      <w:start w:val="1"/>
      <w:numFmt w:val="bullet"/>
      <w:lvlText w:val=""/>
      <w:lvlJc w:val="left"/>
      <w:pPr>
        <w:ind w:left="720" w:hanging="360"/>
      </w:pPr>
      <w:rPr>
        <w:rFonts w:ascii="Symbol" w:hAnsi="Symbol"/>
      </w:rPr>
    </w:lvl>
    <w:lvl w:ilvl="2" w:tplc="866C42A4">
      <w:start w:val="1"/>
      <w:numFmt w:val="bullet"/>
      <w:lvlText w:val=""/>
      <w:lvlJc w:val="left"/>
      <w:pPr>
        <w:ind w:left="720" w:hanging="360"/>
      </w:pPr>
      <w:rPr>
        <w:rFonts w:ascii="Symbol" w:hAnsi="Symbol"/>
      </w:rPr>
    </w:lvl>
    <w:lvl w:ilvl="3" w:tplc="E2E04218">
      <w:start w:val="1"/>
      <w:numFmt w:val="bullet"/>
      <w:lvlText w:val=""/>
      <w:lvlJc w:val="left"/>
      <w:pPr>
        <w:ind w:left="720" w:hanging="360"/>
      </w:pPr>
      <w:rPr>
        <w:rFonts w:ascii="Symbol" w:hAnsi="Symbol"/>
      </w:rPr>
    </w:lvl>
    <w:lvl w:ilvl="4" w:tplc="E8A81F30">
      <w:start w:val="1"/>
      <w:numFmt w:val="bullet"/>
      <w:lvlText w:val=""/>
      <w:lvlJc w:val="left"/>
      <w:pPr>
        <w:ind w:left="720" w:hanging="360"/>
      </w:pPr>
      <w:rPr>
        <w:rFonts w:ascii="Symbol" w:hAnsi="Symbol"/>
      </w:rPr>
    </w:lvl>
    <w:lvl w:ilvl="5" w:tplc="FCB6668A">
      <w:start w:val="1"/>
      <w:numFmt w:val="bullet"/>
      <w:lvlText w:val=""/>
      <w:lvlJc w:val="left"/>
      <w:pPr>
        <w:ind w:left="720" w:hanging="360"/>
      </w:pPr>
      <w:rPr>
        <w:rFonts w:ascii="Symbol" w:hAnsi="Symbol"/>
      </w:rPr>
    </w:lvl>
    <w:lvl w:ilvl="6" w:tplc="167854A8">
      <w:start w:val="1"/>
      <w:numFmt w:val="bullet"/>
      <w:lvlText w:val=""/>
      <w:lvlJc w:val="left"/>
      <w:pPr>
        <w:ind w:left="720" w:hanging="360"/>
      </w:pPr>
      <w:rPr>
        <w:rFonts w:ascii="Symbol" w:hAnsi="Symbol"/>
      </w:rPr>
    </w:lvl>
    <w:lvl w:ilvl="7" w:tplc="3CAC1F40">
      <w:start w:val="1"/>
      <w:numFmt w:val="bullet"/>
      <w:lvlText w:val=""/>
      <w:lvlJc w:val="left"/>
      <w:pPr>
        <w:ind w:left="720" w:hanging="360"/>
      </w:pPr>
      <w:rPr>
        <w:rFonts w:ascii="Symbol" w:hAnsi="Symbol"/>
      </w:rPr>
    </w:lvl>
    <w:lvl w:ilvl="8" w:tplc="5C56EA06">
      <w:start w:val="1"/>
      <w:numFmt w:val="bullet"/>
      <w:lvlText w:val=""/>
      <w:lvlJc w:val="left"/>
      <w:pPr>
        <w:ind w:left="720" w:hanging="360"/>
      </w:pPr>
      <w:rPr>
        <w:rFonts w:ascii="Symbol" w:hAnsi="Symbol"/>
      </w:rPr>
    </w:lvl>
  </w:abstractNum>
  <w:abstractNum w:abstractNumId="45" w15:restartNumberingAfterBreak="0">
    <w:nsid w:val="4F6C1F94"/>
    <w:multiLevelType w:val="hybridMultilevel"/>
    <w:tmpl w:val="5C2C64E6"/>
    <w:lvl w:ilvl="0" w:tplc="5768B206">
      <w:start w:val="1"/>
      <w:numFmt w:val="bullet"/>
      <w:lvlText w:val=""/>
      <w:lvlJc w:val="left"/>
      <w:pPr>
        <w:ind w:left="720" w:hanging="360"/>
      </w:pPr>
      <w:rPr>
        <w:rFonts w:ascii="Symbol" w:hAnsi="Symbol"/>
      </w:rPr>
    </w:lvl>
    <w:lvl w:ilvl="1" w:tplc="0194CCD4">
      <w:start w:val="1"/>
      <w:numFmt w:val="bullet"/>
      <w:lvlText w:val=""/>
      <w:lvlJc w:val="left"/>
      <w:pPr>
        <w:ind w:left="720" w:hanging="360"/>
      </w:pPr>
      <w:rPr>
        <w:rFonts w:ascii="Symbol" w:hAnsi="Symbol"/>
      </w:rPr>
    </w:lvl>
    <w:lvl w:ilvl="2" w:tplc="706EC9FE">
      <w:start w:val="1"/>
      <w:numFmt w:val="bullet"/>
      <w:lvlText w:val=""/>
      <w:lvlJc w:val="left"/>
      <w:pPr>
        <w:ind w:left="720" w:hanging="360"/>
      </w:pPr>
      <w:rPr>
        <w:rFonts w:ascii="Symbol" w:hAnsi="Symbol"/>
      </w:rPr>
    </w:lvl>
    <w:lvl w:ilvl="3" w:tplc="C75C8698">
      <w:start w:val="1"/>
      <w:numFmt w:val="bullet"/>
      <w:lvlText w:val=""/>
      <w:lvlJc w:val="left"/>
      <w:pPr>
        <w:ind w:left="720" w:hanging="360"/>
      </w:pPr>
      <w:rPr>
        <w:rFonts w:ascii="Symbol" w:hAnsi="Symbol"/>
      </w:rPr>
    </w:lvl>
    <w:lvl w:ilvl="4" w:tplc="E23A8D26">
      <w:start w:val="1"/>
      <w:numFmt w:val="bullet"/>
      <w:lvlText w:val=""/>
      <w:lvlJc w:val="left"/>
      <w:pPr>
        <w:ind w:left="720" w:hanging="360"/>
      </w:pPr>
      <w:rPr>
        <w:rFonts w:ascii="Symbol" w:hAnsi="Symbol"/>
      </w:rPr>
    </w:lvl>
    <w:lvl w:ilvl="5" w:tplc="6766233C">
      <w:start w:val="1"/>
      <w:numFmt w:val="bullet"/>
      <w:lvlText w:val=""/>
      <w:lvlJc w:val="left"/>
      <w:pPr>
        <w:ind w:left="720" w:hanging="360"/>
      </w:pPr>
      <w:rPr>
        <w:rFonts w:ascii="Symbol" w:hAnsi="Symbol"/>
      </w:rPr>
    </w:lvl>
    <w:lvl w:ilvl="6" w:tplc="F82C4B26">
      <w:start w:val="1"/>
      <w:numFmt w:val="bullet"/>
      <w:lvlText w:val=""/>
      <w:lvlJc w:val="left"/>
      <w:pPr>
        <w:ind w:left="720" w:hanging="360"/>
      </w:pPr>
      <w:rPr>
        <w:rFonts w:ascii="Symbol" w:hAnsi="Symbol"/>
      </w:rPr>
    </w:lvl>
    <w:lvl w:ilvl="7" w:tplc="7D14F0C0">
      <w:start w:val="1"/>
      <w:numFmt w:val="bullet"/>
      <w:lvlText w:val=""/>
      <w:lvlJc w:val="left"/>
      <w:pPr>
        <w:ind w:left="720" w:hanging="360"/>
      </w:pPr>
      <w:rPr>
        <w:rFonts w:ascii="Symbol" w:hAnsi="Symbol"/>
      </w:rPr>
    </w:lvl>
    <w:lvl w:ilvl="8" w:tplc="7AF6A5B8">
      <w:start w:val="1"/>
      <w:numFmt w:val="bullet"/>
      <w:lvlText w:val=""/>
      <w:lvlJc w:val="left"/>
      <w:pPr>
        <w:ind w:left="720" w:hanging="360"/>
      </w:pPr>
      <w:rPr>
        <w:rFonts w:ascii="Symbol" w:hAnsi="Symbol"/>
      </w:rPr>
    </w:lvl>
  </w:abstractNum>
  <w:abstractNum w:abstractNumId="4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AFA78EF"/>
    <w:multiLevelType w:val="hybridMultilevel"/>
    <w:tmpl w:val="52B2E6CC"/>
    <w:lvl w:ilvl="0" w:tplc="E5C2E5E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E10CBF"/>
    <w:multiLevelType w:val="hybridMultilevel"/>
    <w:tmpl w:val="7B28223E"/>
    <w:lvl w:ilvl="0" w:tplc="6D84D6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505317"/>
    <w:multiLevelType w:val="multilevel"/>
    <w:tmpl w:val="3D66CBA2"/>
    <w:numStyleLink w:val="CustomNumberlist"/>
  </w:abstractNum>
  <w:abstractNum w:abstractNumId="51" w15:restartNumberingAfterBreak="0">
    <w:nsid w:val="69A82C01"/>
    <w:multiLevelType w:val="hybridMultilevel"/>
    <w:tmpl w:val="177C3926"/>
    <w:lvl w:ilvl="0" w:tplc="0C090003">
      <w:start w:val="1"/>
      <w:numFmt w:val="bullet"/>
      <w:lvlText w:val="o"/>
      <w:lvlJc w:val="left"/>
      <w:pPr>
        <w:ind w:left="720" w:hanging="360"/>
      </w:pPr>
      <w:rPr>
        <w:rFonts w:ascii="Courier New" w:hAnsi="Courier New" w:cs="Courier New"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2"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7E21EE"/>
    <w:multiLevelType w:val="hybridMultilevel"/>
    <w:tmpl w:val="C88C179C"/>
    <w:lvl w:ilvl="0" w:tplc="2D92C39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5864D8"/>
    <w:multiLevelType w:val="hybridMultilevel"/>
    <w:tmpl w:val="1B76015A"/>
    <w:lvl w:ilvl="0" w:tplc="1F2080BA">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69156148">
    <w:abstractNumId w:val="7"/>
  </w:num>
  <w:num w:numId="2" w16cid:durableId="1506817751">
    <w:abstractNumId w:val="6"/>
  </w:num>
  <w:num w:numId="3" w16cid:durableId="1283731523">
    <w:abstractNumId w:val="5"/>
  </w:num>
  <w:num w:numId="4" w16cid:durableId="1003824600">
    <w:abstractNumId w:val="3"/>
  </w:num>
  <w:num w:numId="5" w16cid:durableId="641731543">
    <w:abstractNumId w:val="2"/>
  </w:num>
  <w:num w:numId="6" w16cid:durableId="1990135712">
    <w:abstractNumId w:val="40"/>
  </w:num>
  <w:num w:numId="7" w16cid:durableId="555287133">
    <w:abstractNumId w:val="52"/>
  </w:num>
  <w:num w:numId="8" w16cid:durableId="292294316">
    <w:abstractNumId w:val="25"/>
  </w:num>
  <w:num w:numId="9" w16cid:durableId="809134837">
    <w:abstractNumId w:val="42"/>
  </w:num>
  <w:num w:numId="10" w16cid:durableId="1749687851">
    <w:abstractNumId w:val="18"/>
  </w:num>
  <w:num w:numId="11" w16cid:durableId="665984960">
    <w:abstractNumId w:val="54"/>
  </w:num>
  <w:num w:numId="12" w16cid:durableId="12131535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876647">
    <w:abstractNumId w:val="44"/>
  </w:num>
  <w:num w:numId="14" w16cid:durableId="370691303">
    <w:abstractNumId w:val="45"/>
  </w:num>
  <w:num w:numId="15" w16cid:durableId="890994638">
    <w:abstractNumId w:val="39"/>
  </w:num>
  <w:num w:numId="16" w16cid:durableId="588658458">
    <w:abstractNumId w:val="10"/>
  </w:num>
  <w:num w:numId="17" w16cid:durableId="145708125">
    <w:abstractNumId w:val="11"/>
  </w:num>
  <w:num w:numId="18" w16cid:durableId="1716811463">
    <w:abstractNumId w:val="51"/>
  </w:num>
  <w:num w:numId="19" w16cid:durableId="1832522579">
    <w:abstractNumId w:val="14"/>
  </w:num>
  <w:num w:numId="20" w16cid:durableId="20589413">
    <w:abstractNumId w:val="16"/>
  </w:num>
  <w:num w:numId="21" w16cid:durableId="1105805898">
    <w:abstractNumId w:val="49"/>
  </w:num>
  <w:num w:numId="22" w16cid:durableId="23798332">
    <w:abstractNumId w:val="9"/>
  </w:num>
  <w:num w:numId="23" w16cid:durableId="478570980">
    <w:abstractNumId w:val="29"/>
  </w:num>
  <w:num w:numId="24" w16cid:durableId="815682877">
    <w:abstractNumId w:val="47"/>
  </w:num>
  <w:num w:numId="25" w16cid:durableId="1011495033">
    <w:abstractNumId w:val="27"/>
  </w:num>
  <w:num w:numId="26" w16cid:durableId="1359507441">
    <w:abstractNumId w:val="31"/>
  </w:num>
  <w:num w:numId="27" w16cid:durableId="1873690041">
    <w:abstractNumId w:val="24"/>
  </w:num>
  <w:num w:numId="28" w16cid:durableId="898247213">
    <w:abstractNumId w:val="38"/>
  </w:num>
  <w:num w:numId="29" w16cid:durableId="1673991966">
    <w:abstractNumId w:val="34"/>
  </w:num>
  <w:num w:numId="30" w16cid:durableId="357240199">
    <w:abstractNumId w:val="35"/>
  </w:num>
  <w:num w:numId="31" w16cid:durableId="1558930698">
    <w:abstractNumId w:val="19"/>
  </w:num>
  <w:num w:numId="32" w16cid:durableId="1277250270">
    <w:abstractNumId w:val="53"/>
  </w:num>
  <w:num w:numId="33" w16cid:durableId="1304776986">
    <w:abstractNumId w:val="4"/>
  </w:num>
  <w:num w:numId="34" w16cid:durableId="1188521089">
    <w:abstractNumId w:val="8"/>
  </w:num>
  <w:num w:numId="35" w16cid:durableId="597832840">
    <w:abstractNumId w:val="1"/>
  </w:num>
  <w:num w:numId="36" w16cid:durableId="848762946">
    <w:abstractNumId w:val="27"/>
    <w:lvlOverride w:ilvl="0">
      <w:startOverride w:val="1"/>
    </w:lvlOverride>
  </w:num>
  <w:num w:numId="37" w16cid:durableId="147013769">
    <w:abstractNumId w:val="0"/>
  </w:num>
  <w:num w:numId="38" w16cid:durableId="1419910642">
    <w:abstractNumId w:val="28"/>
  </w:num>
  <w:num w:numId="39" w16cid:durableId="1012953044">
    <w:abstractNumId w:val="20"/>
  </w:num>
  <w:num w:numId="40" w16cid:durableId="772936353">
    <w:abstractNumId w:val="32"/>
  </w:num>
  <w:num w:numId="41" w16cid:durableId="286930659">
    <w:abstractNumId w:val="22"/>
  </w:num>
  <w:num w:numId="42" w16cid:durableId="1330867401">
    <w:abstractNumId w:val="46"/>
  </w:num>
  <w:num w:numId="43" w16cid:durableId="865607051">
    <w:abstractNumId w:val="50"/>
  </w:num>
  <w:num w:numId="44" w16cid:durableId="1410231967">
    <w:abstractNumId w:val="21"/>
  </w:num>
  <w:num w:numId="45" w16cid:durableId="195042677">
    <w:abstractNumId w:val="55"/>
  </w:num>
  <w:num w:numId="46" w16cid:durableId="2032800977">
    <w:abstractNumId w:val="48"/>
  </w:num>
  <w:num w:numId="47" w16cid:durableId="555549504">
    <w:abstractNumId w:val="26"/>
  </w:num>
  <w:num w:numId="48" w16cid:durableId="59518555">
    <w:abstractNumId w:val="37"/>
  </w:num>
  <w:num w:numId="49" w16cid:durableId="780608507">
    <w:abstractNumId w:val="36"/>
  </w:num>
  <w:num w:numId="50" w16cid:durableId="1434135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617381">
    <w:abstractNumId w:val="43"/>
  </w:num>
  <w:num w:numId="52" w16cid:durableId="1351839081">
    <w:abstractNumId w:val="17"/>
  </w:num>
  <w:num w:numId="53" w16cid:durableId="1206522498">
    <w:abstractNumId w:val="12"/>
  </w:num>
  <w:num w:numId="54" w16cid:durableId="2022586664">
    <w:abstractNumId w:val="13"/>
  </w:num>
  <w:num w:numId="55" w16cid:durableId="876745219">
    <w:abstractNumId w:val="33"/>
  </w:num>
  <w:num w:numId="56" w16cid:durableId="1748074203">
    <w:abstractNumId w:val="56"/>
  </w:num>
  <w:num w:numId="57" w16cid:durableId="53311524">
    <w:abstractNumId w:val="15"/>
  </w:num>
  <w:num w:numId="58" w16cid:durableId="1390154245">
    <w:abstractNumId w:val="23"/>
  </w:num>
  <w:num w:numId="59" w16cid:durableId="1647585227">
    <w:abstractNumId w:val="41"/>
  </w:num>
  <w:num w:numId="60" w16cid:durableId="7790338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6D"/>
    <w:rsid w:val="000003AB"/>
    <w:rsid w:val="000005D6"/>
    <w:rsid w:val="000006C1"/>
    <w:rsid w:val="00001171"/>
    <w:rsid w:val="00001654"/>
    <w:rsid w:val="00001D7B"/>
    <w:rsid w:val="00001EE2"/>
    <w:rsid w:val="00001FA9"/>
    <w:rsid w:val="0000222C"/>
    <w:rsid w:val="00002232"/>
    <w:rsid w:val="000028D5"/>
    <w:rsid w:val="000028F7"/>
    <w:rsid w:val="00002C89"/>
    <w:rsid w:val="00002EDB"/>
    <w:rsid w:val="000033C0"/>
    <w:rsid w:val="00003590"/>
    <w:rsid w:val="00003C86"/>
    <w:rsid w:val="00003CDC"/>
    <w:rsid w:val="00003CFF"/>
    <w:rsid w:val="00003D70"/>
    <w:rsid w:val="0000409C"/>
    <w:rsid w:val="00004538"/>
    <w:rsid w:val="000046BD"/>
    <w:rsid w:val="0000477F"/>
    <w:rsid w:val="00005FA9"/>
    <w:rsid w:val="0000605F"/>
    <w:rsid w:val="00006108"/>
    <w:rsid w:val="00006597"/>
    <w:rsid w:val="00006CEF"/>
    <w:rsid w:val="00006E96"/>
    <w:rsid w:val="00007660"/>
    <w:rsid w:val="000076E6"/>
    <w:rsid w:val="00007F37"/>
    <w:rsid w:val="000101C0"/>
    <w:rsid w:val="00010235"/>
    <w:rsid w:val="000102AF"/>
    <w:rsid w:val="00010CCD"/>
    <w:rsid w:val="00010E7F"/>
    <w:rsid w:val="00010F38"/>
    <w:rsid w:val="00011423"/>
    <w:rsid w:val="000117B1"/>
    <w:rsid w:val="00011FEC"/>
    <w:rsid w:val="00012076"/>
    <w:rsid w:val="00012280"/>
    <w:rsid w:val="00012434"/>
    <w:rsid w:val="0001253F"/>
    <w:rsid w:val="00012A70"/>
    <w:rsid w:val="00012F3C"/>
    <w:rsid w:val="00013ABD"/>
    <w:rsid w:val="000146CA"/>
    <w:rsid w:val="00014939"/>
    <w:rsid w:val="00014FC4"/>
    <w:rsid w:val="00015113"/>
    <w:rsid w:val="00015584"/>
    <w:rsid w:val="00015588"/>
    <w:rsid w:val="00015AA9"/>
    <w:rsid w:val="00016241"/>
    <w:rsid w:val="00016666"/>
    <w:rsid w:val="00016707"/>
    <w:rsid w:val="000168C3"/>
    <w:rsid w:val="00016CC2"/>
    <w:rsid w:val="00017063"/>
    <w:rsid w:val="00017388"/>
    <w:rsid w:val="00017F78"/>
    <w:rsid w:val="0002050F"/>
    <w:rsid w:val="000206D5"/>
    <w:rsid w:val="00020787"/>
    <w:rsid w:val="000207F9"/>
    <w:rsid w:val="00020EAA"/>
    <w:rsid w:val="000210AD"/>
    <w:rsid w:val="000210B6"/>
    <w:rsid w:val="0002111F"/>
    <w:rsid w:val="00021376"/>
    <w:rsid w:val="00021703"/>
    <w:rsid w:val="0002190F"/>
    <w:rsid w:val="00021E12"/>
    <w:rsid w:val="000221D2"/>
    <w:rsid w:val="00022DEF"/>
    <w:rsid w:val="000233D5"/>
    <w:rsid w:val="00023A86"/>
    <w:rsid w:val="00023FA8"/>
    <w:rsid w:val="00024079"/>
    <w:rsid w:val="00024191"/>
    <w:rsid w:val="0002478E"/>
    <w:rsid w:val="000247C9"/>
    <w:rsid w:val="00024909"/>
    <w:rsid w:val="00024971"/>
    <w:rsid w:val="000249C4"/>
    <w:rsid w:val="0002558E"/>
    <w:rsid w:val="00025CB3"/>
    <w:rsid w:val="00025E2A"/>
    <w:rsid w:val="0002619D"/>
    <w:rsid w:val="000262A5"/>
    <w:rsid w:val="00026304"/>
    <w:rsid w:val="00026E53"/>
    <w:rsid w:val="000271FE"/>
    <w:rsid w:val="00027868"/>
    <w:rsid w:val="00027B54"/>
    <w:rsid w:val="00027C89"/>
    <w:rsid w:val="00027CBE"/>
    <w:rsid w:val="000301A2"/>
    <w:rsid w:val="000302C5"/>
    <w:rsid w:val="0003056F"/>
    <w:rsid w:val="0003063E"/>
    <w:rsid w:val="0003078D"/>
    <w:rsid w:val="00031116"/>
    <w:rsid w:val="0003172B"/>
    <w:rsid w:val="00031C10"/>
    <w:rsid w:val="000321D6"/>
    <w:rsid w:val="0003222A"/>
    <w:rsid w:val="000329D5"/>
    <w:rsid w:val="00032BE9"/>
    <w:rsid w:val="00032E77"/>
    <w:rsid w:val="000337A0"/>
    <w:rsid w:val="00033F8B"/>
    <w:rsid w:val="0003437F"/>
    <w:rsid w:val="00034B80"/>
    <w:rsid w:val="00034CA2"/>
    <w:rsid w:val="00034D93"/>
    <w:rsid w:val="00035102"/>
    <w:rsid w:val="000354FE"/>
    <w:rsid w:val="000355C3"/>
    <w:rsid w:val="00035B0E"/>
    <w:rsid w:val="000362C4"/>
    <w:rsid w:val="00036495"/>
    <w:rsid w:val="000366A7"/>
    <w:rsid w:val="00036738"/>
    <w:rsid w:val="00036C04"/>
    <w:rsid w:val="00036C60"/>
    <w:rsid w:val="00036D60"/>
    <w:rsid w:val="00036EC4"/>
    <w:rsid w:val="00037139"/>
    <w:rsid w:val="00037FED"/>
    <w:rsid w:val="00040258"/>
    <w:rsid w:val="0004087A"/>
    <w:rsid w:val="0004132C"/>
    <w:rsid w:val="0004138B"/>
    <w:rsid w:val="0004185B"/>
    <w:rsid w:val="00041A60"/>
    <w:rsid w:val="00041A91"/>
    <w:rsid w:val="00042289"/>
    <w:rsid w:val="00042EAB"/>
    <w:rsid w:val="00042EB3"/>
    <w:rsid w:val="00043C4D"/>
    <w:rsid w:val="00044C50"/>
    <w:rsid w:val="000460A0"/>
    <w:rsid w:val="000461DB"/>
    <w:rsid w:val="000462CD"/>
    <w:rsid w:val="00046876"/>
    <w:rsid w:val="00046A6D"/>
    <w:rsid w:val="00046D46"/>
    <w:rsid w:val="00047061"/>
    <w:rsid w:val="000472EB"/>
    <w:rsid w:val="000477C1"/>
    <w:rsid w:val="00047CB8"/>
    <w:rsid w:val="00047DEC"/>
    <w:rsid w:val="00050696"/>
    <w:rsid w:val="00050834"/>
    <w:rsid w:val="0005140B"/>
    <w:rsid w:val="000514A3"/>
    <w:rsid w:val="000517C6"/>
    <w:rsid w:val="000518F3"/>
    <w:rsid w:val="000519AF"/>
    <w:rsid w:val="00051CD8"/>
    <w:rsid w:val="00051F9C"/>
    <w:rsid w:val="00052082"/>
    <w:rsid w:val="000532DF"/>
    <w:rsid w:val="00053754"/>
    <w:rsid w:val="00053BE3"/>
    <w:rsid w:val="00053C9D"/>
    <w:rsid w:val="000541CE"/>
    <w:rsid w:val="00054278"/>
    <w:rsid w:val="00054D5B"/>
    <w:rsid w:val="00054F12"/>
    <w:rsid w:val="00054FB5"/>
    <w:rsid w:val="00054FC7"/>
    <w:rsid w:val="0005526F"/>
    <w:rsid w:val="00055306"/>
    <w:rsid w:val="00055584"/>
    <w:rsid w:val="000565C0"/>
    <w:rsid w:val="000566E0"/>
    <w:rsid w:val="0005679A"/>
    <w:rsid w:val="00056A0D"/>
    <w:rsid w:val="00057388"/>
    <w:rsid w:val="000577C2"/>
    <w:rsid w:val="000600E3"/>
    <w:rsid w:val="00060A6B"/>
    <w:rsid w:val="00060E4E"/>
    <w:rsid w:val="00060EA4"/>
    <w:rsid w:val="00061072"/>
    <w:rsid w:val="0006138B"/>
    <w:rsid w:val="0006166E"/>
    <w:rsid w:val="00061A49"/>
    <w:rsid w:val="000622D3"/>
    <w:rsid w:val="00062AE4"/>
    <w:rsid w:val="00062E45"/>
    <w:rsid w:val="00062ED6"/>
    <w:rsid w:val="000632EC"/>
    <w:rsid w:val="0006373C"/>
    <w:rsid w:val="00063893"/>
    <w:rsid w:val="00063CF6"/>
    <w:rsid w:val="00064019"/>
    <w:rsid w:val="0006418A"/>
    <w:rsid w:val="00064335"/>
    <w:rsid w:val="00064E16"/>
    <w:rsid w:val="0006507C"/>
    <w:rsid w:val="0006514D"/>
    <w:rsid w:val="000653B9"/>
    <w:rsid w:val="000654A2"/>
    <w:rsid w:val="00065519"/>
    <w:rsid w:val="0006578D"/>
    <w:rsid w:val="0006596F"/>
    <w:rsid w:val="00065A08"/>
    <w:rsid w:val="00065A55"/>
    <w:rsid w:val="00065F5C"/>
    <w:rsid w:val="000664D6"/>
    <w:rsid w:val="0006699C"/>
    <w:rsid w:val="00066CF9"/>
    <w:rsid w:val="00066DD6"/>
    <w:rsid w:val="00066DF9"/>
    <w:rsid w:val="00066E9C"/>
    <w:rsid w:val="00067217"/>
    <w:rsid w:val="00067402"/>
    <w:rsid w:val="00067503"/>
    <w:rsid w:val="000676C5"/>
    <w:rsid w:val="000679E1"/>
    <w:rsid w:val="00067DD9"/>
    <w:rsid w:val="00070261"/>
    <w:rsid w:val="0007032C"/>
    <w:rsid w:val="00070A98"/>
    <w:rsid w:val="00070CB5"/>
    <w:rsid w:val="0007129C"/>
    <w:rsid w:val="0007189A"/>
    <w:rsid w:val="00071E0C"/>
    <w:rsid w:val="000722EC"/>
    <w:rsid w:val="00072543"/>
    <w:rsid w:val="000727C0"/>
    <w:rsid w:val="0007288C"/>
    <w:rsid w:val="00072A79"/>
    <w:rsid w:val="00072CF8"/>
    <w:rsid w:val="000737CA"/>
    <w:rsid w:val="00073CE3"/>
    <w:rsid w:val="00074111"/>
    <w:rsid w:val="00074233"/>
    <w:rsid w:val="000746B6"/>
    <w:rsid w:val="000746C0"/>
    <w:rsid w:val="000748E1"/>
    <w:rsid w:val="000749AE"/>
    <w:rsid w:val="00074F5E"/>
    <w:rsid w:val="0007541E"/>
    <w:rsid w:val="00075A6D"/>
    <w:rsid w:val="00075D85"/>
    <w:rsid w:val="000760E1"/>
    <w:rsid w:val="00076119"/>
    <w:rsid w:val="000765F5"/>
    <w:rsid w:val="0007698B"/>
    <w:rsid w:val="00076C61"/>
    <w:rsid w:val="00076C69"/>
    <w:rsid w:val="00076E45"/>
    <w:rsid w:val="000770FC"/>
    <w:rsid w:val="0007740B"/>
    <w:rsid w:val="0007745C"/>
    <w:rsid w:val="0008045A"/>
    <w:rsid w:val="000818C9"/>
    <w:rsid w:val="00081E39"/>
    <w:rsid w:val="00081EE2"/>
    <w:rsid w:val="00081F3B"/>
    <w:rsid w:val="000822EE"/>
    <w:rsid w:val="00082C99"/>
    <w:rsid w:val="00082DC2"/>
    <w:rsid w:val="00082FB9"/>
    <w:rsid w:val="00082FDF"/>
    <w:rsid w:val="0008314B"/>
    <w:rsid w:val="000839AA"/>
    <w:rsid w:val="00083AA1"/>
    <w:rsid w:val="00083AE8"/>
    <w:rsid w:val="00083B5B"/>
    <w:rsid w:val="000844BD"/>
    <w:rsid w:val="00085400"/>
    <w:rsid w:val="000854AB"/>
    <w:rsid w:val="000857C2"/>
    <w:rsid w:val="0008603A"/>
    <w:rsid w:val="00086401"/>
    <w:rsid w:val="00086EDE"/>
    <w:rsid w:val="000900D9"/>
    <w:rsid w:val="000903E3"/>
    <w:rsid w:val="00090B61"/>
    <w:rsid w:val="00090CFB"/>
    <w:rsid w:val="00090E57"/>
    <w:rsid w:val="00090FA4"/>
    <w:rsid w:val="0009105B"/>
    <w:rsid w:val="00091800"/>
    <w:rsid w:val="00092011"/>
    <w:rsid w:val="0009267C"/>
    <w:rsid w:val="00092A7E"/>
    <w:rsid w:val="00092ABC"/>
    <w:rsid w:val="00092CEC"/>
    <w:rsid w:val="00092F76"/>
    <w:rsid w:val="00093019"/>
    <w:rsid w:val="000939F4"/>
    <w:rsid w:val="00093B80"/>
    <w:rsid w:val="000949E6"/>
    <w:rsid w:val="00094C19"/>
    <w:rsid w:val="00094E76"/>
    <w:rsid w:val="000960A0"/>
    <w:rsid w:val="000965A2"/>
    <w:rsid w:val="000968B4"/>
    <w:rsid w:val="000969F5"/>
    <w:rsid w:val="00096A79"/>
    <w:rsid w:val="00096C23"/>
    <w:rsid w:val="000971FC"/>
    <w:rsid w:val="0009763E"/>
    <w:rsid w:val="000978A3"/>
    <w:rsid w:val="00097CF5"/>
    <w:rsid w:val="00097D58"/>
    <w:rsid w:val="000A01C4"/>
    <w:rsid w:val="000A063D"/>
    <w:rsid w:val="000A0B9C"/>
    <w:rsid w:val="000A0FA5"/>
    <w:rsid w:val="000A1292"/>
    <w:rsid w:val="000A12BF"/>
    <w:rsid w:val="000A151C"/>
    <w:rsid w:val="000A1CCA"/>
    <w:rsid w:val="000A1FD1"/>
    <w:rsid w:val="000A2B55"/>
    <w:rsid w:val="000A2D60"/>
    <w:rsid w:val="000A3400"/>
    <w:rsid w:val="000A3523"/>
    <w:rsid w:val="000A3F84"/>
    <w:rsid w:val="000A4006"/>
    <w:rsid w:val="000A483C"/>
    <w:rsid w:val="000A4BD1"/>
    <w:rsid w:val="000A4C14"/>
    <w:rsid w:val="000A4C30"/>
    <w:rsid w:val="000A4C87"/>
    <w:rsid w:val="000A5748"/>
    <w:rsid w:val="000A5A6B"/>
    <w:rsid w:val="000A5A79"/>
    <w:rsid w:val="000A6C2A"/>
    <w:rsid w:val="000A759D"/>
    <w:rsid w:val="000A7866"/>
    <w:rsid w:val="000A794B"/>
    <w:rsid w:val="000A7B52"/>
    <w:rsid w:val="000A7BF6"/>
    <w:rsid w:val="000A7EA0"/>
    <w:rsid w:val="000A7EFA"/>
    <w:rsid w:val="000A7FD9"/>
    <w:rsid w:val="000B0048"/>
    <w:rsid w:val="000B0070"/>
    <w:rsid w:val="000B066F"/>
    <w:rsid w:val="000B0759"/>
    <w:rsid w:val="000B0C19"/>
    <w:rsid w:val="000B12AD"/>
    <w:rsid w:val="000B1C4E"/>
    <w:rsid w:val="000B2626"/>
    <w:rsid w:val="000B28B8"/>
    <w:rsid w:val="000B28F0"/>
    <w:rsid w:val="000B2A07"/>
    <w:rsid w:val="000B2B91"/>
    <w:rsid w:val="000B32F4"/>
    <w:rsid w:val="000B3713"/>
    <w:rsid w:val="000B39A4"/>
    <w:rsid w:val="000B3CF3"/>
    <w:rsid w:val="000B3F79"/>
    <w:rsid w:val="000B442E"/>
    <w:rsid w:val="000B4652"/>
    <w:rsid w:val="000B4E0C"/>
    <w:rsid w:val="000B5A04"/>
    <w:rsid w:val="000B689C"/>
    <w:rsid w:val="000B70F4"/>
    <w:rsid w:val="000B7702"/>
    <w:rsid w:val="000B794C"/>
    <w:rsid w:val="000B7E6C"/>
    <w:rsid w:val="000C02AD"/>
    <w:rsid w:val="000C0807"/>
    <w:rsid w:val="000C0C7C"/>
    <w:rsid w:val="000C0EC6"/>
    <w:rsid w:val="000C12EC"/>
    <w:rsid w:val="000C242E"/>
    <w:rsid w:val="000C29B3"/>
    <w:rsid w:val="000C2B6C"/>
    <w:rsid w:val="000C2F1C"/>
    <w:rsid w:val="000C3042"/>
    <w:rsid w:val="000C318D"/>
    <w:rsid w:val="000C31A7"/>
    <w:rsid w:val="000C3526"/>
    <w:rsid w:val="000C3D0E"/>
    <w:rsid w:val="000C3F00"/>
    <w:rsid w:val="000C4110"/>
    <w:rsid w:val="000C43B5"/>
    <w:rsid w:val="000C4600"/>
    <w:rsid w:val="000C487F"/>
    <w:rsid w:val="000C5CE8"/>
    <w:rsid w:val="000C699A"/>
    <w:rsid w:val="000C69F7"/>
    <w:rsid w:val="000C73BD"/>
    <w:rsid w:val="000C7727"/>
    <w:rsid w:val="000C7820"/>
    <w:rsid w:val="000C7C8F"/>
    <w:rsid w:val="000C7D61"/>
    <w:rsid w:val="000C7E86"/>
    <w:rsid w:val="000D0147"/>
    <w:rsid w:val="000D0870"/>
    <w:rsid w:val="000D08A6"/>
    <w:rsid w:val="000D0CBE"/>
    <w:rsid w:val="000D18E8"/>
    <w:rsid w:val="000D1E58"/>
    <w:rsid w:val="000D2064"/>
    <w:rsid w:val="000D265D"/>
    <w:rsid w:val="000D28DF"/>
    <w:rsid w:val="000D313A"/>
    <w:rsid w:val="000D3A3E"/>
    <w:rsid w:val="000D3C8C"/>
    <w:rsid w:val="000D3CDE"/>
    <w:rsid w:val="000D3D16"/>
    <w:rsid w:val="000D4087"/>
    <w:rsid w:val="000D40DB"/>
    <w:rsid w:val="000D4372"/>
    <w:rsid w:val="000D4547"/>
    <w:rsid w:val="000D4923"/>
    <w:rsid w:val="000D4AB3"/>
    <w:rsid w:val="000D53BD"/>
    <w:rsid w:val="000D5550"/>
    <w:rsid w:val="000D555B"/>
    <w:rsid w:val="000D59F4"/>
    <w:rsid w:val="000D5A80"/>
    <w:rsid w:val="000D5B7B"/>
    <w:rsid w:val="000D60B9"/>
    <w:rsid w:val="000D6406"/>
    <w:rsid w:val="000D65FD"/>
    <w:rsid w:val="000D6869"/>
    <w:rsid w:val="000D695B"/>
    <w:rsid w:val="000D7585"/>
    <w:rsid w:val="000D78D1"/>
    <w:rsid w:val="000E0071"/>
    <w:rsid w:val="000E07C5"/>
    <w:rsid w:val="000E10BB"/>
    <w:rsid w:val="000E1586"/>
    <w:rsid w:val="000E187A"/>
    <w:rsid w:val="000E1A8C"/>
    <w:rsid w:val="000E26FF"/>
    <w:rsid w:val="000E279E"/>
    <w:rsid w:val="000E28E3"/>
    <w:rsid w:val="000E2D3A"/>
    <w:rsid w:val="000E3125"/>
    <w:rsid w:val="000E382B"/>
    <w:rsid w:val="000E390B"/>
    <w:rsid w:val="000E3D80"/>
    <w:rsid w:val="000E3DAC"/>
    <w:rsid w:val="000E41E1"/>
    <w:rsid w:val="000E46BD"/>
    <w:rsid w:val="000E4BB2"/>
    <w:rsid w:val="000E4ECF"/>
    <w:rsid w:val="000E5B31"/>
    <w:rsid w:val="000E5CCA"/>
    <w:rsid w:val="000E5EDC"/>
    <w:rsid w:val="000E5FA0"/>
    <w:rsid w:val="000E6065"/>
    <w:rsid w:val="000E6279"/>
    <w:rsid w:val="000E6A09"/>
    <w:rsid w:val="000E6AE0"/>
    <w:rsid w:val="000E6C65"/>
    <w:rsid w:val="000E6CF7"/>
    <w:rsid w:val="000E7948"/>
    <w:rsid w:val="000E7C3D"/>
    <w:rsid w:val="000E7D1A"/>
    <w:rsid w:val="000F0425"/>
    <w:rsid w:val="000F082D"/>
    <w:rsid w:val="000F0B30"/>
    <w:rsid w:val="000F1022"/>
    <w:rsid w:val="000F193E"/>
    <w:rsid w:val="000F1C54"/>
    <w:rsid w:val="000F1E0F"/>
    <w:rsid w:val="000F20B6"/>
    <w:rsid w:val="000F2183"/>
    <w:rsid w:val="000F23C8"/>
    <w:rsid w:val="000F2AFD"/>
    <w:rsid w:val="000F2E6B"/>
    <w:rsid w:val="000F3401"/>
    <w:rsid w:val="000F377F"/>
    <w:rsid w:val="000F3F4C"/>
    <w:rsid w:val="000F40F4"/>
    <w:rsid w:val="000F462A"/>
    <w:rsid w:val="000F4BD4"/>
    <w:rsid w:val="000F5253"/>
    <w:rsid w:val="000F55CA"/>
    <w:rsid w:val="000F5B9D"/>
    <w:rsid w:val="000F5D5F"/>
    <w:rsid w:val="000F6013"/>
    <w:rsid w:val="000F606E"/>
    <w:rsid w:val="000F6AED"/>
    <w:rsid w:val="000F6BA0"/>
    <w:rsid w:val="000F6DFF"/>
    <w:rsid w:val="000F6F04"/>
    <w:rsid w:val="000F702D"/>
    <w:rsid w:val="000F71FE"/>
    <w:rsid w:val="000F727F"/>
    <w:rsid w:val="000F75B4"/>
    <w:rsid w:val="000F7823"/>
    <w:rsid w:val="001006A0"/>
    <w:rsid w:val="00101BC3"/>
    <w:rsid w:val="001026A2"/>
    <w:rsid w:val="001028C5"/>
    <w:rsid w:val="0010295E"/>
    <w:rsid w:val="001029D9"/>
    <w:rsid w:val="00102B59"/>
    <w:rsid w:val="00102D2A"/>
    <w:rsid w:val="001033E5"/>
    <w:rsid w:val="001033EB"/>
    <w:rsid w:val="00103667"/>
    <w:rsid w:val="00103C0F"/>
    <w:rsid w:val="00104082"/>
    <w:rsid w:val="0010442A"/>
    <w:rsid w:val="00104DAF"/>
    <w:rsid w:val="00104FF3"/>
    <w:rsid w:val="0010517D"/>
    <w:rsid w:val="001059F4"/>
    <w:rsid w:val="00105A27"/>
    <w:rsid w:val="00105C87"/>
    <w:rsid w:val="00105FE5"/>
    <w:rsid w:val="0010653B"/>
    <w:rsid w:val="00106608"/>
    <w:rsid w:val="00106A14"/>
    <w:rsid w:val="00106B08"/>
    <w:rsid w:val="00106BB5"/>
    <w:rsid w:val="00107019"/>
    <w:rsid w:val="00107165"/>
    <w:rsid w:val="00107342"/>
    <w:rsid w:val="001077CF"/>
    <w:rsid w:val="00110241"/>
    <w:rsid w:val="00110402"/>
    <w:rsid w:val="001109D9"/>
    <w:rsid w:val="00110B7C"/>
    <w:rsid w:val="00110E9F"/>
    <w:rsid w:val="00110FA3"/>
    <w:rsid w:val="001110B9"/>
    <w:rsid w:val="00111223"/>
    <w:rsid w:val="00111270"/>
    <w:rsid w:val="001113D9"/>
    <w:rsid w:val="00111F5B"/>
    <w:rsid w:val="0011251B"/>
    <w:rsid w:val="0011290D"/>
    <w:rsid w:val="00112930"/>
    <w:rsid w:val="00112F17"/>
    <w:rsid w:val="00113358"/>
    <w:rsid w:val="00114136"/>
    <w:rsid w:val="00114AC0"/>
    <w:rsid w:val="00114EB5"/>
    <w:rsid w:val="00115109"/>
    <w:rsid w:val="00115354"/>
    <w:rsid w:val="00115956"/>
    <w:rsid w:val="0011606C"/>
    <w:rsid w:val="001162A3"/>
    <w:rsid w:val="001162FA"/>
    <w:rsid w:val="00116FF1"/>
    <w:rsid w:val="0011728D"/>
    <w:rsid w:val="001176CE"/>
    <w:rsid w:val="00117861"/>
    <w:rsid w:val="00120B50"/>
    <w:rsid w:val="00121531"/>
    <w:rsid w:val="001216E2"/>
    <w:rsid w:val="00121B3A"/>
    <w:rsid w:val="00122F22"/>
    <w:rsid w:val="001233EB"/>
    <w:rsid w:val="0012375F"/>
    <w:rsid w:val="00123935"/>
    <w:rsid w:val="0012397A"/>
    <w:rsid w:val="00123E9D"/>
    <w:rsid w:val="0012429E"/>
    <w:rsid w:val="00124429"/>
    <w:rsid w:val="00124719"/>
    <w:rsid w:val="0012497F"/>
    <w:rsid w:val="00124DA7"/>
    <w:rsid w:val="00124E80"/>
    <w:rsid w:val="001251C2"/>
    <w:rsid w:val="00125265"/>
    <w:rsid w:val="0012531E"/>
    <w:rsid w:val="001259AE"/>
    <w:rsid w:val="00125B4A"/>
    <w:rsid w:val="00125DD8"/>
    <w:rsid w:val="00125E13"/>
    <w:rsid w:val="00126166"/>
    <w:rsid w:val="0012616A"/>
    <w:rsid w:val="0012699C"/>
    <w:rsid w:val="00126F05"/>
    <w:rsid w:val="0012732B"/>
    <w:rsid w:val="001274A6"/>
    <w:rsid w:val="001275F1"/>
    <w:rsid w:val="001278E9"/>
    <w:rsid w:val="001302BD"/>
    <w:rsid w:val="00130DEC"/>
    <w:rsid w:val="00130F61"/>
    <w:rsid w:val="00131CD8"/>
    <w:rsid w:val="001323D1"/>
    <w:rsid w:val="00132771"/>
    <w:rsid w:val="00132FE6"/>
    <w:rsid w:val="001331B1"/>
    <w:rsid w:val="001336A1"/>
    <w:rsid w:val="00133AB4"/>
    <w:rsid w:val="001343AE"/>
    <w:rsid w:val="00134550"/>
    <w:rsid w:val="00134BC2"/>
    <w:rsid w:val="00134CAC"/>
    <w:rsid w:val="00135793"/>
    <w:rsid w:val="0013590B"/>
    <w:rsid w:val="00136492"/>
    <w:rsid w:val="00136733"/>
    <w:rsid w:val="00136C1F"/>
    <w:rsid w:val="001378AC"/>
    <w:rsid w:val="00137F93"/>
    <w:rsid w:val="001403BD"/>
    <w:rsid w:val="001406CB"/>
    <w:rsid w:val="00140822"/>
    <w:rsid w:val="001415C7"/>
    <w:rsid w:val="0014160F"/>
    <w:rsid w:val="00141A84"/>
    <w:rsid w:val="00141C72"/>
    <w:rsid w:val="00142106"/>
    <w:rsid w:val="001421B9"/>
    <w:rsid w:val="001429FF"/>
    <w:rsid w:val="001435FF"/>
    <w:rsid w:val="00143980"/>
    <w:rsid w:val="00143B78"/>
    <w:rsid w:val="001440F1"/>
    <w:rsid w:val="0014456F"/>
    <w:rsid w:val="00144837"/>
    <w:rsid w:val="0014502D"/>
    <w:rsid w:val="00145585"/>
    <w:rsid w:val="001456AB"/>
    <w:rsid w:val="00145D28"/>
    <w:rsid w:val="00145E02"/>
    <w:rsid w:val="00145E63"/>
    <w:rsid w:val="0014665F"/>
    <w:rsid w:val="001472FE"/>
    <w:rsid w:val="001475F6"/>
    <w:rsid w:val="00147632"/>
    <w:rsid w:val="001477DA"/>
    <w:rsid w:val="0014796A"/>
    <w:rsid w:val="00147D3B"/>
    <w:rsid w:val="0015090F"/>
    <w:rsid w:val="00150979"/>
    <w:rsid w:val="0015120E"/>
    <w:rsid w:val="00151365"/>
    <w:rsid w:val="00151410"/>
    <w:rsid w:val="0015157F"/>
    <w:rsid w:val="00151AF5"/>
    <w:rsid w:val="00151B8C"/>
    <w:rsid w:val="00151D6B"/>
    <w:rsid w:val="00151EA0"/>
    <w:rsid w:val="00152348"/>
    <w:rsid w:val="001525E0"/>
    <w:rsid w:val="00152775"/>
    <w:rsid w:val="00152B25"/>
    <w:rsid w:val="00152E0E"/>
    <w:rsid w:val="00152FB9"/>
    <w:rsid w:val="00152FD5"/>
    <w:rsid w:val="00153081"/>
    <w:rsid w:val="0015356C"/>
    <w:rsid w:val="001538BE"/>
    <w:rsid w:val="00154422"/>
    <w:rsid w:val="00154431"/>
    <w:rsid w:val="00154747"/>
    <w:rsid w:val="00154A59"/>
    <w:rsid w:val="00154AD3"/>
    <w:rsid w:val="00154AD8"/>
    <w:rsid w:val="00154B74"/>
    <w:rsid w:val="00154C0F"/>
    <w:rsid w:val="0015505F"/>
    <w:rsid w:val="001551A1"/>
    <w:rsid w:val="001551BF"/>
    <w:rsid w:val="0015543B"/>
    <w:rsid w:val="001559AA"/>
    <w:rsid w:val="00155A17"/>
    <w:rsid w:val="00155EB1"/>
    <w:rsid w:val="00155FA0"/>
    <w:rsid w:val="001565F0"/>
    <w:rsid w:val="001567D7"/>
    <w:rsid w:val="00156A6B"/>
    <w:rsid w:val="00157A37"/>
    <w:rsid w:val="00157CCF"/>
    <w:rsid w:val="00157FFC"/>
    <w:rsid w:val="001605A9"/>
    <w:rsid w:val="00160A65"/>
    <w:rsid w:val="00160DB3"/>
    <w:rsid w:val="00160F48"/>
    <w:rsid w:val="001610CE"/>
    <w:rsid w:val="001611F1"/>
    <w:rsid w:val="00161775"/>
    <w:rsid w:val="001618C6"/>
    <w:rsid w:val="00162787"/>
    <w:rsid w:val="00162C87"/>
    <w:rsid w:val="00162F43"/>
    <w:rsid w:val="00162F56"/>
    <w:rsid w:val="00162FB7"/>
    <w:rsid w:val="001631DB"/>
    <w:rsid w:val="0016370E"/>
    <w:rsid w:val="0016398F"/>
    <w:rsid w:val="00163AB5"/>
    <w:rsid w:val="00163F37"/>
    <w:rsid w:val="0016420C"/>
    <w:rsid w:val="001642DB"/>
    <w:rsid w:val="001649B9"/>
    <w:rsid w:val="00164BF4"/>
    <w:rsid w:val="00164CC1"/>
    <w:rsid w:val="00164EC3"/>
    <w:rsid w:val="00165099"/>
    <w:rsid w:val="00165141"/>
    <w:rsid w:val="00165E19"/>
    <w:rsid w:val="001663CC"/>
    <w:rsid w:val="00166731"/>
    <w:rsid w:val="001667DB"/>
    <w:rsid w:val="00166A0F"/>
    <w:rsid w:val="0016701F"/>
    <w:rsid w:val="001671C8"/>
    <w:rsid w:val="00167204"/>
    <w:rsid w:val="00167820"/>
    <w:rsid w:val="00167B91"/>
    <w:rsid w:val="00167C71"/>
    <w:rsid w:val="001707B7"/>
    <w:rsid w:val="00170F3B"/>
    <w:rsid w:val="00171874"/>
    <w:rsid w:val="001721B0"/>
    <w:rsid w:val="001723E8"/>
    <w:rsid w:val="001724D8"/>
    <w:rsid w:val="001727CB"/>
    <w:rsid w:val="00172AED"/>
    <w:rsid w:val="00172C59"/>
    <w:rsid w:val="00173125"/>
    <w:rsid w:val="0017314A"/>
    <w:rsid w:val="001735A8"/>
    <w:rsid w:val="001737C3"/>
    <w:rsid w:val="001737EE"/>
    <w:rsid w:val="00173A20"/>
    <w:rsid w:val="00173D6A"/>
    <w:rsid w:val="00173E4F"/>
    <w:rsid w:val="0017426E"/>
    <w:rsid w:val="001747ED"/>
    <w:rsid w:val="00174D98"/>
    <w:rsid w:val="00175424"/>
    <w:rsid w:val="00175909"/>
    <w:rsid w:val="00175B71"/>
    <w:rsid w:val="00175BC9"/>
    <w:rsid w:val="00176097"/>
    <w:rsid w:val="00176AA0"/>
    <w:rsid w:val="00176AEA"/>
    <w:rsid w:val="00176AFE"/>
    <w:rsid w:val="00176D22"/>
    <w:rsid w:val="00176E79"/>
    <w:rsid w:val="00176FD1"/>
    <w:rsid w:val="00177010"/>
    <w:rsid w:val="001770B7"/>
    <w:rsid w:val="00177606"/>
    <w:rsid w:val="001776F5"/>
    <w:rsid w:val="00177917"/>
    <w:rsid w:val="00177BC4"/>
    <w:rsid w:val="001805B8"/>
    <w:rsid w:val="0018076A"/>
    <w:rsid w:val="00180A48"/>
    <w:rsid w:val="00180AF8"/>
    <w:rsid w:val="00180B38"/>
    <w:rsid w:val="00181522"/>
    <w:rsid w:val="001816FA"/>
    <w:rsid w:val="00181A44"/>
    <w:rsid w:val="00181FF1"/>
    <w:rsid w:val="00182545"/>
    <w:rsid w:val="00182A62"/>
    <w:rsid w:val="00182BDB"/>
    <w:rsid w:val="0018306B"/>
    <w:rsid w:val="00183539"/>
    <w:rsid w:val="0018373B"/>
    <w:rsid w:val="00183CE2"/>
    <w:rsid w:val="00183E51"/>
    <w:rsid w:val="00184129"/>
    <w:rsid w:val="001847A4"/>
    <w:rsid w:val="001847D7"/>
    <w:rsid w:val="00184965"/>
    <w:rsid w:val="001849FB"/>
    <w:rsid w:val="00184BD6"/>
    <w:rsid w:val="00184CEF"/>
    <w:rsid w:val="001858C8"/>
    <w:rsid w:val="00185CFD"/>
    <w:rsid w:val="0018619A"/>
    <w:rsid w:val="001861A0"/>
    <w:rsid w:val="001864CC"/>
    <w:rsid w:val="001868D5"/>
    <w:rsid w:val="0018697C"/>
    <w:rsid w:val="001869B0"/>
    <w:rsid w:val="00186DCE"/>
    <w:rsid w:val="00187892"/>
    <w:rsid w:val="00187ACF"/>
    <w:rsid w:val="001901AA"/>
    <w:rsid w:val="001909EB"/>
    <w:rsid w:val="00191A55"/>
    <w:rsid w:val="00191BA2"/>
    <w:rsid w:val="00191C0D"/>
    <w:rsid w:val="00191CA3"/>
    <w:rsid w:val="00191D8F"/>
    <w:rsid w:val="00191DF4"/>
    <w:rsid w:val="00192045"/>
    <w:rsid w:val="0019209C"/>
    <w:rsid w:val="0019359D"/>
    <w:rsid w:val="001935AB"/>
    <w:rsid w:val="00193AF8"/>
    <w:rsid w:val="00193B36"/>
    <w:rsid w:val="00193CA0"/>
    <w:rsid w:val="00193E3C"/>
    <w:rsid w:val="00193E78"/>
    <w:rsid w:val="001956A0"/>
    <w:rsid w:val="00195AF7"/>
    <w:rsid w:val="00196161"/>
    <w:rsid w:val="00196588"/>
    <w:rsid w:val="0019668F"/>
    <w:rsid w:val="00196712"/>
    <w:rsid w:val="00196D59"/>
    <w:rsid w:val="00197219"/>
    <w:rsid w:val="00197495"/>
    <w:rsid w:val="001978BB"/>
    <w:rsid w:val="00197D69"/>
    <w:rsid w:val="00197D8E"/>
    <w:rsid w:val="001A01DC"/>
    <w:rsid w:val="001A04B7"/>
    <w:rsid w:val="001A0564"/>
    <w:rsid w:val="001A0580"/>
    <w:rsid w:val="001A058E"/>
    <w:rsid w:val="001A0686"/>
    <w:rsid w:val="001A0991"/>
    <w:rsid w:val="001A0A19"/>
    <w:rsid w:val="001A0B75"/>
    <w:rsid w:val="001A103D"/>
    <w:rsid w:val="001A1296"/>
    <w:rsid w:val="001A12D7"/>
    <w:rsid w:val="001A1ADE"/>
    <w:rsid w:val="001A1B74"/>
    <w:rsid w:val="001A1DC1"/>
    <w:rsid w:val="001A29C6"/>
    <w:rsid w:val="001A2F0A"/>
    <w:rsid w:val="001A30C3"/>
    <w:rsid w:val="001A31F8"/>
    <w:rsid w:val="001A380C"/>
    <w:rsid w:val="001A3AD1"/>
    <w:rsid w:val="001A4ACF"/>
    <w:rsid w:val="001A4D18"/>
    <w:rsid w:val="001A550D"/>
    <w:rsid w:val="001A57D6"/>
    <w:rsid w:val="001A5A95"/>
    <w:rsid w:val="001A5BBF"/>
    <w:rsid w:val="001A612B"/>
    <w:rsid w:val="001A6400"/>
    <w:rsid w:val="001A6498"/>
    <w:rsid w:val="001A6789"/>
    <w:rsid w:val="001A6B79"/>
    <w:rsid w:val="001A73BC"/>
    <w:rsid w:val="001B006E"/>
    <w:rsid w:val="001B0161"/>
    <w:rsid w:val="001B0B18"/>
    <w:rsid w:val="001B0C60"/>
    <w:rsid w:val="001B180F"/>
    <w:rsid w:val="001B1B7B"/>
    <w:rsid w:val="001B205D"/>
    <w:rsid w:val="001B2372"/>
    <w:rsid w:val="001B3380"/>
    <w:rsid w:val="001B34F5"/>
    <w:rsid w:val="001B3611"/>
    <w:rsid w:val="001B3C55"/>
    <w:rsid w:val="001B3D15"/>
    <w:rsid w:val="001B4676"/>
    <w:rsid w:val="001B47BD"/>
    <w:rsid w:val="001B4C0B"/>
    <w:rsid w:val="001B4EDD"/>
    <w:rsid w:val="001B5E6A"/>
    <w:rsid w:val="001B61F0"/>
    <w:rsid w:val="001B65EC"/>
    <w:rsid w:val="001B6A70"/>
    <w:rsid w:val="001B6AE5"/>
    <w:rsid w:val="001B6B08"/>
    <w:rsid w:val="001B70F4"/>
    <w:rsid w:val="001B7115"/>
    <w:rsid w:val="001B77E9"/>
    <w:rsid w:val="001C00BD"/>
    <w:rsid w:val="001C0228"/>
    <w:rsid w:val="001C082C"/>
    <w:rsid w:val="001C09BD"/>
    <w:rsid w:val="001C1671"/>
    <w:rsid w:val="001C1D3C"/>
    <w:rsid w:val="001C1D9A"/>
    <w:rsid w:val="001C20AA"/>
    <w:rsid w:val="001C2367"/>
    <w:rsid w:val="001C26A5"/>
    <w:rsid w:val="001C278F"/>
    <w:rsid w:val="001C2BA1"/>
    <w:rsid w:val="001C2DD0"/>
    <w:rsid w:val="001C3E4E"/>
    <w:rsid w:val="001C3F3D"/>
    <w:rsid w:val="001C44EE"/>
    <w:rsid w:val="001C4514"/>
    <w:rsid w:val="001C464F"/>
    <w:rsid w:val="001C56F2"/>
    <w:rsid w:val="001C5AB3"/>
    <w:rsid w:val="001C5C4C"/>
    <w:rsid w:val="001C6453"/>
    <w:rsid w:val="001C6596"/>
    <w:rsid w:val="001C6600"/>
    <w:rsid w:val="001C6AAA"/>
    <w:rsid w:val="001C6BE3"/>
    <w:rsid w:val="001C720A"/>
    <w:rsid w:val="001C750A"/>
    <w:rsid w:val="001C7C58"/>
    <w:rsid w:val="001D07CD"/>
    <w:rsid w:val="001D0B48"/>
    <w:rsid w:val="001D0FD5"/>
    <w:rsid w:val="001D1A13"/>
    <w:rsid w:val="001D1DE4"/>
    <w:rsid w:val="001D1F5A"/>
    <w:rsid w:val="001D2258"/>
    <w:rsid w:val="001D235C"/>
    <w:rsid w:val="001D2382"/>
    <w:rsid w:val="001D254F"/>
    <w:rsid w:val="001D270D"/>
    <w:rsid w:val="001D2D37"/>
    <w:rsid w:val="001D3711"/>
    <w:rsid w:val="001D385C"/>
    <w:rsid w:val="001D386F"/>
    <w:rsid w:val="001D3CCA"/>
    <w:rsid w:val="001D3CF7"/>
    <w:rsid w:val="001D446D"/>
    <w:rsid w:val="001D49EB"/>
    <w:rsid w:val="001D4AE3"/>
    <w:rsid w:val="001D523E"/>
    <w:rsid w:val="001D5953"/>
    <w:rsid w:val="001D5A72"/>
    <w:rsid w:val="001D5CCC"/>
    <w:rsid w:val="001D5EAB"/>
    <w:rsid w:val="001D6518"/>
    <w:rsid w:val="001D663D"/>
    <w:rsid w:val="001D6916"/>
    <w:rsid w:val="001D71ED"/>
    <w:rsid w:val="001D7729"/>
    <w:rsid w:val="001D7DA6"/>
    <w:rsid w:val="001D7E69"/>
    <w:rsid w:val="001D7EB6"/>
    <w:rsid w:val="001E05BD"/>
    <w:rsid w:val="001E0633"/>
    <w:rsid w:val="001E070B"/>
    <w:rsid w:val="001E0755"/>
    <w:rsid w:val="001E0D5A"/>
    <w:rsid w:val="001E1A15"/>
    <w:rsid w:val="001E1D9D"/>
    <w:rsid w:val="001E23A7"/>
    <w:rsid w:val="001E246B"/>
    <w:rsid w:val="001E25B7"/>
    <w:rsid w:val="001E3CE3"/>
    <w:rsid w:val="001E41AF"/>
    <w:rsid w:val="001E4205"/>
    <w:rsid w:val="001E4468"/>
    <w:rsid w:val="001E4635"/>
    <w:rsid w:val="001E4830"/>
    <w:rsid w:val="001E4BF6"/>
    <w:rsid w:val="001E4C0E"/>
    <w:rsid w:val="001E50F1"/>
    <w:rsid w:val="001E5263"/>
    <w:rsid w:val="001E5AB6"/>
    <w:rsid w:val="001E5D77"/>
    <w:rsid w:val="001E5ECE"/>
    <w:rsid w:val="001E65EC"/>
    <w:rsid w:val="001E6E81"/>
    <w:rsid w:val="001E708D"/>
    <w:rsid w:val="001E735D"/>
    <w:rsid w:val="001E73BF"/>
    <w:rsid w:val="001E7F6A"/>
    <w:rsid w:val="001F04D6"/>
    <w:rsid w:val="001F05B6"/>
    <w:rsid w:val="001F0A8C"/>
    <w:rsid w:val="001F0AF5"/>
    <w:rsid w:val="001F0F12"/>
    <w:rsid w:val="001F0FA8"/>
    <w:rsid w:val="001F103D"/>
    <w:rsid w:val="001F14E8"/>
    <w:rsid w:val="001F1B91"/>
    <w:rsid w:val="001F1E2B"/>
    <w:rsid w:val="001F1E6E"/>
    <w:rsid w:val="001F1EE3"/>
    <w:rsid w:val="001F2110"/>
    <w:rsid w:val="001F229E"/>
    <w:rsid w:val="001F22B2"/>
    <w:rsid w:val="001F22B8"/>
    <w:rsid w:val="001F25F3"/>
    <w:rsid w:val="001F2B5B"/>
    <w:rsid w:val="001F3081"/>
    <w:rsid w:val="001F3578"/>
    <w:rsid w:val="001F36BC"/>
    <w:rsid w:val="001F3997"/>
    <w:rsid w:val="001F3A1D"/>
    <w:rsid w:val="001F3BD0"/>
    <w:rsid w:val="001F3E1D"/>
    <w:rsid w:val="001F3E60"/>
    <w:rsid w:val="001F426E"/>
    <w:rsid w:val="001F42A2"/>
    <w:rsid w:val="001F4333"/>
    <w:rsid w:val="001F465C"/>
    <w:rsid w:val="001F4836"/>
    <w:rsid w:val="001F518B"/>
    <w:rsid w:val="001F5579"/>
    <w:rsid w:val="001F5ED7"/>
    <w:rsid w:val="001F64A3"/>
    <w:rsid w:val="001F6685"/>
    <w:rsid w:val="001F6B23"/>
    <w:rsid w:val="001F6F1E"/>
    <w:rsid w:val="001F74EA"/>
    <w:rsid w:val="001F7BB9"/>
    <w:rsid w:val="001F7C5D"/>
    <w:rsid w:val="001F7CD6"/>
    <w:rsid w:val="00200016"/>
    <w:rsid w:val="00200626"/>
    <w:rsid w:val="00200E51"/>
    <w:rsid w:val="0020153D"/>
    <w:rsid w:val="00201940"/>
    <w:rsid w:val="00202689"/>
    <w:rsid w:val="00203655"/>
    <w:rsid w:val="00203BEC"/>
    <w:rsid w:val="002044F5"/>
    <w:rsid w:val="002047B2"/>
    <w:rsid w:val="00204C88"/>
    <w:rsid w:val="002056AD"/>
    <w:rsid w:val="002056BA"/>
    <w:rsid w:val="002059D6"/>
    <w:rsid w:val="0020615D"/>
    <w:rsid w:val="00206313"/>
    <w:rsid w:val="002065BB"/>
    <w:rsid w:val="002068C5"/>
    <w:rsid w:val="002069B2"/>
    <w:rsid w:val="00206C33"/>
    <w:rsid w:val="002079C4"/>
    <w:rsid w:val="00210704"/>
    <w:rsid w:val="00210E32"/>
    <w:rsid w:val="002110E7"/>
    <w:rsid w:val="002114EE"/>
    <w:rsid w:val="00211772"/>
    <w:rsid w:val="002122B6"/>
    <w:rsid w:val="0021255D"/>
    <w:rsid w:val="002125E3"/>
    <w:rsid w:val="00212638"/>
    <w:rsid w:val="00212673"/>
    <w:rsid w:val="00213554"/>
    <w:rsid w:val="00213681"/>
    <w:rsid w:val="002139BA"/>
    <w:rsid w:val="00213B0D"/>
    <w:rsid w:val="00214079"/>
    <w:rsid w:val="00214237"/>
    <w:rsid w:val="00214A36"/>
    <w:rsid w:val="00214CEB"/>
    <w:rsid w:val="00215071"/>
    <w:rsid w:val="00215255"/>
    <w:rsid w:val="00215319"/>
    <w:rsid w:val="002163B7"/>
    <w:rsid w:val="00216F97"/>
    <w:rsid w:val="00217082"/>
    <w:rsid w:val="002175F0"/>
    <w:rsid w:val="0021761F"/>
    <w:rsid w:val="00217687"/>
    <w:rsid w:val="002179B6"/>
    <w:rsid w:val="00217D4D"/>
    <w:rsid w:val="00217E1D"/>
    <w:rsid w:val="002203D4"/>
    <w:rsid w:val="002204E4"/>
    <w:rsid w:val="00221FA4"/>
    <w:rsid w:val="002222E4"/>
    <w:rsid w:val="002225BA"/>
    <w:rsid w:val="002226FB"/>
    <w:rsid w:val="002229E7"/>
    <w:rsid w:val="00222CE2"/>
    <w:rsid w:val="002233B5"/>
    <w:rsid w:val="00223585"/>
    <w:rsid w:val="0022373F"/>
    <w:rsid w:val="00223E1F"/>
    <w:rsid w:val="002246BF"/>
    <w:rsid w:val="002249B0"/>
    <w:rsid w:val="00225070"/>
    <w:rsid w:val="00225328"/>
    <w:rsid w:val="00225689"/>
    <w:rsid w:val="0022573B"/>
    <w:rsid w:val="00225A20"/>
    <w:rsid w:val="0022616B"/>
    <w:rsid w:val="0022694A"/>
    <w:rsid w:val="00226B88"/>
    <w:rsid w:val="0022708E"/>
    <w:rsid w:val="00227205"/>
    <w:rsid w:val="00227574"/>
    <w:rsid w:val="0022792F"/>
    <w:rsid w:val="00227973"/>
    <w:rsid w:val="002279CE"/>
    <w:rsid w:val="00227DCD"/>
    <w:rsid w:val="00230498"/>
    <w:rsid w:val="00230AAC"/>
    <w:rsid w:val="00230B5F"/>
    <w:rsid w:val="0023165C"/>
    <w:rsid w:val="00231744"/>
    <w:rsid w:val="002318AB"/>
    <w:rsid w:val="0023199D"/>
    <w:rsid w:val="00231B94"/>
    <w:rsid w:val="00232581"/>
    <w:rsid w:val="00232ADC"/>
    <w:rsid w:val="00232D54"/>
    <w:rsid w:val="00232FFE"/>
    <w:rsid w:val="00232FFF"/>
    <w:rsid w:val="002330B0"/>
    <w:rsid w:val="00233AFE"/>
    <w:rsid w:val="00233B65"/>
    <w:rsid w:val="00233E86"/>
    <w:rsid w:val="002342FE"/>
    <w:rsid w:val="002343DA"/>
    <w:rsid w:val="00234F21"/>
    <w:rsid w:val="00235163"/>
    <w:rsid w:val="002358BE"/>
    <w:rsid w:val="002359BC"/>
    <w:rsid w:val="00235B08"/>
    <w:rsid w:val="00235C95"/>
    <w:rsid w:val="00235D1F"/>
    <w:rsid w:val="00235D51"/>
    <w:rsid w:val="0023684C"/>
    <w:rsid w:val="00236E4A"/>
    <w:rsid w:val="002371B5"/>
    <w:rsid w:val="002378A1"/>
    <w:rsid w:val="00237BC4"/>
    <w:rsid w:val="00240267"/>
    <w:rsid w:val="002409FE"/>
    <w:rsid w:val="00240D37"/>
    <w:rsid w:val="00240E3A"/>
    <w:rsid w:val="0024153B"/>
    <w:rsid w:val="00241858"/>
    <w:rsid w:val="00241863"/>
    <w:rsid w:val="002418B3"/>
    <w:rsid w:val="00242756"/>
    <w:rsid w:val="0024382D"/>
    <w:rsid w:val="00243876"/>
    <w:rsid w:val="00243B86"/>
    <w:rsid w:val="00243EF4"/>
    <w:rsid w:val="00244623"/>
    <w:rsid w:val="0024478B"/>
    <w:rsid w:val="00244BF5"/>
    <w:rsid w:val="00245573"/>
    <w:rsid w:val="0024569D"/>
    <w:rsid w:val="002459B1"/>
    <w:rsid w:val="0024668B"/>
    <w:rsid w:val="00246A65"/>
    <w:rsid w:val="00246BAB"/>
    <w:rsid w:val="002474DD"/>
    <w:rsid w:val="002479A1"/>
    <w:rsid w:val="00250523"/>
    <w:rsid w:val="00250873"/>
    <w:rsid w:val="00250D99"/>
    <w:rsid w:val="002510DB"/>
    <w:rsid w:val="00251145"/>
    <w:rsid w:val="002512F2"/>
    <w:rsid w:val="002514F3"/>
    <w:rsid w:val="00251BF0"/>
    <w:rsid w:val="00251D63"/>
    <w:rsid w:val="00251E30"/>
    <w:rsid w:val="00251F40"/>
    <w:rsid w:val="0025201E"/>
    <w:rsid w:val="002523B1"/>
    <w:rsid w:val="002525E6"/>
    <w:rsid w:val="00252608"/>
    <w:rsid w:val="002528F2"/>
    <w:rsid w:val="00252D38"/>
    <w:rsid w:val="0025321B"/>
    <w:rsid w:val="002535F7"/>
    <w:rsid w:val="00253D95"/>
    <w:rsid w:val="00253E9B"/>
    <w:rsid w:val="002547B2"/>
    <w:rsid w:val="00254A60"/>
    <w:rsid w:val="00254F67"/>
    <w:rsid w:val="002552FF"/>
    <w:rsid w:val="00255BBD"/>
    <w:rsid w:val="00255D53"/>
    <w:rsid w:val="0025690C"/>
    <w:rsid w:val="00256926"/>
    <w:rsid w:val="002569D0"/>
    <w:rsid w:val="00257313"/>
    <w:rsid w:val="002575DD"/>
    <w:rsid w:val="0025789F"/>
    <w:rsid w:val="0025794E"/>
    <w:rsid w:val="002579F9"/>
    <w:rsid w:val="00257A78"/>
    <w:rsid w:val="00260048"/>
    <w:rsid w:val="002618D3"/>
    <w:rsid w:val="00262327"/>
    <w:rsid w:val="00262A3B"/>
    <w:rsid w:val="002630C4"/>
    <w:rsid w:val="002634F5"/>
    <w:rsid w:val="00263A2A"/>
    <w:rsid w:val="00263BD6"/>
    <w:rsid w:val="00263D78"/>
    <w:rsid w:val="00263DA7"/>
    <w:rsid w:val="00264073"/>
    <w:rsid w:val="002641DF"/>
    <w:rsid w:val="002642B6"/>
    <w:rsid w:val="002648FC"/>
    <w:rsid w:val="00264D9D"/>
    <w:rsid w:val="00264E86"/>
    <w:rsid w:val="00264EAA"/>
    <w:rsid w:val="00264FCC"/>
    <w:rsid w:val="002657AE"/>
    <w:rsid w:val="00265922"/>
    <w:rsid w:val="002664A9"/>
    <w:rsid w:val="00266C7B"/>
    <w:rsid w:val="002672E5"/>
    <w:rsid w:val="00270865"/>
    <w:rsid w:val="00270D75"/>
    <w:rsid w:val="002713AC"/>
    <w:rsid w:val="00271C04"/>
    <w:rsid w:val="00272681"/>
    <w:rsid w:val="00272B78"/>
    <w:rsid w:val="00272CFF"/>
    <w:rsid w:val="002734FD"/>
    <w:rsid w:val="00273E01"/>
    <w:rsid w:val="002742E6"/>
    <w:rsid w:val="002750C4"/>
    <w:rsid w:val="00275692"/>
    <w:rsid w:val="002756AE"/>
    <w:rsid w:val="00275DCD"/>
    <w:rsid w:val="002761E4"/>
    <w:rsid w:val="00276580"/>
    <w:rsid w:val="00276F39"/>
    <w:rsid w:val="0027762C"/>
    <w:rsid w:val="00277F37"/>
    <w:rsid w:val="00280177"/>
    <w:rsid w:val="002804E8"/>
    <w:rsid w:val="00280544"/>
    <w:rsid w:val="0028091F"/>
    <w:rsid w:val="002809C0"/>
    <w:rsid w:val="00280B06"/>
    <w:rsid w:val="00280CD5"/>
    <w:rsid w:val="00280E38"/>
    <w:rsid w:val="002810A5"/>
    <w:rsid w:val="00281294"/>
    <w:rsid w:val="00281758"/>
    <w:rsid w:val="00281796"/>
    <w:rsid w:val="002821C1"/>
    <w:rsid w:val="00282408"/>
    <w:rsid w:val="00282738"/>
    <w:rsid w:val="00282A71"/>
    <w:rsid w:val="00282B21"/>
    <w:rsid w:val="00282F83"/>
    <w:rsid w:val="00283C3B"/>
    <w:rsid w:val="00283DAB"/>
    <w:rsid w:val="00284756"/>
    <w:rsid w:val="00284DEC"/>
    <w:rsid w:val="002854CF"/>
    <w:rsid w:val="0028567B"/>
    <w:rsid w:val="0028589B"/>
    <w:rsid w:val="00285D18"/>
    <w:rsid w:val="002863AD"/>
    <w:rsid w:val="0028653A"/>
    <w:rsid w:val="00286572"/>
    <w:rsid w:val="00286707"/>
    <w:rsid w:val="002867AA"/>
    <w:rsid w:val="00286F23"/>
    <w:rsid w:val="002870BF"/>
    <w:rsid w:val="002870D0"/>
    <w:rsid w:val="00287417"/>
    <w:rsid w:val="0028762D"/>
    <w:rsid w:val="00287680"/>
    <w:rsid w:val="0028781C"/>
    <w:rsid w:val="00287C08"/>
    <w:rsid w:val="00290778"/>
    <w:rsid w:val="002907B0"/>
    <w:rsid w:val="00290A13"/>
    <w:rsid w:val="00290C0D"/>
    <w:rsid w:val="00291132"/>
    <w:rsid w:val="002917E7"/>
    <w:rsid w:val="00291A04"/>
    <w:rsid w:val="002921A4"/>
    <w:rsid w:val="00292728"/>
    <w:rsid w:val="00292FC7"/>
    <w:rsid w:val="002931D7"/>
    <w:rsid w:val="002939D9"/>
    <w:rsid w:val="00293A86"/>
    <w:rsid w:val="00294432"/>
    <w:rsid w:val="00294570"/>
    <w:rsid w:val="0029489F"/>
    <w:rsid w:val="00294913"/>
    <w:rsid w:val="00294B29"/>
    <w:rsid w:val="00295081"/>
    <w:rsid w:val="0029525A"/>
    <w:rsid w:val="00295D73"/>
    <w:rsid w:val="00295E42"/>
    <w:rsid w:val="00295EA9"/>
    <w:rsid w:val="00296423"/>
    <w:rsid w:val="00296500"/>
    <w:rsid w:val="002966CE"/>
    <w:rsid w:val="0029745D"/>
    <w:rsid w:val="00297599"/>
    <w:rsid w:val="00297779"/>
    <w:rsid w:val="00297D3C"/>
    <w:rsid w:val="002A031A"/>
    <w:rsid w:val="002A059D"/>
    <w:rsid w:val="002A0B19"/>
    <w:rsid w:val="002A0B1A"/>
    <w:rsid w:val="002A118E"/>
    <w:rsid w:val="002A139E"/>
    <w:rsid w:val="002A1D94"/>
    <w:rsid w:val="002A20B9"/>
    <w:rsid w:val="002A21FC"/>
    <w:rsid w:val="002A25C3"/>
    <w:rsid w:val="002A288F"/>
    <w:rsid w:val="002A2EF0"/>
    <w:rsid w:val="002A2FAB"/>
    <w:rsid w:val="002A3819"/>
    <w:rsid w:val="002A3F3C"/>
    <w:rsid w:val="002A3F97"/>
    <w:rsid w:val="002A431E"/>
    <w:rsid w:val="002A43B2"/>
    <w:rsid w:val="002A58B3"/>
    <w:rsid w:val="002A5B28"/>
    <w:rsid w:val="002A5C51"/>
    <w:rsid w:val="002A624B"/>
    <w:rsid w:val="002A6476"/>
    <w:rsid w:val="002A65D7"/>
    <w:rsid w:val="002A6990"/>
    <w:rsid w:val="002A6ED2"/>
    <w:rsid w:val="002A75EB"/>
    <w:rsid w:val="002A7B53"/>
    <w:rsid w:val="002A7BFE"/>
    <w:rsid w:val="002A7EB2"/>
    <w:rsid w:val="002A7FFD"/>
    <w:rsid w:val="002B038E"/>
    <w:rsid w:val="002B0697"/>
    <w:rsid w:val="002B07A3"/>
    <w:rsid w:val="002B07D3"/>
    <w:rsid w:val="002B0DC9"/>
    <w:rsid w:val="002B0E8C"/>
    <w:rsid w:val="002B124F"/>
    <w:rsid w:val="002B12F4"/>
    <w:rsid w:val="002B1ECD"/>
    <w:rsid w:val="002B1EDD"/>
    <w:rsid w:val="002B2265"/>
    <w:rsid w:val="002B2E54"/>
    <w:rsid w:val="002B2E59"/>
    <w:rsid w:val="002B487A"/>
    <w:rsid w:val="002B494F"/>
    <w:rsid w:val="002B5290"/>
    <w:rsid w:val="002B622E"/>
    <w:rsid w:val="002B6422"/>
    <w:rsid w:val="002B71AA"/>
    <w:rsid w:val="002B71C7"/>
    <w:rsid w:val="002B7251"/>
    <w:rsid w:val="002B73B2"/>
    <w:rsid w:val="002B769B"/>
    <w:rsid w:val="002B7C2E"/>
    <w:rsid w:val="002C029A"/>
    <w:rsid w:val="002C0699"/>
    <w:rsid w:val="002C0C2F"/>
    <w:rsid w:val="002C1323"/>
    <w:rsid w:val="002C14F1"/>
    <w:rsid w:val="002C2631"/>
    <w:rsid w:val="002C2ADF"/>
    <w:rsid w:val="002C3006"/>
    <w:rsid w:val="002C300A"/>
    <w:rsid w:val="002C30B6"/>
    <w:rsid w:val="002C3213"/>
    <w:rsid w:val="002C3474"/>
    <w:rsid w:val="002C37EC"/>
    <w:rsid w:val="002C4249"/>
    <w:rsid w:val="002C4928"/>
    <w:rsid w:val="002C495F"/>
    <w:rsid w:val="002C54D8"/>
    <w:rsid w:val="002C5555"/>
    <w:rsid w:val="002C55B9"/>
    <w:rsid w:val="002C5674"/>
    <w:rsid w:val="002C59D5"/>
    <w:rsid w:val="002C5F12"/>
    <w:rsid w:val="002C5F40"/>
    <w:rsid w:val="002C633F"/>
    <w:rsid w:val="002C68C6"/>
    <w:rsid w:val="002C68CC"/>
    <w:rsid w:val="002C6C87"/>
    <w:rsid w:val="002C6CC4"/>
    <w:rsid w:val="002C6FB5"/>
    <w:rsid w:val="002C7331"/>
    <w:rsid w:val="002C7479"/>
    <w:rsid w:val="002C7607"/>
    <w:rsid w:val="002C791E"/>
    <w:rsid w:val="002C7BE1"/>
    <w:rsid w:val="002C7D37"/>
    <w:rsid w:val="002C7D3B"/>
    <w:rsid w:val="002D07FD"/>
    <w:rsid w:val="002D0D03"/>
    <w:rsid w:val="002D1036"/>
    <w:rsid w:val="002D163D"/>
    <w:rsid w:val="002D200C"/>
    <w:rsid w:val="002D2A46"/>
    <w:rsid w:val="002D2CA0"/>
    <w:rsid w:val="002D2D28"/>
    <w:rsid w:val="002D35E3"/>
    <w:rsid w:val="002D3637"/>
    <w:rsid w:val="002D38EB"/>
    <w:rsid w:val="002D3B02"/>
    <w:rsid w:val="002D3B35"/>
    <w:rsid w:val="002D3BA2"/>
    <w:rsid w:val="002D413D"/>
    <w:rsid w:val="002D43F3"/>
    <w:rsid w:val="002D4606"/>
    <w:rsid w:val="002D47FC"/>
    <w:rsid w:val="002D4905"/>
    <w:rsid w:val="002D4960"/>
    <w:rsid w:val="002D4C1E"/>
    <w:rsid w:val="002D5078"/>
    <w:rsid w:val="002D5898"/>
    <w:rsid w:val="002D5A0C"/>
    <w:rsid w:val="002D5DAE"/>
    <w:rsid w:val="002D5E60"/>
    <w:rsid w:val="002D5EEC"/>
    <w:rsid w:val="002D603C"/>
    <w:rsid w:val="002D643A"/>
    <w:rsid w:val="002D6607"/>
    <w:rsid w:val="002D682B"/>
    <w:rsid w:val="002D6F67"/>
    <w:rsid w:val="002D73DC"/>
    <w:rsid w:val="002D73EC"/>
    <w:rsid w:val="002D78ED"/>
    <w:rsid w:val="002D7B97"/>
    <w:rsid w:val="002E01C3"/>
    <w:rsid w:val="002E04DF"/>
    <w:rsid w:val="002E07F3"/>
    <w:rsid w:val="002E0EEA"/>
    <w:rsid w:val="002E1205"/>
    <w:rsid w:val="002E197F"/>
    <w:rsid w:val="002E1A7C"/>
    <w:rsid w:val="002E1C2E"/>
    <w:rsid w:val="002E1F1A"/>
    <w:rsid w:val="002E276A"/>
    <w:rsid w:val="002E2856"/>
    <w:rsid w:val="002E2990"/>
    <w:rsid w:val="002E2CCC"/>
    <w:rsid w:val="002E3085"/>
    <w:rsid w:val="002E30B7"/>
    <w:rsid w:val="002E31AD"/>
    <w:rsid w:val="002E33F0"/>
    <w:rsid w:val="002E37E3"/>
    <w:rsid w:val="002E3839"/>
    <w:rsid w:val="002E3B47"/>
    <w:rsid w:val="002E3E7E"/>
    <w:rsid w:val="002E402F"/>
    <w:rsid w:val="002E4084"/>
    <w:rsid w:val="002E438D"/>
    <w:rsid w:val="002E463E"/>
    <w:rsid w:val="002E48AC"/>
    <w:rsid w:val="002E4B30"/>
    <w:rsid w:val="002E4E73"/>
    <w:rsid w:val="002E4F3C"/>
    <w:rsid w:val="002E5060"/>
    <w:rsid w:val="002E53A0"/>
    <w:rsid w:val="002E5F74"/>
    <w:rsid w:val="002E647C"/>
    <w:rsid w:val="002E64E6"/>
    <w:rsid w:val="002E6B72"/>
    <w:rsid w:val="002E6E6E"/>
    <w:rsid w:val="002E70BA"/>
    <w:rsid w:val="002E7385"/>
    <w:rsid w:val="002E745A"/>
    <w:rsid w:val="002E7582"/>
    <w:rsid w:val="002E7645"/>
    <w:rsid w:val="002E79C0"/>
    <w:rsid w:val="002F02D8"/>
    <w:rsid w:val="002F06F2"/>
    <w:rsid w:val="002F0F5F"/>
    <w:rsid w:val="002F1813"/>
    <w:rsid w:val="002F1F5B"/>
    <w:rsid w:val="002F21E6"/>
    <w:rsid w:val="002F2461"/>
    <w:rsid w:val="002F2A56"/>
    <w:rsid w:val="002F34F0"/>
    <w:rsid w:val="002F39B1"/>
    <w:rsid w:val="002F40DB"/>
    <w:rsid w:val="002F445F"/>
    <w:rsid w:val="002F4ACA"/>
    <w:rsid w:val="002F575B"/>
    <w:rsid w:val="002F5BAA"/>
    <w:rsid w:val="002F6299"/>
    <w:rsid w:val="002F62B7"/>
    <w:rsid w:val="002F6C30"/>
    <w:rsid w:val="002F6EB2"/>
    <w:rsid w:val="002F6F99"/>
    <w:rsid w:val="002F732E"/>
    <w:rsid w:val="002F75DA"/>
    <w:rsid w:val="002F772B"/>
    <w:rsid w:val="002F7756"/>
    <w:rsid w:val="002F77CA"/>
    <w:rsid w:val="002F7DDC"/>
    <w:rsid w:val="002F7E02"/>
    <w:rsid w:val="0030005C"/>
    <w:rsid w:val="00300518"/>
    <w:rsid w:val="00300A58"/>
    <w:rsid w:val="00301029"/>
    <w:rsid w:val="0030102C"/>
    <w:rsid w:val="00301374"/>
    <w:rsid w:val="0030162A"/>
    <w:rsid w:val="00301BD3"/>
    <w:rsid w:val="00302C41"/>
    <w:rsid w:val="00302E42"/>
    <w:rsid w:val="00303139"/>
    <w:rsid w:val="003031DE"/>
    <w:rsid w:val="0030324E"/>
    <w:rsid w:val="003033AC"/>
    <w:rsid w:val="00303993"/>
    <w:rsid w:val="00303A2E"/>
    <w:rsid w:val="00303D84"/>
    <w:rsid w:val="00304654"/>
    <w:rsid w:val="00304C4A"/>
    <w:rsid w:val="00304DB1"/>
    <w:rsid w:val="00305196"/>
    <w:rsid w:val="00305E0D"/>
    <w:rsid w:val="0030662C"/>
    <w:rsid w:val="003069FC"/>
    <w:rsid w:val="00306BFD"/>
    <w:rsid w:val="00306E24"/>
    <w:rsid w:val="003070FD"/>
    <w:rsid w:val="0030713E"/>
    <w:rsid w:val="003071E4"/>
    <w:rsid w:val="00307264"/>
    <w:rsid w:val="003075C6"/>
    <w:rsid w:val="00307704"/>
    <w:rsid w:val="003100C3"/>
    <w:rsid w:val="003103EB"/>
    <w:rsid w:val="00310911"/>
    <w:rsid w:val="00310BF7"/>
    <w:rsid w:val="00310E73"/>
    <w:rsid w:val="00311231"/>
    <w:rsid w:val="003115FD"/>
    <w:rsid w:val="003116C8"/>
    <w:rsid w:val="00311B0F"/>
    <w:rsid w:val="00311B72"/>
    <w:rsid w:val="00311BD9"/>
    <w:rsid w:val="00311DC0"/>
    <w:rsid w:val="0031299B"/>
    <w:rsid w:val="00312EE2"/>
    <w:rsid w:val="00312F5D"/>
    <w:rsid w:val="003136A2"/>
    <w:rsid w:val="00314233"/>
    <w:rsid w:val="00314336"/>
    <w:rsid w:val="00314712"/>
    <w:rsid w:val="00314746"/>
    <w:rsid w:val="003147F5"/>
    <w:rsid w:val="00314D5F"/>
    <w:rsid w:val="00314DDF"/>
    <w:rsid w:val="00314E93"/>
    <w:rsid w:val="00315001"/>
    <w:rsid w:val="003152B0"/>
    <w:rsid w:val="003157E3"/>
    <w:rsid w:val="00315C66"/>
    <w:rsid w:val="00316004"/>
    <w:rsid w:val="00316223"/>
    <w:rsid w:val="00316D0E"/>
    <w:rsid w:val="0031700C"/>
    <w:rsid w:val="00317121"/>
    <w:rsid w:val="00317BB6"/>
    <w:rsid w:val="00317C67"/>
    <w:rsid w:val="00317D29"/>
    <w:rsid w:val="0032039F"/>
    <w:rsid w:val="0032055F"/>
    <w:rsid w:val="00320EA9"/>
    <w:rsid w:val="00320F72"/>
    <w:rsid w:val="003212E3"/>
    <w:rsid w:val="00321559"/>
    <w:rsid w:val="0032194B"/>
    <w:rsid w:val="00322228"/>
    <w:rsid w:val="00322729"/>
    <w:rsid w:val="00322A69"/>
    <w:rsid w:val="00322EDB"/>
    <w:rsid w:val="00323006"/>
    <w:rsid w:val="00323099"/>
    <w:rsid w:val="0032358D"/>
    <w:rsid w:val="00323B47"/>
    <w:rsid w:val="00323C91"/>
    <w:rsid w:val="003242ED"/>
    <w:rsid w:val="00324327"/>
    <w:rsid w:val="00324401"/>
    <w:rsid w:val="00325090"/>
    <w:rsid w:val="00325433"/>
    <w:rsid w:val="003255D1"/>
    <w:rsid w:val="00325A82"/>
    <w:rsid w:val="00325EFB"/>
    <w:rsid w:val="00326597"/>
    <w:rsid w:val="003267C3"/>
    <w:rsid w:val="00326A2B"/>
    <w:rsid w:val="00326FD1"/>
    <w:rsid w:val="003271AA"/>
    <w:rsid w:val="003271E5"/>
    <w:rsid w:val="00327334"/>
    <w:rsid w:val="003276C3"/>
    <w:rsid w:val="00327C28"/>
    <w:rsid w:val="00330086"/>
    <w:rsid w:val="00330203"/>
    <w:rsid w:val="003307FD"/>
    <w:rsid w:val="0033098E"/>
    <w:rsid w:val="0033105A"/>
    <w:rsid w:val="00331A4A"/>
    <w:rsid w:val="003322EA"/>
    <w:rsid w:val="00332839"/>
    <w:rsid w:val="00332BA8"/>
    <w:rsid w:val="00333083"/>
    <w:rsid w:val="0033339D"/>
    <w:rsid w:val="0033357D"/>
    <w:rsid w:val="00334031"/>
    <w:rsid w:val="00334129"/>
    <w:rsid w:val="0033414B"/>
    <w:rsid w:val="003345D6"/>
    <w:rsid w:val="0033517F"/>
    <w:rsid w:val="00335415"/>
    <w:rsid w:val="00335A79"/>
    <w:rsid w:val="00335ABB"/>
    <w:rsid w:val="00335F3B"/>
    <w:rsid w:val="00336ACE"/>
    <w:rsid w:val="0034015A"/>
    <w:rsid w:val="003407BD"/>
    <w:rsid w:val="003407FD"/>
    <w:rsid w:val="0034098D"/>
    <w:rsid w:val="0034226F"/>
    <w:rsid w:val="003422A5"/>
    <w:rsid w:val="003428D3"/>
    <w:rsid w:val="00342A25"/>
    <w:rsid w:val="00342CAA"/>
    <w:rsid w:val="00342FAE"/>
    <w:rsid w:val="00343118"/>
    <w:rsid w:val="00343C05"/>
    <w:rsid w:val="0034475F"/>
    <w:rsid w:val="003447B2"/>
    <w:rsid w:val="0034494D"/>
    <w:rsid w:val="00344A81"/>
    <w:rsid w:val="00344D56"/>
    <w:rsid w:val="00344FAA"/>
    <w:rsid w:val="003450AB"/>
    <w:rsid w:val="0034518D"/>
    <w:rsid w:val="003453C0"/>
    <w:rsid w:val="0034585A"/>
    <w:rsid w:val="00345914"/>
    <w:rsid w:val="003459FB"/>
    <w:rsid w:val="00345EB0"/>
    <w:rsid w:val="003460FE"/>
    <w:rsid w:val="003463AD"/>
    <w:rsid w:val="003465F3"/>
    <w:rsid w:val="0034696C"/>
    <w:rsid w:val="00346FB6"/>
    <w:rsid w:val="0035028C"/>
    <w:rsid w:val="00350388"/>
    <w:rsid w:val="0035044E"/>
    <w:rsid w:val="00350730"/>
    <w:rsid w:val="00350A55"/>
    <w:rsid w:val="0035106D"/>
    <w:rsid w:val="003513B9"/>
    <w:rsid w:val="0035180C"/>
    <w:rsid w:val="00351CB6"/>
    <w:rsid w:val="0035280B"/>
    <w:rsid w:val="003529A9"/>
    <w:rsid w:val="00352A69"/>
    <w:rsid w:val="0035309A"/>
    <w:rsid w:val="00353118"/>
    <w:rsid w:val="00353440"/>
    <w:rsid w:val="00353663"/>
    <w:rsid w:val="00353E32"/>
    <w:rsid w:val="00353FF5"/>
    <w:rsid w:val="00354930"/>
    <w:rsid w:val="00354E4D"/>
    <w:rsid w:val="003550BE"/>
    <w:rsid w:val="003554CA"/>
    <w:rsid w:val="00355517"/>
    <w:rsid w:val="00355531"/>
    <w:rsid w:val="00355D49"/>
    <w:rsid w:val="0035635B"/>
    <w:rsid w:val="00356A57"/>
    <w:rsid w:val="00356B51"/>
    <w:rsid w:val="00356B8B"/>
    <w:rsid w:val="00356BCB"/>
    <w:rsid w:val="00356F33"/>
    <w:rsid w:val="00356FFD"/>
    <w:rsid w:val="003575BB"/>
    <w:rsid w:val="003576D4"/>
    <w:rsid w:val="003576E7"/>
    <w:rsid w:val="003578A9"/>
    <w:rsid w:val="00357A4E"/>
    <w:rsid w:val="00357E92"/>
    <w:rsid w:val="00357F4E"/>
    <w:rsid w:val="00360591"/>
    <w:rsid w:val="00360763"/>
    <w:rsid w:val="00360BA6"/>
    <w:rsid w:val="00361600"/>
    <w:rsid w:val="00361B4F"/>
    <w:rsid w:val="00362461"/>
    <w:rsid w:val="00362667"/>
    <w:rsid w:val="00363580"/>
    <w:rsid w:val="003636B7"/>
    <w:rsid w:val="00363760"/>
    <w:rsid w:val="003637B5"/>
    <w:rsid w:val="0036391D"/>
    <w:rsid w:val="00363B0B"/>
    <w:rsid w:val="00363F89"/>
    <w:rsid w:val="00365139"/>
    <w:rsid w:val="00365BE3"/>
    <w:rsid w:val="00365BEC"/>
    <w:rsid w:val="00365FFE"/>
    <w:rsid w:val="003661F8"/>
    <w:rsid w:val="00366AAE"/>
    <w:rsid w:val="00366B87"/>
    <w:rsid w:val="00366EAB"/>
    <w:rsid w:val="0036706D"/>
    <w:rsid w:val="0036726D"/>
    <w:rsid w:val="0036750E"/>
    <w:rsid w:val="003703D8"/>
    <w:rsid w:val="00370467"/>
    <w:rsid w:val="0037099A"/>
    <w:rsid w:val="00370C15"/>
    <w:rsid w:val="00370C88"/>
    <w:rsid w:val="00370F2A"/>
    <w:rsid w:val="0037127A"/>
    <w:rsid w:val="003717FD"/>
    <w:rsid w:val="00371C8C"/>
    <w:rsid w:val="00372137"/>
    <w:rsid w:val="00372449"/>
    <w:rsid w:val="003734D5"/>
    <w:rsid w:val="00373659"/>
    <w:rsid w:val="0037377C"/>
    <w:rsid w:val="00373BDD"/>
    <w:rsid w:val="00373DA0"/>
    <w:rsid w:val="00373EDE"/>
    <w:rsid w:val="0037403B"/>
    <w:rsid w:val="00374716"/>
    <w:rsid w:val="00374AF0"/>
    <w:rsid w:val="00374CD7"/>
    <w:rsid w:val="003754D9"/>
    <w:rsid w:val="00375772"/>
    <w:rsid w:val="00375B41"/>
    <w:rsid w:val="00375CBF"/>
    <w:rsid w:val="00375EFC"/>
    <w:rsid w:val="0037649F"/>
    <w:rsid w:val="00376953"/>
    <w:rsid w:val="00376FE1"/>
    <w:rsid w:val="0037766D"/>
    <w:rsid w:val="0038048E"/>
    <w:rsid w:val="003809FC"/>
    <w:rsid w:val="00380BF4"/>
    <w:rsid w:val="00380EB6"/>
    <w:rsid w:val="00380F2A"/>
    <w:rsid w:val="0038104C"/>
    <w:rsid w:val="0038146A"/>
    <w:rsid w:val="00381943"/>
    <w:rsid w:val="00381B56"/>
    <w:rsid w:val="00382139"/>
    <w:rsid w:val="00382255"/>
    <w:rsid w:val="00382959"/>
    <w:rsid w:val="00382BB8"/>
    <w:rsid w:val="00383258"/>
    <w:rsid w:val="00383793"/>
    <w:rsid w:val="003837CC"/>
    <w:rsid w:val="00383A1B"/>
    <w:rsid w:val="00383D91"/>
    <w:rsid w:val="00385062"/>
    <w:rsid w:val="003851CA"/>
    <w:rsid w:val="00385266"/>
    <w:rsid w:val="00385535"/>
    <w:rsid w:val="00385598"/>
    <w:rsid w:val="0038569F"/>
    <w:rsid w:val="0038582C"/>
    <w:rsid w:val="003861A2"/>
    <w:rsid w:val="003861BB"/>
    <w:rsid w:val="003862A4"/>
    <w:rsid w:val="00386584"/>
    <w:rsid w:val="00386A2D"/>
    <w:rsid w:val="00386CD9"/>
    <w:rsid w:val="0038739C"/>
    <w:rsid w:val="00387492"/>
    <w:rsid w:val="003874EC"/>
    <w:rsid w:val="003874FD"/>
    <w:rsid w:val="003877EA"/>
    <w:rsid w:val="0038789B"/>
    <w:rsid w:val="003904B9"/>
    <w:rsid w:val="003904C2"/>
    <w:rsid w:val="0039064A"/>
    <w:rsid w:val="00390B9D"/>
    <w:rsid w:val="00390CEE"/>
    <w:rsid w:val="00390DEE"/>
    <w:rsid w:val="00390F9E"/>
    <w:rsid w:val="003913E7"/>
    <w:rsid w:val="003916BC"/>
    <w:rsid w:val="00391FD8"/>
    <w:rsid w:val="00392530"/>
    <w:rsid w:val="00392905"/>
    <w:rsid w:val="00392FA4"/>
    <w:rsid w:val="00393F2E"/>
    <w:rsid w:val="00394187"/>
    <w:rsid w:val="00394975"/>
    <w:rsid w:val="00394A14"/>
    <w:rsid w:val="00394CB7"/>
    <w:rsid w:val="0039564A"/>
    <w:rsid w:val="00395A74"/>
    <w:rsid w:val="00395CFE"/>
    <w:rsid w:val="00395D91"/>
    <w:rsid w:val="00395E12"/>
    <w:rsid w:val="00395F3E"/>
    <w:rsid w:val="0039689D"/>
    <w:rsid w:val="00396B4F"/>
    <w:rsid w:val="00396CBA"/>
    <w:rsid w:val="00397060"/>
    <w:rsid w:val="0039729E"/>
    <w:rsid w:val="00397F00"/>
    <w:rsid w:val="003A0410"/>
    <w:rsid w:val="003A075A"/>
    <w:rsid w:val="003A0D3A"/>
    <w:rsid w:val="003A130B"/>
    <w:rsid w:val="003A16E1"/>
    <w:rsid w:val="003A170E"/>
    <w:rsid w:val="003A1738"/>
    <w:rsid w:val="003A17D0"/>
    <w:rsid w:val="003A2313"/>
    <w:rsid w:val="003A2555"/>
    <w:rsid w:val="003A267E"/>
    <w:rsid w:val="003A2748"/>
    <w:rsid w:val="003A2953"/>
    <w:rsid w:val="003A30F3"/>
    <w:rsid w:val="003A3146"/>
    <w:rsid w:val="003A34AB"/>
    <w:rsid w:val="003A3BF7"/>
    <w:rsid w:val="003A3C8E"/>
    <w:rsid w:val="003A40B4"/>
    <w:rsid w:val="003A416C"/>
    <w:rsid w:val="003A4184"/>
    <w:rsid w:val="003A41CF"/>
    <w:rsid w:val="003A424D"/>
    <w:rsid w:val="003A455B"/>
    <w:rsid w:val="003A52A1"/>
    <w:rsid w:val="003A59F6"/>
    <w:rsid w:val="003A5D4F"/>
    <w:rsid w:val="003A5FDE"/>
    <w:rsid w:val="003A62D8"/>
    <w:rsid w:val="003A6370"/>
    <w:rsid w:val="003A6874"/>
    <w:rsid w:val="003A6A02"/>
    <w:rsid w:val="003A6BE7"/>
    <w:rsid w:val="003A6DDB"/>
    <w:rsid w:val="003A6FC1"/>
    <w:rsid w:val="003A7AD0"/>
    <w:rsid w:val="003B12FB"/>
    <w:rsid w:val="003B1544"/>
    <w:rsid w:val="003B1A78"/>
    <w:rsid w:val="003B1CA2"/>
    <w:rsid w:val="003B1DDF"/>
    <w:rsid w:val="003B20EF"/>
    <w:rsid w:val="003B2A5E"/>
    <w:rsid w:val="003B321F"/>
    <w:rsid w:val="003B3258"/>
    <w:rsid w:val="003B3371"/>
    <w:rsid w:val="003B3AF9"/>
    <w:rsid w:val="003B3BE0"/>
    <w:rsid w:val="003B3DF8"/>
    <w:rsid w:val="003B3FA4"/>
    <w:rsid w:val="003B3FDD"/>
    <w:rsid w:val="003B455D"/>
    <w:rsid w:val="003B4823"/>
    <w:rsid w:val="003B53F7"/>
    <w:rsid w:val="003B5AB1"/>
    <w:rsid w:val="003B5C7D"/>
    <w:rsid w:val="003B63F9"/>
    <w:rsid w:val="003B6818"/>
    <w:rsid w:val="003B6825"/>
    <w:rsid w:val="003B6F09"/>
    <w:rsid w:val="003B75EC"/>
    <w:rsid w:val="003B76D5"/>
    <w:rsid w:val="003B7734"/>
    <w:rsid w:val="003B7AE0"/>
    <w:rsid w:val="003B7B22"/>
    <w:rsid w:val="003C1641"/>
    <w:rsid w:val="003C1885"/>
    <w:rsid w:val="003C197E"/>
    <w:rsid w:val="003C1C5B"/>
    <w:rsid w:val="003C20AA"/>
    <w:rsid w:val="003C21F7"/>
    <w:rsid w:val="003C227B"/>
    <w:rsid w:val="003C281A"/>
    <w:rsid w:val="003C2855"/>
    <w:rsid w:val="003C28EE"/>
    <w:rsid w:val="003C2EFA"/>
    <w:rsid w:val="003C2FC7"/>
    <w:rsid w:val="003C348D"/>
    <w:rsid w:val="003C39F4"/>
    <w:rsid w:val="003C421D"/>
    <w:rsid w:val="003C4A70"/>
    <w:rsid w:val="003C4E77"/>
    <w:rsid w:val="003C60E1"/>
    <w:rsid w:val="003C67D8"/>
    <w:rsid w:val="003C69C0"/>
    <w:rsid w:val="003C7495"/>
    <w:rsid w:val="003C7712"/>
    <w:rsid w:val="003C7790"/>
    <w:rsid w:val="003D040A"/>
    <w:rsid w:val="003D083F"/>
    <w:rsid w:val="003D0D3D"/>
    <w:rsid w:val="003D0E38"/>
    <w:rsid w:val="003D103A"/>
    <w:rsid w:val="003D10FC"/>
    <w:rsid w:val="003D162A"/>
    <w:rsid w:val="003D16D3"/>
    <w:rsid w:val="003D18A2"/>
    <w:rsid w:val="003D1967"/>
    <w:rsid w:val="003D1995"/>
    <w:rsid w:val="003D1AD2"/>
    <w:rsid w:val="003D1C50"/>
    <w:rsid w:val="003D2030"/>
    <w:rsid w:val="003D2904"/>
    <w:rsid w:val="003D2AFC"/>
    <w:rsid w:val="003D2C66"/>
    <w:rsid w:val="003D2E84"/>
    <w:rsid w:val="003D328F"/>
    <w:rsid w:val="003D3645"/>
    <w:rsid w:val="003D37D8"/>
    <w:rsid w:val="003D391F"/>
    <w:rsid w:val="003D42BC"/>
    <w:rsid w:val="003D444A"/>
    <w:rsid w:val="003D5117"/>
    <w:rsid w:val="003D51E0"/>
    <w:rsid w:val="003D54E5"/>
    <w:rsid w:val="003D5566"/>
    <w:rsid w:val="003D57A7"/>
    <w:rsid w:val="003D5816"/>
    <w:rsid w:val="003D5B9B"/>
    <w:rsid w:val="003D5F8E"/>
    <w:rsid w:val="003D633B"/>
    <w:rsid w:val="003D7096"/>
    <w:rsid w:val="003D72E8"/>
    <w:rsid w:val="003D7BA1"/>
    <w:rsid w:val="003E0C9A"/>
    <w:rsid w:val="003E0DA9"/>
    <w:rsid w:val="003E0F4A"/>
    <w:rsid w:val="003E17EF"/>
    <w:rsid w:val="003E1E89"/>
    <w:rsid w:val="003E2513"/>
    <w:rsid w:val="003E2EE5"/>
    <w:rsid w:val="003E369D"/>
    <w:rsid w:val="003E377D"/>
    <w:rsid w:val="003E38D8"/>
    <w:rsid w:val="003E3A8C"/>
    <w:rsid w:val="003E3BD2"/>
    <w:rsid w:val="003E3F70"/>
    <w:rsid w:val="003E3FCB"/>
    <w:rsid w:val="003E4043"/>
    <w:rsid w:val="003E4073"/>
    <w:rsid w:val="003E409D"/>
    <w:rsid w:val="003E497A"/>
    <w:rsid w:val="003E5137"/>
    <w:rsid w:val="003E5201"/>
    <w:rsid w:val="003E5522"/>
    <w:rsid w:val="003E58EA"/>
    <w:rsid w:val="003E5D4B"/>
    <w:rsid w:val="003E5E19"/>
    <w:rsid w:val="003E695A"/>
    <w:rsid w:val="003E7237"/>
    <w:rsid w:val="003E72FF"/>
    <w:rsid w:val="003E7932"/>
    <w:rsid w:val="003E7A74"/>
    <w:rsid w:val="003E7D81"/>
    <w:rsid w:val="003F03E3"/>
    <w:rsid w:val="003F09E0"/>
    <w:rsid w:val="003F1005"/>
    <w:rsid w:val="003F12A3"/>
    <w:rsid w:val="003F1961"/>
    <w:rsid w:val="003F19E5"/>
    <w:rsid w:val="003F1BCC"/>
    <w:rsid w:val="003F2096"/>
    <w:rsid w:val="003F2618"/>
    <w:rsid w:val="003F31CE"/>
    <w:rsid w:val="003F4096"/>
    <w:rsid w:val="003F4193"/>
    <w:rsid w:val="003F4366"/>
    <w:rsid w:val="003F43FB"/>
    <w:rsid w:val="003F44DA"/>
    <w:rsid w:val="003F47A3"/>
    <w:rsid w:val="003F481A"/>
    <w:rsid w:val="003F492F"/>
    <w:rsid w:val="003F4A76"/>
    <w:rsid w:val="003F4FE9"/>
    <w:rsid w:val="003F51A0"/>
    <w:rsid w:val="003F521E"/>
    <w:rsid w:val="003F52F5"/>
    <w:rsid w:val="003F56F6"/>
    <w:rsid w:val="003F5C86"/>
    <w:rsid w:val="003F5EFF"/>
    <w:rsid w:val="003F6110"/>
    <w:rsid w:val="003F621B"/>
    <w:rsid w:val="003F6372"/>
    <w:rsid w:val="003F683B"/>
    <w:rsid w:val="003F6D35"/>
    <w:rsid w:val="003F6F04"/>
    <w:rsid w:val="003F7B95"/>
    <w:rsid w:val="003F7C1B"/>
    <w:rsid w:val="004000EC"/>
    <w:rsid w:val="004004C8"/>
    <w:rsid w:val="00400752"/>
    <w:rsid w:val="00400862"/>
    <w:rsid w:val="004009FD"/>
    <w:rsid w:val="00401404"/>
    <w:rsid w:val="00401502"/>
    <w:rsid w:val="004016A2"/>
    <w:rsid w:val="0040177C"/>
    <w:rsid w:val="0040184A"/>
    <w:rsid w:val="00401B8E"/>
    <w:rsid w:val="004023FF"/>
    <w:rsid w:val="00402606"/>
    <w:rsid w:val="004026E1"/>
    <w:rsid w:val="004027FE"/>
    <w:rsid w:val="00402C08"/>
    <w:rsid w:val="00403EC1"/>
    <w:rsid w:val="00403EF9"/>
    <w:rsid w:val="00403F87"/>
    <w:rsid w:val="00404EE9"/>
    <w:rsid w:val="004056E0"/>
    <w:rsid w:val="00405762"/>
    <w:rsid w:val="00406040"/>
    <w:rsid w:val="004064CD"/>
    <w:rsid w:val="00406589"/>
    <w:rsid w:val="00406B05"/>
    <w:rsid w:val="00407044"/>
    <w:rsid w:val="00407251"/>
    <w:rsid w:val="00407254"/>
    <w:rsid w:val="0040739B"/>
    <w:rsid w:val="004074CF"/>
    <w:rsid w:val="00407A57"/>
    <w:rsid w:val="004102D6"/>
    <w:rsid w:val="004105C0"/>
    <w:rsid w:val="00410813"/>
    <w:rsid w:val="0041157E"/>
    <w:rsid w:val="00411849"/>
    <w:rsid w:val="00411A12"/>
    <w:rsid w:val="00411BBB"/>
    <w:rsid w:val="00411E90"/>
    <w:rsid w:val="00412531"/>
    <w:rsid w:val="00412CBE"/>
    <w:rsid w:val="00412D65"/>
    <w:rsid w:val="004136EB"/>
    <w:rsid w:val="00413959"/>
    <w:rsid w:val="00413B59"/>
    <w:rsid w:val="00413EA8"/>
    <w:rsid w:val="00414A68"/>
    <w:rsid w:val="00414AB9"/>
    <w:rsid w:val="00414CE6"/>
    <w:rsid w:val="00414D4B"/>
    <w:rsid w:val="00414FC3"/>
    <w:rsid w:val="00415633"/>
    <w:rsid w:val="00415824"/>
    <w:rsid w:val="00416170"/>
    <w:rsid w:val="004167D2"/>
    <w:rsid w:val="0041685B"/>
    <w:rsid w:val="0041688C"/>
    <w:rsid w:val="004173A7"/>
    <w:rsid w:val="00417684"/>
    <w:rsid w:val="00417C8D"/>
    <w:rsid w:val="004204E5"/>
    <w:rsid w:val="00420765"/>
    <w:rsid w:val="00420867"/>
    <w:rsid w:val="004208BC"/>
    <w:rsid w:val="00420AC8"/>
    <w:rsid w:val="0042134B"/>
    <w:rsid w:val="004225EA"/>
    <w:rsid w:val="00422CBA"/>
    <w:rsid w:val="00423268"/>
    <w:rsid w:val="00423A7A"/>
    <w:rsid w:val="00423B00"/>
    <w:rsid w:val="00423C02"/>
    <w:rsid w:val="00423E20"/>
    <w:rsid w:val="004245AB"/>
    <w:rsid w:val="004245CF"/>
    <w:rsid w:val="00424A69"/>
    <w:rsid w:val="00424A7B"/>
    <w:rsid w:val="004262D9"/>
    <w:rsid w:val="0042661E"/>
    <w:rsid w:val="00426898"/>
    <w:rsid w:val="00426BC8"/>
    <w:rsid w:val="00426FB8"/>
    <w:rsid w:val="0042706C"/>
    <w:rsid w:val="00427AF9"/>
    <w:rsid w:val="00427C70"/>
    <w:rsid w:val="00430384"/>
    <w:rsid w:val="0043066B"/>
    <w:rsid w:val="004308E0"/>
    <w:rsid w:val="004309BF"/>
    <w:rsid w:val="00430DE2"/>
    <w:rsid w:val="00430E0E"/>
    <w:rsid w:val="00430E8D"/>
    <w:rsid w:val="0043126F"/>
    <w:rsid w:val="004318FC"/>
    <w:rsid w:val="00431DD5"/>
    <w:rsid w:val="00431EA7"/>
    <w:rsid w:val="0043222E"/>
    <w:rsid w:val="004325F9"/>
    <w:rsid w:val="004326EB"/>
    <w:rsid w:val="004329E3"/>
    <w:rsid w:val="00432AE6"/>
    <w:rsid w:val="00432E08"/>
    <w:rsid w:val="00432E4E"/>
    <w:rsid w:val="00433557"/>
    <w:rsid w:val="00433B00"/>
    <w:rsid w:val="00433D97"/>
    <w:rsid w:val="00434654"/>
    <w:rsid w:val="00434984"/>
    <w:rsid w:val="004357AD"/>
    <w:rsid w:val="00435861"/>
    <w:rsid w:val="00435A47"/>
    <w:rsid w:val="00435CC4"/>
    <w:rsid w:val="00435D3A"/>
    <w:rsid w:val="00435FE8"/>
    <w:rsid w:val="0043637B"/>
    <w:rsid w:val="00436512"/>
    <w:rsid w:val="0043658D"/>
    <w:rsid w:val="0043692A"/>
    <w:rsid w:val="0043692D"/>
    <w:rsid w:val="00436B83"/>
    <w:rsid w:val="00437176"/>
    <w:rsid w:val="00437655"/>
    <w:rsid w:val="0043769E"/>
    <w:rsid w:val="004377A8"/>
    <w:rsid w:val="00437C1E"/>
    <w:rsid w:val="00437CFA"/>
    <w:rsid w:val="00437ECD"/>
    <w:rsid w:val="00437FF4"/>
    <w:rsid w:val="0044027A"/>
    <w:rsid w:val="00440651"/>
    <w:rsid w:val="00440961"/>
    <w:rsid w:val="00441489"/>
    <w:rsid w:val="004418D0"/>
    <w:rsid w:val="00442664"/>
    <w:rsid w:val="004429AB"/>
    <w:rsid w:val="00442CFD"/>
    <w:rsid w:val="0044317B"/>
    <w:rsid w:val="00443973"/>
    <w:rsid w:val="00443C69"/>
    <w:rsid w:val="00444116"/>
    <w:rsid w:val="00444297"/>
    <w:rsid w:val="004447D6"/>
    <w:rsid w:val="00444DAC"/>
    <w:rsid w:val="00444E6A"/>
    <w:rsid w:val="00445354"/>
    <w:rsid w:val="00445358"/>
    <w:rsid w:val="00445440"/>
    <w:rsid w:val="004458BC"/>
    <w:rsid w:val="00445F33"/>
    <w:rsid w:val="00445F91"/>
    <w:rsid w:val="004460FD"/>
    <w:rsid w:val="004462F2"/>
    <w:rsid w:val="00446571"/>
    <w:rsid w:val="004465F4"/>
    <w:rsid w:val="00446679"/>
    <w:rsid w:val="004467C4"/>
    <w:rsid w:val="0044696A"/>
    <w:rsid w:val="00447013"/>
    <w:rsid w:val="004475FE"/>
    <w:rsid w:val="004479E4"/>
    <w:rsid w:val="00447AA4"/>
    <w:rsid w:val="00447B16"/>
    <w:rsid w:val="00447BCA"/>
    <w:rsid w:val="00450E50"/>
    <w:rsid w:val="0045122C"/>
    <w:rsid w:val="004516B7"/>
    <w:rsid w:val="0045213C"/>
    <w:rsid w:val="004525EA"/>
    <w:rsid w:val="00452DCC"/>
    <w:rsid w:val="00452E1D"/>
    <w:rsid w:val="00452F0C"/>
    <w:rsid w:val="0045328C"/>
    <w:rsid w:val="0045329D"/>
    <w:rsid w:val="004538CD"/>
    <w:rsid w:val="00453A5B"/>
    <w:rsid w:val="00453A93"/>
    <w:rsid w:val="004545ED"/>
    <w:rsid w:val="00454EF4"/>
    <w:rsid w:val="0045560D"/>
    <w:rsid w:val="004558BE"/>
    <w:rsid w:val="004558CC"/>
    <w:rsid w:val="00455A3E"/>
    <w:rsid w:val="00455BF6"/>
    <w:rsid w:val="004560ED"/>
    <w:rsid w:val="004562BB"/>
    <w:rsid w:val="00456B83"/>
    <w:rsid w:val="00456F8F"/>
    <w:rsid w:val="0045708C"/>
    <w:rsid w:val="004571ED"/>
    <w:rsid w:val="00457333"/>
    <w:rsid w:val="0045763A"/>
    <w:rsid w:val="00457839"/>
    <w:rsid w:val="00460001"/>
    <w:rsid w:val="00460064"/>
    <w:rsid w:val="0046072F"/>
    <w:rsid w:val="00460B82"/>
    <w:rsid w:val="00461283"/>
    <w:rsid w:val="00461775"/>
    <w:rsid w:val="00461E6E"/>
    <w:rsid w:val="00462544"/>
    <w:rsid w:val="0046285A"/>
    <w:rsid w:val="00462EC8"/>
    <w:rsid w:val="0046312A"/>
    <w:rsid w:val="00463378"/>
    <w:rsid w:val="004637D2"/>
    <w:rsid w:val="0046382E"/>
    <w:rsid w:val="00463A3D"/>
    <w:rsid w:val="00463AA6"/>
    <w:rsid w:val="00463B86"/>
    <w:rsid w:val="00463DF8"/>
    <w:rsid w:val="004646D3"/>
    <w:rsid w:val="0046471A"/>
    <w:rsid w:val="004649E4"/>
    <w:rsid w:val="00464B10"/>
    <w:rsid w:val="00464BAA"/>
    <w:rsid w:val="0046512F"/>
    <w:rsid w:val="004651E4"/>
    <w:rsid w:val="00465343"/>
    <w:rsid w:val="004654D0"/>
    <w:rsid w:val="00465554"/>
    <w:rsid w:val="0046567E"/>
    <w:rsid w:val="00465867"/>
    <w:rsid w:val="00465D1B"/>
    <w:rsid w:val="00465D34"/>
    <w:rsid w:val="00465D6C"/>
    <w:rsid w:val="00465F03"/>
    <w:rsid w:val="00466242"/>
    <w:rsid w:val="00466455"/>
    <w:rsid w:val="00466F76"/>
    <w:rsid w:val="00467508"/>
    <w:rsid w:val="004675ED"/>
    <w:rsid w:val="004678EF"/>
    <w:rsid w:val="00467EA1"/>
    <w:rsid w:val="00470374"/>
    <w:rsid w:val="00470583"/>
    <w:rsid w:val="004706AC"/>
    <w:rsid w:val="0047106B"/>
    <w:rsid w:val="0047152F"/>
    <w:rsid w:val="004717C4"/>
    <w:rsid w:val="004717E0"/>
    <w:rsid w:val="00471F92"/>
    <w:rsid w:val="004720E5"/>
    <w:rsid w:val="0047232E"/>
    <w:rsid w:val="00472362"/>
    <w:rsid w:val="0047250E"/>
    <w:rsid w:val="00472644"/>
    <w:rsid w:val="00472668"/>
    <w:rsid w:val="004726D6"/>
    <w:rsid w:val="00472975"/>
    <w:rsid w:val="00473104"/>
    <w:rsid w:val="00473446"/>
    <w:rsid w:val="0047351A"/>
    <w:rsid w:val="0047386D"/>
    <w:rsid w:val="00473947"/>
    <w:rsid w:val="004739B1"/>
    <w:rsid w:val="00473B20"/>
    <w:rsid w:val="00474670"/>
    <w:rsid w:val="00474DCD"/>
    <w:rsid w:val="00474EB2"/>
    <w:rsid w:val="0047531E"/>
    <w:rsid w:val="0047547B"/>
    <w:rsid w:val="0047553A"/>
    <w:rsid w:val="004755A8"/>
    <w:rsid w:val="00475B7D"/>
    <w:rsid w:val="00475C21"/>
    <w:rsid w:val="00475FCC"/>
    <w:rsid w:val="00475FEF"/>
    <w:rsid w:val="00476827"/>
    <w:rsid w:val="00476917"/>
    <w:rsid w:val="00476A95"/>
    <w:rsid w:val="00476F2B"/>
    <w:rsid w:val="00477A86"/>
    <w:rsid w:val="00477EC5"/>
    <w:rsid w:val="0048016A"/>
    <w:rsid w:val="00480675"/>
    <w:rsid w:val="00480685"/>
    <w:rsid w:val="00480696"/>
    <w:rsid w:val="004808AB"/>
    <w:rsid w:val="00480F07"/>
    <w:rsid w:val="004811CE"/>
    <w:rsid w:val="00481665"/>
    <w:rsid w:val="004817E1"/>
    <w:rsid w:val="00481F77"/>
    <w:rsid w:val="00482214"/>
    <w:rsid w:val="0048223A"/>
    <w:rsid w:val="00482353"/>
    <w:rsid w:val="0048282E"/>
    <w:rsid w:val="004829CD"/>
    <w:rsid w:val="00482D03"/>
    <w:rsid w:val="00482D59"/>
    <w:rsid w:val="00482ED5"/>
    <w:rsid w:val="0048334F"/>
    <w:rsid w:val="004835B3"/>
    <w:rsid w:val="0048364E"/>
    <w:rsid w:val="00483EBE"/>
    <w:rsid w:val="00484075"/>
    <w:rsid w:val="004840A8"/>
    <w:rsid w:val="00484197"/>
    <w:rsid w:val="00484B1F"/>
    <w:rsid w:val="00484F2D"/>
    <w:rsid w:val="0048508C"/>
    <w:rsid w:val="004855CE"/>
    <w:rsid w:val="00485914"/>
    <w:rsid w:val="00485B90"/>
    <w:rsid w:val="00485E02"/>
    <w:rsid w:val="00486179"/>
    <w:rsid w:val="004863CD"/>
    <w:rsid w:val="00486A16"/>
    <w:rsid w:val="00486ECA"/>
    <w:rsid w:val="00487E1F"/>
    <w:rsid w:val="00487F6A"/>
    <w:rsid w:val="00490038"/>
    <w:rsid w:val="00490264"/>
    <w:rsid w:val="00490520"/>
    <w:rsid w:val="0049082E"/>
    <w:rsid w:val="00490FCB"/>
    <w:rsid w:val="00491004"/>
    <w:rsid w:val="00491822"/>
    <w:rsid w:val="00491E0C"/>
    <w:rsid w:val="00492661"/>
    <w:rsid w:val="00492667"/>
    <w:rsid w:val="004938C6"/>
    <w:rsid w:val="00493C6F"/>
    <w:rsid w:val="00494149"/>
    <w:rsid w:val="00494161"/>
    <w:rsid w:val="00494355"/>
    <w:rsid w:val="0049499D"/>
    <w:rsid w:val="00494B8F"/>
    <w:rsid w:val="00494DBE"/>
    <w:rsid w:val="00494EB9"/>
    <w:rsid w:val="00494F7B"/>
    <w:rsid w:val="00495783"/>
    <w:rsid w:val="00495958"/>
    <w:rsid w:val="00495E2E"/>
    <w:rsid w:val="0049645A"/>
    <w:rsid w:val="00496855"/>
    <w:rsid w:val="00496A52"/>
    <w:rsid w:val="00496CF9"/>
    <w:rsid w:val="00496D10"/>
    <w:rsid w:val="00496F40"/>
    <w:rsid w:val="00496FEE"/>
    <w:rsid w:val="004972A3"/>
    <w:rsid w:val="0049748D"/>
    <w:rsid w:val="004975D8"/>
    <w:rsid w:val="00497A1A"/>
    <w:rsid w:val="004A072A"/>
    <w:rsid w:val="004A0773"/>
    <w:rsid w:val="004A0955"/>
    <w:rsid w:val="004A0CF8"/>
    <w:rsid w:val="004A1557"/>
    <w:rsid w:val="004A1657"/>
    <w:rsid w:val="004A194B"/>
    <w:rsid w:val="004A1D7A"/>
    <w:rsid w:val="004A1F19"/>
    <w:rsid w:val="004A205F"/>
    <w:rsid w:val="004A20EC"/>
    <w:rsid w:val="004A269C"/>
    <w:rsid w:val="004A26BC"/>
    <w:rsid w:val="004A2C18"/>
    <w:rsid w:val="004A320A"/>
    <w:rsid w:val="004A3699"/>
    <w:rsid w:val="004A3775"/>
    <w:rsid w:val="004A3CCB"/>
    <w:rsid w:val="004A3D02"/>
    <w:rsid w:val="004A3F5B"/>
    <w:rsid w:val="004A3FB1"/>
    <w:rsid w:val="004A4561"/>
    <w:rsid w:val="004A491A"/>
    <w:rsid w:val="004A5112"/>
    <w:rsid w:val="004A525B"/>
    <w:rsid w:val="004A60CA"/>
    <w:rsid w:val="004A662D"/>
    <w:rsid w:val="004A6997"/>
    <w:rsid w:val="004A72D7"/>
    <w:rsid w:val="004A7BB0"/>
    <w:rsid w:val="004B1218"/>
    <w:rsid w:val="004B1735"/>
    <w:rsid w:val="004B1A77"/>
    <w:rsid w:val="004B1DFA"/>
    <w:rsid w:val="004B219C"/>
    <w:rsid w:val="004B22C3"/>
    <w:rsid w:val="004B29D4"/>
    <w:rsid w:val="004B3955"/>
    <w:rsid w:val="004B395E"/>
    <w:rsid w:val="004B3D9B"/>
    <w:rsid w:val="004B3DF5"/>
    <w:rsid w:val="004B3E09"/>
    <w:rsid w:val="004B4271"/>
    <w:rsid w:val="004B4664"/>
    <w:rsid w:val="004B6273"/>
    <w:rsid w:val="004B66BA"/>
    <w:rsid w:val="004B6968"/>
    <w:rsid w:val="004B6FEF"/>
    <w:rsid w:val="004B7417"/>
    <w:rsid w:val="004B7973"/>
    <w:rsid w:val="004B7E15"/>
    <w:rsid w:val="004B7EF3"/>
    <w:rsid w:val="004C07CF"/>
    <w:rsid w:val="004C0986"/>
    <w:rsid w:val="004C0A62"/>
    <w:rsid w:val="004C102C"/>
    <w:rsid w:val="004C13C8"/>
    <w:rsid w:val="004C1ACC"/>
    <w:rsid w:val="004C1B22"/>
    <w:rsid w:val="004C1DB0"/>
    <w:rsid w:val="004C20C2"/>
    <w:rsid w:val="004C275E"/>
    <w:rsid w:val="004C29F7"/>
    <w:rsid w:val="004C2DE9"/>
    <w:rsid w:val="004C353D"/>
    <w:rsid w:val="004C3552"/>
    <w:rsid w:val="004C3C27"/>
    <w:rsid w:val="004C3DCF"/>
    <w:rsid w:val="004C3DF5"/>
    <w:rsid w:val="004C4367"/>
    <w:rsid w:val="004C4939"/>
    <w:rsid w:val="004C4A53"/>
    <w:rsid w:val="004C4C04"/>
    <w:rsid w:val="004C4C4D"/>
    <w:rsid w:val="004C4D04"/>
    <w:rsid w:val="004C5FC6"/>
    <w:rsid w:val="004C612C"/>
    <w:rsid w:val="004C64FF"/>
    <w:rsid w:val="004C711B"/>
    <w:rsid w:val="004C7130"/>
    <w:rsid w:val="004C7599"/>
    <w:rsid w:val="004C7715"/>
    <w:rsid w:val="004C7A2A"/>
    <w:rsid w:val="004C7D91"/>
    <w:rsid w:val="004D0577"/>
    <w:rsid w:val="004D075C"/>
    <w:rsid w:val="004D0ACB"/>
    <w:rsid w:val="004D0CE6"/>
    <w:rsid w:val="004D0E62"/>
    <w:rsid w:val="004D18EC"/>
    <w:rsid w:val="004D1ED9"/>
    <w:rsid w:val="004D24E0"/>
    <w:rsid w:val="004D27E9"/>
    <w:rsid w:val="004D2862"/>
    <w:rsid w:val="004D2BB6"/>
    <w:rsid w:val="004D3015"/>
    <w:rsid w:val="004D31A3"/>
    <w:rsid w:val="004D3201"/>
    <w:rsid w:val="004D3325"/>
    <w:rsid w:val="004D3494"/>
    <w:rsid w:val="004D36B6"/>
    <w:rsid w:val="004D3747"/>
    <w:rsid w:val="004D3C5D"/>
    <w:rsid w:val="004D4055"/>
    <w:rsid w:val="004D4259"/>
    <w:rsid w:val="004D4D74"/>
    <w:rsid w:val="004D4F73"/>
    <w:rsid w:val="004D543C"/>
    <w:rsid w:val="004D5B56"/>
    <w:rsid w:val="004D5FA6"/>
    <w:rsid w:val="004D6270"/>
    <w:rsid w:val="004D6446"/>
    <w:rsid w:val="004D64A3"/>
    <w:rsid w:val="004D6E01"/>
    <w:rsid w:val="004D7B13"/>
    <w:rsid w:val="004D7ED0"/>
    <w:rsid w:val="004E03A0"/>
    <w:rsid w:val="004E072D"/>
    <w:rsid w:val="004E0FF2"/>
    <w:rsid w:val="004E12C9"/>
    <w:rsid w:val="004E155F"/>
    <w:rsid w:val="004E16C9"/>
    <w:rsid w:val="004E1C7B"/>
    <w:rsid w:val="004E1F08"/>
    <w:rsid w:val="004E21BB"/>
    <w:rsid w:val="004E222E"/>
    <w:rsid w:val="004E2279"/>
    <w:rsid w:val="004E235C"/>
    <w:rsid w:val="004E2559"/>
    <w:rsid w:val="004E25AB"/>
    <w:rsid w:val="004E26C3"/>
    <w:rsid w:val="004E2E7C"/>
    <w:rsid w:val="004E379D"/>
    <w:rsid w:val="004E4BDF"/>
    <w:rsid w:val="004E4D90"/>
    <w:rsid w:val="004E4E14"/>
    <w:rsid w:val="004E5EB1"/>
    <w:rsid w:val="004E5ED2"/>
    <w:rsid w:val="004E630C"/>
    <w:rsid w:val="004E64E2"/>
    <w:rsid w:val="004E6802"/>
    <w:rsid w:val="004E68F6"/>
    <w:rsid w:val="004E6B1F"/>
    <w:rsid w:val="004E6B75"/>
    <w:rsid w:val="004E6E28"/>
    <w:rsid w:val="004E6EA2"/>
    <w:rsid w:val="004E74A7"/>
    <w:rsid w:val="004E78AD"/>
    <w:rsid w:val="004E7ACE"/>
    <w:rsid w:val="004E7B5E"/>
    <w:rsid w:val="004E7DE0"/>
    <w:rsid w:val="004E7FFB"/>
    <w:rsid w:val="004F067E"/>
    <w:rsid w:val="004F0745"/>
    <w:rsid w:val="004F08AD"/>
    <w:rsid w:val="004F12DC"/>
    <w:rsid w:val="004F12FA"/>
    <w:rsid w:val="004F1382"/>
    <w:rsid w:val="004F144E"/>
    <w:rsid w:val="004F2054"/>
    <w:rsid w:val="004F2639"/>
    <w:rsid w:val="004F287E"/>
    <w:rsid w:val="004F2B9A"/>
    <w:rsid w:val="004F2C8E"/>
    <w:rsid w:val="004F2FD4"/>
    <w:rsid w:val="004F34D2"/>
    <w:rsid w:val="004F40FF"/>
    <w:rsid w:val="004F4196"/>
    <w:rsid w:val="004F42D3"/>
    <w:rsid w:val="004F47A1"/>
    <w:rsid w:val="004F4FBF"/>
    <w:rsid w:val="004F50EE"/>
    <w:rsid w:val="004F515C"/>
    <w:rsid w:val="004F608D"/>
    <w:rsid w:val="004F609B"/>
    <w:rsid w:val="004F60C4"/>
    <w:rsid w:val="004F6931"/>
    <w:rsid w:val="004F6E33"/>
    <w:rsid w:val="004F7307"/>
    <w:rsid w:val="004F7342"/>
    <w:rsid w:val="004F7C00"/>
    <w:rsid w:val="0050064B"/>
    <w:rsid w:val="00500CBF"/>
    <w:rsid w:val="00500D3C"/>
    <w:rsid w:val="005012F4"/>
    <w:rsid w:val="0050143F"/>
    <w:rsid w:val="005014C6"/>
    <w:rsid w:val="00501F3C"/>
    <w:rsid w:val="005021CA"/>
    <w:rsid w:val="005023E4"/>
    <w:rsid w:val="00502622"/>
    <w:rsid w:val="00502F20"/>
    <w:rsid w:val="00503CC1"/>
    <w:rsid w:val="00503ECE"/>
    <w:rsid w:val="00503EF1"/>
    <w:rsid w:val="005042F6"/>
    <w:rsid w:val="00504A28"/>
    <w:rsid w:val="00505129"/>
    <w:rsid w:val="005054E9"/>
    <w:rsid w:val="005058F8"/>
    <w:rsid w:val="00505C5A"/>
    <w:rsid w:val="00505D09"/>
    <w:rsid w:val="00505E1D"/>
    <w:rsid w:val="005063FF"/>
    <w:rsid w:val="00506ECD"/>
    <w:rsid w:val="0050713E"/>
    <w:rsid w:val="00507289"/>
    <w:rsid w:val="0050750F"/>
    <w:rsid w:val="00507536"/>
    <w:rsid w:val="00507C3A"/>
    <w:rsid w:val="00507F0D"/>
    <w:rsid w:val="00507FF7"/>
    <w:rsid w:val="00510021"/>
    <w:rsid w:val="00510469"/>
    <w:rsid w:val="0051071D"/>
    <w:rsid w:val="005115E6"/>
    <w:rsid w:val="00511E3C"/>
    <w:rsid w:val="00511E8F"/>
    <w:rsid w:val="00512317"/>
    <w:rsid w:val="005127D9"/>
    <w:rsid w:val="00512CB1"/>
    <w:rsid w:val="00512CB9"/>
    <w:rsid w:val="00512F8B"/>
    <w:rsid w:val="005136A7"/>
    <w:rsid w:val="00513BAA"/>
    <w:rsid w:val="00513BAC"/>
    <w:rsid w:val="00513E3E"/>
    <w:rsid w:val="00513F9E"/>
    <w:rsid w:val="00513FE8"/>
    <w:rsid w:val="005141F9"/>
    <w:rsid w:val="00514295"/>
    <w:rsid w:val="0051466F"/>
    <w:rsid w:val="00514910"/>
    <w:rsid w:val="0051498A"/>
    <w:rsid w:val="00515010"/>
    <w:rsid w:val="00515131"/>
    <w:rsid w:val="0051518A"/>
    <w:rsid w:val="0051541C"/>
    <w:rsid w:val="00515705"/>
    <w:rsid w:val="00515A99"/>
    <w:rsid w:val="00515AFB"/>
    <w:rsid w:val="00515B8F"/>
    <w:rsid w:val="00515BD7"/>
    <w:rsid w:val="00515D76"/>
    <w:rsid w:val="005164FE"/>
    <w:rsid w:val="00516506"/>
    <w:rsid w:val="0051662D"/>
    <w:rsid w:val="00516BF9"/>
    <w:rsid w:val="00517797"/>
    <w:rsid w:val="00517903"/>
    <w:rsid w:val="00517A11"/>
    <w:rsid w:val="00517AA0"/>
    <w:rsid w:val="0052090B"/>
    <w:rsid w:val="00520F3F"/>
    <w:rsid w:val="005214D8"/>
    <w:rsid w:val="005215ED"/>
    <w:rsid w:val="005216DC"/>
    <w:rsid w:val="005217F9"/>
    <w:rsid w:val="0052271B"/>
    <w:rsid w:val="00522A13"/>
    <w:rsid w:val="00522AF3"/>
    <w:rsid w:val="00522C41"/>
    <w:rsid w:val="0052300D"/>
    <w:rsid w:val="00523924"/>
    <w:rsid w:val="005240A6"/>
    <w:rsid w:val="00524CF1"/>
    <w:rsid w:val="00524D85"/>
    <w:rsid w:val="00525264"/>
    <w:rsid w:val="0052545D"/>
    <w:rsid w:val="00525593"/>
    <w:rsid w:val="00525BE0"/>
    <w:rsid w:val="0052650B"/>
    <w:rsid w:val="00526539"/>
    <w:rsid w:val="005269F8"/>
    <w:rsid w:val="00526A2E"/>
    <w:rsid w:val="005274A5"/>
    <w:rsid w:val="005274DD"/>
    <w:rsid w:val="005276AA"/>
    <w:rsid w:val="00527862"/>
    <w:rsid w:val="00527905"/>
    <w:rsid w:val="00530119"/>
    <w:rsid w:val="005304D7"/>
    <w:rsid w:val="0053052A"/>
    <w:rsid w:val="00530664"/>
    <w:rsid w:val="00530C05"/>
    <w:rsid w:val="00530D68"/>
    <w:rsid w:val="00530E21"/>
    <w:rsid w:val="00530FCF"/>
    <w:rsid w:val="0053114A"/>
    <w:rsid w:val="0053162C"/>
    <w:rsid w:val="00532264"/>
    <w:rsid w:val="00532874"/>
    <w:rsid w:val="00532AA9"/>
    <w:rsid w:val="005338E5"/>
    <w:rsid w:val="00533BE3"/>
    <w:rsid w:val="00533D36"/>
    <w:rsid w:val="00533F35"/>
    <w:rsid w:val="0053415B"/>
    <w:rsid w:val="0053432F"/>
    <w:rsid w:val="00535116"/>
    <w:rsid w:val="005354BA"/>
    <w:rsid w:val="00535B6F"/>
    <w:rsid w:val="00535C29"/>
    <w:rsid w:val="00535C84"/>
    <w:rsid w:val="005362CE"/>
    <w:rsid w:val="00536422"/>
    <w:rsid w:val="00536AB7"/>
    <w:rsid w:val="00536F5F"/>
    <w:rsid w:val="00537131"/>
    <w:rsid w:val="005377D1"/>
    <w:rsid w:val="00537A54"/>
    <w:rsid w:val="00537C14"/>
    <w:rsid w:val="00537EF7"/>
    <w:rsid w:val="00540708"/>
    <w:rsid w:val="00540799"/>
    <w:rsid w:val="005408BF"/>
    <w:rsid w:val="00540ABF"/>
    <w:rsid w:val="005411BD"/>
    <w:rsid w:val="00541337"/>
    <w:rsid w:val="005416D2"/>
    <w:rsid w:val="00541E12"/>
    <w:rsid w:val="00541E5D"/>
    <w:rsid w:val="00541F9A"/>
    <w:rsid w:val="00542109"/>
    <w:rsid w:val="00542463"/>
    <w:rsid w:val="005426BD"/>
    <w:rsid w:val="00543161"/>
    <w:rsid w:val="00543629"/>
    <w:rsid w:val="00543A8B"/>
    <w:rsid w:val="00543B5E"/>
    <w:rsid w:val="00543CFA"/>
    <w:rsid w:val="00543D24"/>
    <w:rsid w:val="00543FA3"/>
    <w:rsid w:val="00544098"/>
    <w:rsid w:val="00544455"/>
    <w:rsid w:val="005445E5"/>
    <w:rsid w:val="005449C0"/>
    <w:rsid w:val="00545004"/>
    <w:rsid w:val="00545C64"/>
    <w:rsid w:val="00545E3C"/>
    <w:rsid w:val="005463EF"/>
    <w:rsid w:val="00546798"/>
    <w:rsid w:val="005474DF"/>
    <w:rsid w:val="00547812"/>
    <w:rsid w:val="005500EF"/>
    <w:rsid w:val="00550231"/>
    <w:rsid w:val="00550559"/>
    <w:rsid w:val="005508CC"/>
    <w:rsid w:val="00550BD1"/>
    <w:rsid w:val="0055114E"/>
    <w:rsid w:val="0055123E"/>
    <w:rsid w:val="0055177A"/>
    <w:rsid w:val="00551E28"/>
    <w:rsid w:val="00551F99"/>
    <w:rsid w:val="00551FDA"/>
    <w:rsid w:val="00552704"/>
    <w:rsid w:val="00552B93"/>
    <w:rsid w:val="00552DB4"/>
    <w:rsid w:val="00552F75"/>
    <w:rsid w:val="005537AD"/>
    <w:rsid w:val="005539B4"/>
    <w:rsid w:val="00554071"/>
    <w:rsid w:val="005542C4"/>
    <w:rsid w:val="00554796"/>
    <w:rsid w:val="00554FB7"/>
    <w:rsid w:val="00555231"/>
    <w:rsid w:val="00555443"/>
    <w:rsid w:val="00555699"/>
    <w:rsid w:val="00556207"/>
    <w:rsid w:val="00556915"/>
    <w:rsid w:val="00556A1A"/>
    <w:rsid w:val="005576C3"/>
    <w:rsid w:val="00557822"/>
    <w:rsid w:val="005579D8"/>
    <w:rsid w:val="00557D24"/>
    <w:rsid w:val="00557D6A"/>
    <w:rsid w:val="005601E0"/>
    <w:rsid w:val="0056048F"/>
    <w:rsid w:val="00560A8A"/>
    <w:rsid w:val="005615AC"/>
    <w:rsid w:val="00561C0C"/>
    <w:rsid w:val="00561E37"/>
    <w:rsid w:val="00561FDE"/>
    <w:rsid w:val="0056210F"/>
    <w:rsid w:val="0056254E"/>
    <w:rsid w:val="00562AAA"/>
    <w:rsid w:val="00563137"/>
    <w:rsid w:val="00563475"/>
    <w:rsid w:val="005638D0"/>
    <w:rsid w:val="00563AD8"/>
    <w:rsid w:val="00563CFB"/>
    <w:rsid w:val="00563D09"/>
    <w:rsid w:val="005640A5"/>
    <w:rsid w:val="00564278"/>
    <w:rsid w:val="0056444D"/>
    <w:rsid w:val="005648AB"/>
    <w:rsid w:val="00564BE8"/>
    <w:rsid w:val="00564ECE"/>
    <w:rsid w:val="005651EF"/>
    <w:rsid w:val="00565641"/>
    <w:rsid w:val="00565FD8"/>
    <w:rsid w:val="0056635E"/>
    <w:rsid w:val="00566442"/>
    <w:rsid w:val="005669FB"/>
    <w:rsid w:val="0056704B"/>
    <w:rsid w:val="0056722E"/>
    <w:rsid w:val="0056749B"/>
    <w:rsid w:val="00567808"/>
    <w:rsid w:val="0056786D"/>
    <w:rsid w:val="0057009D"/>
    <w:rsid w:val="005700DE"/>
    <w:rsid w:val="0057047F"/>
    <w:rsid w:val="005704A4"/>
    <w:rsid w:val="0057068D"/>
    <w:rsid w:val="00570E5B"/>
    <w:rsid w:val="00570F5F"/>
    <w:rsid w:val="00571043"/>
    <w:rsid w:val="005712D9"/>
    <w:rsid w:val="005718F1"/>
    <w:rsid w:val="00571BA9"/>
    <w:rsid w:val="00571CA3"/>
    <w:rsid w:val="00571DD2"/>
    <w:rsid w:val="00571E15"/>
    <w:rsid w:val="00571E77"/>
    <w:rsid w:val="00572296"/>
    <w:rsid w:val="00572D1B"/>
    <w:rsid w:val="00572E06"/>
    <w:rsid w:val="00574068"/>
    <w:rsid w:val="00574241"/>
    <w:rsid w:val="00574A0D"/>
    <w:rsid w:val="00574C58"/>
    <w:rsid w:val="00574F26"/>
    <w:rsid w:val="005756FC"/>
    <w:rsid w:val="00575B91"/>
    <w:rsid w:val="00575DFA"/>
    <w:rsid w:val="005762C0"/>
    <w:rsid w:val="00576816"/>
    <w:rsid w:val="00576D29"/>
    <w:rsid w:val="00577150"/>
    <w:rsid w:val="0057715E"/>
    <w:rsid w:val="0057731D"/>
    <w:rsid w:val="0057738A"/>
    <w:rsid w:val="005774E9"/>
    <w:rsid w:val="00577F6B"/>
    <w:rsid w:val="00580663"/>
    <w:rsid w:val="0058096C"/>
    <w:rsid w:val="00580E3C"/>
    <w:rsid w:val="005816F3"/>
    <w:rsid w:val="005818DE"/>
    <w:rsid w:val="00581BE2"/>
    <w:rsid w:val="00581DB0"/>
    <w:rsid w:val="00581DD5"/>
    <w:rsid w:val="00582964"/>
    <w:rsid w:val="00582A35"/>
    <w:rsid w:val="00582A6E"/>
    <w:rsid w:val="00582B58"/>
    <w:rsid w:val="005830D8"/>
    <w:rsid w:val="0058318B"/>
    <w:rsid w:val="0058320A"/>
    <w:rsid w:val="00583979"/>
    <w:rsid w:val="00584AB4"/>
    <w:rsid w:val="0058561C"/>
    <w:rsid w:val="0058579B"/>
    <w:rsid w:val="00585C4B"/>
    <w:rsid w:val="005861AA"/>
    <w:rsid w:val="005864B5"/>
    <w:rsid w:val="00586D94"/>
    <w:rsid w:val="0058761C"/>
    <w:rsid w:val="005878C0"/>
    <w:rsid w:val="00587C49"/>
    <w:rsid w:val="00590158"/>
    <w:rsid w:val="00590498"/>
    <w:rsid w:val="0059086B"/>
    <w:rsid w:val="005908FD"/>
    <w:rsid w:val="00590C31"/>
    <w:rsid w:val="00591D06"/>
    <w:rsid w:val="00591FB7"/>
    <w:rsid w:val="00592328"/>
    <w:rsid w:val="00592704"/>
    <w:rsid w:val="0059294F"/>
    <w:rsid w:val="00592A00"/>
    <w:rsid w:val="00592A4C"/>
    <w:rsid w:val="00592D72"/>
    <w:rsid w:val="00592DA1"/>
    <w:rsid w:val="005932CA"/>
    <w:rsid w:val="005933F0"/>
    <w:rsid w:val="00593C1A"/>
    <w:rsid w:val="00593D92"/>
    <w:rsid w:val="0059412A"/>
    <w:rsid w:val="0059433F"/>
    <w:rsid w:val="00594530"/>
    <w:rsid w:val="005946DA"/>
    <w:rsid w:val="00594920"/>
    <w:rsid w:val="005949F4"/>
    <w:rsid w:val="00594EFF"/>
    <w:rsid w:val="00594F46"/>
    <w:rsid w:val="0059507C"/>
    <w:rsid w:val="005951CC"/>
    <w:rsid w:val="0059588A"/>
    <w:rsid w:val="005958A8"/>
    <w:rsid w:val="00595DC4"/>
    <w:rsid w:val="00595E88"/>
    <w:rsid w:val="005970C0"/>
    <w:rsid w:val="0059771E"/>
    <w:rsid w:val="0059785D"/>
    <w:rsid w:val="005A0087"/>
    <w:rsid w:val="005A04DE"/>
    <w:rsid w:val="005A053B"/>
    <w:rsid w:val="005A0991"/>
    <w:rsid w:val="005A0AD4"/>
    <w:rsid w:val="005A0D61"/>
    <w:rsid w:val="005A0E09"/>
    <w:rsid w:val="005A1391"/>
    <w:rsid w:val="005A1443"/>
    <w:rsid w:val="005A1ADE"/>
    <w:rsid w:val="005A1CFE"/>
    <w:rsid w:val="005A1D64"/>
    <w:rsid w:val="005A1EE3"/>
    <w:rsid w:val="005A280A"/>
    <w:rsid w:val="005A2FC8"/>
    <w:rsid w:val="005A32FA"/>
    <w:rsid w:val="005A3795"/>
    <w:rsid w:val="005A3844"/>
    <w:rsid w:val="005A3AF8"/>
    <w:rsid w:val="005A3B92"/>
    <w:rsid w:val="005A3BBF"/>
    <w:rsid w:val="005A3BE5"/>
    <w:rsid w:val="005A42C8"/>
    <w:rsid w:val="005A45B7"/>
    <w:rsid w:val="005A469C"/>
    <w:rsid w:val="005A4F5C"/>
    <w:rsid w:val="005A502D"/>
    <w:rsid w:val="005A6488"/>
    <w:rsid w:val="005A66AF"/>
    <w:rsid w:val="005A67BA"/>
    <w:rsid w:val="005A68B9"/>
    <w:rsid w:val="005A7097"/>
    <w:rsid w:val="005A79A2"/>
    <w:rsid w:val="005A7C06"/>
    <w:rsid w:val="005A7C74"/>
    <w:rsid w:val="005B0CCB"/>
    <w:rsid w:val="005B0CF4"/>
    <w:rsid w:val="005B1459"/>
    <w:rsid w:val="005B1691"/>
    <w:rsid w:val="005B1771"/>
    <w:rsid w:val="005B1A4C"/>
    <w:rsid w:val="005B2448"/>
    <w:rsid w:val="005B2EC0"/>
    <w:rsid w:val="005B2F31"/>
    <w:rsid w:val="005B3132"/>
    <w:rsid w:val="005B3252"/>
    <w:rsid w:val="005B349E"/>
    <w:rsid w:val="005B3C30"/>
    <w:rsid w:val="005B3FD9"/>
    <w:rsid w:val="005B43AC"/>
    <w:rsid w:val="005B486F"/>
    <w:rsid w:val="005B4F27"/>
    <w:rsid w:val="005B4FCF"/>
    <w:rsid w:val="005B5178"/>
    <w:rsid w:val="005B5B1B"/>
    <w:rsid w:val="005B5B51"/>
    <w:rsid w:val="005B6C12"/>
    <w:rsid w:val="005B700C"/>
    <w:rsid w:val="005B7074"/>
    <w:rsid w:val="005B71EF"/>
    <w:rsid w:val="005B73A5"/>
    <w:rsid w:val="005B79C6"/>
    <w:rsid w:val="005B7A4C"/>
    <w:rsid w:val="005B7ABD"/>
    <w:rsid w:val="005C0554"/>
    <w:rsid w:val="005C0564"/>
    <w:rsid w:val="005C080F"/>
    <w:rsid w:val="005C082B"/>
    <w:rsid w:val="005C0C04"/>
    <w:rsid w:val="005C16B9"/>
    <w:rsid w:val="005C1A96"/>
    <w:rsid w:val="005C1B2F"/>
    <w:rsid w:val="005C283A"/>
    <w:rsid w:val="005C325A"/>
    <w:rsid w:val="005C3452"/>
    <w:rsid w:val="005C34A8"/>
    <w:rsid w:val="005C3710"/>
    <w:rsid w:val="005C3904"/>
    <w:rsid w:val="005C3A34"/>
    <w:rsid w:val="005C4365"/>
    <w:rsid w:val="005C44CE"/>
    <w:rsid w:val="005C4C24"/>
    <w:rsid w:val="005C4E9C"/>
    <w:rsid w:val="005C52D2"/>
    <w:rsid w:val="005C5338"/>
    <w:rsid w:val="005C5996"/>
    <w:rsid w:val="005C5A1D"/>
    <w:rsid w:val="005C5B90"/>
    <w:rsid w:val="005C5DC5"/>
    <w:rsid w:val="005C6323"/>
    <w:rsid w:val="005C64FC"/>
    <w:rsid w:val="005C67E4"/>
    <w:rsid w:val="005C6C0C"/>
    <w:rsid w:val="005C6DDE"/>
    <w:rsid w:val="005C6E04"/>
    <w:rsid w:val="005C6F6C"/>
    <w:rsid w:val="005C7025"/>
    <w:rsid w:val="005C7B46"/>
    <w:rsid w:val="005D039D"/>
    <w:rsid w:val="005D0586"/>
    <w:rsid w:val="005D0610"/>
    <w:rsid w:val="005D0DC0"/>
    <w:rsid w:val="005D1394"/>
    <w:rsid w:val="005D21F7"/>
    <w:rsid w:val="005D220B"/>
    <w:rsid w:val="005D292A"/>
    <w:rsid w:val="005D2E43"/>
    <w:rsid w:val="005D2FE9"/>
    <w:rsid w:val="005D304D"/>
    <w:rsid w:val="005D3338"/>
    <w:rsid w:val="005D3688"/>
    <w:rsid w:val="005D393E"/>
    <w:rsid w:val="005D395C"/>
    <w:rsid w:val="005D4101"/>
    <w:rsid w:val="005D4457"/>
    <w:rsid w:val="005D4598"/>
    <w:rsid w:val="005D50A0"/>
    <w:rsid w:val="005D5408"/>
    <w:rsid w:val="005D659F"/>
    <w:rsid w:val="005D68C9"/>
    <w:rsid w:val="005D7078"/>
    <w:rsid w:val="005D7485"/>
    <w:rsid w:val="005D7C71"/>
    <w:rsid w:val="005D7E50"/>
    <w:rsid w:val="005D7E56"/>
    <w:rsid w:val="005E028B"/>
    <w:rsid w:val="005E02DB"/>
    <w:rsid w:val="005E037D"/>
    <w:rsid w:val="005E03BA"/>
    <w:rsid w:val="005E04C9"/>
    <w:rsid w:val="005E168F"/>
    <w:rsid w:val="005E1D29"/>
    <w:rsid w:val="005E2235"/>
    <w:rsid w:val="005E2560"/>
    <w:rsid w:val="005E271E"/>
    <w:rsid w:val="005E2857"/>
    <w:rsid w:val="005E2A78"/>
    <w:rsid w:val="005E2B02"/>
    <w:rsid w:val="005E2E03"/>
    <w:rsid w:val="005E3756"/>
    <w:rsid w:val="005E3D0D"/>
    <w:rsid w:val="005E3E45"/>
    <w:rsid w:val="005E42E9"/>
    <w:rsid w:val="005E4732"/>
    <w:rsid w:val="005E4988"/>
    <w:rsid w:val="005E499F"/>
    <w:rsid w:val="005E5238"/>
    <w:rsid w:val="005E5735"/>
    <w:rsid w:val="005E5ABD"/>
    <w:rsid w:val="005E5CC7"/>
    <w:rsid w:val="005E5E2E"/>
    <w:rsid w:val="005E5FCE"/>
    <w:rsid w:val="005E61A0"/>
    <w:rsid w:val="005E6254"/>
    <w:rsid w:val="005E6519"/>
    <w:rsid w:val="005E670D"/>
    <w:rsid w:val="005E67FE"/>
    <w:rsid w:val="005E6EB0"/>
    <w:rsid w:val="005E7610"/>
    <w:rsid w:val="005E7AC2"/>
    <w:rsid w:val="005E7E7E"/>
    <w:rsid w:val="005F05D3"/>
    <w:rsid w:val="005F0CB9"/>
    <w:rsid w:val="005F0DBC"/>
    <w:rsid w:val="005F10C3"/>
    <w:rsid w:val="005F111A"/>
    <w:rsid w:val="005F11A1"/>
    <w:rsid w:val="005F145A"/>
    <w:rsid w:val="005F1889"/>
    <w:rsid w:val="005F19B4"/>
    <w:rsid w:val="005F1A84"/>
    <w:rsid w:val="005F1F76"/>
    <w:rsid w:val="005F200A"/>
    <w:rsid w:val="005F25E2"/>
    <w:rsid w:val="005F26B0"/>
    <w:rsid w:val="005F29DA"/>
    <w:rsid w:val="005F2C2C"/>
    <w:rsid w:val="005F32F9"/>
    <w:rsid w:val="005F3C66"/>
    <w:rsid w:val="005F3D90"/>
    <w:rsid w:val="005F3E05"/>
    <w:rsid w:val="005F41DA"/>
    <w:rsid w:val="005F434F"/>
    <w:rsid w:val="005F44BA"/>
    <w:rsid w:val="005F4AAC"/>
    <w:rsid w:val="005F4B16"/>
    <w:rsid w:val="005F4BA6"/>
    <w:rsid w:val="005F4D33"/>
    <w:rsid w:val="005F531C"/>
    <w:rsid w:val="005F5578"/>
    <w:rsid w:val="005F55E4"/>
    <w:rsid w:val="005F5B11"/>
    <w:rsid w:val="005F5B6E"/>
    <w:rsid w:val="005F60C1"/>
    <w:rsid w:val="005F614F"/>
    <w:rsid w:val="005F6409"/>
    <w:rsid w:val="005F684F"/>
    <w:rsid w:val="005F69B6"/>
    <w:rsid w:val="005F6FF7"/>
    <w:rsid w:val="005F73A7"/>
    <w:rsid w:val="005F78FA"/>
    <w:rsid w:val="005F7CF4"/>
    <w:rsid w:val="005F7EDF"/>
    <w:rsid w:val="00600394"/>
    <w:rsid w:val="00600463"/>
    <w:rsid w:val="00600DF0"/>
    <w:rsid w:val="00600FED"/>
    <w:rsid w:val="006018B5"/>
    <w:rsid w:val="006026F6"/>
    <w:rsid w:val="0060289B"/>
    <w:rsid w:val="00602DE7"/>
    <w:rsid w:val="00603752"/>
    <w:rsid w:val="00604152"/>
    <w:rsid w:val="00604508"/>
    <w:rsid w:val="006046E6"/>
    <w:rsid w:val="00604890"/>
    <w:rsid w:val="006048EF"/>
    <w:rsid w:val="00604B2E"/>
    <w:rsid w:val="00604F7B"/>
    <w:rsid w:val="00605138"/>
    <w:rsid w:val="00605312"/>
    <w:rsid w:val="00606663"/>
    <w:rsid w:val="00607753"/>
    <w:rsid w:val="00607BA4"/>
    <w:rsid w:val="006100F1"/>
    <w:rsid w:val="00610661"/>
    <w:rsid w:val="006109B4"/>
    <w:rsid w:val="00610B92"/>
    <w:rsid w:val="00610C42"/>
    <w:rsid w:val="00610D55"/>
    <w:rsid w:val="00611137"/>
    <w:rsid w:val="00611185"/>
    <w:rsid w:val="0061187D"/>
    <w:rsid w:val="0061206F"/>
    <w:rsid w:val="00612B54"/>
    <w:rsid w:val="00612D5E"/>
    <w:rsid w:val="00613304"/>
    <w:rsid w:val="006133DA"/>
    <w:rsid w:val="00613AFF"/>
    <w:rsid w:val="0061550C"/>
    <w:rsid w:val="00615734"/>
    <w:rsid w:val="00615C49"/>
    <w:rsid w:val="00615D56"/>
    <w:rsid w:val="006161AC"/>
    <w:rsid w:val="00616436"/>
    <w:rsid w:val="0061665F"/>
    <w:rsid w:val="006166E8"/>
    <w:rsid w:val="00616865"/>
    <w:rsid w:val="0061692D"/>
    <w:rsid w:val="006169DA"/>
    <w:rsid w:val="00616F0B"/>
    <w:rsid w:val="0061703A"/>
    <w:rsid w:val="00617154"/>
    <w:rsid w:val="0061717F"/>
    <w:rsid w:val="006174A0"/>
    <w:rsid w:val="006174FC"/>
    <w:rsid w:val="006177B3"/>
    <w:rsid w:val="00617867"/>
    <w:rsid w:val="00617E9B"/>
    <w:rsid w:val="00620200"/>
    <w:rsid w:val="006202D7"/>
    <w:rsid w:val="0062069A"/>
    <w:rsid w:val="00621266"/>
    <w:rsid w:val="006215F6"/>
    <w:rsid w:val="0062168E"/>
    <w:rsid w:val="006216EC"/>
    <w:rsid w:val="00621DFB"/>
    <w:rsid w:val="00622041"/>
    <w:rsid w:val="006220CE"/>
    <w:rsid w:val="00622C13"/>
    <w:rsid w:val="00623140"/>
    <w:rsid w:val="00623B1F"/>
    <w:rsid w:val="00623C68"/>
    <w:rsid w:val="00623F95"/>
    <w:rsid w:val="00624121"/>
    <w:rsid w:val="0062415D"/>
    <w:rsid w:val="006242C7"/>
    <w:rsid w:val="00624742"/>
    <w:rsid w:val="006248F8"/>
    <w:rsid w:val="0062517B"/>
    <w:rsid w:val="0062532A"/>
    <w:rsid w:val="006256A9"/>
    <w:rsid w:val="00625E84"/>
    <w:rsid w:val="00626450"/>
    <w:rsid w:val="0062683D"/>
    <w:rsid w:val="00630643"/>
    <w:rsid w:val="00630801"/>
    <w:rsid w:val="00630DC5"/>
    <w:rsid w:val="00631065"/>
    <w:rsid w:val="006318C7"/>
    <w:rsid w:val="00631FEA"/>
    <w:rsid w:val="0063272D"/>
    <w:rsid w:val="006327BD"/>
    <w:rsid w:val="00633068"/>
    <w:rsid w:val="006339CB"/>
    <w:rsid w:val="00633EEB"/>
    <w:rsid w:val="0063494B"/>
    <w:rsid w:val="006349FC"/>
    <w:rsid w:val="00634D94"/>
    <w:rsid w:val="00634E6D"/>
    <w:rsid w:val="0063523F"/>
    <w:rsid w:val="006353A7"/>
    <w:rsid w:val="00635A59"/>
    <w:rsid w:val="00635B63"/>
    <w:rsid w:val="00635E12"/>
    <w:rsid w:val="00636054"/>
    <w:rsid w:val="00636098"/>
    <w:rsid w:val="006362C8"/>
    <w:rsid w:val="0063665C"/>
    <w:rsid w:val="00636E70"/>
    <w:rsid w:val="0063701A"/>
    <w:rsid w:val="00637207"/>
    <w:rsid w:val="00637262"/>
    <w:rsid w:val="00637358"/>
    <w:rsid w:val="0063740C"/>
    <w:rsid w:val="00637C37"/>
    <w:rsid w:val="00637CBC"/>
    <w:rsid w:val="00637DCC"/>
    <w:rsid w:val="00640453"/>
    <w:rsid w:val="00640518"/>
    <w:rsid w:val="0064097A"/>
    <w:rsid w:val="00640BF3"/>
    <w:rsid w:val="00641603"/>
    <w:rsid w:val="006417F7"/>
    <w:rsid w:val="006422CC"/>
    <w:rsid w:val="00642BB7"/>
    <w:rsid w:val="0064318B"/>
    <w:rsid w:val="006444D5"/>
    <w:rsid w:val="006445B1"/>
    <w:rsid w:val="00644B3D"/>
    <w:rsid w:val="0064511B"/>
    <w:rsid w:val="00645306"/>
    <w:rsid w:val="00645B96"/>
    <w:rsid w:val="00645BF5"/>
    <w:rsid w:val="00645D57"/>
    <w:rsid w:val="00645E03"/>
    <w:rsid w:val="00645E5D"/>
    <w:rsid w:val="00645F36"/>
    <w:rsid w:val="00646023"/>
    <w:rsid w:val="006460A5"/>
    <w:rsid w:val="00646E1A"/>
    <w:rsid w:val="00646F3F"/>
    <w:rsid w:val="006473F4"/>
    <w:rsid w:val="006474A1"/>
    <w:rsid w:val="00647874"/>
    <w:rsid w:val="00647C62"/>
    <w:rsid w:val="00647F8F"/>
    <w:rsid w:val="006503C3"/>
    <w:rsid w:val="00651D85"/>
    <w:rsid w:val="00652299"/>
    <w:rsid w:val="006525B7"/>
    <w:rsid w:val="0065271C"/>
    <w:rsid w:val="006531CE"/>
    <w:rsid w:val="00653932"/>
    <w:rsid w:val="00653B7E"/>
    <w:rsid w:val="00653BAA"/>
    <w:rsid w:val="00653D72"/>
    <w:rsid w:val="0065404C"/>
    <w:rsid w:val="006540A1"/>
    <w:rsid w:val="00654740"/>
    <w:rsid w:val="00654B4D"/>
    <w:rsid w:val="00654CEF"/>
    <w:rsid w:val="00655287"/>
    <w:rsid w:val="00655625"/>
    <w:rsid w:val="00655871"/>
    <w:rsid w:val="00655DF2"/>
    <w:rsid w:val="00655E3D"/>
    <w:rsid w:val="006563BF"/>
    <w:rsid w:val="00656435"/>
    <w:rsid w:val="0065697D"/>
    <w:rsid w:val="00657166"/>
    <w:rsid w:val="006575E6"/>
    <w:rsid w:val="00657DA8"/>
    <w:rsid w:val="00657E52"/>
    <w:rsid w:val="006600E6"/>
    <w:rsid w:val="0066031D"/>
    <w:rsid w:val="00660668"/>
    <w:rsid w:val="00660888"/>
    <w:rsid w:val="00660A1E"/>
    <w:rsid w:val="00660A1F"/>
    <w:rsid w:val="00660DDB"/>
    <w:rsid w:val="00660FB5"/>
    <w:rsid w:val="006612A7"/>
    <w:rsid w:val="00661D6A"/>
    <w:rsid w:val="00661E9F"/>
    <w:rsid w:val="00662826"/>
    <w:rsid w:val="00663040"/>
    <w:rsid w:val="0066387C"/>
    <w:rsid w:val="0066395B"/>
    <w:rsid w:val="00663E79"/>
    <w:rsid w:val="0066449B"/>
    <w:rsid w:val="0066474B"/>
    <w:rsid w:val="006651C0"/>
    <w:rsid w:val="00665A58"/>
    <w:rsid w:val="006660AB"/>
    <w:rsid w:val="0066616D"/>
    <w:rsid w:val="00666190"/>
    <w:rsid w:val="0066630A"/>
    <w:rsid w:val="00666610"/>
    <w:rsid w:val="00666687"/>
    <w:rsid w:val="00667457"/>
    <w:rsid w:val="00667482"/>
    <w:rsid w:val="00667D0C"/>
    <w:rsid w:val="00670527"/>
    <w:rsid w:val="00670D61"/>
    <w:rsid w:val="0067163A"/>
    <w:rsid w:val="0067268D"/>
    <w:rsid w:val="00672B5C"/>
    <w:rsid w:val="00673094"/>
    <w:rsid w:val="00673125"/>
    <w:rsid w:val="00673187"/>
    <w:rsid w:val="00673428"/>
    <w:rsid w:val="00673B9C"/>
    <w:rsid w:val="00673D84"/>
    <w:rsid w:val="00674100"/>
    <w:rsid w:val="00674BCC"/>
    <w:rsid w:val="00674D8A"/>
    <w:rsid w:val="0067504D"/>
    <w:rsid w:val="00675396"/>
    <w:rsid w:val="0067572A"/>
    <w:rsid w:val="00675DA3"/>
    <w:rsid w:val="00675DDB"/>
    <w:rsid w:val="00675F4B"/>
    <w:rsid w:val="00676251"/>
    <w:rsid w:val="0067636F"/>
    <w:rsid w:val="006765BF"/>
    <w:rsid w:val="00676682"/>
    <w:rsid w:val="00676A07"/>
    <w:rsid w:val="00676E44"/>
    <w:rsid w:val="00676F07"/>
    <w:rsid w:val="006771E4"/>
    <w:rsid w:val="006772B5"/>
    <w:rsid w:val="00677456"/>
    <w:rsid w:val="00677BE6"/>
    <w:rsid w:val="006805C7"/>
    <w:rsid w:val="006806C9"/>
    <w:rsid w:val="006809AA"/>
    <w:rsid w:val="00680C51"/>
    <w:rsid w:val="00681011"/>
    <w:rsid w:val="0068114E"/>
    <w:rsid w:val="00681739"/>
    <w:rsid w:val="006817B0"/>
    <w:rsid w:val="00681995"/>
    <w:rsid w:val="00681D49"/>
    <w:rsid w:val="006823FC"/>
    <w:rsid w:val="006824F4"/>
    <w:rsid w:val="006838C3"/>
    <w:rsid w:val="00683BD1"/>
    <w:rsid w:val="00683C7D"/>
    <w:rsid w:val="0068463A"/>
    <w:rsid w:val="00684F8A"/>
    <w:rsid w:val="00685BB0"/>
    <w:rsid w:val="00686373"/>
    <w:rsid w:val="0068659D"/>
    <w:rsid w:val="00686FEC"/>
    <w:rsid w:val="006900F4"/>
    <w:rsid w:val="0069010A"/>
    <w:rsid w:val="006907A3"/>
    <w:rsid w:val="006910B3"/>
    <w:rsid w:val="006913A7"/>
    <w:rsid w:val="00691850"/>
    <w:rsid w:val="006918A6"/>
    <w:rsid w:val="00691B98"/>
    <w:rsid w:val="00692039"/>
    <w:rsid w:val="0069207B"/>
    <w:rsid w:val="00692178"/>
    <w:rsid w:val="00693280"/>
    <w:rsid w:val="00693B49"/>
    <w:rsid w:val="00693BE5"/>
    <w:rsid w:val="00693D2D"/>
    <w:rsid w:val="00693F50"/>
    <w:rsid w:val="0069419B"/>
    <w:rsid w:val="00694C07"/>
    <w:rsid w:val="0069502B"/>
    <w:rsid w:val="00695075"/>
    <w:rsid w:val="006950B7"/>
    <w:rsid w:val="006951F4"/>
    <w:rsid w:val="0069545E"/>
    <w:rsid w:val="006954B7"/>
    <w:rsid w:val="00695AEA"/>
    <w:rsid w:val="0069664E"/>
    <w:rsid w:val="006966E5"/>
    <w:rsid w:val="00696A15"/>
    <w:rsid w:val="00696CD4"/>
    <w:rsid w:val="0069798D"/>
    <w:rsid w:val="006A00F7"/>
    <w:rsid w:val="006A02AF"/>
    <w:rsid w:val="006A0547"/>
    <w:rsid w:val="006A0C0D"/>
    <w:rsid w:val="006A0CA9"/>
    <w:rsid w:val="006A0E6B"/>
    <w:rsid w:val="006A0F95"/>
    <w:rsid w:val="006A1530"/>
    <w:rsid w:val="006A1531"/>
    <w:rsid w:val="006A1553"/>
    <w:rsid w:val="006A1684"/>
    <w:rsid w:val="006A1736"/>
    <w:rsid w:val="006A1A92"/>
    <w:rsid w:val="006A2646"/>
    <w:rsid w:val="006A2976"/>
    <w:rsid w:val="006A2F0F"/>
    <w:rsid w:val="006A2F2E"/>
    <w:rsid w:val="006A3174"/>
    <w:rsid w:val="006A337F"/>
    <w:rsid w:val="006A34D9"/>
    <w:rsid w:val="006A356B"/>
    <w:rsid w:val="006A4015"/>
    <w:rsid w:val="006A40B7"/>
    <w:rsid w:val="006A42B6"/>
    <w:rsid w:val="006A4F53"/>
    <w:rsid w:val="006A5280"/>
    <w:rsid w:val="006A5743"/>
    <w:rsid w:val="006A5A46"/>
    <w:rsid w:val="006A5E9F"/>
    <w:rsid w:val="006A6619"/>
    <w:rsid w:val="006A6B16"/>
    <w:rsid w:val="006A6C91"/>
    <w:rsid w:val="006A7474"/>
    <w:rsid w:val="006A7525"/>
    <w:rsid w:val="006A770C"/>
    <w:rsid w:val="006A7D40"/>
    <w:rsid w:val="006B0698"/>
    <w:rsid w:val="006B07F6"/>
    <w:rsid w:val="006B08C9"/>
    <w:rsid w:val="006B14E2"/>
    <w:rsid w:val="006B17FB"/>
    <w:rsid w:val="006B1CC5"/>
    <w:rsid w:val="006B27C9"/>
    <w:rsid w:val="006B2827"/>
    <w:rsid w:val="006B2D29"/>
    <w:rsid w:val="006B2ECC"/>
    <w:rsid w:val="006B3238"/>
    <w:rsid w:val="006B32FA"/>
    <w:rsid w:val="006B3450"/>
    <w:rsid w:val="006B3634"/>
    <w:rsid w:val="006B3B48"/>
    <w:rsid w:val="006B3D8B"/>
    <w:rsid w:val="006B404A"/>
    <w:rsid w:val="006B439C"/>
    <w:rsid w:val="006B48D0"/>
    <w:rsid w:val="006B5588"/>
    <w:rsid w:val="006B5842"/>
    <w:rsid w:val="006B5AF4"/>
    <w:rsid w:val="006B5F27"/>
    <w:rsid w:val="006B6207"/>
    <w:rsid w:val="006B630C"/>
    <w:rsid w:val="006B638B"/>
    <w:rsid w:val="006B6471"/>
    <w:rsid w:val="006B65A1"/>
    <w:rsid w:val="006B6606"/>
    <w:rsid w:val="006B6655"/>
    <w:rsid w:val="006B69F3"/>
    <w:rsid w:val="006B6F68"/>
    <w:rsid w:val="006B6F72"/>
    <w:rsid w:val="006B7202"/>
    <w:rsid w:val="006B739F"/>
    <w:rsid w:val="006B7E33"/>
    <w:rsid w:val="006C083D"/>
    <w:rsid w:val="006C09F3"/>
    <w:rsid w:val="006C0B5D"/>
    <w:rsid w:val="006C15E5"/>
    <w:rsid w:val="006C2585"/>
    <w:rsid w:val="006C2822"/>
    <w:rsid w:val="006C3990"/>
    <w:rsid w:val="006C4160"/>
    <w:rsid w:val="006C4406"/>
    <w:rsid w:val="006C479D"/>
    <w:rsid w:val="006C4904"/>
    <w:rsid w:val="006C4BEE"/>
    <w:rsid w:val="006C4DBC"/>
    <w:rsid w:val="006C52F4"/>
    <w:rsid w:val="006C52FE"/>
    <w:rsid w:val="006C575C"/>
    <w:rsid w:val="006C5C2B"/>
    <w:rsid w:val="006C5D6E"/>
    <w:rsid w:val="006C60BB"/>
    <w:rsid w:val="006C6F56"/>
    <w:rsid w:val="006C71E1"/>
    <w:rsid w:val="006C726D"/>
    <w:rsid w:val="006C7662"/>
    <w:rsid w:val="006C7CD8"/>
    <w:rsid w:val="006D0219"/>
    <w:rsid w:val="006D06D3"/>
    <w:rsid w:val="006D09DA"/>
    <w:rsid w:val="006D0A5E"/>
    <w:rsid w:val="006D0E85"/>
    <w:rsid w:val="006D0FDD"/>
    <w:rsid w:val="006D15BB"/>
    <w:rsid w:val="006D17F7"/>
    <w:rsid w:val="006D203D"/>
    <w:rsid w:val="006D2342"/>
    <w:rsid w:val="006D26CB"/>
    <w:rsid w:val="006D292D"/>
    <w:rsid w:val="006D2CFD"/>
    <w:rsid w:val="006D2E0D"/>
    <w:rsid w:val="006D39A0"/>
    <w:rsid w:val="006D3BDA"/>
    <w:rsid w:val="006D3F0B"/>
    <w:rsid w:val="006D409F"/>
    <w:rsid w:val="006D4127"/>
    <w:rsid w:val="006D4B79"/>
    <w:rsid w:val="006D4C38"/>
    <w:rsid w:val="006D4CA2"/>
    <w:rsid w:val="006D4CD9"/>
    <w:rsid w:val="006D4D06"/>
    <w:rsid w:val="006D526D"/>
    <w:rsid w:val="006D52AE"/>
    <w:rsid w:val="006D55C0"/>
    <w:rsid w:val="006D55D2"/>
    <w:rsid w:val="006D561F"/>
    <w:rsid w:val="006D5C25"/>
    <w:rsid w:val="006D6E5A"/>
    <w:rsid w:val="006D6F53"/>
    <w:rsid w:val="006D70AD"/>
    <w:rsid w:val="006D78A4"/>
    <w:rsid w:val="006D78EF"/>
    <w:rsid w:val="006D7F4E"/>
    <w:rsid w:val="006D7F6D"/>
    <w:rsid w:val="006E013B"/>
    <w:rsid w:val="006E0203"/>
    <w:rsid w:val="006E0690"/>
    <w:rsid w:val="006E07E1"/>
    <w:rsid w:val="006E0A82"/>
    <w:rsid w:val="006E1DB5"/>
    <w:rsid w:val="006E2050"/>
    <w:rsid w:val="006E252D"/>
    <w:rsid w:val="006E2889"/>
    <w:rsid w:val="006E28D8"/>
    <w:rsid w:val="006E2915"/>
    <w:rsid w:val="006E2DF9"/>
    <w:rsid w:val="006E2E36"/>
    <w:rsid w:val="006E35B3"/>
    <w:rsid w:val="006E35B7"/>
    <w:rsid w:val="006E4694"/>
    <w:rsid w:val="006E498E"/>
    <w:rsid w:val="006E4990"/>
    <w:rsid w:val="006E4B3F"/>
    <w:rsid w:val="006E4FFD"/>
    <w:rsid w:val="006E544D"/>
    <w:rsid w:val="006E562C"/>
    <w:rsid w:val="006E578F"/>
    <w:rsid w:val="006E5B4B"/>
    <w:rsid w:val="006E5DA6"/>
    <w:rsid w:val="006E6549"/>
    <w:rsid w:val="006E6B2B"/>
    <w:rsid w:val="006E7815"/>
    <w:rsid w:val="006E7CAF"/>
    <w:rsid w:val="006E7E49"/>
    <w:rsid w:val="006F028E"/>
    <w:rsid w:val="006F031C"/>
    <w:rsid w:val="006F0B0F"/>
    <w:rsid w:val="006F0E9D"/>
    <w:rsid w:val="006F17DB"/>
    <w:rsid w:val="006F21E2"/>
    <w:rsid w:val="006F29EA"/>
    <w:rsid w:val="006F2ACB"/>
    <w:rsid w:val="006F2B3B"/>
    <w:rsid w:val="006F3148"/>
    <w:rsid w:val="006F31A5"/>
    <w:rsid w:val="006F3C99"/>
    <w:rsid w:val="006F478B"/>
    <w:rsid w:val="006F4A4C"/>
    <w:rsid w:val="006F5838"/>
    <w:rsid w:val="006F586E"/>
    <w:rsid w:val="006F6218"/>
    <w:rsid w:val="006F6656"/>
    <w:rsid w:val="006F6753"/>
    <w:rsid w:val="006F6D1D"/>
    <w:rsid w:val="006F711A"/>
    <w:rsid w:val="006F74DF"/>
    <w:rsid w:val="006F78E6"/>
    <w:rsid w:val="006F79CA"/>
    <w:rsid w:val="006F7DEA"/>
    <w:rsid w:val="006F7DEB"/>
    <w:rsid w:val="00700AFF"/>
    <w:rsid w:val="00700B98"/>
    <w:rsid w:val="00700CCF"/>
    <w:rsid w:val="00700D7C"/>
    <w:rsid w:val="00700E9D"/>
    <w:rsid w:val="0070118C"/>
    <w:rsid w:val="0070160D"/>
    <w:rsid w:val="007017F4"/>
    <w:rsid w:val="00701A67"/>
    <w:rsid w:val="00701B9A"/>
    <w:rsid w:val="00701CF0"/>
    <w:rsid w:val="00701D8D"/>
    <w:rsid w:val="00701E32"/>
    <w:rsid w:val="0070209A"/>
    <w:rsid w:val="007027F0"/>
    <w:rsid w:val="0070285D"/>
    <w:rsid w:val="00702A16"/>
    <w:rsid w:val="00702A47"/>
    <w:rsid w:val="00702CF3"/>
    <w:rsid w:val="00702E16"/>
    <w:rsid w:val="00703AA1"/>
    <w:rsid w:val="00703C67"/>
    <w:rsid w:val="007040F2"/>
    <w:rsid w:val="00704121"/>
    <w:rsid w:val="00704BE2"/>
    <w:rsid w:val="00704F88"/>
    <w:rsid w:val="00705191"/>
    <w:rsid w:val="007051B1"/>
    <w:rsid w:val="007051D6"/>
    <w:rsid w:val="0070596D"/>
    <w:rsid w:val="00705A82"/>
    <w:rsid w:val="00705C7A"/>
    <w:rsid w:val="0070663E"/>
    <w:rsid w:val="00707920"/>
    <w:rsid w:val="00707A6D"/>
    <w:rsid w:val="00707B20"/>
    <w:rsid w:val="00707B2F"/>
    <w:rsid w:val="0071051A"/>
    <w:rsid w:val="00710578"/>
    <w:rsid w:val="007106A7"/>
    <w:rsid w:val="00710792"/>
    <w:rsid w:val="00710E30"/>
    <w:rsid w:val="007113BA"/>
    <w:rsid w:val="00711BA5"/>
    <w:rsid w:val="00712194"/>
    <w:rsid w:val="00712236"/>
    <w:rsid w:val="00712250"/>
    <w:rsid w:val="0071261F"/>
    <w:rsid w:val="00712806"/>
    <w:rsid w:val="0071297E"/>
    <w:rsid w:val="00712B35"/>
    <w:rsid w:val="00712FC2"/>
    <w:rsid w:val="0071387E"/>
    <w:rsid w:val="00713A20"/>
    <w:rsid w:val="00713C32"/>
    <w:rsid w:val="00714CFD"/>
    <w:rsid w:val="007151C8"/>
    <w:rsid w:val="00715262"/>
    <w:rsid w:val="007152FC"/>
    <w:rsid w:val="0071573B"/>
    <w:rsid w:val="00715989"/>
    <w:rsid w:val="00715BD3"/>
    <w:rsid w:val="00715DC8"/>
    <w:rsid w:val="00715F13"/>
    <w:rsid w:val="00715FF0"/>
    <w:rsid w:val="007164E6"/>
    <w:rsid w:val="0071663D"/>
    <w:rsid w:val="007169B1"/>
    <w:rsid w:val="00716FA8"/>
    <w:rsid w:val="0071713E"/>
    <w:rsid w:val="007172E6"/>
    <w:rsid w:val="007174E6"/>
    <w:rsid w:val="00717815"/>
    <w:rsid w:val="0071799F"/>
    <w:rsid w:val="00717A47"/>
    <w:rsid w:val="00717CCA"/>
    <w:rsid w:val="00720203"/>
    <w:rsid w:val="007202C6"/>
    <w:rsid w:val="00720AF9"/>
    <w:rsid w:val="0072148D"/>
    <w:rsid w:val="00721CFD"/>
    <w:rsid w:val="007223A4"/>
    <w:rsid w:val="00722AEC"/>
    <w:rsid w:val="0072327F"/>
    <w:rsid w:val="007232E1"/>
    <w:rsid w:val="00723474"/>
    <w:rsid w:val="007237CD"/>
    <w:rsid w:val="00723A85"/>
    <w:rsid w:val="00723BD9"/>
    <w:rsid w:val="00723E6C"/>
    <w:rsid w:val="0072431A"/>
    <w:rsid w:val="00724376"/>
    <w:rsid w:val="00724E93"/>
    <w:rsid w:val="0072530D"/>
    <w:rsid w:val="00725365"/>
    <w:rsid w:val="0072581C"/>
    <w:rsid w:val="00725D7D"/>
    <w:rsid w:val="00725DFD"/>
    <w:rsid w:val="00726029"/>
    <w:rsid w:val="00726100"/>
    <w:rsid w:val="00726950"/>
    <w:rsid w:val="00727635"/>
    <w:rsid w:val="0072793D"/>
    <w:rsid w:val="00727A0F"/>
    <w:rsid w:val="00727A9D"/>
    <w:rsid w:val="00727BF5"/>
    <w:rsid w:val="00727D57"/>
    <w:rsid w:val="00727DA8"/>
    <w:rsid w:val="00727E22"/>
    <w:rsid w:val="0073049E"/>
    <w:rsid w:val="00730A76"/>
    <w:rsid w:val="00730C4A"/>
    <w:rsid w:val="00730F65"/>
    <w:rsid w:val="00730FCC"/>
    <w:rsid w:val="00731D4E"/>
    <w:rsid w:val="00732BF0"/>
    <w:rsid w:val="00733005"/>
    <w:rsid w:val="0073334A"/>
    <w:rsid w:val="0073361A"/>
    <w:rsid w:val="007336A5"/>
    <w:rsid w:val="00733996"/>
    <w:rsid w:val="00733BC4"/>
    <w:rsid w:val="00733ECA"/>
    <w:rsid w:val="00733F27"/>
    <w:rsid w:val="007340FF"/>
    <w:rsid w:val="0073426F"/>
    <w:rsid w:val="007345AF"/>
    <w:rsid w:val="00734E1A"/>
    <w:rsid w:val="007353F3"/>
    <w:rsid w:val="007354A8"/>
    <w:rsid w:val="00735626"/>
    <w:rsid w:val="00735748"/>
    <w:rsid w:val="007367C9"/>
    <w:rsid w:val="007367FF"/>
    <w:rsid w:val="007370BB"/>
    <w:rsid w:val="007373C2"/>
    <w:rsid w:val="00737491"/>
    <w:rsid w:val="007377B5"/>
    <w:rsid w:val="00737A21"/>
    <w:rsid w:val="00737DAA"/>
    <w:rsid w:val="00737E32"/>
    <w:rsid w:val="00737E42"/>
    <w:rsid w:val="00740720"/>
    <w:rsid w:val="00740BD3"/>
    <w:rsid w:val="00740CBC"/>
    <w:rsid w:val="00741231"/>
    <w:rsid w:val="00741996"/>
    <w:rsid w:val="00742263"/>
    <w:rsid w:val="007426C2"/>
    <w:rsid w:val="00742C22"/>
    <w:rsid w:val="007432DB"/>
    <w:rsid w:val="0074334E"/>
    <w:rsid w:val="007438A6"/>
    <w:rsid w:val="00743E86"/>
    <w:rsid w:val="0074400D"/>
    <w:rsid w:val="00744287"/>
    <w:rsid w:val="00744A9B"/>
    <w:rsid w:val="00744AE3"/>
    <w:rsid w:val="00744CB8"/>
    <w:rsid w:val="0074504E"/>
    <w:rsid w:val="00745597"/>
    <w:rsid w:val="00745AE9"/>
    <w:rsid w:val="00745CD6"/>
    <w:rsid w:val="007462F0"/>
    <w:rsid w:val="00746391"/>
    <w:rsid w:val="0074695E"/>
    <w:rsid w:val="00746A78"/>
    <w:rsid w:val="00747386"/>
    <w:rsid w:val="00747422"/>
    <w:rsid w:val="00747563"/>
    <w:rsid w:val="007479D9"/>
    <w:rsid w:val="00750483"/>
    <w:rsid w:val="00750721"/>
    <w:rsid w:val="007507A9"/>
    <w:rsid w:val="007507DF"/>
    <w:rsid w:val="007511E1"/>
    <w:rsid w:val="0075137B"/>
    <w:rsid w:val="0075190E"/>
    <w:rsid w:val="00751989"/>
    <w:rsid w:val="00752097"/>
    <w:rsid w:val="00752828"/>
    <w:rsid w:val="0075292D"/>
    <w:rsid w:val="00752B47"/>
    <w:rsid w:val="00753FF9"/>
    <w:rsid w:val="0075403E"/>
    <w:rsid w:val="007549AC"/>
    <w:rsid w:val="00754AC3"/>
    <w:rsid w:val="00754C9C"/>
    <w:rsid w:val="00754E33"/>
    <w:rsid w:val="00755253"/>
    <w:rsid w:val="00755466"/>
    <w:rsid w:val="00755A1A"/>
    <w:rsid w:val="00755B6B"/>
    <w:rsid w:val="00755F6D"/>
    <w:rsid w:val="00756016"/>
    <w:rsid w:val="0075619E"/>
    <w:rsid w:val="007561F4"/>
    <w:rsid w:val="0075634F"/>
    <w:rsid w:val="007567DB"/>
    <w:rsid w:val="0075685D"/>
    <w:rsid w:val="00756B5E"/>
    <w:rsid w:val="00756BA0"/>
    <w:rsid w:val="00756BD3"/>
    <w:rsid w:val="00757301"/>
    <w:rsid w:val="0075742C"/>
    <w:rsid w:val="007578D3"/>
    <w:rsid w:val="00757D16"/>
    <w:rsid w:val="00760E3B"/>
    <w:rsid w:val="00761092"/>
    <w:rsid w:val="00761487"/>
    <w:rsid w:val="00761534"/>
    <w:rsid w:val="007616D7"/>
    <w:rsid w:val="00761DFC"/>
    <w:rsid w:val="007621F5"/>
    <w:rsid w:val="00762381"/>
    <w:rsid w:val="007629DB"/>
    <w:rsid w:val="00762A5C"/>
    <w:rsid w:val="00762C70"/>
    <w:rsid w:val="00762D22"/>
    <w:rsid w:val="00762DB8"/>
    <w:rsid w:val="00762F8A"/>
    <w:rsid w:val="007631BF"/>
    <w:rsid w:val="0076338C"/>
    <w:rsid w:val="0076390E"/>
    <w:rsid w:val="00763A80"/>
    <w:rsid w:val="00763D0E"/>
    <w:rsid w:val="0076428C"/>
    <w:rsid w:val="00764333"/>
    <w:rsid w:val="00764503"/>
    <w:rsid w:val="00764C8F"/>
    <w:rsid w:val="00764E05"/>
    <w:rsid w:val="00765425"/>
    <w:rsid w:val="00765441"/>
    <w:rsid w:val="00765AE5"/>
    <w:rsid w:val="007664E3"/>
    <w:rsid w:val="00766562"/>
    <w:rsid w:val="007665F3"/>
    <w:rsid w:val="00766AE3"/>
    <w:rsid w:val="00766C79"/>
    <w:rsid w:val="00766CC7"/>
    <w:rsid w:val="00767672"/>
    <w:rsid w:val="007676E7"/>
    <w:rsid w:val="007678CA"/>
    <w:rsid w:val="007679DE"/>
    <w:rsid w:val="007705B4"/>
    <w:rsid w:val="00770632"/>
    <w:rsid w:val="00770981"/>
    <w:rsid w:val="007709A7"/>
    <w:rsid w:val="00770B44"/>
    <w:rsid w:val="00770EEB"/>
    <w:rsid w:val="00770F04"/>
    <w:rsid w:val="00771137"/>
    <w:rsid w:val="00771301"/>
    <w:rsid w:val="00771B19"/>
    <w:rsid w:val="00771B62"/>
    <w:rsid w:val="00771F6A"/>
    <w:rsid w:val="0077255A"/>
    <w:rsid w:val="00772EB1"/>
    <w:rsid w:val="00772F34"/>
    <w:rsid w:val="007732A5"/>
    <w:rsid w:val="00773377"/>
    <w:rsid w:val="00773888"/>
    <w:rsid w:val="00773BC8"/>
    <w:rsid w:val="00773CCA"/>
    <w:rsid w:val="00773FC7"/>
    <w:rsid w:val="007754A0"/>
    <w:rsid w:val="007757A1"/>
    <w:rsid w:val="00775C52"/>
    <w:rsid w:val="00775D56"/>
    <w:rsid w:val="00775F9C"/>
    <w:rsid w:val="00776032"/>
    <w:rsid w:val="007764DE"/>
    <w:rsid w:val="00776633"/>
    <w:rsid w:val="007769D7"/>
    <w:rsid w:val="00776CB0"/>
    <w:rsid w:val="00776F3C"/>
    <w:rsid w:val="00777E66"/>
    <w:rsid w:val="007803EB"/>
    <w:rsid w:val="00780460"/>
    <w:rsid w:val="00780466"/>
    <w:rsid w:val="007806F7"/>
    <w:rsid w:val="007807EE"/>
    <w:rsid w:val="00780901"/>
    <w:rsid w:val="00780DC6"/>
    <w:rsid w:val="00780F68"/>
    <w:rsid w:val="00781227"/>
    <w:rsid w:val="007816BF"/>
    <w:rsid w:val="00781A5F"/>
    <w:rsid w:val="00781DA6"/>
    <w:rsid w:val="00781E5D"/>
    <w:rsid w:val="00781E83"/>
    <w:rsid w:val="007822E2"/>
    <w:rsid w:val="00782434"/>
    <w:rsid w:val="007824A7"/>
    <w:rsid w:val="007827B5"/>
    <w:rsid w:val="00782E55"/>
    <w:rsid w:val="00783198"/>
    <w:rsid w:val="00783262"/>
    <w:rsid w:val="007835DA"/>
    <w:rsid w:val="00783824"/>
    <w:rsid w:val="00783C02"/>
    <w:rsid w:val="00784D7F"/>
    <w:rsid w:val="00784DEB"/>
    <w:rsid w:val="00784FE2"/>
    <w:rsid w:val="00785024"/>
    <w:rsid w:val="007850DB"/>
    <w:rsid w:val="00785817"/>
    <w:rsid w:val="00785831"/>
    <w:rsid w:val="00785C96"/>
    <w:rsid w:val="00785FC6"/>
    <w:rsid w:val="00786134"/>
    <w:rsid w:val="00786230"/>
    <w:rsid w:val="0078635E"/>
    <w:rsid w:val="0078696B"/>
    <w:rsid w:val="00786C14"/>
    <w:rsid w:val="00786DE2"/>
    <w:rsid w:val="00787220"/>
    <w:rsid w:val="0078741B"/>
    <w:rsid w:val="007877D9"/>
    <w:rsid w:val="00787921"/>
    <w:rsid w:val="00787B86"/>
    <w:rsid w:val="00787DD4"/>
    <w:rsid w:val="00790697"/>
    <w:rsid w:val="007908DE"/>
    <w:rsid w:val="00790E7F"/>
    <w:rsid w:val="00791448"/>
    <w:rsid w:val="00791873"/>
    <w:rsid w:val="0079190B"/>
    <w:rsid w:val="00791C69"/>
    <w:rsid w:val="00791EFD"/>
    <w:rsid w:val="00792295"/>
    <w:rsid w:val="0079251C"/>
    <w:rsid w:val="0079266A"/>
    <w:rsid w:val="00792801"/>
    <w:rsid w:val="0079281F"/>
    <w:rsid w:val="00792872"/>
    <w:rsid w:val="00792B10"/>
    <w:rsid w:val="00792CF1"/>
    <w:rsid w:val="007930FF"/>
    <w:rsid w:val="007932D4"/>
    <w:rsid w:val="0079338D"/>
    <w:rsid w:val="0079396A"/>
    <w:rsid w:val="007939AA"/>
    <w:rsid w:val="00793C0E"/>
    <w:rsid w:val="00793D8C"/>
    <w:rsid w:val="00793F98"/>
    <w:rsid w:val="007940AD"/>
    <w:rsid w:val="0079415E"/>
    <w:rsid w:val="00794996"/>
    <w:rsid w:val="007949CE"/>
    <w:rsid w:val="00794A00"/>
    <w:rsid w:val="00795160"/>
    <w:rsid w:val="00795280"/>
    <w:rsid w:val="00795435"/>
    <w:rsid w:val="007954E5"/>
    <w:rsid w:val="00796867"/>
    <w:rsid w:val="00796928"/>
    <w:rsid w:val="007969E3"/>
    <w:rsid w:val="0079701F"/>
    <w:rsid w:val="00797DB5"/>
    <w:rsid w:val="007A0115"/>
    <w:rsid w:val="007A05F7"/>
    <w:rsid w:val="007A0802"/>
    <w:rsid w:val="007A09C1"/>
    <w:rsid w:val="007A102D"/>
    <w:rsid w:val="007A1030"/>
    <w:rsid w:val="007A13D2"/>
    <w:rsid w:val="007A16A8"/>
    <w:rsid w:val="007A1B0D"/>
    <w:rsid w:val="007A1B5B"/>
    <w:rsid w:val="007A1D86"/>
    <w:rsid w:val="007A20B1"/>
    <w:rsid w:val="007A2DCC"/>
    <w:rsid w:val="007A2EA4"/>
    <w:rsid w:val="007A316B"/>
    <w:rsid w:val="007A3790"/>
    <w:rsid w:val="007A3800"/>
    <w:rsid w:val="007A3952"/>
    <w:rsid w:val="007A3DE8"/>
    <w:rsid w:val="007A4938"/>
    <w:rsid w:val="007A4A3D"/>
    <w:rsid w:val="007A5025"/>
    <w:rsid w:val="007A50B1"/>
    <w:rsid w:val="007A5734"/>
    <w:rsid w:val="007A59CE"/>
    <w:rsid w:val="007A5B2E"/>
    <w:rsid w:val="007A5B43"/>
    <w:rsid w:val="007A5E77"/>
    <w:rsid w:val="007A61E6"/>
    <w:rsid w:val="007A7205"/>
    <w:rsid w:val="007A7578"/>
    <w:rsid w:val="007A7FA8"/>
    <w:rsid w:val="007B1540"/>
    <w:rsid w:val="007B1A25"/>
    <w:rsid w:val="007B220B"/>
    <w:rsid w:val="007B26B2"/>
    <w:rsid w:val="007B292F"/>
    <w:rsid w:val="007B303A"/>
    <w:rsid w:val="007B3A8A"/>
    <w:rsid w:val="007B3C5A"/>
    <w:rsid w:val="007B3FDA"/>
    <w:rsid w:val="007B4376"/>
    <w:rsid w:val="007B441F"/>
    <w:rsid w:val="007B4BBE"/>
    <w:rsid w:val="007B4BEA"/>
    <w:rsid w:val="007B4FF2"/>
    <w:rsid w:val="007B537E"/>
    <w:rsid w:val="007B556B"/>
    <w:rsid w:val="007B5577"/>
    <w:rsid w:val="007B565F"/>
    <w:rsid w:val="007B57E8"/>
    <w:rsid w:val="007B5860"/>
    <w:rsid w:val="007B5B83"/>
    <w:rsid w:val="007B5C5C"/>
    <w:rsid w:val="007B5D5A"/>
    <w:rsid w:val="007B5DEA"/>
    <w:rsid w:val="007B611D"/>
    <w:rsid w:val="007B649A"/>
    <w:rsid w:val="007B653C"/>
    <w:rsid w:val="007B6C8C"/>
    <w:rsid w:val="007B6D33"/>
    <w:rsid w:val="007B708B"/>
    <w:rsid w:val="007B7198"/>
    <w:rsid w:val="007B7667"/>
    <w:rsid w:val="007B7DCD"/>
    <w:rsid w:val="007C0659"/>
    <w:rsid w:val="007C06DF"/>
    <w:rsid w:val="007C0C29"/>
    <w:rsid w:val="007C1987"/>
    <w:rsid w:val="007C1CC3"/>
    <w:rsid w:val="007C1D31"/>
    <w:rsid w:val="007C1EA7"/>
    <w:rsid w:val="007C2CC1"/>
    <w:rsid w:val="007C3A03"/>
    <w:rsid w:val="007C3D44"/>
    <w:rsid w:val="007C3F79"/>
    <w:rsid w:val="007C4CBF"/>
    <w:rsid w:val="007C5122"/>
    <w:rsid w:val="007C54C7"/>
    <w:rsid w:val="007C5C53"/>
    <w:rsid w:val="007C71C3"/>
    <w:rsid w:val="007C7715"/>
    <w:rsid w:val="007C7ADD"/>
    <w:rsid w:val="007C7E2D"/>
    <w:rsid w:val="007D001D"/>
    <w:rsid w:val="007D0288"/>
    <w:rsid w:val="007D055B"/>
    <w:rsid w:val="007D0A37"/>
    <w:rsid w:val="007D0D04"/>
    <w:rsid w:val="007D0E3F"/>
    <w:rsid w:val="007D1249"/>
    <w:rsid w:val="007D126A"/>
    <w:rsid w:val="007D18E6"/>
    <w:rsid w:val="007D1D86"/>
    <w:rsid w:val="007D209A"/>
    <w:rsid w:val="007D21F7"/>
    <w:rsid w:val="007D2489"/>
    <w:rsid w:val="007D24A0"/>
    <w:rsid w:val="007D24C8"/>
    <w:rsid w:val="007D2BE3"/>
    <w:rsid w:val="007D2CB8"/>
    <w:rsid w:val="007D2E0E"/>
    <w:rsid w:val="007D2FA4"/>
    <w:rsid w:val="007D31E6"/>
    <w:rsid w:val="007D407F"/>
    <w:rsid w:val="007D488B"/>
    <w:rsid w:val="007D495A"/>
    <w:rsid w:val="007D4B21"/>
    <w:rsid w:val="007D5032"/>
    <w:rsid w:val="007D5703"/>
    <w:rsid w:val="007D5A1E"/>
    <w:rsid w:val="007D6400"/>
    <w:rsid w:val="007D688B"/>
    <w:rsid w:val="007D6AF1"/>
    <w:rsid w:val="007D6D3C"/>
    <w:rsid w:val="007D732C"/>
    <w:rsid w:val="007D7867"/>
    <w:rsid w:val="007D7B98"/>
    <w:rsid w:val="007E065B"/>
    <w:rsid w:val="007E0C61"/>
    <w:rsid w:val="007E0DCC"/>
    <w:rsid w:val="007E0F82"/>
    <w:rsid w:val="007E1665"/>
    <w:rsid w:val="007E1A53"/>
    <w:rsid w:val="007E1E98"/>
    <w:rsid w:val="007E21CC"/>
    <w:rsid w:val="007E25F5"/>
    <w:rsid w:val="007E2A48"/>
    <w:rsid w:val="007E2ADE"/>
    <w:rsid w:val="007E2F3D"/>
    <w:rsid w:val="007E2FC0"/>
    <w:rsid w:val="007E30C6"/>
    <w:rsid w:val="007E3218"/>
    <w:rsid w:val="007E331F"/>
    <w:rsid w:val="007E4448"/>
    <w:rsid w:val="007E4481"/>
    <w:rsid w:val="007E49CA"/>
    <w:rsid w:val="007E4AA5"/>
    <w:rsid w:val="007E5392"/>
    <w:rsid w:val="007E59F1"/>
    <w:rsid w:val="007E5A0E"/>
    <w:rsid w:val="007E5A79"/>
    <w:rsid w:val="007E5CED"/>
    <w:rsid w:val="007E613D"/>
    <w:rsid w:val="007E6349"/>
    <w:rsid w:val="007E63D8"/>
    <w:rsid w:val="007E6499"/>
    <w:rsid w:val="007E6C14"/>
    <w:rsid w:val="007E6C17"/>
    <w:rsid w:val="007E720F"/>
    <w:rsid w:val="007E7349"/>
    <w:rsid w:val="007E77EB"/>
    <w:rsid w:val="007E7F37"/>
    <w:rsid w:val="007F000F"/>
    <w:rsid w:val="007F007F"/>
    <w:rsid w:val="007F078B"/>
    <w:rsid w:val="007F08B6"/>
    <w:rsid w:val="007F0F07"/>
    <w:rsid w:val="007F0FC2"/>
    <w:rsid w:val="007F1BBC"/>
    <w:rsid w:val="007F1BD5"/>
    <w:rsid w:val="007F22C2"/>
    <w:rsid w:val="007F27A0"/>
    <w:rsid w:val="007F27CA"/>
    <w:rsid w:val="007F3263"/>
    <w:rsid w:val="007F396C"/>
    <w:rsid w:val="007F3CCA"/>
    <w:rsid w:val="007F4219"/>
    <w:rsid w:val="007F4694"/>
    <w:rsid w:val="007F4C00"/>
    <w:rsid w:val="007F531C"/>
    <w:rsid w:val="007F5865"/>
    <w:rsid w:val="007F5B18"/>
    <w:rsid w:val="007F5C9F"/>
    <w:rsid w:val="007F5CE6"/>
    <w:rsid w:val="007F6503"/>
    <w:rsid w:val="007F6632"/>
    <w:rsid w:val="007F66BF"/>
    <w:rsid w:val="007F689F"/>
    <w:rsid w:val="007F6915"/>
    <w:rsid w:val="007F698D"/>
    <w:rsid w:val="007F6E3C"/>
    <w:rsid w:val="007F7370"/>
    <w:rsid w:val="007F793A"/>
    <w:rsid w:val="007F7A4C"/>
    <w:rsid w:val="007F7F32"/>
    <w:rsid w:val="00800DE9"/>
    <w:rsid w:val="0080100D"/>
    <w:rsid w:val="0080167B"/>
    <w:rsid w:val="00801DC9"/>
    <w:rsid w:val="00801EC6"/>
    <w:rsid w:val="008021F0"/>
    <w:rsid w:val="00802568"/>
    <w:rsid w:val="00802817"/>
    <w:rsid w:val="0080291F"/>
    <w:rsid w:val="00802EE0"/>
    <w:rsid w:val="00803020"/>
    <w:rsid w:val="00803221"/>
    <w:rsid w:val="00803B4A"/>
    <w:rsid w:val="00803C16"/>
    <w:rsid w:val="008040E7"/>
    <w:rsid w:val="00804D1C"/>
    <w:rsid w:val="00804D8A"/>
    <w:rsid w:val="0080609D"/>
    <w:rsid w:val="0080648A"/>
    <w:rsid w:val="0080664C"/>
    <w:rsid w:val="00806A1E"/>
    <w:rsid w:val="00806F69"/>
    <w:rsid w:val="00807335"/>
    <w:rsid w:val="00807A2A"/>
    <w:rsid w:val="0081026A"/>
    <w:rsid w:val="00810920"/>
    <w:rsid w:val="008114C9"/>
    <w:rsid w:val="00811F26"/>
    <w:rsid w:val="00811F51"/>
    <w:rsid w:val="00812056"/>
    <w:rsid w:val="0081240B"/>
    <w:rsid w:val="008126B4"/>
    <w:rsid w:val="0081271B"/>
    <w:rsid w:val="00812759"/>
    <w:rsid w:val="008127AE"/>
    <w:rsid w:val="008128B4"/>
    <w:rsid w:val="00812929"/>
    <w:rsid w:val="008131A7"/>
    <w:rsid w:val="008134DA"/>
    <w:rsid w:val="0081385A"/>
    <w:rsid w:val="00813E29"/>
    <w:rsid w:val="00814D7B"/>
    <w:rsid w:val="00814FF1"/>
    <w:rsid w:val="00815300"/>
    <w:rsid w:val="00815D8B"/>
    <w:rsid w:val="00816256"/>
    <w:rsid w:val="0081673A"/>
    <w:rsid w:val="00816C58"/>
    <w:rsid w:val="00816CF9"/>
    <w:rsid w:val="0081754F"/>
    <w:rsid w:val="00817987"/>
    <w:rsid w:val="00817AEA"/>
    <w:rsid w:val="00817CBF"/>
    <w:rsid w:val="00817E3B"/>
    <w:rsid w:val="0082009D"/>
    <w:rsid w:val="0082036D"/>
    <w:rsid w:val="00820A2B"/>
    <w:rsid w:val="00820AA5"/>
    <w:rsid w:val="00820C83"/>
    <w:rsid w:val="00821225"/>
    <w:rsid w:val="00821372"/>
    <w:rsid w:val="00821430"/>
    <w:rsid w:val="008215BE"/>
    <w:rsid w:val="008215DB"/>
    <w:rsid w:val="008216A5"/>
    <w:rsid w:val="00821D80"/>
    <w:rsid w:val="00821E88"/>
    <w:rsid w:val="00821EC9"/>
    <w:rsid w:val="00822B63"/>
    <w:rsid w:val="00822CA9"/>
    <w:rsid w:val="00823749"/>
    <w:rsid w:val="00823E86"/>
    <w:rsid w:val="008240B9"/>
    <w:rsid w:val="008243EE"/>
    <w:rsid w:val="00824DD6"/>
    <w:rsid w:val="00824F3A"/>
    <w:rsid w:val="00824FCC"/>
    <w:rsid w:val="0082501D"/>
    <w:rsid w:val="0082617C"/>
    <w:rsid w:val="0082619F"/>
    <w:rsid w:val="0082733E"/>
    <w:rsid w:val="0082748B"/>
    <w:rsid w:val="0082794A"/>
    <w:rsid w:val="0082798E"/>
    <w:rsid w:val="00827ED4"/>
    <w:rsid w:val="00827F15"/>
    <w:rsid w:val="00827F6D"/>
    <w:rsid w:val="00830042"/>
    <w:rsid w:val="00830880"/>
    <w:rsid w:val="00830CC8"/>
    <w:rsid w:val="00831668"/>
    <w:rsid w:val="00831A28"/>
    <w:rsid w:val="00832488"/>
    <w:rsid w:val="0083286A"/>
    <w:rsid w:val="00832A7F"/>
    <w:rsid w:val="00832D2D"/>
    <w:rsid w:val="00832F16"/>
    <w:rsid w:val="0083343B"/>
    <w:rsid w:val="0083372B"/>
    <w:rsid w:val="00833CD6"/>
    <w:rsid w:val="00834F85"/>
    <w:rsid w:val="00835229"/>
    <w:rsid w:val="0083545E"/>
    <w:rsid w:val="008354D7"/>
    <w:rsid w:val="008354DE"/>
    <w:rsid w:val="00835821"/>
    <w:rsid w:val="0083594F"/>
    <w:rsid w:val="00835A52"/>
    <w:rsid w:val="00835F7F"/>
    <w:rsid w:val="008364DA"/>
    <w:rsid w:val="00837746"/>
    <w:rsid w:val="00837DDE"/>
    <w:rsid w:val="00837EA3"/>
    <w:rsid w:val="00840049"/>
    <w:rsid w:val="00840200"/>
    <w:rsid w:val="00840213"/>
    <w:rsid w:val="00840310"/>
    <w:rsid w:val="008405F5"/>
    <w:rsid w:val="0084088C"/>
    <w:rsid w:val="00840A47"/>
    <w:rsid w:val="008421A5"/>
    <w:rsid w:val="008421B9"/>
    <w:rsid w:val="008421C5"/>
    <w:rsid w:val="00842274"/>
    <w:rsid w:val="00842275"/>
    <w:rsid w:val="008425CC"/>
    <w:rsid w:val="008426DC"/>
    <w:rsid w:val="00842896"/>
    <w:rsid w:val="008429A5"/>
    <w:rsid w:val="00842B07"/>
    <w:rsid w:val="00842CEE"/>
    <w:rsid w:val="0084328C"/>
    <w:rsid w:val="008432D7"/>
    <w:rsid w:val="00843402"/>
    <w:rsid w:val="00843A22"/>
    <w:rsid w:val="00843ACB"/>
    <w:rsid w:val="00843E09"/>
    <w:rsid w:val="0084432F"/>
    <w:rsid w:val="00844EF2"/>
    <w:rsid w:val="00844F55"/>
    <w:rsid w:val="00845001"/>
    <w:rsid w:val="0084519B"/>
    <w:rsid w:val="00845517"/>
    <w:rsid w:val="00845BB0"/>
    <w:rsid w:val="00846351"/>
    <w:rsid w:val="00846610"/>
    <w:rsid w:val="00847000"/>
    <w:rsid w:val="008478C1"/>
    <w:rsid w:val="008478C2"/>
    <w:rsid w:val="00847CDF"/>
    <w:rsid w:val="00850395"/>
    <w:rsid w:val="008503BF"/>
    <w:rsid w:val="0085085B"/>
    <w:rsid w:val="008509E9"/>
    <w:rsid w:val="00850A6E"/>
    <w:rsid w:val="00850B39"/>
    <w:rsid w:val="00850BB9"/>
    <w:rsid w:val="00850CC1"/>
    <w:rsid w:val="008510C0"/>
    <w:rsid w:val="008513BB"/>
    <w:rsid w:val="008514DA"/>
    <w:rsid w:val="0085183C"/>
    <w:rsid w:val="00851A18"/>
    <w:rsid w:val="008524F9"/>
    <w:rsid w:val="008525BF"/>
    <w:rsid w:val="008528BC"/>
    <w:rsid w:val="00852BE3"/>
    <w:rsid w:val="00853C51"/>
    <w:rsid w:val="00853CFC"/>
    <w:rsid w:val="008545D5"/>
    <w:rsid w:val="00854DF8"/>
    <w:rsid w:val="008551AF"/>
    <w:rsid w:val="0085581A"/>
    <w:rsid w:val="00855AD5"/>
    <w:rsid w:val="00855D5E"/>
    <w:rsid w:val="008560D1"/>
    <w:rsid w:val="008567AF"/>
    <w:rsid w:val="0085707E"/>
    <w:rsid w:val="008573BA"/>
    <w:rsid w:val="008574AC"/>
    <w:rsid w:val="0085764E"/>
    <w:rsid w:val="00857655"/>
    <w:rsid w:val="00857663"/>
    <w:rsid w:val="008576B8"/>
    <w:rsid w:val="00857EB5"/>
    <w:rsid w:val="008607FE"/>
    <w:rsid w:val="00860CFC"/>
    <w:rsid w:val="00861414"/>
    <w:rsid w:val="0086142C"/>
    <w:rsid w:val="00861A5C"/>
    <w:rsid w:val="00861AE0"/>
    <w:rsid w:val="008621D8"/>
    <w:rsid w:val="00862495"/>
    <w:rsid w:val="00862B4D"/>
    <w:rsid w:val="00862BFE"/>
    <w:rsid w:val="00863336"/>
    <w:rsid w:val="008636E7"/>
    <w:rsid w:val="0086398F"/>
    <w:rsid w:val="0086412F"/>
    <w:rsid w:val="008647B8"/>
    <w:rsid w:val="00864AC1"/>
    <w:rsid w:val="00864BAF"/>
    <w:rsid w:val="008652D0"/>
    <w:rsid w:val="0086566F"/>
    <w:rsid w:val="008657B3"/>
    <w:rsid w:val="00865934"/>
    <w:rsid w:val="00865A32"/>
    <w:rsid w:val="00865B1D"/>
    <w:rsid w:val="00865DFB"/>
    <w:rsid w:val="00865ECE"/>
    <w:rsid w:val="0086614C"/>
    <w:rsid w:val="00866379"/>
    <w:rsid w:val="0086739F"/>
    <w:rsid w:val="00867D44"/>
    <w:rsid w:val="00867DFF"/>
    <w:rsid w:val="0087010C"/>
    <w:rsid w:val="00870325"/>
    <w:rsid w:val="008708B3"/>
    <w:rsid w:val="00870DED"/>
    <w:rsid w:val="0087187A"/>
    <w:rsid w:val="00871A94"/>
    <w:rsid w:val="00871AD3"/>
    <w:rsid w:val="00872238"/>
    <w:rsid w:val="008722D6"/>
    <w:rsid w:val="008723DB"/>
    <w:rsid w:val="00872DE4"/>
    <w:rsid w:val="008736AF"/>
    <w:rsid w:val="00873A96"/>
    <w:rsid w:val="00873C56"/>
    <w:rsid w:val="00873F66"/>
    <w:rsid w:val="0087424D"/>
    <w:rsid w:val="00874890"/>
    <w:rsid w:val="008749AD"/>
    <w:rsid w:val="00874D50"/>
    <w:rsid w:val="00874FFB"/>
    <w:rsid w:val="0087505C"/>
    <w:rsid w:val="00875165"/>
    <w:rsid w:val="008756F7"/>
    <w:rsid w:val="008757CA"/>
    <w:rsid w:val="00875B6E"/>
    <w:rsid w:val="008762F0"/>
    <w:rsid w:val="00876CE0"/>
    <w:rsid w:val="00876E1A"/>
    <w:rsid w:val="00876FE5"/>
    <w:rsid w:val="008773A8"/>
    <w:rsid w:val="00877475"/>
    <w:rsid w:val="00877793"/>
    <w:rsid w:val="00880466"/>
    <w:rsid w:val="00880844"/>
    <w:rsid w:val="00880A0B"/>
    <w:rsid w:val="00880A6B"/>
    <w:rsid w:val="00880AFF"/>
    <w:rsid w:val="00880C94"/>
    <w:rsid w:val="00881E07"/>
    <w:rsid w:val="00881E9F"/>
    <w:rsid w:val="00881F84"/>
    <w:rsid w:val="00882783"/>
    <w:rsid w:val="008827FF"/>
    <w:rsid w:val="00882D89"/>
    <w:rsid w:val="00883437"/>
    <w:rsid w:val="0088346E"/>
    <w:rsid w:val="00883732"/>
    <w:rsid w:val="00883C8A"/>
    <w:rsid w:val="00883E65"/>
    <w:rsid w:val="00883F00"/>
    <w:rsid w:val="00883F0F"/>
    <w:rsid w:val="0088476E"/>
    <w:rsid w:val="0088497B"/>
    <w:rsid w:val="00884EFC"/>
    <w:rsid w:val="00884F90"/>
    <w:rsid w:val="008851F9"/>
    <w:rsid w:val="0088575D"/>
    <w:rsid w:val="00885C09"/>
    <w:rsid w:val="00885D41"/>
    <w:rsid w:val="008861FC"/>
    <w:rsid w:val="00886267"/>
    <w:rsid w:val="00886277"/>
    <w:rsid w:val="00886750"/>
    <w:rsid w:val="00886931"/>
    <w:rsid w:val="008873BC"/>
    <w:rsid w:val="008873CF"/>
    <w:rsid w:val="0088742F"/>
    <w:rsid w:val="0088746E"/>
    <w:rsid w:val="00890332"/>
    <w:rsid w:val="00890395"/>
    <w:rsid w:val="00890A61"/>
    <w:rsid w:val="00890B45"/>
    <w:rsid w:val="00890D35"/>
    <w:rsid w:val="00890F48"/>
    <w:rsid w:val="00890FE3"/>
    <w:rsid w:val="0089106E"/>
    <w:rsid w:val="00891228"/>
    <w:rsid w:val="008912F6"/>
    <w:rsid w:val="008918F0"/>
    <w:rsid w:val="00891C88"/>
    <w:rsid w:val="0089200E"/>
    <w:rsid w:val="00892089"/>
    <w:rsid w:val="00892256"/>
    <w:rsid w:val="008927F0"/>
    <w:rsid w:val="0089283E"/>
    <w:rsid w:val="0089288F"/>
    <w:rsid w:val="00892B25"/>
    <w:rsid w:val="00892D30"/>
    <w:rsid w:val="00892F6B"/>
    <w:rsid w:val="0089328D"/>
    <w:rsid w:val="0089361A"/>
    <w:rsid w:val="00893887"/>
    <w:rsid w:val="00893993"/>
    <w:rsid w:val="00893D9D"/>
    <w:rsid w:val="008941F5"/>
    <w:rsid w:val="00895A11"/>
    <w:rsid w:val="00895D33"/>
    <w:rsid w:val="008962E0"/>
    <w:rsid w:val="00896847"/>
    <w:rsid w:val="0089733F"/>
    <w:rsid w:val="008975D6"/>
    <w:rsid w:val="0089794A"/>
    <w:rsid w:val="008A016B"/>
    <w:rsid w:val="008A0277"/>
    <w:rsid w:val="008A067E"/>
    <w:rsid w:val="008A1263"/>
    <w:rsid w:val="008A1C2C"/>
    <w:rsid w:val="008A24C9"/>
    <w:rsid w:val="008A2521"/>
    <w:rsid w:val="008A27FF"/>
    <w:rsid w:val="008A2B8E"/>
    <w:rsid w:val="008A31C8"/>
    <w:rsid w:val="008A483F"/>
    <w:rsid w:val="008A486B"/>
    <w:rsid w:val="008A4B17"/>
    <w:rsid w:val="008A4DCD"/>
    <w:rsid w:val="008A534A"/>
    <w:rsid w:val="008A58CF"/>
    <w:rsid w:val="008A58F3"/>
    <w:rsid w:val="008A59F4"/>
    <w:rsid w:val="008A5D65"/>
    <w:rsid w:val="008A6092"/>
    <w:rsid w:val="008A6A5A"/>
    <w:rsid w:val="008A6AC8"/>
    <w:rsid w:val="008A6BB1"/>
    <w:rsid w:val="008A73E3"/>
    <w:rsid w:val="008A760D"/>
    <w:rsid w:val="008A7A8E"/>
    <w:rsid w:val="008A7D02"/>
    <w:rsid w:val="008B01FB"/>
    <w:rsid w:val="008B02FE"/>
    <w:rsid w:val="008B0383"/>
    <w:rsid w:val="008B0619"/>
    <w:rsid w:val="008B07FB"/>
    <w:rsid w:val="008B0839"/>
    <w:rsid w:val="008B0C2A"/>
    <w:rsid w:val="008B13C1"/>
    <w:rsid w:val="008B1C63"/>
    <w:rsid w:val="008B2389"/>
    <w:rsid w:val="008B267D"/>
    <w:rsid w:val="008B2A9D"/>
    <w:rsid w:val="008B2C8F"/>
    <w:rsid w:val="008B32B3"/>
    <w:rsid w:val="008B41E7"/>
    <w:rsid w:val="008B46D4"/>
    <w:rsid w:val="008B4BDC"/>
    <w:rsid w:val="008B4E7F"/>
    <w:rsid w:val="008B5703"/>
    <w:rsid w:val="008B5840"/>
    <w:rsid w:val="008B58C7"/>
    <w:rsid w:val="008B5937"/>
    <w:rsid w:val="008B5BA9"/>
    <w:rsid w:val="008B5D10"/>
    <w:rsid w:val="008B602C"/>
    <w:rsid w:val="008B61C4"/>
    <w:rsid w:val="008B6402"/>
    <w:rsid w:val="008B6735"/>
    <w:rsid w:val="008B6874"/>
    <w:rsid w:val="008B6CD3"/>
    <w:rsid w:val="008B6E5E"/>
    <w:rsid w:val="008B7297"/>
    <w:rsid w:val="008B7536"/>
    <w:rsid w:val="008B7A9B"/>
    <w:rsid w:val="008B7BF6"/>
    <w:rsid w:val="008B7DC5"/>
    <w:rsid w:val="008B7F00"/>
    <w:rsid w:val="008C05C4"/>
    <w:rsid w:val="008C0748"/>
    <w:rsid w:val="008C0847"/>
    <w:rsid w:val="008C0DD1"/>
    <w:rsid w:val="008C0EB3"/>
    <w:rsid w:val="008C1341"/>
    <w:rsid w:val="008C1610"/>
    <w:rsid w:val="008C16BF"/>
    <w:rsid w:val="008C17EC"/>
    <w:rsid w:val="008C1818"/>
    <w:rsid w:val="008C21ED"/>
    <w:rsid w:val="008C245F"/>
    <w:rsid w:val="008C2572"/>
    <w:rsid w:val="008C2671"/>
    <w:rsid w:val="008C2C3D"/>
    <w:rsid w:val="008C2C41"/>
    <w:rsid w:val="008C390E"/>
    <w:rsid w:val="008C3BC6"/>
    <w:rsid w:val="008C4026"/>
    <w:rsid w:val="008C469E"/>
    <w:rsid w:val="008C4767"/>
    <w:rsid w:val="008C49D9"/>
    <w:rsid w:val="008C4A56"/>
    <w:rsid w:val="008C4BB2"/>
    <w:rsid w:val="008C4DE6"/>
    <w:rsid w:val="008C554D"/>
    <w:rsid w:val="008C56FE"/>
    <w:rsid w:val="008C5D0E"/>
    <w:rsid w:val="008C5DD4"/>
    <w:rsid w:val="008C66E3"/>
    <w:rsid w:val="008C6E11"/>
    <w:rsid w:val="008C701F"/>
    <w:rsid w:val="008C779A"/>
    <w:rsid w:val="008C77AC"/>
    <w:rsid w:val="008C7A28"/>
    <w:rsid w:val="008C7BD4"/>
    <w:rsid w:val="008C7C2B"/>
    <w:rsid w:val="008D0173"/>
    <w:rsid w:val="008D02DC"/>
    <w:rsid w:val="008D0421"/>
    <w:rsid w:val="008D04BB"/>
    <w:rsid w:val="008D0683"/>
    <w:rsid w:val="008D0E04"/>
    <w:rsid w:val="008D1680"/>
    <w:rsid w:val="008D1BFA"/>
    <w:rsid w:val="008D276E"/>
    <w:rsid w:val="008D277A"/>
    <w:rsid w:val="008D2A64"/>
    <w:rsid w:val="008D2C44"/>
    <w:rsid w:val="008D2C5F"/>
    <w:rsid w:val="008D3496"/>
    <w:rsid w:val="008D34CF"/>
    <w:rsid w:val="008D3E74"/>
    <w:rsid w:val="008D3EA1"/>
    <w:rsid w:val="008D40AD"/>
    <w:rsid w:val="008D4836"/>
    <w:rsid w:val="008D4AC0"/>
    <w:rsid w:val="008D4CF8"/>
    <w:rsid w:val="008D5081"/>
    <w:rsid w:val="008D5206"/>
    <w:rsid w:val="008D5756"/>
    <w:rsid w:val="008D5E13"/>
    <w:rsid w:val="008D62C9"/>
    <w:rsid w:val="008D65FE"/>
    <w:rsid w:val="008D6A49"/>
    <w:rsid w:val="008D6F29"/>
    <w:rsid w:val="008D79DC"/>
    <w:rsid w:val="008D7B46"/>
    <w:rsid w:val="008E0ED8"/>
    <w:rsid w:val="008E0FB8"/>
    <w:rsid w:val="008E11B6"/>
    <w:rsid w:val="008E1207"/>
    <w:rsid w:val="008E1367"/>
    <w:rsid w:val="008E1BD9"/>
    <w:rsid w:val="008E1DAA"/>
    <w:rsid w:val="008E2038"/>
    <w:rsid w:val="008E2CA1"/>
    <w:rsid w:val="008E2CDF"/>
    <w:rsid w:val="008E35AC"/>
    <w:rsid w:val="008E397D"/>
    <w:rsid w:val="008E3DB8"/>
    <w:rsid w:val="008E446D"/>
    <w:rsid w:val="008E5216"/>
    <w:rsid w:val="008E57A5"/>
    <w:rsid w:val="008E580B"/>
    <w:rsid w:val="008E594B"/>
    <w:rsid w:val="008E5A42"/>
    <w:rsid w:val="008E5C55"/>
    <w:rsid w:val="008E62C5"/>
    <w:rsid w:val="008E6516"/>
    <w:rsid w:val="008E66FA"/>
    <w:rsid w:val="008E6AB0"/>
    <w:rsid w:val="008E6AD1"/>
    <w:rsid w:val="008E6BA1"/>
    <w:rsid w:val="008E6E8A"/>
    <w:rsid w:val="008E70C1"/>
    <w:rsid w:val="008E7347"/>
    <w:rsid w:val="008E7C00"/>
    <w:rsid w:val="008E7D44"/>
    <w:rsid w:val="008E7E52"/>
    <w:rsid w:val="008F06BF"/>
    <w:rsid w:val="008F086F"/>
    <w:rsid w:val="008F08F8"/>
    <w:rsid w:val="008F0D3C"/>
    <w:rsid w:val="008F0ED1"/>
    <w:rsid w:val="008F126D"/>
    <w:rsid w:val="008F13F0"/>
    <w:rsid w:val="008F1526"/>
    <w:rsid w:val="008F1729"/>
    <w:rsid w:val="008F1877"/>
    <w:rsid w:val="008F187E"/>
    <w:rsid w:val="008F1A2F"/>
    <w:rsid w:val="008F2947"/>
    <w:rsid w:val="008F2BAF"/>
    <w:rsid w:val="008F3A67"/>
    <w:rsid w:val="008F3D30"/>
    <w:rsid w:val="008F425E"/>
    <w:rsid w:val="008F4304"/>
    <w:rsid w:val="008F4610"/>
    <w:rsid w:val="008F4B9D"/>
    <w:rsid w:val="008F4C5F"/>
    <w:rsid w:val="008F52F4"/>
    <w:rsid w:val="008F5332"/>
    <w:rsid w:val="008F582B"/>
    <w:rsid w:val="008F5C94"/>
    <w:rsid w:val="008F5EE2"/>
    <w:rsid w:val="008F6885"/>
    <w:rsid w:val="008F698E"/>
    <w:rsid w:val="008F6A2B"/>
    <w:rsid w:val="008F6C9E"/>
    <w:rsid w:val="008F6F78"/>
    <w:rsid w:val="008F6F9A"/>
    <w:rsid w:val="008F7087"/>
    <w:rsid w:val="008F7404"/>
    <w:rsid w:val="008F74B7"/>
    <w:rsid w:val="008F7872"/>
    <w:rsid w:val="008F7B0B"/>
    <w:rsid w:val="008F7B0E"/>
    <w:rsid w:val="00901538"/>
    <w:rsid w:val="00901749"/>
    <w:rsid w:val="00901980"/>
    <w:rsid w:val="00901F94"/>
    <w:rsid w:val="00901FC6"/>
    <w:rsid w:val="009026C0"/>
    <w:rsid w:val="00902C2A"/>
    <w:rsid w:val="0090314D"/>
    <w:rsid w:val="009039CC"/>
    <w:rsid w:val="00903E58"/>
    <w:rsid w:val="00903F22"/>
    <w:rsid w:val="00903F37"/>
    <w:rsid w:val="00903F3A"/>
    <w:rsid w:val="00904028"/>
    <w:rsid w:val="0090421A"/>
    <w:rsid w:val="009042DD"/>
    <w:rsid w:val="0090433B"/>
    <w:rsid w:val="00904D37"/>
    <w:rsid w:val="009058B1"/>
    <w:rsid w:val="00905C25"/>
    <w:rsid w:val="00905C41"/>
    <w:rsid w:val="00905E53"/>
    <w:rsid w:val="0090608A"/>
    <w:rsid w:val="00906404"/>
    <w:rsid w:val="009064FB"/>
    <w:rsid w:val="009064FC"/>
    <w:rsid w:val="009066A3"/>
    <w:rsid w:val="00906C72"/>
    <w:rsid w:val="00906D13"/>
    <w:rsid w:val="00906FEE"/>
    <w:rsid w:val="00907061"/>
    <w:rsid w:val="009075F4"/>
    <w:rsid w:val="00907DD2"/>
    <w:rsid w:val="0091027D"/>
    <w:rsid w:val="00910352"/>
    <w:rsid w:val="0091063C"/>
    <w:rsid w:val="00910FD4"/>
    <w:rsid w:val="00911184"/>
    <w:rsid w:val="00911F5D"/>
    <w:rsid w:val="00912205"/>
    <w:rsid w:val="009122B9"/>
    <w:rsid w:val="00912446"/>
    <w:rsid w:val="0091278F"/>
    <w:rsid w:val="0091297F"/>
    <w:rsid w:val="00913051"/>
    <w:rsid w:val="009134E0"/>
    <w:rsid w:val="00913835"/>
    <w:rsid w:val="00913B96"/>
    <w:rsid w:val="00913C2E"/>
    <w:rsid w:val="00914761"/>
    <w:rsid w:val="00914B58"/>
    <w:rsid w:val="00914DB8"/>
    <w:rsid w:val="009151E0"/>
    <w:rsid w:val="0091540F"/>
    <w:rsid w:val="009157DF"/>
    <w:rsid w:val="00915986"/>
    <w:rsid w:val="00915EA6"/>
    <w:rsid w:val="00916721"/>
    <w:rsid w:val="009167EE"/>
    <w:rsid w:val="009173C3"/>
    <w:rsid w:val="0091742F"/>
    <w:rsid w:val="00917807"/>
    <w:rsid w:val="0091781E"/>
    <w:rsid w:val="00917DFF"/>
    <w:rsid w:val="00917FBC"/>
    <w:rsid w:val="00920243"/>
    <w:rsid w:val="009205BB"/>
    <w:rsid w:val="009206E7"/>
    <w:rsid w:val="00920B0F"/>
    <w:rsid w:val="00920B2F"/>
    <w:rsid w:val="009213D0"/>
    <w:rsid w:val="00921769"/>
    <w:rsid w:val="009218A0"/>
    <w:rsid w:val="00921A8F"/>
    <w:rsid w:val="00921BB7"/>
    <w:rsid w:val="009221A7"/>
    <w:rsid w:val="00922494"/>
    <w:rsid w:val="00922704"/>
    <w:rsid w:val="00922A07"/>
    <w:rsid w:val="009230CE"/>
    <w:rsid w:val="009232B8"/>
    <w:rsid w:val="00923329"/>
    <w:rsid w:val="00923949"/>
    <w:rsid w:val="00923F2B"/>
    <w:rsid w:val="0092420B"/>
    <w:rsid w:val="009245CA"/>
    <w:rsid w:val="00924E0E"/>
    <w:rsid w:val="009251B5"/>
    <w:rsid w:val="00925A85"/>
    <w:rsid w:val="00926509"/>
    <w:rsid w:val="009266F8"/>
    <w:rsid w:val="00926D63"/>
    <w:rsid w:val="00927819"/>
    <w:rsid w:val="00927B97"/>
    <w:rsid w:val="00927DC9"/>
    <w:rsid w:val="00930560"/>
    <w:rsid w:val="00930B49"/>
    <w:rsid w:val="00930C61"/>
    <w:rsid w:val="00930FED"/>
    <w:rsid w:val="00931572"/>
    <w:rsid w:val="0093159D"/>
    <w:rsid w:val="00931820"/>
    <w:rsid w:val="00931FBD"/>
    <w:rsid w:val="00932180"/>
    <w:rsid w:val="0093220F"/>
    <w:rsid w:val="009328C2"/>
    <w:rsid w:val="009329E1"/>
    <w:rsid w:val="00932DB9"/>
    <w:rsid w:val="00933476"/>
    <w:rsid w:val="00933542"/>
    <w:rsid w:val="00933928"/>
    <w:rsid w:val="00933B1F"/>
    <w:rsid w:val="009343B8"/>
    <w:rsid w:val="00935EDD"/>
    <w:rsid w:val="00936072"/>
    <w:rsid w:val="0093622E"/>
    <w:rsid w:val="0093630C"/>
    <w:rsid w:val="009363E5"/>
    <w:rsid w:val="00936B74"/>
    <w:rsid w:val="00936F2E"/>
    <w:rsid w:val="00936F89"/>
    <w:rsid w:val="00937035"/>
    <w:rsid w:val="00937660"/>
    <w:rsid w:val="00937791"/>
    <w:rsid w:val="00937F9E"/>
    <w:rsid w:val="00940015"/>
    <w:rsid w:val="00940504"/>
    <w:rsid w:val="00940640"/>
    <w:rsid w:val="00940700"/>
    <w:rsid w:val="00940FA9"/>
    <w:rsid w:val="0094152B"/>
    <w:rsid w:val="0094185F"/>
    <w:rsid w:val="00941970"/>
    <w:rsid w:val="00941F5A"/>
    <w:rsid w:val="00942298"/>
    <w:rsid w:val="00942385"/>
    <w:rsid w:val="0094256F"/>
    <w:rsid w:val="0094314B"/>
    <w:rsid w:val="00943BDE"/>
    <w:rsid w:val="00943D59"/>
    <w:rsid w:val="00943F18"/>
    <w:rsid w:val="00944164"/>
    <w:rsid w:val="009441C1"/>
    <w:rsid w:val="0094454A"/>
    <w:rsid w:val="00944687"/>
    <w:rsid w:val="00944ACE"/>
    <w:rsid w:val="00944D74"/>
    <w:rsid w:val="009451D2"/>
    <w:rsid w:val="00945542"/>
    <w:rsid w:val="0094582C"/>
    <w:rsid w:val="009460DA"/>
    <w:rsid w:val="00946403"/>
    <w:rsid w:val="009469AA"/>
    <w:rsid w:val="00946AED"/>
    <w:rsid w:val="00946D88"/>
    <w:rsid w:val="00947345"/>
    <w:rsid w:val="0094734B"/>
    <w:rsid w:val="00947596"/>
    <w:rsid w:val="00947930"/>
    <w:rsid w:val="009479E5"/>
    <w:rsid w:val="00947AEC"/>
    <w:rsid w:val="00947E7F"/>
    <w:rsid w:val="009501FA"/>
    <w:rsid w:val="009503B8"/>
    <w:rsid w:val="00950829"/>
    <w:rsid w:val="0095092E"/>
    <w:rsid w:val="00950E1A"/>
    <w:rsid w:val="00950EC3"/>
    <w:rsid w:val="00951070"/>
    <w:rsid w:val="009512E7"/>
    <w:rsid w:val="009524CA"/>
    <w:rsid w:val="00952C9E"/>
    <w:rsid w:val="00952D94"/>
    <w:rsid w:val="00952E25"/>
    <w:rsid w:val="009530FB"/>
    <w:rsid w:val="00953180"/>
    <w:rsid w:val="009532EA"/>
    <w:rsid w:val="0095345B"/>
    <w:rsid w:val="009534C7"/>
    <w:rsid w:val="00953580"/>
    <w:rsid w:val="009536BD"/>
    <w:rsid w:val="00953CE9"/>
    <w:rsid w:val="00954E1C"/>
    <w:rsid w:val="00955718"/>
    <w:rsid w:val="009557C9"/>
    <w:rsid w:val="00955939"/>
    <w:rsid w:val="00956370"/>
    <w:rsid w:val="009567DE"/>
    <w:rsid w:val="009567EB"/>
    <w:rsid w:val="00956AB1"/>
    <w:rsid w:val="00957542"/>
    <w:rsid w:val="00957998"/>
    <w:rsid w:val="0096018A"/>
    <w:rsid w:val="009606B8"/>
    <w:rsid w:val="00960741"/>
    <w:rsid w:val="009610BF"/>
    <w:rsid w:val="009612E1"/>
    <w:rsid w:val="009612FE"/>
    <w:rsid w:val="009613DC"/>
    <w:rsid w:val="0096162C"/>
    <w:rsid w:val="0096176A"/>
    <w:rsid w:val="00961FDC"/>
    <w:rsid w:val="009623A2"/>
    <w:rsid w:val="009626A6"/>
    <w:rsid w:val="0096280F"/>
    <w:rsid w:val="00962945"/>
    <w:rsid w:val="00963280"/>
    <w:rsid w:val="00963673"/>
    <w:rsid w:val="00963D71"/>
    <w:rsid w:val="00963EAF"/>
    <w:rsid w:val="00964CB5"/>
    <w:rsid w:val="00964F84"/>
    <w:rsid w:val="00965093"/>
    <w:rsid w:val="00965EFE"/>
    <w:rsid w:val="00965F16"/>
    <w:rsid w:val="0096609C"/>
    <w:rsid w:val="009661F4"/>
    <w:rsid w:val="0096622F"/>
    <w:rsid w:val="00966AD8"/>
    <w:rsid w:val="00966BA1"/>
    <w:rsid w:val="00966E52"/>
    <w:rsid w:val="00967056"/>
    <w:rsid w:val="00967079"/>
    <w:rsid w:val="0096721A"/>
    <w:rsid w:val="00967791"/>
    <w:rsid w:val="009703B5"/>
    <w:rsid w:val="00970405"/>
    <w:rsid w:val="00970610"/>
    <w:rsid w:val="009706D6"/>
    <w:rsid w:val="00970E88"/>
    <w:rsid w:val="009710FE"/>
    <w:rsid w:val="009714FD"/>
    <w:rsid w:val="00971A34"/>
    <w:rsid w:val="00971F78"/>
    <w:rsid w:val="0097213C"/>
    <w:rsid w:val="0097265F"/>
    <w:rsid w:val="00972785"/>
    <w:rsid w:val="00972CAC"/>
    <w:rsid w:val="009734D2"/>
    <w:rsid w:val="00975197"/>
    <w:rsid w:val="009751FD"/>
    <w:rsid w:val="00975242"/>
    <w:rsid w:val="00975362"/>
    <w:rsid w:val="009753D6"/>
    <w:rsid w:val="009756D2"/>
    <w:rsid w:val="00975C6C"/>
    <w:rsid w:val="009761D4"/>
    <w:rsid w:val="009764BE"/>
    <w:rsid w:val="00976C18"/>
    <w:rsid w:val="00977261"/>
    <w:rsid w:val="00977AA2"/>
    <w:rsid w:val="00977D69"/>
    <w:rsid w:val="00980204"/>
    <w:rsid w:val="00980803"/>
    <w:rsid w:val="0098096D"/>
    <w:rsid w:val="00981386"/>
    <w:rsid w:val="00981711"/>
    <w:rsid w:val="00981D89"/>
    <w:rsid w:val="00981FAE"/>
    <w:rsid w:val="00982432"/>
    <w:rsid w:val="009829ED"/>
    <w:rsid w:val="00983564"/>
    <w:rsid w:val="009835DA"/>
    <w:rsid w:val="009839A4"/>
    <w:rsid w:val="00983EF8"/>
    <w:rsid w:val="00984086"/>
    <w:rsid w:val="009843B1"/>
    <w:rsid w:val="0098478A"/>
    <w:rsid w:val="00984E89"/>
    <w:rsid w:val="0098522D"/>
    <w:rsid w:val="009853E7"/>
    <w:rsid w:val="00985DF9"/>
    <w:rsid w:val="00985F3B"/>
    <w:rsid w:val="009864E0"/>
    <w:rsid w:val="00986A80"/>
    <w:rsid w:val="00986CF3"/>
    <w:rsid w:val="00986EA7"/>
    <w:rsid w:val="009874CD"/>
    <w:rsid w:val="00987640"/>
    <w:rsid w:val="00987FE2"/>
    <w:rsid w:val="00990351"/>
    <w:rsid w:val="009903FF"/>
    <w:rsid w:val="00990B67"/>
    <w:rsid w:val="009911BF"/>
    <w:rsid w:val="00991583"/>
    <w:rsid w:val="009917EA"/>
    <w:rsid w:val="00991A03"/>
    <w:rsid w:val="00991A9F"/>
    <w:rsid w:val="00991BD7"/>
    <w:rsid w:val="00991C3B"/>
    <w:rsid w:val="00992658"/>
    <w:rsid w:val="00992FF7"/>
    <w:rsid w:val="009931AE"/>
    <w:rsid w:val="00993802"/>
    <w:rsid w:val="009938F0"/>
    <w:rsid w:val="00993FAC"/>
    <w:rsid w:val="009940A0"/>
    <w:rsid w:val="00994163"/>
    <w:rsid w:val="0099455E"/>
    <w:rsid w:val="00994D5D"/>
    <w:rsid w:val="009954B9"/>
    <w:rsid w:val="00995890"/>
    <w:rsid w:val="00995ABF"/>
    <w:rsid w:val="00995ADD"/>
    <w:rsid w:val="00995B03"/>
    <w:rsid w:val="00996221"/>
    <w:rsid w:val="0099649C"/>
    <w:rsid w:val="009965BE"/>
    <w:rsid w:val="00996624"/>
    <w:rsid w:val="0099671F"/>
    <w:rsid w:val="009967C5"/>
    <w:rsid w:val="0099695B"/>
    <w:rsid w:val="0099720A"/>
    <w:rsid w:val="009972DB"/>
    <w:rsid w:val="009973E1"/>
    <w:rsid w:val="0099755D"/>
    <w:rsid w:val="009975CF"/>
    <w:rsid w:val="009978C8"/>
    <w:rsid w:val="00997C22"/>
    <w:rsid w:val="00997C66"/>
    <w:rsid w:val="009A0BC3"/>
    <w:rsid w:val="009A0C31"/>
    <w:rsid w:val="009A116A"/>
    <w:rsid w:val="009A12B1"/>
    <w:rsid w:val="009A166C"/>
    <w:rsid w:val="009A1779"/>
    <w:rsid w:val="009A1C91"/>
    <w:rsid w:val="009A2073"/>
    <w:rsid w:val="009A2083"/>
    <w:rsid w:val="009A25A1"/>
    <w:rsid w:val="009A27EC"/>
    <w:rsid w:val="009A2F9F"/>
    <w:rsid w:val="009A3694"/>
    <w:rsid w:val="009A3D6D"/>
    <w:rsid w:val="009A40A7"/>
    <w:rsid w:val="009A43E6"/>
    <w:rsid w:val="009A4BFE"/>
    <w:rsid w:val="009A4C06"/>
    <w:rsid w:val="009A4C13"/>
    <w:rsid w:val="009A4DB9"/>
    <w:rsid w:val="009A4FC4"/>
    <w:rsid w:val="009A597C"/>
    <w:rsid w:val="009A59A2"/>
    <w:rsid w:val="009A5E02"/>
    <w:rsid w:val="009A5E7A"/>
    <w:rsid w:val="009A653E"/>
    <w:rsid w:val="009A65FE"/>
    <w:rsid w:val="009A67C7"/>
    <w:rsid w:val="009A705C"/>
    <w:rsid w:val="009A708E"/>
    <w:rsid w:val="009A715D"/>
    <w:rsid w:val="009A7309"/>
    <w:rsid w:val="009A73C2"/>
    <w:rsid w:val="009A7740"/>
    <w:rsid w:val="009A77A0"/>
    <w:rsid w:val="009A7D5F"/>
    <w:rsid w:val="009B0C15"/>
    <w:rsid w:val="009B0C1E"/>
    <w:rsid w:val="009B0C45"/>
    <w:rsid w:val="009B0D3F"/>
    <w:rsid w:val="009B12E8"/>
    <w:rsid w:val="009B15BF"/>
    <w:rsid w:val="009B1775"/>
    <w:rsid w:val="009B1871"/>
    <w:rsid w:val="009B19AC"/>
    <w:rsid w:val="009B1AB0"/>
    <w:rsid w:val="009B1E34"/>
    <w:rsid w:val="009B21E5"/>
    <w:rsid w:val="009B25B7"/>
    <w:rsid w:val="009B2E58"/>
    <w:rsid w:val="009B30EF"/>
    <w:rsid w:val="009B3D6A"/>
    <w:rsid w:val="009B3ECA"/>
    <w:rsid w:val="009B4566"/>
    <w:rsid w:val="009B45BA"/>
    <w:rsid w:val="009B4640"/>
    <w:rsid w:val="009B4783"/>
    <w:rsid w:val="009B4A16"/>
    <w:rsid w:val="009B4C92"/>
    <w:rsid w:val="009B4F20"/>
    <w:rsid w:val="009B4FCC"/>
    <w:rsid w:val="009B53F0"/>
    <w:rsid w:val="009B583F"/>
    <w:rsid w:val="009B5897"/>
    <w:rsid w:val="009B6347"/>
    <w:rsid w:val="009B6640"/>
    <w:rsid w:val="009B6667"/>
    <w:rsid w:val="009B7412"/>
    <w:rsid w:val="009B76B4"/>
    <w:rsid w:val="009B7814"/>
    <w:rsid w:val="009B7FBA"/>
    <w:rsid w:val="009C00F4"/>
    <w:rsid w:val="009C07EF"/>
    <w:rsid w:val="009C0C86"/>
    <w:rsid w:val="009C0C8A"/>
    <w:rsid w:val="009C1C3D"/>
    <w:rsid w:val="009C1EED"/>
    <w:rsid w:val="009C2E56"/>
    <w:rsid w:val="009C3565"/>
    <w:rsid w:val="009C3633"/>
    <w:rsid w:val="009C3864"/>
    <w:rsid w:val="009C3E31"/>
    <w:rsid w:val="009C3F92"/>
    <w:rsid w:val="009C4297"/>
    <w:rsid w:val="009C43D4"/>
    <w:rsid w:val="009C4DD5"/>
    <w:rsid w:val="009C5652"/>
    <w:rsid w:val="009C5FE4"/>
    <w:rsid w:val="009C6101"/>
    <w:rsid w:val="009C6198"/>
    <w:rsid w:val="009C67F8"/>
    <w:rsid w:val="009C7066"/>
    <w:rsid w:val="009C7133"/>
    <w:rsid w:val="009C7146"/>
    <w:rsid w:val="009C71DC"/>
    <w:rsid w:val="009C7225"/>
    <w:rsid w:val="009C78E1"/>
    <w:rsid w:val="009C7F46"/>
    <w:rsid w:val="009D00B5"/>
    <w:rsid w:val="009D0125"/>
    <w:rsid w:val="009D0B42"/>
    <w:rsid w:val="009D0C51"/>
    <w:rsid w:val="009D1720"/>
    <w:rsid w:val="009D190F"/>
    <w:rsid w:val="009D19C3"/>
    <w:rsid w:val="009D2184"/>
    <w:rsid w:val="009D23BF"/>
    <w:rsid w:val="009D23C4"/>
    <w:rsid w:val="009D279E"/>
    <w:rsid w:val="009D27A5"/>
    <w:rsid w:val="009D27BB"/>
    <w:rsid w:val="009D29AF"/>
    <w:rsid w:val="009D2B1F"/>
    <w:rsid w:val="009D2F1B"/>
    <w:rsid w:val="009D3390"/>
    <w:rsid w:val="009D3478"/>
    <w:rsid w:val="009D3C1B"/>
    <w:rsid w:val="009D3C47"/>
    <w:rsid w:val="009D4435"/>
    <w:rsid w:val="009D45CF"/>
    <w:rsid w:val="009D45F3"/>
    <w:rsid w:val="009D5352"/>
    <w:rsid w:val="009D5673"/>
    <w:rsid w:val="009D570E"/>
    <w:rsid w:val="009D5719"/>
    <w:rsid w:val="009D57FC"/>
    <w:rsid w:val="009D5F7A"/>
    <w:rsid w:val="009D6274"/>
    <w:rsid w:val="009D63D2"/>
    <w:rsid w:val="009D65F5"/>
    <w:rsid w:val="009D6B27"/>
    <w:rsid w:val="009D6EF4"/>
    <w:rsid w:val="009D711F"/>
    <w:rsid w:val="009D7667"/>
    <w:rsid w:val="009D77B4"/>
    <w:rsid w:val="009D77BB"/>
    <w:rsid w:val="009D78EC"/>
    <w:rsid w:val="009D7A57"/>
    <w:rsid w:val="009D7A79"/>
    <w:rsid w:val="009D7AC8"/>
    <w:rsid w:val="009D7EF6"/>
    <w:rsid w:val="009E03D6"/>
    <w:rsid w:val="009E0C34"/>
    <w:rsid w:val="009E0F01"/>
    <w:rsid w:val="009E0F2F"/>
    <w:rsid w:val="009E15D6"/>
    <w:rsid w:val="009E1B26"/>
    <w:rsid w:val="009E27D4"/>
    <w:rsid w:val="009E293B"/>
    <w:rsid w:val="009E2B7C"/>
    <w:rsid w:val="009E2C7E"/>
    <w:rsid w:val="009E338B"/>
    <w:rsid w:val="009E341D"/>
    <w:rsid w:val="009E37B6"/>
    <w:rsid w:val="009E3905"/>
    <w:rsid w:val="009E3B74"/>
    <w:rsid w:val="009E3D32"/>
    <w:rsid w:val="009E3DF5"/>
    <w:rsid w:val="009E4232"/>
    <w:rsid w:val="009E46FF"/>
    <w:rsid w:val="009E4938"/>
    <w:rsid w:val="009E4C9F"/>
    <w:rsid w:val="009E4CA1"/>
    <w:rsid w:val="009E52B2"/>
    <w:rsid w:val="009E5702"/>
    <w:rsid w:val="009E5F60"/>
    <w:rsid w:val="009E641D"/>
    <w:rsid w:val="009E66AC"/>
    <w:rsid w:val="009E6B45"/>
    <w:rsid w:val="009E6BC2"/>
    <w:rsid w:val="009E7B51"/>
    <w:rsid w:val="009F022E"/>
    <w:rsid w:val="009F0FF2"/>
    <w:rsid w:val="009F1B84"/>
    <w:rsid w:val="009F1B9B"/>
    <w:rsid w:val="009F1C66"/>
    <w:rsid w:val="009F27C4"/>
    <w:rsid w:val="009F27E5"/>
    <w:rsid w:val="009F2A00"/>
    <w:rsid w:val="009F2FAA"/>
    <w:rsid w:val="009F30B1"/>
    <w:rsid w:val="009F3BAD"/>
    <w:rsid w:val="009F49A4"/>
    <w:rsid w:val="009F515E"/>
    <w:rsid w:val="009F6349"/>
    <w:rsid w:val="009F6954"/>
    <w:rsid w:val="009F71FD"/>
    <w:rsid w:val="009F7275"/>
    <w:rsid w:val="009F736C"/>
    <w:rsid w:val="009F7BF9"/>
    <w:rsid w:val="009F7D61"/>
    <w:rsid w:val="00A00742"/>
    <w:rsid w:val="00A00F37"/>
    <w:rsid w:val="00A01523"/>
    <w:rsid w:val="00A016E2"/>
    <w:rsid w:val="00A018A7"/>
    <w:rsid w:val="00A01E7E"/>
    <w:rsid w:val="00A02532"/>
    <w:rsid w:val="00A0263E"/>
    <w:rsid w:val="00A02DBB"/>
    <w:rsid w:val="00A03828"/>
    <w:rsid w:val="00A03B0D"/>
    <w:rsid w:val="00A03CE9"/>
    <w:rsid w:val="00A0426E"/>
    <w:rsid w:val="00A042CF"/>
    <w:rsid w:val="00A0436D"/>
    <w:rsid w:val="00A04473"/>
    <w:rsid w:val="00A04C41"/>
    <w:rsid w:val="00A053D0"/>
    <w:rsid w:val="00A05767"/>
    <w:rsid w:val="00A05773"/>
    <w:rsid w:val="00A05F37"/>
    <w:rsid w:val="00A064DE"/>
    <w:rsid w:val="00A06586"/>
    <w:rsid w:val="00A06B61"/>
    <w:rsid w:val="00A06BD9"/>
    <w:rsid w:val="00A0713B"/>
    <w:rsid w:val="00A077B4"/>
    <w:rsid w:val="00A079FF"/>
    <w:rsid w:val="00A07E28"/>
    <w:rsid w:val="00A10596"/>
    <w:rsid w:val="00A108B7"/>
    <w:rsid w:val="00A108DB"/>
    <w:rsid w:val="00A10F29"/>
    <w:rsid w:val="00A10F6B"/>
    <w:rsid w:val="00A110E3"/>
    <w:rsid w:val="00A11168"/>
    <w:rsid w:val="00A11369"/>
    <w:rsid w:val="00A11539"/>
    <w:rsid w:val="00A11B38"/>
    <w:rsid w:val="00A11BEB"/>
    <w:rsid w:val="00A11FCD"/>
    <w:rsid w:val="00A12BB8"/>
    <w:rsid w:val="00A13964"/>
    <w:rsid w:val="00A13BCB"/>
    <w:rsid w:val="00A13CE0"/>
    <w:rsid w:val="00A13D3A"/>
    <w:rsid w:val="00A14531"/>
    <w:rsid w:val="00A14795"/>
    <w:rsid w:val="00A148E1"/>
    <w:rsid w:val="00A14C51"/>
    <w:rsid w:val="00A14E6D"/>
    <w:rsid w:val="00A15BF8"/>
    <w:rsid w:val="00A164BC"/>
    <w:rsid w:val="00A172A5"/>
    <w:rsid w:val="00A17493"/>
    <w:rsid w:val="00A17AEC"/>
    <w:rsid w:val="00A20D5E"/>
    <w:rsid w:val="00A20E05"/>
    <w:rsid w:val="00A20F2F"/>
    <w:rsid w:val="00A211EB"/>
    <w:rsid w:val="00A21B78"/>
    <w:rsid w:val="00A21C08"/>
    <w:rsid w:val="00A220CD"/>
    <w:rsid w:val="00A22C55"/>
    <w:rsid w:val="00A22C7F"/>
    <w:rsid w:val="00A22E31"/>
    <w:rsid w:val="00A231EA"/>
    <w:rsid w:val="00A236AB"/>
    <w:rsid w:val="00A23913"/>
    <w:rsid w:val="00A2415D"/>
    <w:rsid w:val="00A248A1"/>
    <w:rsid w:val="00A24C68"/>
    <w:rsid w:val="00A2500A"/>
    <w:rsid w:val="00A254C5"/>
    <w:rsid w:val="00A25867"/>
    <w:rsid w:val="00A25889"/>
    <w:rsid w:val="00A258D6"/>
    <w:rsid w:val="00A261F4"/>
    <w:rsid w:val="00A2657E"/>
    <w:rsid w:val="00A266D4"/>
    <w:rsid w:val="00A26CA7"/>
    <w:rsid w:val="00A274CC"/>
    <w:rsid w:val="00A27520"/>
    <w:rsid w:val="00A2794B"/>
    <w:rsid w:val="00A27C06"/>
    <w:rsid w:val="00A27D94"/>
    <w:rsid w:val="00A27F62"/>
    <w:rsid w:val="00A3018D"/>
    <w:rsid w:val="00A309A6"/>
    <w:rsid w:val="00A30BBA"/>
    <w:rsid w:val="00A31935"/>
    <w:rsid w:val="00A31A4B"/>
    <w:rsid w:val="00A32032"/>
    <w:rsid w:val="00A329B1"/>
    <w:rsid w:val="00A32E33"/>
    <w:rsid w:val="00A33337"/>
    <w:rsid w:val="00A3342F"/>
    <w:rsid w:val="00A339C3"/>
    <w:rsid w:val="00A33D11"/>
    <w:rsid w:val="00A33E05"/>
    <w:rsid w:val="00A33FBA"/>
    <w:rsid w:val="00A342D8"/>
    <w:rsid w:val="00A343F3"/>
    <w:rsid w:val="00A34CDB"/>
    <w:rsid w:val="00A34D34"/>
    <w:rsid w:val="00A35EB2"/>
    <w:rsid w:val="00A3606A"/>
    <w:rsid w:val="00A36108"/>
    <w:rsid w:val="00A3619B"/>
    <w:rsid w:val="00A36AAA"/>
    <w:rsid w:val="00A36E4A"/>
    <w:rsid w:val="00A36F1B"/>
    <w:rsid w:val="00A36F2C"/>
    <w:rsid w:val="00A371F2"/>
    <w:rsid w:val="00A37863"/>
    <w:rsid w:val="00A37CA7"/>
    <w:rsid w:val="00A401CF"/>
    <w:rsid w:val="00A405D1"/>
    <w:rsid w:val="00A4080E"/>
    <w:rsid w:val="00A408BA"/>
    <w:rsid w:val="00A418E8"/>
    <w:rsid w:val="00A418EB"/>
    <w:rsid w:val="00A419D3"/>
    <w:rsid w:val="00A41A3F"/>
    <w:rsid w:val="00A41B1D"/>
    <w:rsid w:val="00A41F39"/>
    <w:rsid w:val="00A425DD"/>
    <w:rsid w:val="00A42C01"/>
    <w:rsid w:val="00A43168"/>
    <w:rsid w:val="00A4330A"/>
    <w:rsid w:val="00A43AB6"/>
    <w:rsid w:val="00A44EBE"/>
    <w:rsid w:val="00A45074"/>
    <w:rsid w:val="00A451B9"/>
    <w:rsid w:val="00A459BA"/>
    <w:rsid w:val="00A45DC5"/>
    <w:rsid w:val="00A45F2E"/>
    <w:rsid w:val="00A46607"/>
    <w:rsid w:val="00A469C3"/>
    <w:rsid w:val="00A472B7"/>
    <w:rsid w:val="00A47B5F"/>
    <w:rsid w:val="00A47F12"/>
    <w:rsid w:val="00A501F8"/>
    <w:rsid w:val="00A503D9"/>
    <w:rsid w:val="00A505BE"/>
    <w:rsid w:val="00A509CC"/>
    <w:rsid w:val="00A50E23"/>
    <w:rsid w:val="00A50EE3"/>
    <w:rsid w:val="00A51C41"/>
    <w:rsid w:val="00A521A8"/>
    <w:rsid w:val="00A52403"/>
    <w:rsid w:val="00A52A5D"/>
    <w:rsid w:val="00A52C0A"/>
    <w:rsid w:val="00A52EF8"/>
    <w:rsid w:val="00A5320B"/>
    <w:rsid w:val="00A53328"/>
    <w:rsid w:val="00A5359B"/>
    <w:rsid w:val="00A53A6A"/>
    <w:rsid w:val="00A53B2E"/>
    <w:rsid w:val="00A53E92"/>
    <w:rsid w:val="00A53F0C"/>
    <w:rsid w:val="00A53F12"/>
    <w:rsid w:val="00A53FA0"/>
    <w:rsid w:val="00A5414A"/>
    <w:rsid w:val="00A544BB"/>
    <w:rsid w:val="00A54827"/>
    <w:rsid w:val="00A54A52"/>
    <w:rsid w:val="00A55373"/>
    <w:rsid w:val="00A55B69"/>
    <w:rsid w:val="00A5606D"/>
    <w:rsid w:val="00A561AD"/>
    <w:rsid w:val="00A564FD"/>
    <w:rsid w:val="00A565CF"/>
    <w:rsid w:val="00A571E3"/>
    <w:rsid w:val="00A5731E"/>
    <w:rsid w:val="00A5762D"/>
    <w:rsid w:val="00A57C2F"/>
    <w:rsid w:val="00A57D81"/>
    <w:rsid w:val="00A6109E"/>
    <w:rsid w:val="00A616B4"/>
    <w:rsid w:val="00A619CE"/>
    <w:rsid w:val="00A61C8A"/>
    <w:rsid w:val="00A61D52"/>
    <w:rsid w:val="00A61F56"/>
    <w:rsid w:val="00A626B3"/>
    <w:rsid w:val="00A63283"/>
    <w:rsid w:val="00A63A14"/>
    <w:rsid w:val="00A63AA0"/>
    <w:rsid w:val="00A63AF8"/>
    <w:rsid w:val="00A63B5D"/>
    <w:rsid w:val="00A63BF5"/>
    <w:rsid w:val="00A63E11"/>
    <w:rsid w:val="00A64431"/>
    <w:rsid w:val="00A64E3D"/>
    <w:rsid w:val="00A65094"/>
    <w:rsid w:val="00A65368"/>
    <w:rsid w:val="00A65F2F"/>
    <w:rsid w:val="00A660F9"/>
    <w:rsid w:val="00A6655D"/>
    <w:rsid w:val="00A668F5"/>
    <w:rsid w:val="00A66A2D"/>
    <w:rsid w:val="00A672AE"/>
    <w:rsid w:val="00A672FA"/>
    <w:rsid w:val="00A677C3"/>
    <w:rsid w:val="00A67A25"/>
    <w:rsid w:val="00A67E3C"/>
    <w:rsid w:val="00A70758"/>
    <w:rsid w:val="00A710BE"/>
    <w:rsid w:val="00A710DD"/>
    <w:rsid w:val="00A711F1"/>
    <w:rsid w:val="00A71454"/>
    <w:rsid w:val="00A71464"/>
    <w:rsid w:val="00A72369"/>
    <w:rsid w:val="00A724B1"/>
    <w:rsid w:val="00A7265C"/>
    <w:rsid w:val="00A72C58"/>
    <w:rsid w:val="00A73996"/>
    <w:rsid w:val="00A73C08"/>
    <w:rsid w:val="00A73DC7"/>
    <w:rsid w:val="00A73F5C"/>
    <w:rsid w:val="00A73FD7"/>
    <w:rsid w:val="00A74C51"/>
    <w:rsid w:val="00A74CFC"/>
    <w:rsid w:val="00A74D68"/>
    <w:rsid w:val="00A74F73"/>
    <w:rsid w:val="00A75100"/>
    <w:rsid w:val="00A75547"/>
    <w:rsid w:val="00A75C10"/>
    <w:rsid w:val="00A75E25"/>
    <w:rsid w:val="00A76352"/>
    <w:rsid w:val="00A767CE"/>
    <w:rsid w:val="00A769E0"/>
    <w:rsid w:val="00A77398"/>
    <w:rsid w:val="00A77AC0"/>
    <w:rsid w:val="00A77DCC"/>
    <w:rsid w:val="00A77EB5"/>
    <w:rsid w:val="00A805C6"/>
    <w:rsid w:val="00A8071C"/>
    <w:rsid w:val="00A809BD"/>
    <w:rsid w:val="00A817E6"/>
    <w:rsid w:val="00A81905"/>
    <w:rsid w:val="00A819F9"/>
    <w:rsid w:val="00A825D3"/>
    <w:rsid w:val="00A82805"/>
    <w:rsid w:val="00A82D08"/>
    <w:rsid w:val="00A82F49"/>
    <w:rsid w:val="00A83655"/>
    <w:rsid w:val="00A838D5"/>
    <w:rsid w:val="00A83924"/>
    <w:rsid w:val="00A83A52"/>
    <w:rsid w:val="00A84034"/>
    <w:rsid w:val="00A847A6"/>
    <w:rsid w:val="00A84BD0"/>
    <w:rsid w:val="00A84E1A"/>
    <w:rsid w:val="00A855E5"/>
    <w:rsid w:val="00A85627"/>
    <w:rsid w:val="00A857F8"/>
    <w:rsid w:val="00A858ED"/>
    <w:rsid w:val="00A85FA2"/>
    <w:rsid w:val="00A862F8"/>
    <w:rsid w:val="00A86703"/>
    <w:rsid w:val="00A86A93"/>
    <w:rsid w:val="00A86CA6"/>
    <w:rsid w:val="00A87693"/>
    <w:rsid w:val="00A87C7F"/>
    <w:rsid w:val="00A87D06"/>
    <w:rsid w:val="00A87EB6"/>
    <w:rsid w:val="00A90802"/>
    <w:rsid w:val="00A90B24"/>
    <w:rsid w:val="00A9128B"/>
    <w:rsid w:val="00A9147B"/>
    <w:rsid w:val="00A91860"/>
    <w:rsid w:val="00A91BB0"/>
    <w:rsid w:val="00A91C46"/>
    <w:rsid w:val="00A91C71"/>
    <w:rsid w:val="00A91E64"/>
    <w:rsid w:val="00A92C2E"/>
    <w:rsid w:val="00A9321E"/>
    <w:rsid w:val="00A93CAF"/>
    <w:rsid w:val="00A93D6D"/>
    <w:rsid w:val="00A9473A"/>
    <w:rsid w:val="00A94820"/>
    <w:rsid w:val="00A94DC5"/>
    <w:rsid w:val="00A95376"/>
    <w:rsid w:val="00A953FC"/>
    <w:rsid w:val="00A95920"/>
    <w:rsid w:val="00A95E74"/>
    <w:rsid w:val="00A96255"/>
    <w:rsid w:val="00A966CA"/>
    <w:rsid w:val="00A96A2B"/>
    <w:rsid w:val="00A96CF1"/>
    <w:rsid w:val="00A96DA3"/>
    <w:rsid w:val="00A96F68"/>
    <w:rsid w:val="00A9733A"/>
    <w:rsid w:val="00A97600"/>
    <w:rsid w:val="00A97A26"/>
    <w:rsid w:val="00A97B95"/>
    <w:rsid w:val="00A97EC4"/>
    <w:rsid w:val="00AA035F"/>
    <w:rsid w:val="00AA05E9"/>
    <w:rsid w:val="00AA117A"/>
    <w:rsid w:val="00AA1710"/>
    <w:rsid w:val="00AA182C"/>
    <w:rsid w:val="00AA199B"/>
    <w:rsid w:val="00AA2035"/>
    <w:rsid w:val="00AA22DC"/>
    <w:rsid w:val="00AA2DBB"/>
    <w:rsid w:val="00AA33F2"/>
    <w:rsid w:val="00AA4562"/>
    <w:rsid w:val="00AA4E54"/>
    <w:rsid w:val="00AA55C5"/>
    <w:rsid w:val="00AA5609"/>
    <w:rsid w:val="00AA5829"/>
    <w:rsid w:val="00AA58A6"/>
    <w:rsid w:val="00AA5A0D"/>
    <w:rsid w:val="00AA5D0B"/>
    <w:rsid w:val="00AA634D"/>
    <w:rsid w:val="00AA6751"/>
    <w:rsid w:val="00AA67EF"/>
    <w:rsid w:val="00AA696F"/>
    <w:rsid w:val="00AA703D"/>
    <w:rsid w:val="00AA73CB"/>
    <w:rsid w:val="00AA74D4"/>
    <w:rsid w:val="00AA7902"/>
    <w:rsid w:val="00AA7DC6"/>
    <w:rsid w:val="00AA7E30"/>
    <w:rsid w:val="00AB02B3"/>
    <w:rsid w:val="00AB02C7"/>
    <w:rsid w:val="00AB0B09"/>
    <w:rsid w:val="00AB1488"/>
    <w:rsid w:val="00AB3210"/>
    <w:rsid w:val="00AB3C8C"/>
    <w:rsid w:val="00AB4704"/>
    <w:rsid w:val="00AB4739"/>
    <w:rsid w:val="00AB4BA6"/>
    <w:rsid w:val="00AB537D"/>
    <w:rsid w:val="00AB5A7B"/>
    <w:rsid w:val="00AB5E75"/>
    <w:rsid w:val="00AB5EEF"/>
    <w:rsid w:val="00AB6410"/>
    <w:rsid w:val="00AB64B1"/>
    <w:rsid w:val="00AB6686"/>
    <w:rsid w:val="00AB71D2"/>
    <w:rsid w:val="00AB7BE5"/>
    <w:rsid w:val="00AC021E"/>
    <w:rsid w:val="00AC03C1"/>
    <w:rsid w:val="00AC0415"/>
    <w:rsid w:val="00AC091E"/>
    <w:rsid w:val="00AC0953"/>
    <w:rsid w:val="00AC0C9D"/>
    <w:rsid w:val="00AC0CF6"/>
    <w:rsid w:val="00AC0E53"/>
    <w:rsid w:val="00AC1929"/>
    <w:rsid w:val="00AC1BFC"/>
    <w:rsid w:val="00AC1C63"/>
    <w:rsid w:val="00AC1E41"/>
    <w:rsid w:val="00AC2D4D"/>
    <w:rsid w:val="00AC3760"/>
    <w:rsid w:val="00AC3D7C"/>
    <w:rsid w:val="00AC4BD8"/>
    <w:rsid w:val="00AC4BE1"/>
    <w:rsid w:val="00AC4E5D"/>
    <w:rsid w:val="00AC4FF2"/>
    <w:rsid w:val="00AC5BA9"/>
    <w:rsid w:val="00AC6017"/>
    <w:rsid w:val="00AC64D9"/>
    <w:rsid w:val="00AC66E3"/>
    <w:rsid w:val="00AC69BC"/>
    <w:rsid w:val="00AC6C37"/>
    <w:rsid w:val="00AC75F7"/>
    <w:rsid w:val="00AC76A3"/>
    <w:rsid w:val="00AD0074"/>
    <w:rsid w:val="00AD028F"/>
    <w:rsid w:val="00AD04C8"/>
    <w:rsid w:val="00AD070F"/>
    <w:rsid w:val="00AD0F4F"/>
    <w:rsid w:val="00AD144A"/>
    <w:rsid w:val="00AD173A"/>
    <w:rsid w:val="00AD2200"/>
    <w:rsid w:val="00AD22EF"/>
    <w:rsid w:val="00AD2392"/>
    <w:rsid w:val="00AD29CB"/>
    <w:rsid w:val="00AD2E14"/>
    <w:rsid w:val="00AD369D"/>
    <w:rsid w:val="00AD395A"/>
    <w:rsid w:val="00AD3A7C"/>
    <w:rsid w:val="00AD4491"/>
    <w:rsid w:val="00AD4A59"/>
    <w:rsid w:val="00AD4C14"/>
    <w:rsid w:val="00AD5792"/>
    <w:rsid w:val="00AD5811"/>
    <w:rsid w:val="00AD5CF6"/>
    <w:rsid w:val="00AD5EA3"/>
    <w:rsid w:val="00AD61FF"/>
    <w:rsid w:val="00AD62BB"/>
    <w:rsid w:val="00AD6346"/>
    <w:rsid w:val="00AD634C"/>
    <w:rsid w:val="00AD6776"/>
    <w:rsid w:val="00AD6931"/>
    <w:rsid w:val="00AD6A0E"/>
    <w:rsid w:val="00AD6B42"/>
    <w:rsid w:val="00AD6C43"/>
    <w:rsid w:val="00AD71AA"/>
    <w:rsid w:val="00AD736B"/>
    <w:rsid w:val="00AD73ED"/>
    <w:rsid w:val="00AD74C7"/>
    <w:rsid w:val="00AD79EC"/>
    <w:rsid w:val="00AD7B92"/>
    <w:rsid w:val="00AD7BD6"/>
    <w:rsid w:val="00AD7CC4"/>
    <w:rsid w:val="00AD7E52"/>
    <w:rsid w:val="00AD7E8D"/>
    <w:rsid w:val="00AD7FA8"/>
    <w:rsid w:val="00AE002E"/>
    <w:rsid w:val="00AE0173"/>
    <w:rsid w:val="00AE02B4"/>
    <w:rsid w:val="00AE03EC"/>
    <w:rsid w:val="00AE03FA"/>
    <w:rsid w:val="00AE0C8F"/>
    <w:rsid w:val="00AE1A78"/>
    <w:rsid w:val="00AE203E"/>
    <w:rsid w:val="00AE22A7"/>
    <w:rsid w:val="00AE2BBB"/>
    <w:rsid w:val="00AE2C0C"/>
    <w:rsid w:val="00AE2C4D"/>
    <w:rsid w:val="00AE2EBA"/>
    <w:rsid w:val="00AE31AA"/>
    <w:rsid w:val="00AE3B57"/>
    <w:rsid w:val="00AE43D6"/>
    <w:rsid w:val="00AE51BE"/>
    <w:rsid w:val="00AE51EE"/>
    <w:rsid w:val="00AE55F9"/>
    <w:rsid w:val="00AE5C98"/>
    <w:rsid w:val="00AE5E4F"/>
    <w:rsid w:val="00AE607B"/>
    <w:rsid w:val="00AE615C"/>
    <w:rsid w:val="00AE6618"/>
    <w:rsid w:val="00AE6753"/>
    <w:rsid w:val="00AE680D"/>
    <w:rsid w:val="00AE6893"/>
    <w:rsid w:val="00AE68F2"/>
    <w:rsid w:val="00AE6901"/>
    <w:rsid w:val="00AE6F93"/>
    <w:rsid w:val="00AE6FB6"/>
    <w:rsid w:val="00AE747D"/>
    <w:rsid w:val="00AE783F"/>
    <w:rsid w:val="00AE7867"/>
    <w:rsid w:val="00AE7A63"/>
    <w:rsid w:val="00AF069E"/>
    <w:rsid w:val="00AF0735"/>
    <w:rsid w:val="00AF0769"/>
    <w:rsid w:val="00AF0C69"/>
    <w:rsid w:val="00AF0F4F"/>
    <w:rsid w:val="00AF115D"/>
    <w:rsid w:val="00AF21AC"/>
    <w:rsid w:val="00AF21BD"/>
    <w:rsid w:val="00AF245F"/>
    <w:rsid w:val="00AF267F"/>
    <w:rsid w:val="00AF2908"/>
    <w:rsid w:val="00AF2989"/>
    <w:rsid w:val="00AF29BC"/>
    <w:rsid w:val="00AF2CAF"/>
    <w:rsid w:val="00AF35D7"/>
    <w:rsid w:val="00AF3AA5"/>
    <w:rsid w:val="00AF3D64"/>
    <w:rsid w:val="00AF43BC"/>
    <w:rsid w:val="00AF45EC"/>
    <w:rsid w:val="00AF4770"/>
    <w:rsid w:val="00AF4D8B"/>
    <w:rsid w:val="00AF4F25"/>
    <w:rsid w:val="00AF552E"/>
    <w:rsid w:val="00AF5D8C"/>
    <w:rsid w:val="00AF63AC"/>
    <w:rsid w:val="00AF6560"/>
    <w:rsid w:val="00AF6777"/>
    <w:rsid w:val="00AF677D"/>
    <w:rsid w:val="00AF6C10"/>
    <w:rsid w:val="00AF70E6"/>
    <w:rsid w:val="00AF713E"/>
    <w:rsid w:val="00AF7C8E"/>
    <w:rsid w:val="00AF7CE6"/>
    <w:rsid w:val="00AF7E08"/>
    <w:rsid w:val="00B0024D"/>
    <w:rsid w:val="00B0032E"/>
    <w:rsid w:val="00B00381"/>
    <w:rsid w:val="00B00470"/>
    <w:rsid w:val="00B00690"/>
    <w:rsid w:val="00B00736"/>
    <w:rsid w:val="00B01203"/>
    <w:rsid w:val="00B014E9"/>
    <w:rsid w:val="00B01BCB"/>
    <w:rsid w:val="00B01F75"/>
    <w:rsid w:val="00B0220D"/>
    <w:rsid w:val="00B024E9"/>
    <w:rsid w:val="00B027ED"/>
    <w:rsid w:val="00B02812"/>
    <w:rsid w:val="00B02904"/>
    <w:rsid w:val="00B02DA7"/>
    <w:rsid w:val="00B031F8"/>
    <w:rsid w:val="00B037AF"/>
    <w:rsid w:val="00B03E0C"/>
    <w:rsid w:val="00B03FDC"/>
    <w:rsid w:val="00B045CD"/>
    <w:rsid w:val="00B04857"/>
    <w:rsid w:val="00B04B84"/>
    <w:rsid w:val="00B05548"/>
    <w:rsid w:val="00B05699"/>
    <w:rsid w:val="00B05B93"/>
    <w:rsid w:val="00B062C9"/>
    <w:rsid w:val="00B06605"/>
    <w:rsid w:val="00B06738"/>
    <w:rsid w:val="00B06DB0"/>
    <w:rsid w:val="00B0718A"/>
    <w:rsid w:val="00B0730A"/>
    <w:rsid w:val="00B07808"/>
    <w:rsid w:val="00B078B6"/>
    <w:rsid w:val="00B1032D"/>
    <w:rsid w:val="00B1082B"/>
    <w:rsid w:val="00B109DB"/>
    <w:rsid w:val="00B10A2E"/>
    <w:rsid w:val="00B10E32"/>
    <w:rsid w:val="00B10E3D"/>
    <w:rsid w:val="00B111E4"/>
    <w:rsid w:val="00B1151C"/>
    <w:rsid w:val="00B11B3F"/>
    <w:rsid w:val="00B11F20"/>
    <w:rsid w:val="00B12933"/>
    <w:rsid w:val="00B12A76"/>
    <w:rsid w:val="00B13392"/>
    <w:rsid w:val="00B13715"/>
    <w:rsid w:val="00B138E2"/>
    <w:rsid w:val="00B13FE3"/>
    <w:rsid w:val="00B14468"/>
    <w:rsid w:val="00B145C5"/>
    <w:rsid w:val="00B14D81"/>
    <w:rsid w:val="00B14D91"/>
    <w:rsid w:val="00B150C0"/>
    <w:rsid w:val="00B15145"/>
    <w:rsid w:val="00B151A5"/>
    <w:rsid w:val="00B157C8"/>
    <w:rsid w:val="00B15850"/>
    <w:rsid w:val="00B15970"/>
    <w:rsid w:val="00B15AD0"/>
    <w:rsid w:val="00B15EDB"/>
    <w:rsid w:val="00B16100"/>
    <w:rsid w:val="00B161D3"/>
    <w:rsid w:val="00B1621E"/>
    <w:rsid w:val="00B16335"/>
    <w:rsid w:val="00B16638"/>
    <w:rsid w:val="00B16821"/>
    <w:rsid w:val="00B178DD"/>
    <w:rsid w:val="00B17915"/>
    <w:rsid w:val="00B17A67"/>
    <w:rsid w:val="00B17CB9"/>
    <w:rsid w:val="00B17FB6"/>
    <w:rsid w:val="00B204D6"/>
    <w:rsid w:val="00B2060C"/>
    <w:rsid w:val="00B2072F"/>
    <w:rsid w:val="00B20986"/>
    <w:rsid w:val="00B20EE7"/>
    <w:rsid w:val="00B20FAE"/>
    <w:rsid w:val="00B211F3"/>
    <w:rsid w:val="00B21308"/>
    <w:rsid w:val="00B214B9"/>
    <w:rsid w:val="00B21B40"/>
    <w:rsid w:val="00B21D7F"/>
    <w:rsid w:val="00B225D0"/>
    <w:rsid w:val="00B2361A"/>
    <w:rsid w:val="00B236A1"/>
    <w:rsid w:val="00B23B33"/>
    <w:rsid w:val="00B23BEC"/>
    <w:rsid w:val="00B23C92"/>
    <w:rsid w:val="00B23CC1"/>
    <w:rsid w:val="00B24178"/>
    <w:rsid w:val="00B2425C"/>
    <w:rsid w:val="00B243CF"/>
    <w:rsid w:val="00B243EA"/>
    <w:rsid w:val="00B24AD2"/>
    <w:rsid w:val="00B24C4A"/>
    <w:rsid w:val="00B25A5E"/>
    <w:rsid w:val="00B260D0"/>
    <w:rsid w:val="00B26A0D"/>
    <w:rsid w:val="00B26C94"/>
    <w:rsid w:val="00B26E77"/>
    <w:rsid w:val="00B26F98"/>
    <w:rsid w:val="00B27778"/>
    <w:rsid w:val="00B27A8E"/>
    <w:rsid w:val="00B3014A"/>
    <w:rsid w:val="00B30A04"/>
    <w:rsid w:val="00B30E6B"/>
    <w:rsid w:val="00B30F72"/>
    <w:rsid w:val="00B31A6E"/>
    <w:rsid w:val="00B31B38"/>
    <w:rsid w:val="00B32443"/>
    <w:rsid w:val="00B329C2"/>
    <w:rsid w:val="00B32A7F"/>
    <w:rsid w:val="00B33231"/>
    <w:rsid w:val="00B338C5"/>
    <w:rsid w:val="00B33BF5"/>
    <w:rsid w:val="00B33C04"/>
    <w:rsid w:val="00B3447D"/>
    <w:rsid w:val="00B348E6"/>
    <w:rsid w:val="00B34A41"/>
    <w:rsid w:val="00B34A81"/>
    <w:rsid w:val="00B34C5B"/>
    <w:rsid w:val="00B34E44"/>
    <w:rsid w:val="00B352D6"/>
    <w:rsid w:val="00B35718"/>
    <w:rsid w:val="00B35CD3"/>
    <w:rsid w:val="00B367B7"/>
    <w:rsid w:val="00B367C2"/>
    <w:rsid w:val="00B37053"/>
    <w:rsid w:val="00B3720D"/>
    <w:rsid w:val="00B373CD"/>
    <w:rsid w:val="00B377A1"/>
    <w:rsid w:val="00B37A15"/>
    <w:rsid w:val="00B37C82"/>
    <w:rsid w:val="00B4014A"/>
    <w:rsid w:val="00B40CC2"/>
    <w:rsid w:val="00B414CC"/>
    <w:rsid w:val="00B417EE"/>
    <w:rsid w:val="00B41966"/>
    <w:rsid w:val="00B42386"/>
    <w:rsid w:val="00B425EB"/>
    <w:rsid w:val="00B428DA"/>
    <w:rsid w:val="00B43D76"/>
    <w:rsid w:val="00B43D9D"/>
    <w:rsid w:val="00B45313"/>
    <w:rsid w:val="00B460FC"/>
    <w:rsid w:val="00B4660C"/>
    <w:rsid w:val="00B4668E"/>
    <w:rsid w:val="00B46A56"/>
    <w:rsid w:val="00B46BFA"/>
    <w:rsid w:val="00B46FF2"/>
    <w:rsid w:val="00B47C84"/>
    <w:rsid w:val="00B5002E"/>
    <w:rsid w:val="00B50318"/>
    <w:rsid w:val="00B503C2"/>
    <w:rsid w:val="00B506D0"/>
    <w:rsid w:val="00B50B76"/>
    <w:rsid w:val="00B50F1B"/>
    <w:rsid w:val="00B51132"/>
    <w:rsid w:val="00B51309"/>
    <w:rsid w:val="00B51655"/>
    <w:rsid w:val="00B51A40"/>
    <w:rsid w:val="00B51B9D"/>
    <w:rsid w:val="00B522EF"/>
    <w:rsid w:val="00B52E6C"/>
    <w:rsid w:val="00B531A0"/>
    <w:rsid w:val="00B533BE"/>
    <w:rsid w:val="00B534FD"/>
    <w:rsid w:val="00B53543"/>
    <w:rsid w:val="00B5356C"/>
    <w:rsid w:val="00B53B72"/>
    <w:rsid w:val="00B53D67"/>
    <w:rsid w:val="00B53EF8"/>
    <w:rsid w:val="00B540B9"/>
    <w:rsid w:val="00B54F66"/>
    <w:rsid w:val="00B551FF"/>
    <w:rsid w:val="00B5550D"/>
    <w:rsid w:val="00B5571D"/>
    <w:rsid w:val="00B55A77"/>
    <w:rsid w:val="00B55BF5"/>
    <w:rsid w:val="00B568A2"/>
    <w:rsid w:val="00B56D8C"/>
    <w:rsid w:val="00B57906"/>
    <w:rsid w:val="00B579EA"/>
    <w:rsid w:val="00B57A3B"/>
    <w:rsid w:val="00B60F6F"/>
    <w:rsid w:val="00B6173A"/>
    <w:rsid w:val="00B619B8"/>
    <w:rsid w:val="00B61CD4"/>
    <w:rsid w:val="00B62417"/>
    <w:rsid w:val="00B62FEA"/>
    <w:rsid w:val="00B63B02"/>
    <w:rsid w:val="00B64FA6"/>
    <w:rsid w:val="00B653DB"/>
    <w:rsid w:val="00B65424"/>
    <w:rsid w:val="00B655D9"/>
    <w:rsid w:val="00B658AF"/>
    <w:rsid w:val="00B65B3B"/>
    <w:rsid w:val="00B66057"/>
    <w:rsid w:val="00B665CB"/>
    <w:rsid w:val="00B66FE6"/>
    <w:rsid w:val="00B67759"/>
    <w:rsid w:val="00B67884"/>
    <w:rsid w:val="00B67920"/>
    <w:rsid w:val="00B67BE8"/>
    <w:rsid w:val="00B67E09"/>
    <w:rsid w:val="00B7089D"/>
    <w:rsid w:val="00B70A66"/>
    <w:rsid w:val="00B70D53"/>
    <w:rsid w:val="00B70D8A"/>
    <w:rsid w:val="00B71A49"/>
    <w:rsid w:val="00B71CC9"/>
    <w:rsid w:val="00B7202C"/>
    <w:rsid w:val="00B72505"/>
    <w:rsid w:val="00B7282A"/>
    <w:rsid w:val="00B729F6"/>
    <w:rsid w:val="00B72AB0"/>
    <w:rsid w:val="00B72DA3"/>
    <w:rsid w:val="00B73020"/>
    <w:rsid w:val="00B73369"/>
    <w:rsid w:val="00B7351D"/>
    <w:rsid w:val="00B73B04"/>
    <w:rsid w:val="00B74080"/>
    <w:rsid w:val="00B740B4"/>
    <w:rsid w:val="00B741ED"/>
    <w:rsid w:val="00B75392"/>
    <w:rsid w:val="00B75570"/>
    <w:rsid w:val="00B76271"/>
    <w:rsid w:val="00B764D5"/>
    <w:rsid w:val="00B7671D"/>
    <w:rsid w:val="00B76933"/>
    <w:rsid w:val="00B76D16"/>
    <w:rsid w:val="00B76E1E"/>
    <w:rsid w:val="00B77134"/>
    <w:rsid w:val="00B77A11"/>
    <w:rsid w:val="00B77BF2"/>
    <w:rsid w:val="00B77D13"/>
    <w:rsid w:val="00B77D69"/>
    <w:rsid w:val="00B77E2D"/>
    <w:rsid w:val="00B8020C"/>
    <w:rsid w:val="00B8025F"/>
    <w:rsid w:val="00B807E8"/>
    <w:rsid w:val="00B80FB2"/>
    <w:rsid w:val="00B81942"/>
    <w:rsid w:val="00B81A1E"/>
    <w:rsid w:val="00B81B93"/>
    <w:rsid w:val="00B81E92"/>
    <w:rsid w:val="00B826DF"/>
    <w:rsid w:val="00B82BF1"/>
    <w:rsid w:val="00B82DBE"/>
    <w:rsid w:val="00B82DD1"/>
    <w:rsid w:val="00B831D5"/>
    <w:rsid w:val="00B83584"/>
    <w:rsid w:val="00B836F6"/>
    <w:rsid w:val="00B83EFE"/>
    <w:rsid w:val="00B8425C"/>
    <w:rsid w:val="00B85585"/>
    <w:rsid w:val="00B85977"/>
    <w:rsid w:val="00B85B96"/>
    <w:rsid w:val="00B86B05"/>
    <w:rsid w:val="00B86D55"/>
    <w:rsid w:val="00B878A5"/>
    <w:rsid w:val="00B87DE0"/>
    <w:rsid w:val="00B87F77"/>
    <w:rsid w:val="00B900AF"/>
    <w:rsid w:val="00B90384"/>
    <w:rsid w:val="00B9073F"/>
    <w:rsid w:val="00B90A55"/>
    <w:rsid w:val="00B90FB3"/>
    <w:rsid w:val="00B90FB4"/>
    <w:rsid w:val="00B9147C"/>
    <w:rsid w:val="00B914C3"/>
    <w:rsid w:val="00B91884"/>
    <w:rsid w:val="00B91FE9"/>
    <w:rsid w:val="00B9216B"/>
    <w:rsid w:val="00B92304"/>
    <w:rsid w:val="00B928C8"/>
    <w:rsid w:val="00B92C93"/>
    <w:rsid w:val="00B930DF"/>
    <w:rsid w:val="00B931D7"/>
    <w:rsid w:val="00B93330"/>
    <w:rsid w:val="00B935A7"/>
    <w:rsid w:val="00B9444C"/>
    <w:rsid w:val="00B94905"/>
    <w:rsid w:val="00B95136"/>
    <w:rsid w:val="00B955DD"/>
    <w:rsid w:val="00B96641"/>
    <w:rsid w:val="00B96D70"/>
    <w:rsid w:val="00B96DB7"/>
    <w:rsid w:val="00B96E18"/>
    <w:rsid w:val="00B9719E"/>
    <w:rsid w:val="00B97918"/>
    <w:rsid w:val="00B9791D"/>
    <w:rsid w:val="00BA07EF"/>
    <w:rsid w:val="00BA0E29"/>
    <w:rsid w:val="00BA0E88"/>
    <w:rsid w:val="00BA144C"/>
    <w:rsid w:val="00BA1561"/>
    <w:rsid w:val="00BA3459"/>
    <w:rsid w:val="00BA34B6"/>
    <w:rsid w:val="00BA3BA5"/>
    <w:rsid w:val="00BA428E"/>
    <w:rsid w:val="00BA4403"/>
    <w:rsid w:val="00BA4858"/>
    <w:rsid w:val="00BA49AA"/>
    <w:rsid w:val="00BA4ABE"/>
    <w:rsid w:val="00BA4F41"/>
    <w:rsid w:val="00BA54F7"/>
    <w:rsid w:val="00BA5573"/>
    <w:rsid w:val="00BA55EA"/>
    <w:rsid w:val="00BA5A57"/>
    <w:rsid w:val="00BA5FBF"/>
    <w:rsid w:val="00BA62BE"/>
    <w:rsid w:val="00BA64BE"/>
    <w:rsid w:val="00BA7FCE"/>
    <w:rsid w:val="00BB0876"/>
    <w:rsid w:val="00BB099E"/>
    <w:rsid w:val="00BB0E04"/>
    <w:rsid w:val="00BB0E3D"/>
    <w:rsid w:val="00BB0EB6"/>
    <w:rsid w:val="00BB1C2D"/>
    <w:rsid w:val="00BB1D85"/>
    <w:rsid w:val="00BB24AC"/>
    <w:rsid w:val="00BB2820"/>
    <w:rsid w:val="00BB3234"/>
    <w:rsid w:val="00BB3353"/>
    <w:rsid w:val="00BB355E"/>
    <w:rsid w:val="00BB3B8C"/>
    <w:rsid w:val="00BB4F20"/>
    <w:rsid w:val="00BB501E"/>
    <w:rsid w:val="00BB515C"/>
    <w:rsid w:val="00BB5B8A"/>
    <w:rsid w:val="00BB639B"/>
    <w:rsid w:val="00BB6545"/>
    <w:rsid w:val="00BB7058"/>
    <w:rsid w:val="00BB750D"/>
    <w:rsid w:val="00BB7971"/>
    <w:rsid w:val="00BC0100"/>
    <w:rsid w:val="00BC06DB"/>
    <w:rsid w:val="00BC08FD"/>
    <w:rsid w:val="00BC0E1F"/>
    <w:rsid w:val="00BC1122"/>
    <w:rsid w:val="00BC1E60"/>
    <w:rsid w:val="00BC20F4"/>
    <w:rsid w:val="00BC25CA"/>
    <w:rsid w:val="00BC28C8"/>
    <w:rsid w:val="00BC28E5"/>
    <w:rsid w:val="00BC2925"/>
    <w:rsid w:val="00BC3043"/>
    <w:rsid w:val="00BC30FE"/>
    <w:rsid w:val="00BC36DB"/>
    <w:rsid w:val="00BC3716"/>
    <w:rsid w:val="00BC3BFA"/>
    <w:rsid w:val="00BC4014"/>
    <w:rsid w:val="00BC401B"/>
    <w:rsid w:val="00BC4416"/>
    <w:rsid w:val="00BC5296"/>
    <w:rsid w:val="00BC5383"/>
    <w:rsid w:val="00BC5539"/>
    <w:rsid w:val="00BC559D"/>
    <w:rsid w:val="00BC5B0E"/>
    <w:rsid w:val="00BC5D5F"/>
    <w:rsid w:val="00BC659D"/>
    <w:rsid w:val="00BC75AA"/>
    <w:rsid w:val="00BC793E"/>
    <w:rsid w:val="00BC7DEC"/>
    <w:rsid w:val="00BD0076"/>
    <w:rsid w:val="00BD09AF"/>
    <w:rsid w:val="00BD0D26"/>
    <w:rsid w:val="00BD0DE0"/>
    <w:rsid w:val="00BD0F05"/>
    <w:rsid w:val="00BD0F2A"/>
    <w:rsid w:val="00BD1844"/>
    <w:rsid w:val="00BD19DB"/>
    <w:rsid w:val="00BD19DE"/>
    <w:rsid w:val="00BD1A84"/>
    <w:rsid w:val="00BD1C74"/>
    <w:rsid w:val="00BD1C98"/>
    <w:rsid w:val="00BD2374"/>
    <w:rsid w:val="00BD2431"/>
    <w:rsid w:val="00BD24AA"/>
    <w:rsid w:val="00BD2CCD"/>
    <w:rsid w:val="00BD3186"/>
    <w:rsid w:val="00BD379A"/>
    <w:rsid w:val="00BD3E76"/>
    <w:rsid w:val="00BD4024"/>
    <w:rsid w:val="00BD4138"/>
    <w:rsid w:val="00BD42C4"/>
    <w:rsid w:val="00BD44D1"/>
    <w:rsid w:val="00BD472B"/>
    <w:rsid w:val="00BD500D"/>
    <w:rsid w:val="00BD682A"/>
    <w:rsid w:val="00BD6BA5"/>
    <w:rsid w:val="00BD6DDE"/>
    <w:rsid w:val="00BD72AB"/>
    <w:rsid w:val="00BD76E7"/>
    <w:rsid w:val="00BD7C50"/>
    <w:rsid w:val="00BD7C84"/>
    <w:rsid w:val="00BD7D15"/>
    <w:rsid w:val="00BE0506"/>
    <w:rsid w:val="00BE0B32"/>
    <w:rsid w:val="00BE0D38"/>
    <w:rsid w:val="00BE11F1"/>
    <w:rsid w:val="00BE15C5"/>
    <w:rsid w:val="00BE168D"/>
    <w:rsid w:val="00BE1A7A"/>
    <w:rsid w:val="00BE257D"/>
    <w:rsid w:val="00BE2726"/>
    <w:rsid w:val="00BE2D7E"/>
    <w:rsid w:val="00BE303D"/>
    <w:rsid w:val="00BE35CC"/>
    <w:rsid w:val="00BE3946"/>
    <w:rsid w:val="00BE3E65"/>
    <w:rsid w:val="00BE42FA"/>
    <w:rsid w:val="00BE4658"/>
    <w:rsid w:val="00BE46E1"/>
    <w:rsid w:val="00BE4778"/>
    <w:rsid w:val="00BE4BF5"/>
    <w:rsid w:val="00BE521E"/>
    <w:rsid w:val="00BE54A4"/>
    <w:rsid w:val="00BE563F"/>
    <w:rsid w:val="00BE5FB2"/>
    <w:rsid w:val="00BE6965"/>
    <w:rsid w:val="00BE69FD"/>
    <w:rsid w:val="00BE6CDD"/>
    <w:rsid w:val="00BE6FAA"/>
    <w:rsid w:val="00BE7026"/>
    <w:rsid w:val="00BE7275"/>
    <w:rsid w:val="00BE72AA"/>
    <w:rsid w:val="00BE741F"/>
    <w:rsid w:val="00BE7492"/>
    <w:rsid w:val="00BE7A0A"/>
    <w:rsid w:val="00BE7CB0"/>
    <w:rsid w:val="00BE7D15"/>
    <w:rsid w:val="00BF0B1B"/>
    <w:rsid w:val="00BF0C60"/>
    <w:rsid w:val="00BF0FA3"/>
    <w:rsid w:val="00BF1038"/>
    <w:rsid w:val="00BF16BF"/>
    <w:rsid w:val="00BF16C1"/>
    <w:rsid w:val="00BF1C95"/>
    <w:rsid w:val="00BF1D71"/>
    <w:rsid w:val="00BF21F7"/>
    <w:rsid w:val="00BF23F6"/>
    <w:rsid w:val="00BF2EB6"/>
    <w:rsid w:val="00BF325B"/>
    <w:rsid w:val="00BF325F"/>
    <w:rsid w:val="00BF3376"/>
    <w:rsid w:val="00BF3433"/>
    <w:rsid w:val="00BF382C"/>
    <w:rsid w:val="00BF3838"/>
    <w:rsid w:val="00BF3A58"/>
    <w:rsid w:val="00BF3AF0"/>
    <w:rsid w:val="00BF42B6"/>
    <w:rsid w:val="00BF433C"/>
    <w:rsid w:val="00BF483F"/>
    <w:rsid w:val="00BF4860"/>
    <w:rsid w:val="00BF52D3"/>
    <w:rsid w:val="00BF55C9"/>
    <w:rsid w:val="00BF622F"/>
    <w:rsid w:val="00BF6388"/>
    <w:rsid w:val="00C00614"/>
    <w:rsid w:val="00C00968"/>
    <w:rsid w:val="00C00E1E"/>
    <w:rsid w:val="00C00FBF"/>
    <w:rsid w:val="00C010CA"/>
    <w:rsid w:val="00C02149"/>
    <w:rsid w:val="00C0252F"/>
    <w:rsid w:val="00C02591"/>
    <w:rsid w:val="00C028C9"/>
    <w:rsid w:val="00C03210"/>
    <w:rsid w:val="00C0336C"/>
    <w:rsid w:val="00C03819"/>
    <w:rsid w:val="00C03B3C"/>
    <w:rsid w:val="00C03D7C"/>
    <w:rsid w:val="00C03DB6"/>
    <w:rsid w:val="00C03F2D"/>
    <w:rsid w:val="00C04303"/>
    <w:rsid w:val="00C04545"/>
    <w:rsid w:val="00C04550"/>
    <w:rsid w:val="00C0486D"/>
    <w:rsid w:val="00C0489E"/>
    <w:rsid w:val="00C04D49"/>
    <w:rsid w:val="00C04FD9"/>
    <w:rsid w:val="00C05015"/>
    <w:rsid w:val="00C05ADF"/>
    <w:rsid w:val="00C05ECE"/>
    <w:rsid w:val="00C06913"/>
    <w:rsid w:val="00C06AB7"/>
    <w:rsid w:val="00C06C3D"/>
    <w:rsid w:val="00C06D43"/>
    <w:rsid w:val="00C06DFA"/>
    <w:rsid w:val="00C07107"/>
    <w:rsid w:val="00C07441"/>
    <w:rsid w:val="00C102FF"/>
    <w:rsid w:val="00C1060B"/>
    <w:rsid w:val="00C1132F"/>
    <w:rsid w:val="00C1187D"/>
    <w:rsid w:val="00C118AC"/>
    <w:rsid w:val="00C11BF2"/>
    <w:rsid w:val="00C120A0"/>
    <w:rsid w:val="00C12210"/>
    <w:rsid w:val="00C12445"/>
    <w:rsid w:val="00C127BD"/>
    <w:rsid w:val="00C12894"/>
    <w:rsid w:val="00C12D35"/>
    <w:rsid w:val="00C12E66"/>
    <w:rsid w:val="00C1310F"/>
    <w:rsid w:val="00C1366F"/>
    <w:rsid w:val="00C13E9F"/>
    <w:rsid w:val="00C14021"/>
    <w:rsid w:val="00C14251"/>
    <w:rsid w:val="00C1463F"/>
    <w:rsid w:val="00C146E5"/>
    <w:rsid w:val="00C1489F"/>
    <w:rsid w:val="00C14BB7"/>
    <w:rsid w:val="00C15088"/>
    <w:rsid w:val="00C15190"/>
    <w:rsid w:val="00C156E4"/>
    <w:rsid w:val="00C1579A"/>
    <w:rsid w:val="00C1647D"/>
    <w:rsid w:val="00C164DA"/>
    <w:rsid w:val="00C1652D"/>
    <w:rsid w:val="00C16F28"/>
    <w:rsid w:val="00C1719A"/>
    <w:rsid w:val="00C1733A"/>
    <w:rsid w:val="00C179E1"/>
    <w:rsid w:val="00C17A24"/>
    <w:rsid w:val="00C20B49"/>
    <w:rsid w:val="00C20E38"/>
    <w:rsid w:val="00C20F02"/>
    <w:rsid w:val="00C2109A"/>
    <w:rsid w:val="00C217A1"/>
    <w:rsid w:val="00C21E2B"/>
    <w:rsid w:val="00C2228F"/>
    <w:rsid w:val="00C233A6"/>
    <w:rsid w:val="00C23606"/>
    <w:rsid w:val="00C23DCD"/>
    <w:rsid w:val="00C23F78"/>
    <w:rsid w:val="00C24092"/>
    <w:rsid w:val="00C24199"/>
    <w:rsid w:val="00C2473E"/>
    <w:rsid w:val="00C247B0"/>
    <w:rsid w:val="00C248DD"/>
    <w:rsid w:val="00C26561"/>
    <w:rsid w:val="00C2695F"/>
    <w:rsid w:val="00C26A41"/>
    <w:rsid w:val="00C26FA0"/>
    <w:rsid w:val="00C27426"/>
    <w:rsid w:val="00C278BF"/>
    <w:rsid w:val="00C27B03"/>
    <w:rsid w:val="00C27D3C"/>
    <w:rsid w:val="00C27F6E"/>
    <w:rsid w:val="00C30233"/>
    <w:rsid w:val="00C303AC"/>
    <w:rsid w:val="00C30639"/>
    <w:rsid w:val="00C30AE8"/>
    <w:rsid w:val="00C310C8"/>
    <w:rsid w:val="00C313B7"/>
    <w:rsid w:val="00C31552"/>
    <w:rsid w:val="00C315D3"/>
    <w:rsid w:val="00C319BD"/>
    <w:rsid w:val="00C319BF"/>
    <w:rsid w:val="00C31F6A"/>
    <w:rsid w:val="00C322C9"/>
    <w:rsid w:val="00C32C5D"/>
    <w:rsid w:val="00C32D46"/>
    <w:rsid w:val="00C332DC"/>
    <w:rsid w:val="00C339C5"/>
    <w:rsid w:val="00C34506"/>
    <w:rsid w:val="00C347FA"/>
    <w:rsid w:val="00C348D5"/>
    <w:rsid w:val="00C34A8D"/>
    <w:rsid w:val="00C34E1B"/>
    <w:rsid w:val="00C34ECC"/>
    <w:rsid w:val="00C34EF4"/>
    <w:rsid w:val="00C35451"/>
    <w:rsid w:val="00C35500"/>
    <w:rsid w:val="00C355B6"/>
    <w:rsid w:val="00C35863"/>
    <w:rsid w:val="00C35C98"/>
    <w:rsid w:val="00C35CDD"/>
    <w:rsid w:val="00C35E54"/>
    <w:rsid w:val="00C36028"/>
    <w:rsid w:val="00C36356"/>
    <w:rsid w:val="00C3639E"/>
    <w:rsid w:val="00C364AF"/>
    <w:rsid w:val="00C366E6"/>
    <w:rsid w:val="00C36BDA"/>
    <w:rsid w:val="00C36D02"/>
    <w:rsid w:val="00C36E0F"/>
    <w:rsid w:val="00C36E8A"/>
    <w:rsid w:val="00C370E4"/>
    <w:rsid w:val="00C379C3"/>
    <w:rsid w:val="00C37A1D"/>
    <w:rsid w:val="00C37E0E"/>
    <w:rsid w:val="00C402BF"/>
    <w:rsid w:val="00C40F9D"/>
    <w:rsid w:val="00C413C4"/>
    <w:rsid w:val="00C41653"/>
    <w:rsid w:val="00C416CC"/>
    <w:rsid w:val="00C41997"/>
    <w:rsid w:val="00C41E2A"/>
    <w:rsid w:val="00C41F42"/>
    <w:rsid w:val="00C42091"/>
    <w:rsid w:val="00C429B9"/>
    <w:rsid w:val="00C4337D"/>
    <w:rsid w:val="00C435B0"/>
    <w:rsid w:val="00C43B91"/>
    <w:rsid w:val="00C43FAC"/>
    <w:rsid w:val="00C442D3"/>
    <w:rsid w:val="00C4462D"/>
    <w:rsid w:val="00C44CA0"/>
    <w:rsid w:val="00C44F13"/>
    <w:rsid w:val="00C44F17"/>
    <w:rsid w:val="00C44F35"/>
    <w:rsid w:val="00C4588A"/>
    <w:rsid w:val="00C45BF3"/>
    <w:rsid w:val="00C47076"/>
    <w:rsid w:val="00C47079"/>
    <w:rsid w:val="00C4721F"/>
    <w:rsid w:val="00C47364"/>
    <w:rsid w:val="00C479D1"/>
    <w:rsid w:val="00C5003F"/>
    <w:rsid w:val="00C5026F"/>
    <w:rsid w:val="00C503FA"/>
    <w:rsid w:val="00C504B7"/>
    <w:rsid w:val="00C506EE"/>
    <w:rsid w:val="00C5087E"/>
    <w:rsid w:val="00C51654"/>
    <w:rsid w:val="00C51A05"/>
    <w:rsid w:val="00C52342"/>
    <w:rsid w:val="00C52954"/>
    <w:rsid w:val="00C5357D"/>
    <w:rsid w:val="00C539C8"/>
    <w:rsid w:val="00C53A90"/>
    <w:rsid w:val="00C53FE3"/>
    <w:rsid w:val="00C541AA"/>
    <w:rsid w:val="00C54422"/>
    <w:rsid w:val="00C55826"/>
    <w:rsid w:val="00C55F68"/>
    <w:rsid w:val="00C560AC"/>
    <w:rsid w:val="00C57151"/>
    <w:rsid w:val="00C57630"/>
    <w:rsid w:val="00C5771E"/>
    <w:rsid w:val="00C57C00"/>
    <w:rsid w:val="00C57F17"/>
    <w:rsid w:val="00C60409"/>
    <w:rsid w:val="00C60613"/>
    <w:rsid w:val="00C6071A"/>
    <w:rsid w:val="00C60A74"/>
    <w:rsid w:val="00C60CA7"/>
    <w:rsid w:val="00C60FFC"/>
    <w:rsid w:val="00C611DB"/>
    <w:rsid w:val="00C61315"/>
    <w:rsid w:val="00C61427"/>
    <w:rsid w:val="00C615A4"/>
    <w:rsid w:val="00C61912"/>
    <w:rsid w:val="00C61E48"/>
    <w:rsid w:val="00C620C3"/>
    <w:rsid w:val="00C62349"/>
    <w:rsid w:val="00C6235D"/>
    <w:rsid w:val="00C6236A"/>
    <w:rsid w:val="00C6282C"/>
    <w:rsid w:val="00C6299F"/>
    <w:rsid w:val="00C629AE"/>
    <w:rsid w:val="00C62BBD"/>
    <w:rsid w:val="00C6336C"/>
    <w:rsid w:val="00C639F7"/>
    <w:rsid w:val="00C63A36"/>
    <w:rsid w:val="00C63BC1"/>
    <w:rsid w:val="00C63E47"/>
    <w:rsid w:val="00C63EAB"/>
    <w:rsid w:val="00C641B8"/>
    <w:rsid w:val="00C64869"/>
    <w:rsid w:val="00C649BD"/>
    <w:rsid w:val="00C64A1C"/>
    <w:rsid w:val="00C64B5B"/>
    <w:rsid w:val="00C64E46"/>
    <w:rsid w:val="00C6520E"/>
    <w:rsid w:val="00C652D8"/>
    <w:rsid w:val="00C65589"/>
    <w:rsid w:val="00C658E9"/>
    <w:rsid w:val="00C65B3B"/>
    <w:rsid w:val="00C65B8E"/>
    <w:rsid w:val="00C65CC6"/>
    <w:rsid w:val="00C65F74"/>
    <w:rsid w:val="00C660CD"/>
    <w:rsid w:val="00C66168"/>
    <w:rsid w:val="00C663F2"/>
    <w:rsid w:val="00C664B3"/>
    <w:rsid w:val="00C6688B"/>
    <w:rsid w:val="00C66944"/>
    <w:rsid w:val="00C6698C"/>
    <w:rsid w:val="00C66AD9"/>
    <w:rsid w:val="00C66BCF"/>
    <w:rsid w:val="00C6759A"/>
    <w:rsid w:val="00C677C3"/>
    <w:rsid w:val="00C677EF"/>
    <w:rsid w:val="00C6784C"/>
    <w:rsid w:val="00C67DD4"/>
    <w:rsid w:val="00C67FD8"/>
    <w:rsid w:val="00C701E0"/>
    <w:rsid w:val="00C70262"/>
    <w:rsid w:val="00C70558"/>
    <w:rsid w:val="00C70BCD"/>
    <w:rsid w:val="00C70DD4"/>
    <w:rsid w:val="00C71771"/>
    <w:rsid w:val="00C71BB5"/>
    <w:rsid w:val="00C71D41"/>
    <w:rsid w:val="00C71EAD"/>
    <w:rsid w:val="00C723CE"/>
    <w:rsid w:val="00C72600"/>
    <w:rsid w:val="00C7260B"/>
    <w:rsid w:val="00C727D4"/>
    <w:rsid w:val="00C73138"/>
    <w:rsid w:val="00C7322C"/>
    <w:rsid w:val="00C735DA"/>
    <w:rsid w:val="00C73C16"/>
    <w:rsid w:val="00C742E9"/>
    <w:rsid w:val="00C74F4D"/>
    <w:rsid w:val="00C75019"/>
    <w:rsid w:val="00C75242"/>
    <w:rsid w:val="00C753B8"/>
    <w:rsid w:val="00C75C42"/>
    <w:rsid w:val="00C75F22"/>
    <w:rsid w:val="00C7649A"/>
    <w:rsid w:val="00C767F3"/>
    <w:rsid w:val="00C7721A"/>
    <w:rsid w:val="00C77C76"/>
    <w:rsid w:val="00C77DB0"/>
    <w:rsid w:val="00C77EA3"/>
    <w:rsid w:val="00C8066D"/>
    <w:rsid w:val="00C80674"/>
    <w:rsid w:val="00C80BA3"/>
    <w:rsid w:val="00C80C74"/>
    <w:rsid w:val="00C80CBA"/>
    <w:rsid w:val="00C80CDA"/>
    <w:rsid w:val="00C80DFD"/>
    <w:rsid w:val="00C8105C"/>
    <w:rsid w:val="00C81431"/>
    <w:rsid w:val="00C8186A"/>
    <w:rsid w:val="00C820ED"/>
    <w:rsid w:val="00C82DC1"/>
    <w:rsid w:val="00C82F71"/>
    <w:rsid w:val="00C83531"/>
    <w:rsid w:val="00C835E1"/>
    <w:rsid w:val="00C83D2A"/>
    <w:rsid w:val="00C84194"/>
    <w:rsid w:val="00C84660"/>
    <w:rsid w:val="00C848BF"/>
    <w:rsid w:val="00C848F1"/>
    <w:rsid w:val="00C8498B"/>
    <w:rsid w:val="00C84F7F"/>
    <w:rsid w:val="00C85B45"/>
    <w:rsid w:val="00C86018"/>
    <w:rsid w:val="00C86025"/>
    <w:rsid w:val="00C86587"/>
    <w:rsid w:val="00C869D1"/>
    <w:rsid w:val="00C86FE1"/>
    <w:rsid w:val="00C87D0E"/>
    <w:rsid w:val="00C90077"/>
    <w:rsid w:val="00C90292"/>
    <w:rsid w:val="00C90439"/>
    <w:rsid w:val="00C904C9"/>
    <w:rsid w:val="00C90A44"/>
    <w:rsid w:val="00C90B6B"/>
    <w:rsid w:val="00C90BB6"/>
    <w:rsid w:val="00C90C33"/>
    <w:rsid w:val="00C90D4A"/>
    <w:rsid w:val="00C91512"/>
    <w:rsid w:val="00C915DE"/>
    <w:rsid w:val="00C92692"/>
    <w:rsid w:val="00C92CBC"/>
    <w:rsid w:val="00C93048"/>
    <w:rsid w:val="00C930A1"/>
    <w:rsid w:val="00C932F8"/>
    <w:rsid w:val="00C9337E"/>
    <w:rsid w:val="00C93620"/>
    <w:rsid w:val="00C93A09"/>
    <w:rsid w:val="00C93C59"/>
    <w:rsid w:val="00C93F52"/>
    <w:rsid w:val="00C93FF2"/>
    <w:rsid w:val="00C945B5"/>
    <w:rsid w:val="00C94BBA"/>
    <w:rsid w:val="00C94C56"/>
    <w:rsid w:val="00C94D8A"/>
    <w:rsid w:val="00C94E52"/>
    <w:rsid w:val="00C94F49"/>
    <w:rsid w:val="00C952AD"/>
    <w:rsid w:val="00C95390"/>
    <w:rsid w:val="00C95838"/>
    <w:rsid w:val="00C958BA"/>
    <w:rsid w:val="00C961F1"/>
    <w:rsid w:val="00C96AB6"/>
    <w:rsid w:val="00C96CCB"/>
    <w:rsid w:val="00C970AE"/>
    <w:rsid w:val="00C9734D"/>
    <w:rsid w:val="00C974FB"/>
    <w:rsid w:val="00C97544"/>
    <w:rsid w:val="00C97CD5"/>
    <w:rsid w:val="00C97EA4"/>
    <w:rsid w:val="00CA005D"/>
    <w:rsid w:val="00CA0204"/>
    <w:rsid w:val="00CA03E4"/>
    <w:rsid w:val="00CA0693"/>
    <w:rsid w:val="00CA071C"/>
    <w:rsid w:val="00CA0861"/>
    <w:rsid w:val="00CA10D3"/>
    <w:rsid w:val="00CA1953"/>
    <w:rsid w:val="00CA1E22"/>
    <w:rsid w:val="00CA26F4"/>
    <w:rsid w:val="00CA2E11"/>
    <w:rsid w:val="00CA33E1"/>
    <w:rsid w:val="00CA34BB"/>
    <w:rsid w:val="00CA361A"/>
    <w:rsid w:val="00CA3929"/>
    <w:rsid w:val="00CA3BFE"/>
    <w:rsid w:val="00CA4979"/>
    <w:rsid w:val="00CA4FEA"/>
    <w:rsid w:val="00CA56A9"/>
    <w:rsid w:val="00CA5ECA"/>
    <w:rsid w:val="00CA5F1E"/>
    <w:rsid w:val="00CA603E"/>
    <w:rsid w:val="00CA6331"/>
    <w:rsid w:val="00CA6564"/>
    <w:rsid w:val="00CA7394"/>
    <w:rsid w:val="00CA791F"/>
    <w:rsid w:val="00CA7AAF"/>
    <w:rsid w:val="00CA7B29"/>
    <w:rsid w:val="00CB015E"/>
    <w:rsid w:val="00CB0EC2"/>
    <w:rsid w:val="00CB24F9"/>
    <w:rsid w:val="00CB2CA2"/>
    <w:rsid w:val="00CB2D24"/>
    <w:rsid w:val="00CB3735"/>
    <w:rsid w:val="00CB3DB3"/>
    <w:rsid w:val="00CB400E"/>
    <w:rsid w:val="00CB42BC"/>
    <w:rsid w:val="00CB4636"/>
    <w:rsid w:val="00CB466B"/>
    <w:rsid w:val="00CB4DCA"/>
    <w:rsid w:val="00CB4E9E"/>
    <w:rsid w:val="00CB56A2"/>
    <w:rsid w:val="00CB5BFE"/>
    <w:rsid w:val="00CB5E1D"/>
    <w:rsid w:val="00CB6082"/>
    <w:rsid w:val="00CB60EA"/>
    <w:rsid w:val="00CB6202"/>
    <w:rsid w:val="00CB6861"/>
    <w:rsid w:val="00CB6FFD"/>
    <w:rsid w:val="00CB723E"/>
    <w:rsid w:val="00CB7B90"/>
    <w:rsid w:val="00CB7D14"/>
    <w:rsid w:val="00CB7D27"/>
    <w:rsid w:val="00CB7F37"/>
    <w:rsid w:val="00CB7FB8"/>
    <w:rsid w:val="00CB7FEF"/>
    <w:rsid w:val="00CC00FD"/>
    <w:rsid w:val="00CC01DF"/>
    <w:rsid w:val="00CC0611"/>
    <w:rsid w:val="00CC067F"/>
    <w:rsid w:val="00CC07BB"/>
    <w:rsid w:val="00CC0FB6"/>
    <w:rsid w:val="00CC1485"/>
    <w:rsid w:val="00CC1602"/>
    <w:rsid w:val="00CC1658"/>
    <w:rsid w:val="00CC1852"/>
    <w:rsid w:val="00CC1D65"/>
    <w:rsid w:val="00CC1DD4"/>
    <w:rsid w:val="00CC2156"/>
    <w:rsid w:val="00CC2BB3"/>
    <w:rsid w:val="00CC39DC"/>
    <w:rsid w:val="00CC3A0F"/>
    <w:rsid w:val="00CC3A57"/>
    <w:rsid w:val="00CC3AD6"/>
    <w:rsid w:val="00CC3AF0"/>
    <w:rsid w:val="00CC3B47"/>
    <w:rsid w:val="00CC4501"/>
    <w:rsid w:val="00CC4A6B"/>
    <w:rsid w:val="00CC4D52"/>
    <w:rsid w:val="00CC5242"/>
    <w:rsid w:val="00CC5F98"/>
    <w:rsid w:val="00CC6AEF"/>
    <w:rsid w:val="00CC6D06"/>
    <w:rsid w:val="00CC72F4"/>
    <w:rsid w:val="00CC770B"/>
    <w:rsid w:val="00CC7AF4"/>
    <w:rsid w:val="00CC7B6A"/>
    <w:rsid w:val="00CC7F39"/>
    <w:rsid w:val="00CD0674"/>
    <w:rsid w:val="00CD0C56"/>
    <w:rsid w:val="00CD0C74"/>
    <w:rsid w:val="00CD1910"/>
    <w:rsid w:val="00CD21A0"/>
    <w:rsid w:val="00CD2808"/>
    <w:rsid w:val="00CD2975"/>
    <w:rsid w:val="00CD2F44"/>
    <w:rsid w:val="00CD313C"/>
    <w:rsid w:val="00CD3542"/>
    <w:rsid w:val="00CD4264"/>
    <w:rsid w:val="00CD44C6"/>
    <w:rsid w:val="00CD46C2"/>
    <w:rsid w:val="00CD4B4D"/>
    <w:rsid w:val="00CD586A"/>
    <w:rsid w:val="00CD5A33"/>
    <w:rsid w:val="00CD5B6F"/>
    <w:rsid w:val="00CD5DAD"/>
    <w:rsid w:val="00CD61D3"/>
    <w:rsid w:val="00CD65D0"/>
    <w:rsid w:val="00CD6618"/>
    <w:rsid w:val="00CD6880"/>
    <w:rsid w:val="00CD6D20"/>
    <w:rsid w:val="00CD742A"/>
    <w:rsid w:val="00CD79E0"/>
    <w:rsid w:val="00CD7ABA"/>
    <w:rsid w:val="00CE0107"/>
    <w:rsid w:val="00CE0E16"/>
    <w:rsid w:val="00CE1128"/>
    <w:rsid w:val="00CE13DE"/>
    <w:rsid w:val="00CE153E"/>
    <w:rsid w:val="00CE17CC"/>
    <w:rsid w:val="00CE187E"/>
    <w:rsid w:val="00CE208F"/>
    <w:rsid w:val="00CE318D"/>
    <w:rsid w:val="00CE324D"/>
    <w:rsid w:val="00CE376E"/>
    <w:rsid w:val="00CE3A66"/>
    <w:rsid w:val="00CE3F22"/>
    <w:rsid w:val="00CE3FFC"/>
    <w:rsid w:val="00CE4009"/>
    <w:rsid w:val="00CE4885"/>
    <w:rsid w:val="00CE48E0"/>
    <w:rsid w:val="00CE5735"/>
    <w:rsid w:val="00CE5805"/>
    <w:rsid w:val="00CE5ABE"/>
    <w:rsid w:val="00CE5D32"/>
    <w:rsid w:val="00CE5D3C"/>
    <w:rsid w:val="00CE6272"/>
    <w:rsid w:val="00CE676C"/>
    <w:rsid w:val="00CE6775"/>
    <w:rsid w:val="00CE67A7"/>
    <w:rsid w:val="00CE6CE0"/>
    <w:rsid w:val="00CE6D49"/>
    <w:rsid w:val="00CE71B8"/>
    <w:rsid w:val="00CE71C9"/>
    <w:rsid w:val="00CE7B11"/>
    <w:rsid w:val="00CF04E3"/>
    <w:rsid w:val="00CF08F8"/>
    <w:rsid w:val="00CF0902"/>
    <w:rsid w:val="00CF107C"/>
    <w:rsid w:val="00CF14E7"/>
    <w:rsid w:val="00CF15D8"/>
    <w:rsid w:val="00CF16CC"/>
    <w:rsid w:val="00CF1EC6"/>
    <w:rsid w:val="00CF202B"/>
    <w:rsid w:val="00CF249D"/>
    <w:rsid w:val="00CF24DD"/>
    <w:rsid w:val="00CF2B15"/>
    <w:rsid w:val="00CF2B4B"/>
    <w:rsid w:val="00CF2D67"/>
    <w:rsid w:val="00CF33F6"/>
    <w:rsid w:val="00CF3497"/>
    <w:rsid w:val="00CF34D6"/>
    <w:rsid w:val="00CF3602"/>
    <w:rsid w:val="00CF3696"/>
    <w:rsid w:val="00CF3808"/>
    <w:rsid w:val="00CF3B01"/>
    <w:rsid w:val="00CF3B22"/>
    <w:rsid w:val="00CF43CA"/>
    <w:rsid w:val="00CF460A"/>
    <w:rsid w:val="00CF4C43"/>
    <w:rsid w:val="00CF5653"/>
    <w:rsid w:val="00CF62B5"/>
    <w:rsid w:val="00CF654E"/>
    <w:rsid w:val="00CF7022"/>
    <w:rsid w:val="00CF724C"/>
    <w:rsid w:val="00CF75BA"/>
    <w:rsid w:val="00CF7AE2"/>
    <w:rsid w:val="00CF7E75"/>
    <w:rsid w:val="00CF7F1B"/>
    <w:rsid w:val="00D00038"/>
    <w:rsid w:val="00D003CC"/>
    <w:rsid w:val="00D00568"/>
    <w:rsid w:val="00D006D5"/>
    <w:rsid w:val="00D00A3C"/>
    <w:rsid w:val="00D00CFF"/>
    <w:rsid w:val="00D0167A"/>
    <w:rsid w:val="00D018EF"/>
    <w:rsid w:val="00D02383"/>
    <w:rsid w:val="00D02563"/>
    <w:rsid w:val="00D03037"/>
    <w:rsid w:val="00D0305F"/>
    <w:rsid w:val="00D0324A"/>
    <w:rsid w:val="00D0377E"/>
    <w:rsid w:val="00D03C13"/>
    <w:rsid w:val="00D03C46"/>
    <w:rsid w:val="00D04276"/>
    <w:rsid w:val="00D044C1"/>
    <w:rsid w:val="00D046E3"/>
    <w:rsid w:val="00D04C6D"/>
    <w:rsid w:val="00D04FBB"/>
    <w:rsid w:val="00D053EE"/>
    <w:rsid w:val="00D05472"/>
    <w:rsid w:val="00D056DB"/>
    <w:rsid w:val="00D05A1D"/>
    <w:rsid w:val="00D05B2A"/>
    <w:rsid w:val="00D061B8"/>
    <w:rsid w:val="00D066CE"/>
    <w:rsid w:val="00D067FF"/>
    <w:rsid w:val="00D068B6"/>
    <w:rsid w:val="00D06E0C"/>
    <w:rsid w:val="00D075F9"/>
    <w:rsid w:val="00D07799"/>
    <w:rsid w:val="00D07C57"/>
    <w:rsid w:val="00D07CE2"/>
    <w:rsid w:val="00D07D04"/>
    <w:rsid w:val="00D1035E"/>
    <w:rsid w:val="00D103B5"/>
    <w:rsid w:val="00D10F96"/>
    <w:rsid w:val="00D1136B"/>
    <w:rsid w:val="00D115B8"/>
    <w:rsid w:val="00D1187D"/>
    <w:rsid w:val="00D1197F"/>
    <w:rsid w:val="00D12613"/>
    <w:rsid w:val="00D127AD"/>
    <w:rsid w:val="00D12B41"/>
    <w:rsid w:val="00D13111"/>
    <w:rsid w:val="00D132D9"/>
    <w:rsid w:val="00D134C8"/>
    <w:rsid w:val="00D13843"/>
    <w:rsid w:val="00D13C1A"/>
    <w:rsid w:val="00D13FDB"/>
    <w:rsid w:val="00D14146"/>
    <w:rsid w:val="00D141B9"/>
    <w:rsid w:val="00D147F8"/>
    <w:rsid w:val="00D14A1C"/>
    <w:rsid w:val="00D14BB8"/>
    <w:rsid w:val="00D1522F"/>
    <w:rsid w:val="00D15A78"/>
    <w:rsid w:val="00D15E31"/>
    <w:rsid w:val="00D15EE2"/>
    <w:rsid w:val="00D15EE3"/>
    <w:rsid w:val="00D16275"/>
    <w:rsid w:val="00D16993"/>
    <w:rsid w:val="00D17090"/>
    <w:rsid w:val="00D172FD"/>
    <w:rsid w:val="00D1750E"/>
    <w:rsid w:val="00D1772C"/>
    <w:rsid w:val="00D179C3"/>
    <w:rsid w:val="00D2032C"/>
    <w:rsid w:val="00D20C34"/>
    <w:rsid w:val="00D20F7B"/>
    <w:rsid w:val="00D21584"/>
    <w:rsid w:val="00D216A0"/>
    <w:rsid w:val="00D216CC"/>
    <w:rsid w:val="00D218CC"/>
    <w:rsid w:val="00D21AA9"/>
    <w:rsid w:val="00D21ADB"/>
    <w:rsid w:val="00D21AEC"/>
    <w:rsid w:val="00D21C8C"/>
    <w:rsid w:val="00D22494"/>
    <w:rsid w:val="00D2259E"/>
    <w:rsid w:val="00D22673"/>
    <w:rsid w:val="00D22743"/>
    <w:rsid w:val="00D22849"/>
    <w:rsid w:val="00D22928"/>
    <w:rsid w:val="00D22F1C"/>
    <w:rsid w:val="00D23A3D"/>
    <w:rsid w:val="00D23FB9"/>
    <w:rsid w:val="00D24C79"/>
    <w:rsid w:val="00D24F11"/>
    <w:rsid w:val="00D25070"/>
    <w:rsid w:val="00D2524E"/>
    <w:rsid w:val="00D25455"/>
    <w:rsid w:val="00D2566E"/>
    <w:rsid w:val="00D258C4"/>
    <w:rsid w:val="00D25B45"/>
    <w:rsid w:val="00D25CAD"/>
    <w:rsid w:val="00D25EAA"/>
    <w:rsid w:val="00D264ED"/>
    <w:rsid w:val="00D269A2"/>
    <w:rsid w:val="00D26C71"/>
    <w:rsid w:val="00D26DF8"/>
    <w:rsid w:val="00D26F44"/>
    <w:rsid w:val="00D271AA"/>
    <w:rsid w:val="00D2732A"/>
    <w:rsid w:val="00D27A47"/>
    <w:rsid w:val="00D3052B"/>
    <w:rsid w:val="00D30F4B"/>
    <w:rsid w:val="00D30FA8"/>
    <w:rsid w:val="00D313E9"/>
    <w:rsid w:val="00D314BC"/>
    <w:rsid w:val="00D31907"/>
    <w:rsid w:val="00D32501"/>
    <w:rsid w:val="00D33248"/>
    <w:rsid w:val="00D33B30"/>
    <w:rsid w:val="00D3439E"/>
    <w:rsid w:val="00D34A45"/>
    <w:rsid w:val="00D34CDB"/>
    <w:rsid w:val="00D3559C"/>
    <w:rsid w:val="00D35E86"/>
    <w:rsid w:val="00D36129"/>
    <w:rsid w:val="00D362A3"/>
    <w:rsid w:val="00D36360"/>
    <w:rsid w:val="00D36594"/>
    <w:rsid w:val="00D36610"/>
    <w:rsid w:val="00D3670C"/>
    <w:rsid w:val="00D36860"/>
    <w:rsid w:val="00D368AC"/>
    <w:rsid w:val="00D36DF3"/>
    <w:rsid w:val="00D36F9D"/>
    <w:rsid w:val="00D372F4"/>
    <w:rsid w:val="00D3767C"/>
    <w:rsid w:val="00D37795"/>
    <w:rsid w:val="00D379D2"/>
    <w:rsid w:val="00D379D7"/>
    <w:rsid w:val="00D40910"/>
    <w:rsid w:val="00D409C9"/>
    <w:rsid w:val="00D40C34"/>
    <w:rsid w:val="00D4100A"/>
    <w:rsid w:val="00D416AE"/>
    <w:rsid w:val="00D41AE0"/>
    <w:rsid w:val="00D41F3D"/>
    <w:rsid w:val="00D42041"/>
    <w:rsid w:val="00D429A9"/>
    <w:rsid w:val="00D42C83"/>
    <w:rsid w:val="00D42E85"/>
    <w:rsid w:val="00D432C3"/>
    <w:rsid w:val="00D43423"/>
    <w:rsid w:val="00D4372D"/>
    <w:rsid w:val="00D44064"/>
    <w:rsid w:val="00D44494"/>
    <w:rsid w:val="00D446EA"/>
    <w:rsid w:val="00D44A34"/>
    <w:rsid w:val="00D44BDC"/>
    <w:rsid w:val="00D44F19"/>
    <w:rsid w:val="00D44F2F"/>
    <w:rsid w:val="00D4505A"/>
    <w:rsid w:val="00D45158"/>
    <w:rsid w:val="00D45391"/>
    <w:rsid w:val="00D453A6"/>
    <w:rsid w:val="00D45590"/>
    <w:rsid w:val="00D458C2"/>
    <w:rsid w:val="00D45B52"/>
    <w:rsid w:val="00D45B56"/>
    <w:rsid w:val="00D45EB9"/>
    <w:rsid w:val="00D46644"/>
    <w:rsid w:val="00D4690A"/>
    <w:rsid w:val="00D46C90"/>
    <w:rsid w:val="00D47371"/>
    <w:rsid w:val="00D477EB"/>
    <w:rsid w:val="00D477FA"/>
    <w:rsid w:val="00D5007B"/>
    <w:rsid w:val="00D50AD4"/>
    <w:rsid w:val="00D50C45"/>
    <w:rsid w:val="00D50EEA"/>
    <w:rsid w:val="00D5115C"/>
    <w:rsid w:val="00D51627"/>
    <w:rsid w:val="00D521F5"/>
    <w:rsid w:val="00D5224F"/>
    <w:rsid w:val="00D5244E"/>
    <w:rsid w:val="00D52722"/>
    <w:rsid w:val="00D52779"/>
    <w:rsid w:val="00D52BCD"/>
    <w:rsid w:val="00D52BE4"/>
    <w:rsid w:val="00D52EAC"/>
    <w:rsid w:val="00D53278"/>
    <w:rsid w:val="00D5344F"/>
    <w:rsid w:val="00D5384F"/>
    <w:rsid w:val="00D54738"/>
    <w:rsid w:val="00D54996"/>
    <w:rsid w:val="00D54F59"/>
    <w:rsid w:val="00D55B35"/>
    <w:rsid w:val="00D55DDB"/>
    <w:rsid w:val="00D561B7"/>
    <w:rsid w:val="00D56257"/>
    <w:rsid w:val="00D56784"/>
    <w:rsid w:val="00D56A02"/>
    <w:rsid w:val="00D56C11"/>
    <w:rsid w:val="00D5754B"/>
    <w:rsid w:val="00D577F8"/>
    <w:rsid w:val="00D600C3"/>
    <w:rsid w:val="00D602DE"/>
    <w:rsid w:val="00D60A89"/>
    <w:rsid w:val="00D60A8C"/>
    <w:rsid w:val="00D60ABA"/>
    <w:rsid w:val="00D60CE5"/>
    <w:rsid w:val="00D60E13"/>
    <w:rsid w:val="00D60E22"/>
    <w:rsid w:val="00D61216"/>
    <w:rsid w:val="00D61908"/>
    <w:rsid w:val="00D61DBC"/>
    <w:rsid w:val="00D622CC"/>
    <w:rsid w:val="00D628D9"/>
    <w:rsid w:val="00D62BA5"/>
    <w:rsid w:val="00D63256"/>
    <w:rsid w:val="00D632BD"/>
    <w:rsid w:val="00D63658"/>
    <w:rsid w:val="00D63CC0"/>
    <w:rsid w:val="00D64D2A"/>
    <w:rsid w:val="00D64D9E"/>
    <w:rsid w:val="00D650E7"/>
    <w:rsid w:val="00D65720"/>
    <w:rsid w:val="00D65941"/>
    <w:rsid w:val="00D65C93"/>
    <w:rsid w:val="00D65C9F"/>
    <w:rsid w:val="00D65CFA"/>
    <w:rsid w:val="00D6647B"/>
    <w:rsid w:val="00D668BC"/>
    <w:rsid w:val="00D6734A"/>
    <w:rsid w:val="00D67C36"/>
    <w:rsid w:val="00D67F39"/>
    <w:rsid w:val="00D7052E"/>
    <w:rsid w:val="00D70DAE"/>
    <w:rsid w:val="00D71315"/>
    <w:rsid w:val="00D720B1"/>
    <w:rsid w:val="00D72437"/>
    <w:rsid w:val="00D7243E"/>
    <w:rsid w:val="00D724AC"/>
    <w:rsid w:val="00D725F5"/>
    <w:rsid w:val="00D72617"/>
    <w:rsid w:val="00D73562"/>
    <w:rsid w:val="00D73585"/>
    <w:rsid w:val="00D73ADE"/>
    <w:rsid w:val="00D73FBC"/>
    <w:rsid w:val="00D744AD"/>
    <w:rsid w:val="00D74805"/>
    <w:rsid w:val="00D74B76"/>
    <w:rsid w:val="00D74EE7"/>
    <w:rsid w:val="00D75362"/>
    <w:rsid w:val="00D754EA"/>
    <w:rsid w:val="00D75F70"/>
    <w:rsid w:val="00D7613C"/>
    <w:rsid w:val="00D76358"/>
    <w:rsid w:val="00D766DB"/>
    <w:rsid w:val="00D76B21"/>
    <w:rsid w:val="00D773A7"/>
    <w:rsid w:val="00D774B7"/>
    <w:rsid w:val="00D77CA6"/>
    <w:rsid w:val="00D77F5B"/>
    <w:rsid w:val="00D804A9"/>
    <w:rsid w:val="00D808A9"/>
    <w:rsid w:val="00D80921"/>
    <w:rsid w:val="00D812EA"/>
    <w:rsid w:val="00D816E8"/>
    <w:rsid w:val="00D82257"/>
    <w:rsid w:val="00D8236D"/>
    <w:rsid w:val="00D82643"/>
    <w:rsid w:val="00D82915"/>
    <w:rsid w:val="00D829A6"/>
    <w:rsid w:val="00D82B3C"/>
    <w:rsid w:val="00D83866"/>
    <w:rsid w:val="00D840FB"/>
    <w:rsid w:val="00D84193"/>
    <w:rsid w:val="00D84F48"/>
    <w:rsid w:val="00D8523E"/>
    <w:rsid w:val="00D85245"/>
    <w:rsid w:val="00D852F6"/>
    <w:rsid w:val="00D85927"/>
    <w:rsid w:val="00D859E5"/>
    <w:rsid w:val="00D85A2B"/>
    <w:rsid w:val="00D85F39"/>
    <w:rsid w:val="00D85FC4"/>
    <w:rsid w:val="00D86424"/>
    <w:rsid w:val="00D86B05"/>
    <w:rsid w:val="00D87331"/>
    <w:rsid w:val="00D87498"/>
    <w:rsid w:val="00D8754C"/>
    <w:rsid w:val="00D87D9F"/>
    <w:rsid w:val="00D87DE8"/>
    <w:rsid w:val="00D90197"/>
    <w:rsid w:val="00D9028B"/>
    <w:rsid w:val="00D9047D"/>
    <w:rsid w:val="00D90556"/>
    <w:rsid w:val="00D907AC"/>
    <w:rsid w:val="00D90AE1"/>
    <w:rsid w:val="00D91507"/>
    <w:rsid w:val="00D918C3"/>
    <w:rsid w:val="00D920B4"/>
    <w:rsid w:val="00D9250C"/>
    <w:rsid w:val="00D9265D"/>
    <w:rsid w:val="00D92B40"/>
    <w:rsid w:val="00D92FBF"/>
    <w:rsid w:val="00D93838"/>
    <w:rsid w:val="00D93DBD"/>
    <w:rsid w:val="00D93EEF"/>
    <w:rsid w:val="00D94205"/>
    <w:rsid w:val="00D9422F"/>
    <w:rsid w:val="00D94D77"/>
    <w:rsid w:val="00D95568"/>
    <w:rsid w:val="00D956CF"/>
    <w:rsid w:val="00D958E9"/>
    <w:rsid w:val="00D96408"/>
    <w:rsid w:val="00D969E9"/>
    <w:rsid w:val="00D96B81"/>
    <w:rsid w:val="00D96CF2"/>
    <w:rsid w:val="00D97391"/>
    <w:rsid w:val="00D973A0"/>
    <w:rsid w:val="00D9745B"/>
    <w:rsid w:val="00D97654"/>
    <w:rsid w:val="00D97936"/>
    <w:rsid w:val="00D97971"/>
    <w:rsid w:val="00DA005C"/>
    <w:rsid w:val="00DA070D"/>
    <w:rsid w:val="00DA0883"/>
    <w:rsid w:val="00DA08CD"/>
    <w:rsid w:val="00DA09F8"/>
    <w:rsid w:val="00DA0B78"/>
    <w:rsid w:val="00DA0D7A"/>
    <w:rsid w:val="00DA12D5"/>
    <w:rsid w:val="00DA183B"/>
    <w:rsid w:val="00DA1921"/>
    <w:rsid w:val="00DA1BD8"/>
    <w:rsid w:val="00DA1D50"/>
    <w:rsid w:val="00DA2212"/>
    <w:rsid w:val="00DA2C8F"/>
    <w:rsid w:val="00DA2C92"/>
    <w:rsid w:val="00DA32EA"/>
    <w:rsid w:val="00DA33E7"/>
    <w:rsid w:val="00DA3566"/>
    <w:rsid w:val="00DA3889"/>
    <w:rsid w:val="00DA49C9"/>
    <w:rsid w:val="00DA4A96"/>
    <w:rsid w:val="00DA4E93"/>
    <w:rsid w:val="00DA5410"/>
    <w:rsid w:val="00DA55F1"/>
    <w:rsid w:val="00DA5805"/>
    <w:rsid w:val="00DA5E3C"/>
    <w:rsid w:val="00DA639D"/>
    <w:rsid w:val="00DA650F"/>
    <w:rsid w:val="00DA654C"/>
    <w:rsid w:val="00DA66A3"/>
    <w:rsid w:val="00DA6811"/>
    <w:rsid w:val="00DA6B9D"/>
    <w:rsid w:val="00DA7133"/>
    <w:rsid w:val="00DA7292"/>
    <w:rsid w:val="00DA7590"/>
    <w:rsid w:val="00DA7642"/>
    <w:rsid w:val="00DA799F"/>
    <w:rsid w:val="00DB015C"/>
    <w:rsid w:val="00DB07D0"/>
    <w:rsid w:val="00DB0B08"/>
    <w:rsid w:val="00DB0DCC"/>
    <w:rsid w:val="00DB0FE0"/>
    <w:rsid w:val="00DB18CD"/>
    <w:rsid w:val="00DB1F10"/>
    <w:rsid w:val="00DB1FE0"/>
    <w:rsid w:val="00DB202B"/>
    <w:rsid w:val="00DB27EF"/>
    <w:rsid w:val="00DB2948"/>
    <w:rsid w:val="00DB370D"/>
    <w:rsid w:val="00DB39FA"/>
    <w:rsid w:val="00DB3A4D"/>
    <w:rsid w:val="00DB3C45"/>
    <w:rsid w:val="00DB3C7B"/>
    <w:rsid w:val="00DB3D75"/>
    <w:rsid w:val="00DB40FC"/>
    <w:rsid w:val="00DB4301"/>
    <w:rsid w:val="00DB4901"/>
    <w:rsid w:val="00DB4BB3"/>
    <w:rsid w:val="00DB5144"/>
    <w:rsid w:val="00DB5158"/>
    <w:rsid w:val="00DB51D7"/>
    <w:rsid w:val="00DB567D"/>
    <w:rsid w:val="00DB5690"/>
    <w:rsid w:val="00DB60FD"/>
    <w:rsid w:val="00DB63EB"/>
    <w:rsid w:val="00DB66BB"/>
    <w:rsid w:val="00DB6C5D"/>
    <w:rsid w:val="00DB755C"/>
    <w:rsid w:val="00DB7638"/>
    <w:rsid w:val="00DB7823"/>
    <w:rsid w:val="00DB79C6"/>
    <w:rsid w:val="00DB7D75"/>
    <w:rsid w:val="00DC067E"/>
    <w:rsid w:val="00DC0AAF"/>
    <w:rsid w:val="00DC130E"/>
    <w:rsid w:val="00DC1C0C"/>
    <w:rsid w:val="00DC1C46"/>
    <w:rsid w:val="00DC1DF2"/>
    <w:rsid w:val="00DC2222"/>
    <w:rsid w:val="00DC2586"/>
    <w:rsid w:val="00DC272F"/>
    <w:rsid w:val="00DC2745"/>
    <w:rsid w:val="00DC27A7"/>
    <w:rsid w:val="00DC2B59"/>
    <w:rsid w:val="00DC2DE2"/>
    <w:rsid w:val="00DC2DFC"/>
    <w:rsid w:val="00DC32DB"/>
    <w:rsid w:val="00DC3BE7"/>
    <w:rsid w:val="00DC3BF8"/>
    <w:rsid w:val="00DC45A5"/>
    <w:rsid w:val="00DC4AD9"/>
    <w:rsid w:val="00DC4D08"/>
    <w:rsid w:val="00DC4DF6"/>
    <w:rsid w:val="00DC5123"/>
    <w:rsid w:val="00DC55D3"/>
    <w:rsid w:val="00DC61AF"/>
    <w:rsid w:val="00DC61EE"/>
    <w:rsid w:val="00DC65AB"/>
    <w:rsid w:val="00DC6A84"/>
    <w:rsid w:val="00DC6B04"/>
    <w:rsid w:val="00DC6B36"/>
    <w:rsid w:val="00DC6FA6"/>
    <w:rsid w:val="00DC7084"/>
    <w:rsid w:val="00DC7463"/>
    <w:rsid w:val="00DC758E"/>
    <w:rsid w:val="00DC773E"/>
    <w:rsid w:val="00DC7954"/>
    <w:rsid w:val="00DD040A"/>
    <w:rsid w:val="00DD046A"/>
    <w:rsid w:val="00DD074B"/>
    <w:rsid w:val="00DD0A36"/>
    <w:rsid w:val="00DD0E88"/>
    <w:rsid w:val="00DD13BC"/>
    <w:rsid w:val="00DD1F1C"/>
    <w:rsid w:val="00DD2080"/>
    <w:rsid w:val="00DD22B8"/>
    <w:rsid w:val="00DD2422"/>
    <w:rsid w:val="00DD2904"/>
    <w:rsid w:val="00DD2DA2"/>
    <w:rsid w:val="00DD3BBA"/>
    <w:rsid w:val="00DD3CD3"/>
    <w:rsid w:val="00DD3D46"/>
    <w:rsid w:val="00DD42C0"/>
    <w:rsid w:val="00DD5109"/>
    <w:rsid w:val="00DD5E35"/>
    <w:rsid w:val="00DD655B"/>
    <w:rsid w:val="00DD672A"/>
    <w:rsid w:val="00DD6955"/>
    <w:rsid w:val="00DD6A78"/>
    <w:rsid w:val="00DD71C9"/>
    <w:rsid w:val="00DD7615"/>
    <w:rsid w:val="00DE0559"/>
    <w:rsid w:val="00DE05BA"/>
    <w:rsid w:val="00DE078E"/>
    <w:rsid w:val="00DE0A56"/>
    <w:rsid w:val="00DE11E3"/>
    <w:rsid w:val="00DE169B"/>
    <w:rsid w:val="00DE17E4"/>
    <w:rsid w:val="00DE1A92"/>
    <w:rsid w:val="00DE2490"/>
    <w:rsid w:val="00DE31C4"/>
    <w:rsid w:val="00DE332D"/>
    <w:rsid w:val="00DE336D"/>
    <w:rsid w:val="00DE3373"/>
    <w:rsid w:val="00DE3CC7"/>
    <w:rsid w:val="00DE3FB0"/>
    <w:rsid w:val="00DE40C8"/>
    <w:rsid w:val="00DE4290"/>
    <w:rsid w:val="00DE44F9"/>
    <w:rsid w:val="00DE458A"/>
    <w:rsid w:val="00DE4668"/>
    <w:rsid w:val="00DE4E5D"/>
    <w:rsid w:val="00DE50D6"/>
    <w:rsid w:val="00DE5617"/>
    <w:rsid w:val="00DE5FF1"/>
    <w:rsid w:val="00DE677D"/>
    <w:rsid w:val="00DE67B4"/>
    <w:rsid w:val="00DE6AA3"/>
    <w:rsid w:val="00DE6B89"/>
    <w:rsid w:val="00DE762C"/>
    <w:rsid w:val="00DE79D5"/>
    <w:rsid w:val="00DE7E68"/>
    <w:rsid w:val="00DF02E6"/>
    <w:rsid w:val="00DF0305"/>
    <w:rsid w:val="00DF0767"/>
    <w:rsid w:val="00DF125B"/>
    <w:rsid w:val="00DF144A"/>
    <w:rsid w:val="00DF14C5"/>
    <w:rsid w:val="00DF14CB"/>
    <w:rsid w:val="00DF1738"/>
    <w:rsid w:val="00DF221C"/>
    <w:rsid w:val="00DF2272"/>
    <w:rsid w:val="00DF2862"/>
    <w:rsid w:val="00DF2C2C"/>
    <w:rsid w:val="00DF3619"/>
    <w:rsid w:val="00DF3D37"/>
    <w:rsid w:val="00DF3FF7"/>
    <w:rsid w:val="00DF41C2"/>
    <w:rsid w:val="00DF485E"/>
    <w:rsid w:val="00DF4E37"/>
    <w:rsid w:val="00DF620C"/>
    <w:rsid w:val="00DF667D"/>
    <w:rsid w:val="00DF6D93"/>
    <w:rsid w:val="00DF72AE"/>
    <w:rsid w:val="00DF772C"/>
    <w:rsid w:val="00DF7ACD"/>
    <w:rsid w:val="00DF7D23"/>
    <w:rsid w:val="00DF7FF9"/>
    <w:rsid w:val="00E006CC"/>
    <w:rsid w:val="00E0091B"/>
    <w:rsid w:val="00E00947"/>
    <w:rsid w:val="00E009C7"/>
    <w:rsid w:val="00E026FB"/>
    <w:rsid w:val="00E02AD3"/>
    <w:rsid w:val="00E03B00"/>
    <w:rsid w:val="00E04740"/>
    <w:rsid w:val="00E0483A"/>
    <w:rsid w:val="00E050AB"/>
    <w:rsid w:val="00E05F6A"/>
    <w:rsid w:val="00E05FBD"/>
    <w:rsid w:val="00E06957"/>
    <w:rsid w:val="00E06D0E"/>
    <w:rsid w:val="00E07305"/>
    <w:rsid w:val="00E0756A"/>
    <w:rsid w:val="00E07704"/>
    <w:rsid w:val="00E0788F"/>
    <w:rsid w:val="00E079C1"/>
    <w:rsid w:val="00E07B61"/>
    <w:rsid w:val="00E10069"/>
    <w:rsid w:val="00E106AA"/>
    <w:rsid w:val="00E10D31"/>
    <w:rsid w:val="00E11447"/>
    <w:rsid w:val="00E11743"/>
    <w:rsid w:val="00E11837"/>
    <w:rsid w:val="00E11861"/>
    <w:rsid w:val="00E11B84"/>
    <w:rsid w:val="00E11C37"/>
    <w:rsid w:val="00E11C7F"/>
    <w:rsid w:val="00E11FC4"/>
    <w:rsid w:val="00E12412"/>
    <w:rsid w:val="00E12489"/>
    <w:rsid w:val="00E12878"/>
    <w:rsid w:val="00E12920"/>
    <w:rsid w:val="00E12960"/>
    <w:rsid w:val="00E12CD1"/>
    <w:rsid w:val="00E13561"/>
    <w:rsid w:val="00E13768"/>
    <w:rsid w:val="00E138E0"/>
    <w:rsid w:val="00E139B1"/>
    <w:rsid w:val="00E13A4E"/>
    <w:rsid w:val="00E14706"/>
    <w:rsid w:val="00E152A2"/>
    <w:rsid w:val="00E15822"/>
    <w:rsid w:val="00E16995"/>
    <w:rsid w:val="00E16C8B"/>
    <w:rsid w:val="00E16ED0"/>
    <w:rsid w:val="00E16EDC"/>
    <w:rsid w:val="00E170D4"/>
    <w:rsid w:val="00E170D8"/>
    <w:rsid w:val="00E171DB"/>
    <w:rsid w:val="00E17305"/>
    <w:rsid w:val="00E1732F"/>
    <w:rsid w:val="00E178F7"/>
    <w:rsid w:val="00E17DF8"/>
    <w:rsid w:val="00E20790"/>
    <w:rsid w:val="00E208C9"/>
    <w:rsid w:val="00E211A3"/>
    <w:rsid w:val="00E2139E"/>
    <w:rsid w:val="00E219FD"/>
    <w:rsid w:val="00E220ED"/>
    <w:rsid w:val="00E223A8"/>
    <w:rsid w:val="00E23182"/>
    <w:rsid w:val="00E233B7"/>
    <w:rsid w:val="00E23793"/>
    <w:rsid w:val="00E239FA"/>
    <w:rsid w:val="00E23C38"/>
    <w:rsid w:val="00E23CA9"/>
    <w:rsid w:val="00E23FFE"/>
    <w:rsid w:val="00E24719"/>
    <w:rsid w:val="00E247B1"/>
    <w:rsid w:val="00E2484B"/>
    <w:rsid w:val="00E24BFD"/>
    <w:rsid w:val="00E253EA"/>
    <w:rsid w:val="00E255C6"/>
    <w:rsid w:val="00E25DAC"/>
    <w:rsid w:val="00E26057"/>
    <w:rsid w:val="00E262CD"/>
    <w:rsid w:val="00E2699B"/>
    <w:rsid w:val="00E269B8"/>
    <w:rsid w:val="00E26D85"/>
    <w:rsid w:val="00E27580"/>
    <w:rsid w:val="00E27BC6"/>
    <w:rsid w:val="00E27DA3"/>
    <w:rsid w:val="00E27DFF"/>
    <w:rsid w:val="00E27F52"/>
    <w:rsid w:val="00E30285"/>
    <w:rsid w:val="00E309A5"/>
    <w:rsid w:val="00E30ECF"/>
    <w:rsid w:val="00E313E9"/>
    <w:rsid w:val="00E31B45"/>
    <w:rsid w:val="00E31DBE"/>
    <w:rsid w:val="00E31EDC"/>
    <w:rsid w:val="00E324B4"/>
    <w:rsid w:val="00E32AAE"/>
    <w:rsid w:val="00E334EB"/>
    <w:rsid w:val="00E339A0"/>
    <w:rsid w:val="00E339FA"/>
    <w:rsid w:val="00E33B69"/>
    <w:rsid w:val="00E34193"/>
    <w:rsid w:val="00E34200"/>
    <w:rsid w:val="00E34552"/>
    <w:rsid w:val="00E34612"/>
    <w:rsid w:val="00E34972"/>
    <w:rsid w:val="00E349A1"/>
    <w:rsid w:val="00E34D95"/>
    <w:rsid w:val="00E34DAE"/>
    <w:rsid w:val="00E3554B"/>
    <w:rsid w:val="00E3554E"/>
    <w:rsid w:val="00E35B95"/>
    <w:rsid w:val="00E36054"/>
    <w:rsid w:val="00E368A8"/>
    <w:rsid w:val="00E36A16"/>
    <w:rsid w:val="00E37AAC"/>
    <w:rsid w:val="00E37F0A"/>
    <w:rsid w:val="00E37FD4"/>
    <w:rsid w:val="00E408A0"/>
    <w:rsid w:val="00E40C0B"/>
    <w:rsid w:val="00E40D7B"/>
    <w:rsid w:val="00E4100C"/>
    <w:rsid w:val="00E41627"/>
    <w:rsid w:val="00E41EB8"/>
    <w:rsid w:val="00E42359"/>
    <w:rsid w:val="00E424A3"/>
    <w:rsid w:val="00E428CC"/>
    <w:rsid w:val="00E428E3"/>
    <w:rsid w:val="00E42E3D"/>
    <w:rsid w:val="00E42FAE"/>
    <w:rsid w:val="00E43063"/>
    <w:rsid w:val="00E436B5"/>
    <w:rsid w:val="00E43A6D"/>
    <w:rsid w:val="00E442A3"/>
    <w:rsid w:val="00E443AC"/>
    <w:rsid w:val="00E445D1"/>
    <w:rsid w:val="00E44F4A"/>
    <w:rsid w:val="00E4502D"/>
    <w:rsid w:val="00E45392"/>
    <w:rsid w:val="00E45456"/>
    <w:rsid w:val="00E45E1B"/>
    <w:rsid w:val="00E45E3C"/>
    <w:rsid w:val="00E45E66"/>
    <w:rsid w:val="00E45F5C"/>
    <w:rsid w:val="00E4687E"/>
    <w:rsid w:val="00E46A55"/>
    <w:rsid w:val="00E46D07"/>
    <w:rsid w:val="00E470A6"/>
    <w:rsid w:val="00E4722F"/>
    <w:rsid w:val="00E4756D"/>
    <w:rsid w:val="00E50337"/>
    <w:rsid w:val="00E50B4F"/>
    <w:rsid w:val="00E51151"/>
    <w:rsid w:val="00E515F4"/>
    <w:rsid w:val="00E51816"/>
    <w:rsid w:val="00E52C67"/>
    <w:rsid w:val="00E531C9"/>
    <w:rsid w:val="00E531E6"/>
    <w:rsid w:val="00E53255"/>
    <w:rsid w:val="00E53415"/>
    <w:rsid w:val="00E5390E"/>
    <w:rsid w:val="00E53ACE"/>
    <w:rsid w:val="00E53B02"/>
    <w:rsid w:val="00E53B49"/>
    <w:rsid w:val="00E53E72"/>
    <w:rsid w:val="00E54284"/>
    <w:rsid w:val="00E546A7"/>
    <w:rsid w:val="00E558B6"/>
    <w:rsid w:val="00E55A0E"/>
    <w:rsid w:val="00E56711"/>
    <w:rsid w:val="00E56798"/>
    <w:rsid w:val="00E567FB"/>
    <w:rsid w:val="00E56879"/>
    <w:rsid w:val="00E57189"/>
    <w:rsid w:val="00E5718E"/>
    <w:rsid w:val="00E571AA"/>
    <w:rsid w:val="00E579DE"/>
    <w:rsid w:val="00E57C6F"/>
    <w:rsid w:val="00E57DD2"/>
    <w:rsid w:val="00E57E15"/>
    <w:rsid w:val="00E57EFA"/>
    <w:rsid w:val="00E60775"/>
    <w:rsid w:val="00E60CEB"/>
    <w:rsid w:val="00E60E80"/>
    <w:rsid w:val="00E613B2"/>
    <w:rsid w:val="00E619EE"/>
    <w:rsid w:val="00E61B79"/>
    <w:rsid w:val="00E61C8F"/>
    <w:rsid w:val="00E62075"/>
    <w:rsid w:val="00E6231A"/>
    <w:rsid w:val="00E62B62"/>
    <w:rsid w:val="00E63088"/>
    <w:rsid w:val="00E6362B"/>
    <w:rsid w:val="00E637F5"/>
    <w:rsid w:val="00E63ACE"/>
    <w:rsid w:val="00E63D5F"/>
    <w:rsid w:val="00E6407C"/>
    <w:rsid w:val="00E640D1"/>
    <w:rsid w:val="00E64448"/>
    <w:rsid w:val="00E64505"/>
    <w:rsid w:val="00E64739"/>
    <w:rsid w:val="00E64763"/>
    <w:rsid w:val="00E64E3E"/>
    <w:rsid w:val="00E64FE8"/>
    <w:rsid w:val="00E65331"/>
    <w:rsid w:val="00E653B1"/>
    <w:rsid w:val="00E65A54"/>
    <w:rsid w:val="00E65F4B"/>
    <w:rsid w:val="00E66620"/>
    <w:rsid w:val="00E66C99"/>
    <w:rsid w:val="00E6708F"/>
    <w:rsid w:val="00E6715A"/>
    <w:rsid w:val="00E67704"/>
    <w:rsid w:val="00E67D8E"/>
    <w:rsid w:val="00E67DDF"/>
    <w:rsid w:val="00E67E92"/>
    <w:rsid w:val="00E70030"/>
    <w:rsid w:val="00E70059"/>
    <w:rsid w:val="00E7097B"/>
    <w:rsid w:val="00E70B24"/>
    <w:rsid w:val="00E70C9F"/>
    <w:rsid w:val="00E713E8"/>
    <w:rsid w:val="00E7189F"/>
    <w:rsid w:val="00E71D01"/>
    <w:rsid w:val="00E7204A"/>
    <w:rsid w:val="00E72229"/>
    <w:rsid w:val="00E72769"/>
    <w:rsid w:val="00E729B6"/>
    <w:rsid w:val="00E72E83"/>
    <w:rsid w:val="00E73085"/>
    <w:rsid w:val="00E736EA"/>
    <w:rsid w:val="00E73F03"/>
    <w:rsid w:val="00E73FB2"/>
    <w:rsid w:val="00E7421C"/>
    <w:rsid w:val="00E7467B"/>
    <w:rsid w:val="00E74F89"/>
    <w:rsid w:val="00E7526B"/>
    <w:rsid w:val="00E75A5E"/>
    <w:rsid w:val="00E765D2"/>
    <w:rsid w:val="00E766E2"/>
    <w:rsid w:val="00E76A2A"/>
    <w:rsid w:val="00E770AF"/>
    <w:rsid w:val="00E772C4"/>
    <w:rsid w:val="00E772E5"/>
    <w:rsid w:val="00E7785F"/>
    <w:rsid w:val="00E77E93"/>
    <w:rsid w:val="00E80999"/>
    <w:rsid w:val="00E809AC"/>
    <w:rsid w:val="00E813DE"/>
    <w:rsid w:val="00E8165D"/>
    <w:rsid w:val="00E816C4"/>
    <w:rsid w:val="00E81C9F"/>
    <w:rsid w:val="00E81CC2"/>
    <w:rsid w:val="00E81D71"/>
    <w:rsid w:val="00E81FC1"/>
    <w:rsid w:val="00E82757"/>
    <w:rsid w:val="00E8296C"/>
    <w:rsid w:val="00E82F32"/>
    <w:rsid w:val="00E83429"/>
    <w:rsid w:val="00E83C84"/>
    <w:rsid w:val="00E83D26"/>
    <w:rsid w:val="00E83FA0"/>
    <w:rsid w:val="00E846AC"/>
    <w:rsid w:val="00E8471A"/>
    <w:rsid w:val="00E84F5F"/>
    <w:rsid w:val="00E851F7"/>
    <w:rsid w:val="00E85987"/>
    <w:rsid w:val="00E86565"/>
    <w:rsid w:val="00E868E7"/>
    <w:rsid w:val="00E86AB3"/>
    <w:rsid w:val="00E86BEB"/>
    <w:rsid w:val="00E876D6"/>
    <w:rsid w:val="00E87741"/>
    <w:rsid w:val="00E8795D"/>
    <w:rsid w:val="00E87F65"/>
    <w:rsid w:val="00E90142"/>
    <w:rsid w:val="00E902BD"/>
    <w:rsid w:val="00E90696"/>
    <w:rsid w:val="00E906BC"/>
    <w:rsid w:val="00E90D16"/>
    <w:rsid w:val="00E90DC8"/>
    <w:rsid w:val="00E90FD0"/>
    <w:rsid w:val="00E9130C"/>
    <w:rsid w:val="00E914FF"/>
    <w:rsid w:val="00E9159B"/>
    <w:rsid w:val="00E91B32"/>
    <w:rsid w:val="00E91F17"/>
    <w:rsid w:val="00E920BE"/>
    <w:rsid w:val="00E92121"/>
    <w:rsid w:val="00E925AC"/>
    <w:rsid w:val="00E92BA3"/>
    <w:rsid w:val="00E92C88"/>
    <w:rsid w:val="00E9393A"/>
    <w:rsid w:val="00E93D02"/>
    <w:rsid w:val="00E9415D"/>
    <w:rsid w:val="00E944AE"/>
    <w:rsid w:val="00E9463C"/>
    <w:rsid w:val="00E946C7"/>
    <w:rsid w:val="00E946D3"/>
    <w:rsid w:val="00E947A8"/>
    <w:rsid w:val="00E94DF1"/>
    <w:rsid w:val="00E955BF"/>
    <w:rsid w:val="00E95EE5"/>
    <w:rsid w:val="00E96504"/>
    <w:rsid w:val="00E9697C"/>
    <w:rsid w:val="00E96A82"/>
    <w:rsid w:val="00E96E22"/>
    <w:rsid w:val="00E970D3"/>
    <w:rsid w:val="00E97276"/>
    <w:rsid w:val="00E977B7"/>
    <w:rsid w:val="00EA007B"/>
    <w:rsid w:val="00EA0808"/>
    <w:rsid w:val="00EA0CAD"/>
    <w:rsid w:val="00EA0E6D"/>
    <w:rsid w:val="00EA1214"/>
    <w:rsid w:val="00EA1343"/>
    <w:rsid w:val="00EA142B"/>
    <w:rsid w:val="00EA1E6C"/>
    <w:rsid w:val="00EA2111"/>
    <w:rsid w:val="00EA227A"/>
    <w:rsid w:val="00EA23C9"/>
    <w:rsid w:val="00EA276F"/>
    <w:rsid w:val="00EA3073"/>
    <w:rsid w:val="00EA3621"/>
    <w:rsid w:val="00EA44D9"/>
    <w:rsid w:val="00EA47A3"/>
    <w:rsid w:val="00EA4ACF"/>
    <w:rsid w:val="00EA4AD6"/>
    <w:rsid w:val="00EA4BE3"/>
    <w:rsid w:val="00EA4CBC"/>
    <w:rsid w:val="00EA5465"/>
    <w:rsid w:val="00EA5497"/>
    <w:rsid w:val="00EA5E2D"/>
    <w:rsid w:val="00EA656E"/>
    <w:rsid w:val="00EA6C66"/>
    <w:rsid w:val="00EA72C2"/>
    <w:rsid w:val="00EA7D26"/>
    <w:rsid w:val="00EB05F4"/>
    <w:rsid w:val="00EB061C"/>
    <w:rsid w:val="00EB080B"/>
    <w:rsid w:val="00EB0851"/>
    <w:rsid w:val="00EB0C66"/>
    <w:rsid w:val="00EB0CBB"/>
    <w:rsid w:val="00EB0DD6"/>
    <w:rsid w:val="00EB138D"/>
    <w:rsid w:val="00EB17C3"/>
    <w:rsid w:val="00EB1B78"/>
    <w:rsid w:val="00EB2432"/>
    <w:rsid w:val="00EB25D5"/>
    <w:rsid w:val="00EB2749"/>
    <w:rsid w:val="00EB2C86"/>
    <w:rsid w:val="00EB2D99"/>
    <w:rsid w:val="00EB3106"/>
    <w:rsid w:val="00EB3112"/>
    <w:rsid w:val="00EB31FA"/>
    <w:rsid w:val="00EB381F"/>
    <w:rsid w:val="00EB3A02"/>
    <w:rsid w:val="00EB3C3C"/>
    <w:rsid w:val="00EB3F87"/>
    <w:rsid w:val="00EB4641"/>
    <w:rsid w:val="00EB4A97"/>
    <w:rsid w:val="00EB4DF3"/>
    <w:rsid w:val="00EB5430"/>
    <w:rsid w:val="00EB550A"/>
    <w:rsid w:val="00EB56BB"/>
    <w:rsid w:val="00EB5737"/>
    <w:rsid w:val="00EB5FCC"/>
    <w:rsid w:val="00EB6B21"/>
    <w:rsid w:val="00EB6D77"/>
    <w:rsid w:val="00EB6E73"/>
    <w:rsid w:val="00EB7124"/>
    <w:rsid w:val="00EB7639"/>
    <w:rsid w:val="00EB7717"/>
    <w:rsid w:val="00EB77CE"/>
    <w:rsid w:val="00EB77FE"/>
    <w:rsid w:val="00EB79BF"/>
    <w:rsid w:val="00EB7E03"/>
    <w:rsid w:val="00EB7F43"/>
    <w:rsid w:val="00EC05F8"/>
    <w:rsid w:val="00EC093B"/>
    <w:rsid w:val="00EC0A76"/>
    <w:rsid w:val="00EC0E16"/>
    <w:rsid w:val="00EC13AA"/>
    <w:rsid w:val="00EC1849"/>
    <w:rsid w:val="00EC18E0"/>
    <w:rsid w:val="00EC1E50"/>
    <w:rsid w:val="00EC20BC"/>
    <w:rsid w:val="00EC222E"/>
    <w:rsid w:val="00EC226F"/>
    <w:rsid w:val="00EC307E"/>
    <w:rsid w:val="00EC3360"/>
    <w:rsid w:val="00EC344E"/>
    <w:rsid w:val="00EC39BC"/>
    <w:rsid w:val="00EC3EC0"/>
    <w:rsid w:val="00EC4366"/>
    <w:rsid w:val="00EC462A"/>
    <w:rsid w:val="00EC46AC"/>
    <w:rsid w:val="00EC49F7"/>
    <w:rsid w:val="00EC5D03"/>
    <w:rsid w:val="00EC677D"/>
    <w:rsid w:val="00EC6AC3"/>
    <w:rsid w:val="00EC6E3C"/>
    <w:rsid w:val="00EC7204"/>
    <w:rsid w:val="00EC78FE"/>
    <w:rsid w:val="00EC7D10"/>
    <w:rsid w:val="00EC7E02"/>
    <w:rsid w:val="00ED0089"/>
    <w:rsid w:val="00ED13D1"/>
    <w:rsid w:val="00ED1516"/>
    <w:rsid w:val="00ED15DE"/>
    <w:rsid w:val="00ED1704"/>
    <w:rsid w:val="00ED1CAA"/>
    <w:rsid w:val="00ED242C"/>
    <w:rsid w:val="00ED2549"/>
    <w:rsid w:val="00ED2B4B"/>
    <w:rsid w:val="00ED2DED"/>
    <w:rsid w:val="00ED372F"/>
    <w:rsid w:val="00ED3809"/>
    <w:rsid w:val="00ED385A"/>
    <w:rsid w:val="00ED3896"/>
    <w:rsid w:val="00ED39E5"/>
    <w:rsid w:val="00ED3C85"/>
    <w:rsid w:val="00ED3DD6"/>
    <w:rsid w:val="00ED3E0C"/>
    <w:rsid w:val="00ED3FEF"/>
    <w:rsid w:val="00ED4174"/>
    <w:rsid w:val="00ED42B1"/>
    <w:rsid w:val="00ED470F"/>
    <w:rsid w:val="00ED4CC1"/>
    <w:rsid w:val="00ED4E92"/>
    <w:rsid w:val="00ED4EF1"/>
    <w:rsid w:val="00ED5069"/>
    <w:rsid w:val="00ED5160"/>
    <w:rsid w:val="00ED52DC"/>
    <w:rsid w:val="00ED5DBF"/>
    <w:rsid w:val="00ED6374"/>
    <w:rsid w:val="00ED65BB"/>
    <w:rsid w:val="00ED686E"/>
    <w:rsid w:val="00ED6C04"/>
    <w:rsid w:val="00ED6DE0"/>
    <w:rsid w:val="00ED6E2C"/>
    <w:rsid w:val="00ED72A5"/>
    <w:rsid w:val="00ED794D"/>
    <w:rsid w:val="00ED7CD6"/>
    <w:rsid w:val="00EE088E"/>
    <w:rsid w:val="00EE0978"/>
    <w:rsid w:val="00EE0BFE"/>
    <w:rsid w:val="00EE10A7"/>
    <w:rsid w:val="00EE197E"/>
    <w:rsid w:val="00EE204E"/>
    <w:rsid w:val="00EE22BE"/>
    <w:rsid w:val="00EE2A3D"/>
    <w:rsid w:val="00EE2AB0"/>
    <w:rsid w:val="00EE2C1F"/>
    <w:rsid w:val="00EE2EF3"/>
    <w:rsid w:val="00EE3084"/>
    <w:rsid w:val="00EE3779"/>
    <w:rsid w:val="00EE4C01"/>
    <w:rsid w:val="00EE4D35"/>
    <w:rsid w:val="00EE4D49"/>
    <w:rsid w:val="00EE5009"/>
    <w:rsid w:val="00EE574C"/>
    <w:rsid w:val="00EE583D"/>
    <w:rsid w:val="00EE5935"/>
    <w:rsid w:val="00EE5AD9"/>
    <w:rsid w:val="00EE5BCA"/>
    <w:rsid w:val="00EE6C47"/>
    <w:rsid w:val="00EE6EBB"/>
    <w:rsid w:val="00EE70D7"/>
    <w:rsid w:val="00EE77B1"/>
    <w:rsid w:val="00EE7B8A"/>
    <w:rsid w:val="00EF01AB"/>
    <w:rsid w:val="00EF03BB"/>
    <w:rsid w:val="00EF069A"/>
    <w:rsid w:val="00EF0E9F"/>
    <w:rsid w:val="00EF1534"/>
    <w:rsid w:val="00EF15BA"/>
    <w:rsid w:val="00EF238F"/>
    <w:rsid w:val="00EF258C"/>
    <w:rsid w:val="00EF29E0"/>
    <w:rsid w:val="00EF2EFB"/>
    <w:rsid w:val="00EF3771"/>
    <w:rsid w:val="00EF39D5"/>
    <w:rsid w:val="00EF4617"/>
    <w:rsid w:val="00EF491A"/>
    <w:rsid w:val="00EF4BAC"/>
    <w:rsid w:val="00EF532D"/>
    <w:rsid w:val="00EF5A0B"/>
    <w:rsid w:val="00EF5C70"/>
    <w:rsid w:val="00EF5DF1"/>
    <w:rsid w:val="00EF61A7"/>
    <w:rsid w:val="00EF622D"/>
    <w:rsid w:val="00EF6A5C"/>
    <w:rsid w:val="00EF6A75"/>
    <w:rsid w:val="00EF6C5C"/>
    <w:rsid w:val="00F00538"/>
    <w:rsid w:val="00F0074A"/>
    <w:rsid w:val="00F00824"/>
    <w:rsid w:val="00F01500"/>
    <w:rsid w:val="00F01B3F"/>
    <w:rsid w:val="00F01EEA"/>
    <w:rsid w:val="00F01FE6"/>
    <w:rsid w:val="00F01FFC"/>
    <w:rsid w:val="00F02357"/>
    <w:rsid w:val="00F0281F"/>
    <w:rsid w:val="00F0293C"/>
    <w:rsid w:val="00F02E82"/>
    <w:rsid w:val="00F0321E"/>
    <w:rsid w:val="00F033BE"/>
    <w:rsid w:val="00F03728"/>
    <w:rsid w:val="00F03747"/>
    <w:rsid w:val="00F03818"/>
    <w:rsid w:val="00F03E5F"/>
    <w:rsid w:val="00F04097"/>
    <w:rsid w:val="00F04329"/>
    <w:rsid w:val="00F04733"/>
    <w:rsid w:val="00F05312"/>
    <w:rsid w:val="00F053D4"/>
    <w:rsid w:val="00F05B48"/>
    <w:rsid w:val="00F05E91"/>
    <w:rsid w:val="00F06458"/>
    <w:rsid w:val="00F06765"/>
    <w:rsid w:val="00F06C2F"/>
    <w:rsid w:val="00F06DAD"/>
    <w:rsid w:val="00F0727E"/>
    <w:rsid w:val="00F07337"/>
    <w:rsid w:val="00F07F38"/>
    <w:rsid w:val="00F10120"/>
    <w:rsid w:val="00F102C4"/>
    <w:rsid w:val="00F10A37"/>
    <w:rsid w:val="00F10F20"/>
    <w:rsid w:val="00F119C5"/>
    <w:rsid w:val="00F11F58"/>
    <w:rsid w:val="00F12617"/>
    <w:rsid w:val="00F1297E"/>
    <w:rsid w:val="00F12D73"/>
    <w:rsid w:val="00F12F6B"/>
    <w:rsid w:val="00F12FF4"/>
    <w:rsid w:val="00F13828"/>
    <w:rsid w:val="00F13856"/>
    <w:rsid w:val="00F139FF"/>
    <w:rsid w:val="00F13CA5"/>
    <w:rsid w:val="00F13CBB"/>
    <w:rsid w:val="00F140CE"/>
    <w:rsid w:val="00F14D11"/>
    <w:rsid w:val="00F14DC8"/>
    <w:rsid w:val="00F14E8E"/>
    <w:rsid w:val="00F15B37"/>
    <w:rsid w:val="00F15B6E"/>
    <w:rsid w:val="00F15E2A"/>
    <w:rsid w:val="00F15F9D"/>
    <w:rsid w:val="00F16673"/>
    <w:rsid w:val="00F166C1"/>
    <w:rsid w:val="00F16CB0"/>
    <w:rsid w:val="00F178D0"/>
    <w:rsid w:val="00F17ACE"/>
    <w:rsid w:val="00F17FF6"/>
    <w:rsid w:val="00F2000B"/>
    <w:rsid w:val="00F20261"/>
    <w:rsid w:val="00F20C8D"/>
    <w:rsid w:val="00F2155B"/>
    <w:rsid w:val="00F21884"/>
    <w:rsid w:val="00F21C18"/>
    <w:rsid w:val="00F21D6F"/>
    <w:rsid w:val="00F22094"/>
    <w:rsid w:val="00F221A0"/>
    <w:rsid w:val="00F22E54"/>
    <w:rsid w:val="00F233C1"/>
    <w:rsid w:val="00F2366A"/>
    <w:rsid w:val="00F244AD"/>
    <w:rsid w:val="00F2485F"/>
    <w:rsid w:val="00F2497F"/>
    <w:rsid w:val="00F258CF"/>
    <w:rsid w:val="00F25CF5"/>
    <w:rsid w:val="00F260CA"/>
    <w:rsid w:val="00F26119"/>
    <w:rsid w:val="00F263B3"/>
    <w:rsid w:val="00F2642E"/>
    <w:rsid w:val="00F26529"/>
    <w:rsid w:val="00F26B39"/>
    <w:rsid w:val="00F274F6"/>
    <w:rsid w:val="00F275BD"/>
    <w:rsid w:val="00F27D36"/>
    <w:rsid w:val="00F305D8"/>
    <w:rsid w:val="00F30707"/>
    <w:rsid w:val="00F30AD0"/>
    <w:rsid w:val="00F30DAB"/>
    <w:rsid w:val="00F3115A"/>
    <w:rsid w:val="00F311A2"/>
    <w:rsid w:val="00F312D8"/>
    <w:rsid w:val="00F31404"/>
    <w:rsid w:val="00F316F3"/>
    <w:rsid w:val="00F31B38"/>
    <w:rsid w:val="00F322B8"/>
    <w:rsid w:val="00F324F8"/>
    <w:rsid w:val="00F3269A"/>
    <w:rsid w:val="00F327A0"/>
    <w:rsid w:val="00F32BF5"/>
    <w:rsid w:val="00F32CC2"/>
    <w:rsid w:val="00F32DB9"/>
    <w:rsid w:val="00F32DEA"/>
    <w:rsid w:val="00F32E5E"/>
    <w:rsid w:val="00F33259"/>
    <w:rsid w:val="00F33B7A"/>
    <w:rsid w:val="00F33D6C"/>
    <w:rsid w:val="00F33D94"/>
    <w:rsid w:val="00F34797"/>
    <w:rsid w:val="00F34860"/>
    <w:rsid w:val="00F349DD"/>
    <w:rsid w:val="00F34C90"/>
    <w:rsid w:val="00F34DFB"/>
    <w:rsid w:val="00F350FE"/>
    <w:rsid w:val="00F35B77"/>
    <w:rsid w:val="00F35BB8"/>
    <w:rsid w:val="00F36361"/>
    <w:rsid w:val="00F363C1"/>
    <w:rsid w:val="00F366EA"/>
    <w:rsid w:val="00F367FA"/>
    <w:rsid w:val="00F36CDC"/>
    <w:rsid w:val="00F36D9D"/>
    <w:rsid w:val="00F371A5"/>
    <w:rsid w:val="00F374AB"/>
    <w:rsid w:val="00F37901"/>
    <w:rsid w:val="00F37DFC"/>
    <w:rsid w:val="00F37E65"/>
    <w:rsid w:val="00F40314"/>
    <w:rsid w:val="00F40927"/>
    <w:rsid w:val="00F41464"/>
    <w:rsid w:val="00F415A8"/>
    <w:rsid w:val="00F41712"/>
    <w:rsid w:val="00F41C84"/>
    <w:rsid w:val="00F41EC3"/>
    <w:rsid w:val="00F423FA"/>
    <w:rsid w:val="00F4253A"/>
    <w:rsid w:val="00F42640"/>
    <w:rsid w:val="00F4269F"/>
    <w:rsid w:val="00F42B0B"/>
    <w:rsid w:val="00F42BCF"/>
    <w:rsid w:val="00F42DE5"/>
    <w:rsid w:val="00F42F4D"/>
    <w:rsid w:val="00F4347C"/>
    <w:rsid w:val="00F4402B"/>
    <w:rsid w:val="00F442CA"/>
    <w:rsid w:val="00F44432"/>
    <w:rsid w:val="00F44B29"/>
    <w:rsid w:val="00F4519C"/>
    <w:rsid w:val="00F454E5"/>
    <w:rsid w:val="00F4574C"/>
    <w:rsid w:val="00F458DB"/>
    <w:rsid w:val="00F45FFB"/>
    <w:rsid w:val="00F463A8"/>
    <w:rsid w:val="00F4682C"/>
    <w:rsid w:val="00F46E7B"/>
    <w:rsid w:val="00F470D2"/>
    <w:rsid w:val="00F4737E"/>
    <w:rsid w:val="00F5049C"/>
    <w:rsid w:val="00F51302"/>
    <w:rsid w:val="00F513FE"/>
    <w:rsid w:val="00F51506"/>
    <w:rsid w:val="00F5186D"/>
    <w:rsid w:val="00F51AFD"/>
    <w:rsid w:val="00F51CE7"/>
    <w:rsid w:val="00F51D09"/>
    <w:rsid w:val="00F5240D"/>
    <w:rsid w:val="00F52560"/>
    <w:rsid w:val="00F52583"/>
    <w:rsid w:val="00F527AE"/>
    <w:rsid w:val="00F52813"/>
    <w:rsid w:val="00F52A46"/>
    <w:rsid w:val="00F530EB"/>
    <w:rsid w:val="00F53C19"/>
    <w:rsid w:val="00F53C5F"/>
    <w:rsid w:val="00F54288"/>
    <w:rsid w:val="00F5428E"/>
    <w:rsid w:val="00F542DB"/>
    <w:rsid w:val="00F54B2D"/>
    <w:rsid w:val="00F54F7B"/>
    <w:rsid w:val="00F54FA3"/>
    <w:rsid w:val="00F55026"/>
    <w:rsid w:val="00F5508A"/>
    <w:rsid w:val="00F55870"/>
    <w:rsid w:val="00F55A80"/>
    <w:rsid w:val="00F55ABF"/>
    <w:rsid w:val="00F55ACF"/>
    <w:rsid w:val="00F55ADB"/>
    <w:rsid w:val="00F55D7A"/>
    <w:rsid w:val="00F566E3"/>
    <w:rsid w:val="00F56768"/>
    <w:rsid w:val="00F569F7"/>
    <w:rsid w:val="00F56B45"/>
    <w:rsid w:val="00F56FC9"/>
    <w:rsid w:val="00F57326"/>
    <w:rsid w:val="00F5781D"/>
    <w:rsid w:val="00F57920"/>
    <w:rsid w:val="00F57B5E"/>
    <w:rsid w:val="00F6048D"/>
    <w:rsid w:val="00F60B10"/>
    <w:rsid w:val="00F60B6F"/>
    <w:rsid w:val="00F60B9D"/>
    <w:rsid w:val="00F60D60"/>
    <w:rsid w:val="00F60F61"/>
    <w:rsid w:val="00F61104"/>
    <w:rsid w:val="00F613E9"/>
    <w:rsid w:val="00F61599"/>
    <w:rsid w:val="00F61EA1"/>
    <w:rsid w:val="00F61EB6"/>
    <w:rsid w:val="00F6225B"/>
    <w:rsid w:val="00F62739"/>
    <w:rsid w:val="00F62B73"/>
    <w:rsid w:val="00F6313F"/>
    <w:rsid w:val="00F638F6"/>
    <w:rsid w:val="00F640EC"/>
    <w:rsid w:val="00F645D4"/>
    <w:rsid w:val="00F64C1C"/>
    <w:rsid w:val="00F64D50"/>
    <w:rsid w:val="00F64EFA"/>
    <w:rsid w:val="00F64F4E"/>
    <w:rsid w:val="00F65022"/>
    <w:rsid w:val="00F650D8"/>
    <w:rsid w:val="00F652FD"/>
    <w:rsid w:val="00F657E9"/>
    <w:rsid w:val="00F658A1"/>
    <w:rsid w:val="00F65B2B"/>
    <w:rsid w:val="00F65BA2"/>
    <w:rsid w:val="00F65CF2"/>
    <w:rsid w:val="00F65E36"/>
    <w:rsid w:val="00F65F36"/>
    <w:rsid w:val="00F6631B"/>
    <w:rsid w:val="00F666F0"/>
    <w:rsid w:val="00F667EA"/>
    <w:rsid w:val="00F66981"/>
    <w:rsid w:val="00F66E8F"/>
    <w:rsid w:val="00F6750A"/>
    <w:rsid w:val="00F67538"/>
    <w:rsid w:val="00F7073F"/>
    <w:rsid w:val="00F70849"/>
    <w:rsid w:val="00F70D69"/>
    <w:rsid w:val="00F7136C"/>
    <w:rsid w:val="00F7216A"/>
    <w:rsid w:val="00F72483"/>
    <w:rsid w:val="00F73511"/>
    <w:rsid w:val="00F7365B"/>
    <w:rsid w:val="00F741F2"/>
    <w:rsid w:val="00F7468F"/>
    <w:rsid w:val="00F747B4"/>
    <w:rsid w:val="00F749D6"/>
    <w:rsid w:val="00F75153"/>
    <w:rsid w:val="00F75847"/>
    <w:rsid w:val="00F759FB"/>
    <w:rsid w:val="00F75DE2"/>
    <w:rsid w:val="00F764A5"/>
    <w:rsid w:val="00F76606"/>
    <w:rsid w:val="00F7669B"/>
    <w:rsid w:val="00F76BAA"/>
    <w:rsid w:val="00F773E3"/>
    <w:rsid w:val="00F776F8"/>
    <w:rsid w:val="00F77757"/>
    <w:rsid w:val="00F77D5E"/>
    <w:rsid w:val="00F8000F"/>
    <w:rsid w:val="00F80021"/>
    <w:rsid w:val="00F8018E"/>
    <w:rsid w:val="00F80682"/>
    <w:rsid w:val="00F80B41"/>
    <w:rsid w:val="00F80CA4"/>
    <w:rsid w:val="00F81211"/>
    <w:rsid w:val="00F81408"/>
    <w:rsid w:val="00F81415"/>
    <w:rsid w:val="00F81430"/>
    <w:rsid w:val="00F81547"/>
    <w:rsid w:val="00F8187F"/>
    <w:rsid w:val="00F81979"/>
    <w:rsid w:val="00F81B23"/>
    <w:rsid w:val="00F81B4C"/>
    <w:rsid w:val="00F81BFD"/>
    <w:rsid w:val="00F81C0D"/>
    <w:rsid w:val="00F82314"/>
    <w:rsid w:val="00F82513"/>
    <w:rsid w:val="00F8305A"/>
    <w:rsid w:val="00F83935"/>
    <w:rsid w:val="00F84101"/>
    <w:rsid w:val="00F84408"/>
    <w:rsid w:val="00F84D43"/>
    <w:rsid w:val="00F857D1"/>
    <w:rsid w:val="00F8691A"/>
    <w:rsid w:val="00F87081"/>
    <w:rsid w:val="00F90179"/>
    <w:rsid w:val="00F90298"/>
    <w:rsid w:val="00F90664"/>
    <w:rsid w:val="00F90B8E"/>
    <w:rsid w:val="00F9168D"/>
    <w:rsid w:val="00F91B27"/>
    <w:rsid w:val="00F91E76"/>
    <w:rsid w:val="00F91EA9"/>
    <w:rsid w:val="00F92179"/>
    <w:rsid w:val="00F927EA"/>
    <w:rsid w:val="00F92B34"/>
    <w:rsid w:val="00F92B39"/>
    <w:rsid w:val="00F939B0"/>
    <w:rsid w:val="00F93A83"/>
    <w:rsid w:val="00F93C50"/>
    <w:rsid w:val="00F93F69"/>
    <w:rsid w:val="00F94276"/>
    <w:rsid w:val="00F943C2"/>
    <w:rsid w:val="00F94512"/>
    <w:rsid w:val="00F945E8"/>
    <w:rsid w:val="00F9476A"/>
    <w:rsid w:val="00F947B6"/>
    <w:rsid w:val="00F948B9"/>
    <w:rsid w:val="00F94E4C"/>
    <w:rsid w:val="00F958CE"/>
    <w:rsid w:val="00F962D1"/>
    <w:rsid w:val="00F963FF"/>
    <w:rsid w:val="00F96429"/>
    <w:rsid w:val="00F96485"/>
    <w:rsid w:val="00F968B2"/>
    <w:rsid w:val="00F96968"/>
    <w:rsid w:val="00F96AA7"/>
    <w:rsid w:val="00F96BCA"/>
    <w:rsid w:val="00F96FB0"/>
    <w:rsid w:val="00F9741E"/>
    <w:rsid w:val="00F97576"/>
    <w:rsid w:val="00F97D0C"/>
    <w:rsid w:val="00F97F92"/>
    <w:rsid w:val="00FA0214"/>
    <w:rsid w:val="00FA115B"/>
    <w:rsid w:val="00FA146C"/>
    <w:rsid w:val="00FA187B"/>
    <w:rsid w:val="00FA1F1F"/>
    <w:rsid w:val="00FA23D7"/>
    <w:rsid w:val="00FA2561"/>
    <w:rsid w:val="00FA2728"/>
    <w:rsid w:val="00FA2B74"/>
    <w:rsid w:val="00FA3278"/>
    <w:rsid w:val="00FA32A0"/>
    <w:rsid w:val="00FA38B1"/>
    <w:rsid w:val="00FA3BAF"/>
    <w:rsid w:val="00FA538C"/>
    <w:rsid w:val="00FA6406"/>
    <w:rsid w:val="00FA6441"/>
    <w:rsid w:val="00FA6573"/>
    <w:rsid w:val="00FA66FC"/>
    <w:rsid w:val="00FA685B"/>
    <w:rsid w:val="00FA697E"/>
    <w:rsid w:val="00FA6A51"/>
    <w:rsid w:val="00FA6BC7"/>
    <w:rsid w:val="00FA6C5F"/>
    <w:rsid w:val="00FA6D74"/>
    <w:rsid w:val="00FA6EA2"/>
    <w:rsid w:val="00FB044F"/>
    <w:rsid w:val="00FB0916"/>
    <w:rsid w:val="00FB0EE3"/>
    <w:rsid w:val="00FB0F4C"/>
    <w:rsid w:val="00FB120C"/>
    <w:rsid w:val="00FB147E"/>
    <w:rsid w:val="00FB1948"/>
    <w:rsid w:val="00FB1F62"/>
    <w:rsid w:val="00FB2959"/>
    <w:rsid w:val="00FB2ADB"/>
    <w:rsid w:val="00FB2CF8"/>
    <w:rsid w:val="00FB2FAF"/>
    <w:rsid w:val="00FB31B5"/>
    <w:rsid w:val="00FB32E6"/>
    <w:rsid w:val="00FB33B6"/>
    <w:rsid w:val="00FB3871"/>
    <w:rsid w:val="00FB3BDF"/>
    <w:rsid w:val="00FB3C18"/>
    <w:rsid w:val="00FB46BE"/>
    <w:rsid w:val="00FB4958"/>
    <w:rsid w:val="00FB49C3"/>
    <w:rsid w:val="00FB5040"/>
    <w:rsid w:val="00FB505F"/>
    <w:rsid w:val="00FB5474"/>
    <w:rsid w:val="00FB5D6E"/>
    <w:rsid w:val="00FB6108"/>
    <w:rsid w:val="00FB6431"/>
    <w:rsid w:val="00FB6497"/>
    <w:rsid w:val="00FB6592"/>
    <w:rsid w:val="00FB6A19"/>
    <w:rsid w:val="00FB7073"/>
    <w:rsid w:val="00FB74FA"/>
    <w:rsid w:val="00FB7563"/>
    <w:rsid w:val="00FB770B"/>
    <w:rsid w:val="00FB7835"/>
    <w:rsid w:val="00FB79E7"/>
    <w:rsid w:val="00FB7E00"/>
    <w:rsid w:val="00FB7E9A"/>
    <w:rsid w:val="00FC0885"/>
    <w:rsid w:val="00FC0B96"/>
    <w:rsid w:val="00FC0BD3"/>
    <w:rsid w:val="00FC11BE"/>
    <w:rsid w:val="00FC1239"/>
    <w:rsid w:val="00FC1452"/>
    <w:rsid w:val="00FC2176"/>
    <w:rsid w:val="00FC237E"/>
    <w:rsid w:val="00FC2684"/>
    <w:rsid w:val="00FC28A5"/>
    <w:rsid w:val="00FC2AC2"/>
    <w:rsid w:val="00FC300B"/>
    <w:rsid w:val="00FC375F"/>
    <w:rsid w:val="00FC3974"/>
    <w:rsid w:val="00FC39D4"/>
    <w:rsid w:val="00FC3B40"/>
    <w:rsid w:val="00FC4007"/>
    <w:rsid w:val="00FC4263"/>
    <w:rsid w:val="00FC4A0F"/>
    <w:rsid w:val="00FC4A3C"/>
    <w:rsid w:val="00FC4B80"/>
    <w:rsid w:val="00FC5279"/>
    <w:rsid w:val="00FC5944"/>
    <w:rsid w:val="00FC6393"/>
    <w:rsid w:val="00FC6911"/>
    <w:rsid w:val="00FC6E2C"/>
    <w:rsid w:val="00FC71E3"/>
    <w:rsid w:val="00FC7568"/>
    <w:rsid w:val="00FC780A"/>
    <w:rsid w:val="00FD06B4"/>
    <w:rsid w:val="00FD09E8"/>
    <w:rsid w:val="00FD0FFC"/>
    <w:rsid w:val="00FD198A"/>
    <w:rsid w:val="00FD2228"/>
    <w:rsid w:val="00FD2EC5"/>
    <w:rsid w:val="00FD33C4"/>
    <w:rsid w:val="00FD3939"/>
    <w:rsid w:val="00FD3DE2"/>
    <w:rsid w:val="00FD40C5"/>
    <w:rsid w:val="00FD41F2"/>
    <w:rsid w:val="00FD45DD"/>
    <w:rsid w:val="00FD4A58"/>
    <w:rsid w:val="00FD4D29"/>
    <w:rsid w:val="00FD538E"/>
    <w:rsid w:val="00FD5395"/>
    <w:rsid w:val="00FD5ABD"/>
    <w:rsid w:val="00FD5CCE"/>
    <w:rsid w:val="00FD64B9"/>
    <w:rsid w:val="00FD6626"/>
    <w:rsid w:val="00FD69AF"/>
    <w:rsid w:val="00FD7490"/>
    <w:rsid w:val="00FD75D3"/>
    <w:rsid w:val="00FD7EB6"/>
    <w:rsid w:val="00FE008B"/>
    <w:rsid w:val="00FE077A"/>
    <w:rsid w:val="00FE215A"/>
    <w:rsid w:val="00FE2892"/>
    <w:rsid w:val="00FE2B50"/>
    <w:rsid w:val="00FE2E4E"/>
    <w:rsid w:val="00FE333F"/>
    <w:rsid w:val="00FE372D"/>
    <w:rsid w:val="00FE39F1"/>
    <w:rsid w:val="00FE3AA0"/>
    <w:rsid w:val="00FE3F6E"/>
    <w:rsid w:val="00FE4CB5"/>
    <w:rsid w:val="00FE4E2B"/>
    <w:rsid w:val="00FE4E30"/>
    <w:rsid w:val="00FE4E31"/>
    <w:rsid w:val="00FE51A5"/>
    <w:rsid w:val="00FE53F4"/>
    <w:rsid w:val="00FE5524"/>
    <w:rsid w:val="00FE597B"/>
    <w:rsid w:val="00FE5A80"/>
    <w:rsid w:val="00FE6577"/>
    <w:rsid w:val="00FE675D"/>
    <w:rsid w:val="00FE6777"/>
    <w:rsid w:val="00FE6A50"/>
    <w:rsid w:val="00FE7103"/>
    <w:rsid w:val="00FE7383"/>
    <w:rsid w:val="00FE7C3D"/>
    <w:rsid w:val="00FF011D"/>
    <w:rsid w:val="00FF01C4"/>
    <w:rsid w:val="00FF026E"/>
    <w:rsid w:val="00FF0E80"/>
    <w:rsid w:val="00FF1E1D"/>
    <w:rsid w:val="00FF26C0"/>
    <w:rsid w:val="00FF3939"/>
    <w:rsid w:val="00FF492A"/>
    <w:rsid w:val="00FF51AC"/>
    <w:rsid w:val="00FF525B"/>
    <w:rsid w:val="00FF563D"/>
    <w:rsid w:val="00FF5650"/>
    <w:rsid w:val="00FF56CF"/>
    <w:rsid w:val="00FF5A67"/>
    <w:rsid w:val="00FF5EF9"/>
    <w:rsid w:val="00FF61C4"/>
    <w:rsid w:val="00FF6258"/>
    <w:rsid w:val="00FF6261"/>
    <w:rsid w:val="00FF6743"/>
    <w:rsid w:val="00FF6750"/>
    <w:rsid w:val="00FF69DB"/>
    <w:rsid w:val="00FF6B12"/>
    <w:rsid w:val="00FF6BEC"/>
    <w:rsid w:val="00FF6E45"/>
    <w:rsid w:val="00FF6F71"/>
    <w:rsid w:val="00FF6FA2"/>
    <w:rsid w:val="00FF7065"/>
    <w:rsid w:val="00FF72C0"/>
    <w:rsid w:val="00FF784D"/>
    <w:rsid w:val="00FF7E04"/>
    <w:rsid w:val="00FF7EB0"/>
    <w:rsid w:val="052CE192"/>
    <w:rsid w:val="141FC085"/>
    <w:rsid w:val="4FBEDFFF"/>
    <w:rsid w:val="5AE690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092D"/>
  <w15:docId w15:val="{A37DA94B-2787-4159-BA53-7296EFF4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B64FA6"/>
    <w:pPr>
      <w:numPr>
        <w:numId w:val="55"/>
      </w:numPr>
      <w:ind w:left="284" w:hanging="284"/>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8"/>
      </w:numPr>
    </w:pPr>
  </w:style>
  <w:style w:type="paragraph" w:customStyle="1" w:styleId="Heading2numbered">
    <w:name w:val="Heading 2 numbered"/>
    <w:basedOn w:val="Heading2"/>
    <w:next w:val="Normal"/>
    <w:qFormat/>
    <w:rsid w:val="005F5578"/>
    <w:pPr>
      <w:numPr>
        <w:ilvl w:val="1"/>
        <w:numId w:val="8"/>
      </w:numPr>
    </w:pPr>
  </w:style>
  <w:style w:type="numbering" w:customStyle="1" w:styleId="Bullet">
    <w:name w:val="Bullet"/>
    <w:uiPriority w:val="99"/>
    <w:rsid w:val="00DC2B59"/>
    <w:pPr>
      <w:numPr>
        <w:numId w:val="6"/>
      </w:numPr>
    </w:pPr>
  </w:style>
  <w:style w:type="numbering" w:customStyle="1" w:styleId="NumberedHeadings">
    <w:name w:val="Numbered Headings"/>
    <w:uiPriority w:val="99"/>
    <w:rsid w:val="005F5578"/>
    <w:pPr>
      <w:numPr>
        <w:numId w:val="1"/>
      </w:numPr>
    </w:pPr>
  </w:style>
  <w:style w:type="paragraph" w:styleId="ListBullet2">
    <w:name w:val="List Bullet 2"/>
    <w:basedOn w:val="Normal"/>
    <w:link w:val="ListBullet2Char"/>
    <w:uiPriority w:val="99"/>
    <w:unhideWhenUsed/>
    <w:qFormat/>
    <w:rsid w:val="007F66BF"/>
    <w:pPr>
      <w:numPr>
        <w:numId w:val="56"/>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B367C2"/>
    <w:pPr>
      <w:tabs>
        <w:tab w:val="left" w:pos="851"/>
      </w:tabs>
      <w:ind w:left="284" w:hanging="284"/>
    </w:pPr>
    <w:rPr>
      <w:bCs/>
      <w:noProof/>
    </w:rPr>
  </w:style>
  <w:style w:type="paragraph" w:styleId="TOC1">
    <w:name w:val="toc 1"/>
    <w:basedOn w:val="Normal"/>
    <w:next w:val="Normal"/>
    <w:autoRedefine/>
    <w:uiPriority w:val="39"/>
    <w:rsid w:val="00921A8F"/>
    <w:pPr>
      <w:tabs>
        <w:tab w:val="left" w:pos="426"/>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semiHidden/>
    <w:qFormat/>
    <w:rsid w:val="00DC2B59"/>
    <w:pPr>
      <w:numPr>
        <w:ilvl w:val="2"/>
        <w:numId w:val="6"/>
      </w:numPr>
      <w:contextualSpacing/>
    </w:pPr>
  </w:style>
  <w:style w:type="paragraph" w:styleId="ListBullet3">
    <w:name w:val="List Bullet 3"/>
    <w:basedOn w:val="Normal"/>
    <w:uiPriority w:val="99"/>
    <w:unhideWhenUsed/>
    <w:rsid w:val="00DC2B59"/>
    <w:pPr>
      <w:numPr>
        <w:ilvl w:val="3"/>
        <w:numId w:val="6"/>
      </w:numPr>
      <w:contextualSpacing/>
    </w:pPr>
  </w:style>
  <w:style w:type="paragraph" w:styleId="ListNumber">
    <w:name w:val="List Number"/>
    <w:basedOn w:val="Normal"/>
    <w:uiPriority w:val="99"/>
    <w:unhideWhenUsed/>
    <w:rsid w:val="006F29EA"/>
    <w:pPr>
      <w:numPr>
        <w:numId w:val="9"/>
      </w:numPr>
      <w:contextualSpacing/>
    </w:pPr>
  </w:style>
  <w:style w:type="paragraph" w:styleId="ListNumber2">
    <w:name w:val="List Number 2"/>
    <w:basedOn w:val="Normal"/>
    <w:uiPriority w:val="99"/>
    <w:unhideWhenUsed/>
    <w:qFormat/>
    <w:rsid w:val="006F29EA"/>
    <w:pPr>
      <w:numPr>
        <w:ilvl w:val="1"/>
        <w:numId w:val="9"/>
      </w:numPr>
      <w:contextualSpacing/>
    </w:pPr>
  </w:style>
  <w:style w:type="numbering" w:customStyle="1" w:styleId="CustomNumberlist">
    <w:name w:val="Custom Number list"/>
    <w:uiPriority w:val="99"/>
    <w:rsid w:val="006F29EA"/>
    <w:pPr>
      <w:numPr>
        <w:numId w:val="2"/>
      </w:numPr>
    </w:pPr>
  </w:style>
  <w:style w:type="paragraph" w:customStyle="1" w:styleId="ListLetters0">
    <w:name w:val="List Letters"/>
    <w:link w:val="ListLettersChar"/>
    <w:qFormat/>
    <w:rsid w:val="00CF34D6"/>
    <w:pPr>
      <w:numPr>
        <w:numId w:val="50"/>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9"/>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1D254F"/>
    <w:pPr>
      <w:ind w:left="567" w:firstLine="0"/>
    </w:pPr>
    <w:rPr>
      <w:b w:val="0"/>
      <w:bCs w:val="0"/>
    </w:r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
      </w:numPr>
      <w:spacing w:after="0"/>
    </w:pPr>
  </w:style>
  <w:style w:type="paragraph" w:customStyle="1" w:styleId="TableBullet2">
    <w:name w:val="Table Bullet 2"/>
    <w:basedOn w:val="ListBullet2"/>
    <w:link w:val="TableBullet2Char"/>
    <w:qFormat/>
    <w:rsid w:val="00E03B00"/>
    <w:pPr>
      <w:numPr>
        <w:ilvl w:val="1"/>
        <w:numId w:val="7"/>
      </w:numPr>
      <w:spacing w:after="0"/>
    </w:pPr>
  </w:style>
  <w:style w:type="character" w:customStyle="1" w:styleId="ListBulletChar">
    <w:name w:val="List Bullet Char"/>
    <w:basedOn w:val="DefaultParagraphFont"/>
    <w:link w:val="ListBullet"/>
    <w:uiPriority w:val="99"/>
    <w:rsid w:val="00B53D67"/>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7"/>
      </w:numPr>
    </w:pPr>
  </w:style>
  <w:style w:type="character" w:customStyle="1" w:styleId="ListBullet2Char">
    <w:name w:val="List Bullet 2 Char"/>
    <w:basedOn w:val="DefaultParagraphFont"/>
    <w:link w:val="ListBullet2"/>
    <w:uiPriority w:val="99"/>
    <w:rsid w:val="007F66BF"/>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numPr>
        <w:ilvl w:val="3"/>
        <w:numId w:val="8"/>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8"/>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10"/>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11"/>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11"/>
      </w:numPr>
    </w:pPr>
  </w:style>
  <w:style w:type="paragraph" w:styleId="TOC4">
    <w:name w:val="toc 4"/>
    <w:basedOn w:val="Normal"/>
    <w:next w:val="Normal"/>
    <w:autoRedefine/>
    <w:uiPriority w:val="39"/>
    <w:rsid w:val="001D254F"/>
    <w:pPr>
      <w:tabs>
        <w:tab w:val="left" w:pos="851"/>
        <w:tab w:val="right" w:pos="9582"/>
      </w:tabs>
      <w:adjustRightInd w:val="0"/>
      <w:spacing w:before="40" w:after="40" w:line="288" w:lineRule="auto"/>
      <w:ind w:left="426" w:right="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styleId="UnresolvedMention">
    <w:name w:val="Unresolved Mention"/>
    <w:basedOn w:val="DefaultParagraphFont"/>
    <w:uiPriority w:val="99"/>
    <w:semiHidden/>
    <w:unhideWhenUsed/>
    <w:rsid w:val="00B23B33"/>
    <w:rPr>
      <w:color w:val="605E5C"/>
      <w:shd w:val="clear" w:color="auto" w:fill="E1DFDD"/>
    </w:rPr>
  </w:style>
  <w:style w:type="paragraph" w:styleId="CommentText">
    <w:name w:val="annotation text"/>
    <w:basedOn w:val="Normal"/>
    <w:link w:val="CommentTextChar"/>
    <w:uiPriority w:val="99"/>
    <w:unhideWhenUsed/>
    <w:rsid w:val="0075190E"/>
    <w:pPr>
      <w:spacing w:line="240" w:lineRule="auto"/>
    </w:pPr>
    <w:rPr>
      <w:sz w:val="20"/>
      <w:szCs w:val="20"/>
    </w:rPr>
  </w:style>
  <w:style w:type="character" w:customStyle="1" w:styleId="CommentTextChar">
    <w:name w:val="Comment Text Char"/>
    <w:basedOn w:val="DefaultParagraphFont"/>
    <w:link w:val="CommentText"/>
    <w:uiPriority w:val="99"/>
    <w:rsid w:val="0075190E"/>
    <w:rPr>
      <w:sz w:val="20"/>
      <w:szCs w:val="20"/>
      <w:lang w:val="en-AU"/>
    </w:rPr>
  </w:style>
  <w:style w:type="character" w:styleId="CommentReference">
    <w:name w:val="annotation reference"/>
    <w:basedOn w:val="DefaultParagraphFont"/>
    <w:uiPriority w:val="99"/>
    <w:unhideWhenUsed/>
    <w:rsid w:val="0075190E"/>
    <w:rPr>
      <w:sz w:val="16"/>
      <w:szCs w:val="16"/>
    </w:rPr>
  </w:style>
  <w:style w:type="paragraph" w:styleId="CommentSubject">
    <w:name w:val="annotation subject"/>
    <w:basedOn w:val="CommentText"/>
    <w:next w:val="CommentText"/>
    <w:link w:val="CommentSubjectChar"/>
    <w:uiPriority w:val="99"/>
    <w:semiHidden/>
    <w:unhideWhenUsed/>
    <w:rsid w:val="00925A85"/>
    <w:rPr>
      <w:b/>
      <w:bCs/>
    </w:rPr>
  </w:style>
  <w:style w:type="character" w:customStyle="1" w:styleId="CommentSubjectChar">
    <w:name w:val="Comment Subject Char"/>
    <w:basedOn w:val="CommentTextChar"/>
    <w:link w:val="CommentSubject"/>
    <w:uiPriority w:val="99"/>
    <w:semiHidden/>
    <w:rsid w:val="00925A85"/>
    <w:rPr>
      <w:b/>
      <w:bCs/>
      <w:sz w:val="20"/>
      <w:szCs w:val="20"/>
      <w:lang w:val="en-AU"/>
    </w:rPr>
  </w:style>
  <w:style w:type="paragraph" w:styleId="Revision">
    <w:name w:val="Revision"/>
    <w:hidden/>
    <w:uiPriority w:val="99"/>
    <w:semiHidden/>
    <w:rsid w:val="00810920"/>
    <w:pPr>
      <w:spacing w:after="0" w:line="240" w:lineRule="auto"/>
    </w:pPr>
    <w:rPr>
      <w:lang w:val="en-AU"/>
    </w:rPr>
  </w:style>
  <w:style w:type="character" w:styleId="Mention">
    <w:name w:val="Mention"/>
    <w:basedOn w:val="DefaultParagraphFont"/>
    <w:uiPriority w:val="99"/>
    <w:unhideWhenUsed/>
    <w:rsid w:val="000968B4"/>
    <w:rPr>
      <w:color w:val="2B579A"/>
      <w:shd w:val="clear" w:color="auto" w:fill="E1DFDD"/>
    </w:rPr>
  </w:style>
  <w:style w:type="character" w:styleId="FollowedHyperlink">
    <w:name w:val="FollowedHyperlink"/>
    <w:basedOn w:val="DefaultParagraphFont"/>
    <w:uiPriority w:val="99"/>
    <w:semiHidden/>
    <w:unhideWhenUsed/>
    <w:rsid w:val="008525BF"/>
    <w:rPr>
      <w:color w:val="000000" w:themeColor="followedHyperlink"/>
      <w:u w:val="single"/>
    </w:rPr>
  </w:style>
  <w:style w:type="paragraph" w:styleId="EndnoteText">
    <w:name w:val="endnote text"/>
    <w:basedOn w:val="Normal"/>
    <w:link w:val="EndnoteTextChar"/>
    <w:uiPriority w:val="99"/>
    <w:semiHidden/>
    <w:unhideWhenUsed/>
    <w:rsid w:val="001B006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006E"/>
    <w:rPr>
      <w:sz w:val="20"/>
      <w:szCs w:val="20"/>
      <w:lang w:val="en-AU"/>
    </w:rPr>
  </w:style>
  <w:style w:type="character" w:styleId="EndnoteReference">
    <w:name w:val="endnote reference"/>
    <w:basedOn w:val="DefaultParagraphFont"/>
    <w:uiPriority w:val="99"/>
    <w:semiHidden/>
    <w:unhideWhenUsed/>
    <w:rsid w:val="001B0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4565">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553196668">
      <w:bodyDiv w:val="1"/>
      <w:marLeft w:val="0"/>
      <w:marRight w:val="0"/>
      <w:marTop w:val="0"/>
      <w:marBottom w:val="0"/>
      <w:divBdr>
        <w:top w:val="none" w:sz="0" w:space="0" w:color="auto"/>
        <w:left w:val="none" w:sz="0" w:space="0" w:color="auto"/>
        <w:bottom w:val="none" w:sz="0" w:space="0" w:color="auto"/>
        <w:right w:val="none" w:sz="0" w:space="0" w:color="auto"/>
      </w:divBdr>
    </w:div>
    <w:div w:id="1199900277">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953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https://www.esc.vic.gov.au/about-us/our-policies/our-submissions-policy" TargetMode="Externa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image" Target="media/image3.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hyperlink" Target="http://creativecommons.org/licenses/by/4.0/"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hyperlink" Target="mailto:water@esc.vic.gov.au" TargetMode="External"/><Relationship Id="rId30" Type="http://schemas.openxmlformats.org/officeDocument/2006/relationships/footer" Target="footer5.xml"/><Relationship Id="rId35" Type="http://schemas.openxmlformats.org/officeDocument/2006/relationships/footer" Target="foot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esc.vic.gov.au/sites/default/files/documents/public-submissions-policy-202009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4DCCD14F4430B410C534DEC49CFC"/>
        <w:category>
          <w:name w:val="General"/>
          <w:gallery w:val="placeholder"/>
        </w:category>
        <w:types>
          <w:type w:val="bbPlcHdr"/>
        </w:types>
        <w:behaviors>
          <w:behavior w:val="content"/>
        </w:behaviors>
        <w:guid w:val="{F9145317-1F7D-495B-8401-A6F325B7EA43}"/>
      </w:docPartPr>
      <w:docPartBody>
        <w:p w:rsidR="008C4DE6" w:rsidRDefault="008C4DE6">
          <w:pPr>
            <w:pStyle w:val="F0144DCCD14F4430B410C534DEC49CFC"/>
          </w:pPr>
          <w:r w:rsidRPr="00360763">
            <w:rPr>
              <w:highlight w:val="lightGray"/>
            </w:rPr>
            <w:t>[Click to select a year]</w:t>
          </w:r>
        </w:p>
      </w:docPartBody>
    </w:docPart>
    <w:docPart>
      <w:docPartPr>
        <w:name w:val="26784A1D736647D8B114B513D6A59510"/>
        <w:category>
          <w:name w:val="General"/>
          <w:gallery w:val="placeholder"/>
        </w:category>
        <w:types>
          <w:type w:val="bbPlcHdr"/>
        </w:types>
        <w:behaviors>
          <w:behavior w:val="content"/>
        </w:behaviors>
        <w:guid w:val="{36BB0435-05DF-4372-BBC1-9C70CB465966}"/>
      </w:docPartPr>
      <w:docPartBody>
        <w:p w:rsidR="008C4DE6" w:rsidRDefault="008C4DE6">
          <w:pPr>
            <w:pStyle w:val="26784A1D736647D8B114B513D6A59510"/>
          </w:pPr>
          <w:r w:rsidRPr="005F3D90">
            <w:rPr>
              <w:highlight w:val="lightGray"/>
            </w:rPr>
            <w:t>[Title]</w:t>
          </w:r>
        </w:p>
      </w:docPartBody>
    </w:docPart>
    <w:docPart>
      <w:docPartPr>
        <w:name w:val="AED240F9F4284DE780CFD1F88DF04FC6"/>
        <w:category>
          <w:name w:val="General"/>
          <w:gallery w:val="placeholder"/>
        </w:category>
        <w:types>
          <w:type w:val="bbPlcHdr"/>
        </w:types>
        <w:behaviors>
          <w:behavior w:val="content"/>
        </w:behaviors>
        <w:guid w:val="{6A6BA8AB-CD4D-4EE3-9D50-6D4E93CBB2CE}"/>
      </w:docPartPr>
      <w:docPartBody>
        <w:p w:rsidR="008C4DE6" w:rsidRDefault="008C4DE6">
          <w:pPr>
            <w:pStyle w:val="AED240F9F4284DE780CFD1F88DF04FC6"/>
          </w:pPr>
          <w:r w:rsidRPr="00360763">
            <w:rPr>
              <w:highlight w:val="lightGray"/>
            </w:rPr>
            <w:t>[Click to select a year]</w:t>
          </w:r>
        </w:p>
      </w:docPartBody>
    </w:docPart>
    <w:docPart>
      <w:docPartPr>
        <w:name w:val="487FBD851FCC403582D343AFA8BA353C"/>
        <w:category>
          <w:name w:val="General"/>
          <w:gallery w:val="placeholder"/>
        </w:category>
        <w:types>
          <w:type w:val="bbPlcHdr"/>
        </w:types>
        <w:behaviors>
          <w:behavior w:val="content"/>
        </w:behaviors>
        <w:guid w:val="{186A3B9A-252A-4D57-8A11-1B108806FF7F}"/>
      </w:docPartPr>
      <w:docPartBody>
        <w:p w:rsidR="008C4DE6" w:rsidRDefault="008C4DE6">
          <w:pPr>
            <w:pStyle w:val="487FBD851FCC403582D343AFA8BA353C"/>
          </w:pPr>
          <w:r w:rsidRPr="005F3D90">
            <w:rPr>
              <w:highlight w:val="lightGray"/>
            </w:rPr>
            <w:t>[Title]</w:t>
          </w:r>
        </w:p>
      </w:docPartBody>
    </w:docPart>
    <w:docPart>
      <w:docPartPr>
        <w:name w:val="263E7BA8FD8B4D3FB49F8A47DF3F1C90"/>
        <w:category>
          <w:name w:val="General"/>
          <w:gallery w:val="placeholder"/>
        </w:category>
        <w:types>
          <w:type w:val="bbPlcHdr"/>
        </w:types>
        <w:behaviors>
          <w:behavior w:val="content"/>
        </w:behaviors>
        <w:guid w:val="{3D2108F9-E9F0-4540-B4D4-82509033EF72}"/>
      </w:docPartPr>
      <w:docPartBody>
        <w:p w:rsidR="008C4DE6" w:rsidRDefault="008C4DE6">
          <w:pPr>
            <w:pStyle w:val="263E7BA8FD8B4D3FB49F8A47DF3F1C90"/>
          </w:pPr>
          <w:r>
            <w:t xml:space="preserve">  </w:t>
          </w:r>
        </w:p>
      </w:docPartBody>
    </w:docPart>
    <w:docPart>
      <w:docPartPr>
        <w:name w:val="E8FBB1693C42492B8F8EF5D86554E641"/>
        <w:category>
          <w:name w:val="General"/>
          <w:gallery w:val="placeholder"/>
        </w:category>
        <w:types>
          <w:type w:val="bbPlcHdr"/>
        </w:types>
        <w:behaviors>
          <w:behavior w:val="content"/>
        </w:behaviors>
        <w:guid w:val="{105E4619-780E-4996-9243-93D668489044}"/>
      </w:docPartPr>
      <w:docPartBody>
        <w:p w:rsidR="008C4DE6" w:rsidRDefault="008C4DE6">
          <w:pPr>
            <w:pStyle w:val="E8FBB1693C42492B8F8EF5D86554E641"/>
          </w:pPr>
          <w:r w:rsidRPr="00AD2E14">
            <w:rPr>
              <w:b/>
              <w:highlight w:val="lightGray"/>
            </w:rPr>
            <w:t>[Title]</w:t>
          </w:r>
        </w:p>
      </w:docPartBody>
    </w:docPart>
    <w:docPart>
      <w:docPartPr>
        <w:name w:val="58A60AF94E8F418CA9D9039AA656CE76"/>
        <w:category>
          <w:name w:val="General"/>
          <w:gallery w:val="placeholder"/>
        </w:category>
        <w:types>
          <w:type w:val="bbPlcHdr"/>
        </w:types>
        <w:behaviors>
          <w:behavior w:val="content"/>
        </w:behaviors>
        <w:guid w:val="{E2842075-A29F-4CC6-9CEC-D18EF8841095}"/>
      </w:docPartPr>
      <w:docPartBody>
        <w:p w:rsidR="008C4DE6" w:rsidRDefault="008C4DE6">
          <w:pPr>
            <w:pStyle w:val="58A60AF94E8F418CA9D9039AA656CE76"/>
          </w:pPr>
          <w:r w:rsidRPr="00AD2E14">
            <w:rPr>
              <w:b/>
              <w:highlight w:val="lightGray"/>
            </w:rPr>
            <w:t>[Title]</w:t>
          </w:r>
        </w:p>
      </w:docPartBody>
    </w:docPart>
    <w:docPart>
      <w:docPartPr>
        <w:name w:val="40E09FD8103C4040BBC8246001F248DA"/>
        <w:category>
          <w:name w:val="General"/>
          <w:gallery w:val="placeholder"/>
        </w:category>
        <w:types>
          <w:type w:val="bbPlcHdr"/>
        </w:types>
        <w:behaviors>
          <w:behavior w:val="content"/>
        </w:behaviors>
        <w:guid w:val="{140C2928-2141-45F9-A121-868A11415771}"/>
      </w:docPartPr>
      <w:docPartBody>
        <w:p w:rsidR="00BF16C1" w:rsidRDefault="00BF16C1" w:rsidP="00BF16C1">
          <w:pPr>
            <w:pStyle w:val="40E09FD8103C4040BBC8246001F248DA"/>
          </w:pPr>
          <w:r w:rsidRPr="00AD2E14">
            <w:rPr>
              <w:b/>
              <w:highlight w:val="lightGray"/>
            </w:rPr>
            <w:t>[Title]</w:t>
          </w:r>
        </w:p>
      </w:docPartBody>
    </w:docPart>
    <w:docPart>
      <w:docPartPr>
        <w:name w:val="3623774336344EE5AD9D7E7B1E7B80D9"/>
        <w:category>
          <w:name w:val="General"/>
          <w:gallery w:val="placeholder"/>
        </w:category>
        <w:types>
          <w:type w:val="bbPlcHdr"/>
        </w:types>
        <w:behaviors>
          <w:behavior w:val="content"/>
        </w:behaviors>
        <w:guid w:val="{79EFAE92-1FFF-43BC-B1CD-A54A54C05BAA}"/>
      </w:docPartPr>
      <w:docPartBody>
        <w:p w:rsidR="00BF16C1" w:rsidRDefault="00BF16C1" w:rsidP="00BF16C1">
          <w:pPr>
            <w:pStyle w:val="3623774336344EE5AD9D7E7B1E7B80D9"/>
          </w:pPr>
          <w:r w:rsidRPr="00AD2E14">
            <w:rPr>
              <w:b/>
              <w:highlight w:val="lightGray"/>
            </w:rPr>
            <w:t>[Title]</w:t>
          </w:r>
        </w:p>
      </w:docPartBody>
    </w:docPart>
    <w:docPart>
      <w:docPartPr>
        <w:name w:val="54A9A9232DE54E9BA2154DCE4A4C305A"/>
        <w:category>
          <w:name w:val="General"/>
          <w:gallery w:val="placeholder"/>
        </w:category>
        <w:types>
          <w:type w:val="bbPlcHdr"/>
        </w:types>
        <w:behaviors>
          <w:behavior w:val="content"/>
        </w:behaviors>
        <w:guid w:val="{7C50429D-7FD5-4BD0-BE72-CF639947631F}"/>
      </w:docPartPr>
      <w:docPartBody>
        <w:p w:rsidR="00BF16C1" w:rsidRDefault="00BF16C1" w:rsidP="00BF16C1">
          <w:pPr>
            <w:pStyle w:val="54A9A9232DE54E9BA2154DCE4A4C305A"/>
          </w:pPr>
          <w:r w:rsidRPr="00AD2E14">
            <w:rPr>
              <w:b/>
              <w:highlight w:val="lightGray"/>
            </w:rPr>
            <w:t>[Title]</w:t>
          </w:r>
        </w:p>
      </w:docPartBody>
    </w:docPart>
    <w:docPart>
      <w:docPartPr>
        <w:name w:val="15EB10DE0DC647B08B462B91DFB4D415"/>
        <w:category>
          <w:name w:val="General"/>
          <w:gallery w:val="placeholder"/>
        </w:category>
        <w:types>
          <w:type w:val="bbPlcHdr"/>
        </w:types>
        <w:behaviors>
          <w:behavior w:val="content"/>
        </w:behaviors>
        <w:guid w:val="{E255FA24-E428-4F88-8C02-D3F1EB1E0CAC}"/>
      </w:docPartPr>
      <w:docPartBody>
        <w:p w:rsidR="00BF16C1" w:rsidRDefault="00BF16C1" w:rsidP="00BF16C1">
          <w:pPr>
            <w:pStyle w:val="15EB10DE0DC647B08B462B91DFB4D415"/>
          </w:pPr>
          <w:r w:rsidRPr="00AD2E14">
            <w:rPr>
              <w:b/>
              <w:highlight w:val="lightGray"/>
            </w:rPr>
            <w:t>[Title]</w:t>
          </w:r>
        </w:p>
      </w:docPartBody>
    </w:docPart>
    <w:docPart>
      <w:docPartPr>
        <w:name w:val="AB89EA94DDF049C7A1711CD503D0B3D4"/>
        <w:category>
          <w:name w:val="General"/>
          <w:gallery w:val="placeholder"/>
        </w:category>
        <w:types>
          <w:type w:val="bbPlcHdr"/>
        </w:types>
        <w:behaviors>
          <w:behavior w:val="content"/>
        </w:behaviors>
        <w:guid w:val="{317CF12C-8290-4D34-828F-25886FFA55BD}"/>
      </w:docPartPr>
      <w:docPartBody>
        <w:p w:rsidR="00BF16C1" w:rsidRDefault="00BF16C1" w:rsidP="00BF16C1">
          <w:pPr>
            <w:pStyle w:val="AB89EA94DDF049C7A1711CD503D0B3D4"/>
          </w:pPr>
          <w:r w:rsidRPr="00AD2E14">
            <w:rPr>
              <w:b/>
              <w:highlight w:val="lightGray"/>
            </w:rPr>
            <w:t>[Title]</w:t>
          </w:r>
        </w:p>
      </w:docPartBody>
    </w:docPart>
    <w:docPart>
      <w:docPartPr>
        <w:name w:val="0A5D3EED4DB9406EB55E1E132D8515AA"/>
        <w:category>
          <w:name w:val="General"/>
          <w:gallery w:val="placeholder"/>
        </w:category>
        <w:types>
          <w:type w:val="bbPlcHdr"/>
        </w:types>
        <w:behaviors>
          <w:behavior w:val="content"/>
        </w:behaviors>
        <w:guid w:val="{BCBDA2A0-0049-40E2-AB44-BFC1A7BEC196}"/>
      </w:docPartPr>
      <w:docPartBody>
        <w:p w:rsidR="00BF16C1" w:rsidRDefault="00BF16C1" w:rsidP="00BF16C1">
          <w:pPr>
            <w:pStyle w:val="0A5D3EED4DB9406EB55E1E132D8515AA"/>
          </w:pPr>
          <w:r w:rsidRPr="00AD2E14">
            <w:rPr>
              <w:b/>
              <w:highlight w:val="lightGray"/>
            </w:rPr>
            <w:t>[Title]</w:t>
          </w:r>
        </w:p>
      </w:docPartBody>
    </w:docPart>
    <w:docPart>
      <w:docPartPr>
        <w:name w:val="800EF980A97541E0B5BF37F31427666E"/>
        <w:category>
          <w:name w:val="General"/>
          <w:gallery w:val="placeholder"/>
        </w:category>
        <w:types>
          <w:type w:val="bbPlcHdr"/>
        </w:types>
        <w:behaviors>
          <w:behavior w:val="content"/>
        </w:behaviors>
        <w:guid w:val="{763A7DDD-3DDB-4998-A1A1-522E44CAAFBB}"/>
      </w:docPartPr>
      <w:docPartBody>
        <w:p w:rsidR="00BF16C1" w:rsidRDefault="00BF16C1" w:rsidP="00BF16C1">
          <w:pPr>
            <w:pStyle w:val="800EF980A97541E0B5BF37F31427666E"/>
          </w:pPr>
          <w:r w:rsidRPr="00AD2E14">
            <w:rPr>
              <w:b/>
              <w:highlight w:val="lightGray"/>
            </w:rPr>
            <w:t>[Title]</w:t>
          </w:r>
        </w:p>
      </w:docPartBody>
    </w:docPart>
    <w:docPart>
      <w:docPartPr>
        <w:name w:val="5C728E8350B54FA3A62DC405E9AAF949"/>
        <w:category>
          <w:name w:val="General"/>
          <w:gallery w:val="placeholder"/>
        </w:category>
        <w:types>
          <w:type w:val="bbPlcHdr"/>
        </w:types>
        <w:behaviors>
          <w:behavior w:val="content"/>
        </w:behaviors>
        <w:guid w:val="{184EDB94-3D46-4589-84EF-3241240681C1}"/>
      </w:docPartPr>
      <w:docPartBody>
        <w:p w:rsidR="00E2362D" w:rsidRDefault="00B011CA">
          <w:pPr>
            <w:pStyle w:val="5C728E8350B54FA3A62DC405E9AAF949"/>
          </w:pPr>
          <w:r w:rsidRPr="005F3D90">
            <w:rPr>
              <w:highlight w:val="lightGray"/>
            </w:rPr>
            <w:t xml:space="preserve">[Click to select </w:t>
          </w:r>
          <w:r>
            <w:rPr>
              <w:highlight w:val="lightGray"/>
            </w:rPr>
            <w:t>a date</w:t>
          </w:r>
          <w:r w:rsidRPr="005F3D90">
            <w:rPr>
              <w:highlight w:val="lightGray"/>
            </w:rPr>
            <w:t>]</w:t>
          </w:r>
        </w:p>
      </w:docPartBody>
    </w:docPart>
    <w:docPart>
      <w:docPartPr>
        <w:name w:val="A299955D4E484940807840F17E8BCFC9"/>
        <w:category>
          <w:name w:val="General"/>
          <w:gallery w:val="placeholder"/>
        </w:category>
        <w:types>
          <w:type w:val="bbPlcHdr"/>
        </w:types>
        <w:behaviors>
          <w:behavior w:val="content"/>
        </w:behaviors>
        <w:guid w:val="{CEA07DC9-D2EB-46A1-B4CC-96830701C8FF}"/>
      </w:docPartPr>
      <w:docPartBody>
        <w:p w:rsidR="00E2362D" w:rsidRDefault="00B011CA">
          <w:pPr>
            <w:pStyle w:val="A299955D4E484940807840F17E8BCFC9"/>
          </w:pPr>
          <w:r w:rsidRPr="00AD2E14">
            <w:rPr>
              <w:b/>
              <w:highlight w:val="lightGray"/>
            </w:rPr>
            <w:t>[Title]</w:t>
          </w:r>
        </w:p>
      </w:docPartBody>
    </w:docPart>
    <w:docPart>
      <w:docPartPr>
        <w:name w:val="4948F762E9C442BCAE60487B1BC3FFF6"/>
        <w:category>
          <w:name w:val="General"/>
          <w:gallery w:val="placeholder"/>
        </w:category>
        <w:types>
          <w:type w:val="bbPlcHdr"/>
        </w:types>
        <w:behaviors>
          <w:behavior w:val="content"/>
        </w:behaviors>
        <w:guid w:val="{D256E2DC-8480-4667-97EE-5F1DDEDE4BCD}"/>
      </w:docPartPr>
      <w:docPartBody>
        <w:p w:rsidR="00E2362D" w:rsidRDefault="00B011CA">
          <w:pPr>
            <w:pStyle w:val="4948F762E9C442BCAE60487B1BC3FFF6"/>
          </w:pPr>
          <w:r w:rsidRPr="00AD2E14">
            <w:rPr>
              <w:b/>
              <w:highlight w:val="lightGray"/>
            </w:rPr>
            <w:t>[Title]</w:t>
          </w:r>
        </w:p>
      </w:docPartBody>
    </w:docPart>
    <w:docPart>
      <w:docPartPr>
        <w:name w:val="5DA38A00A0094FAD9AA8EB35DA68F0D9"/>
        <w:category>
          <w:name w:val="General"/>
          <w:gallery w:val="placeholder"/>
        </w:category>
        <w:types>
          <w:type w:val="bbPlcHdr"/>
        </w:types>
        <w:behaviors>
          <w:behavior w:val="content"/>
        </w:behaviors>
        <w:guid w:val="{407C9727-4500-4300-BE7E-6155D1C2714D}"/>
      </w:docPartPr>
      <w:docPartBody>
        <w:p w:rsidR="00E2362D" w:rsidRDefault="008C4DE6">
          <w:pPr>
            <w:pStyle w:val="5DA38A00A0094FAD9AA8EB35DA68F0D9"/>
          </w:pPr>
          <w:r w:rsidRPr="00DA005C">
            <w:t>[Title, use ‘Title’ type style. Content will automatically link to internal footer]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E6"/>
    <w:rsid w:val="000329D5"/>
    <w:rsid w:val="000E7C3D"/>
    <w:rsid w:val="00187653"/>
    <w:rsid w:val="001C31FC"/>
    <w:rsid w:val="00281BBC"/>
    <w:rsid w:val="002A21FC"/>
    <w:rsid w:val="00356FFD"/>
    <w:rsid w:val="003703D8"/>
    <w:rsid w:val="003D2AFC"/>
    <w:rsid w:val="003E7795"/>
    <w:rsid w:val="004A1557"/>
    <w:rsid w:val="005D07A5"/>
    <w:rsid w:val="006C42C3"/>
    <w:rsid w:val="008560D1"/>
    <w:rsid w:val="00873ECF"/>
    <w:rsid w:val="008C4DE6"/>
    <w:rsid w:val="009512E7"/>
    <w:rsid w:val="009769B6"/>
    <w:rsid w:val="00AE0A98"/>
    <w:rsid w:val="00B011CA"/>
    <w:rsid w:val="00BF16C1"/>
    <w:rsid w:val="00C94EC7"/>
    <w:rsid w:val="00D749D1"/>
    <w:rsid w:val="00DC02F9"/>
    <w:rsid w:val="00E2362D"/>
    <w:rsid w:val="00E6365E"/>
    <w:rsid w:val="00EE2C1F"/>
    <w:rsid w:val="00EF2C46"/>
    <w:rsid w:val="00F374AB"/>
    <w:rsid w:val="00F8305A"/>
    <w:rsid w:val="00FA38B1"/>
    <w:rsid w:val="00FE480D"/>
    <w:rsid w:val="00FF61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7056B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144DCCD14F4430B410C534DEC49CFC">
    <w:name w:val="F0144DCCD14F4430B410C534DEC49CFC"/>
  </w:style>
  <w:style w:type="paragraph" w:customStyle="1" w:styleId="26784A1D736647D8B114B513D6A59510">
    <w:name w:val="26784A1D736647D8B114B513D6A59510"/>
  </w:style>
  <w:style w:type="paragraph" w:customStyle="1" w:styleId="AED240F9F4284DE780CFD1F88DF04FC6">
    <w:name w:val="AED240F9F4284DE780CFD1F88DF04FC6"/>
  </w:style>
  <w:style w:type="paragraph" w:customStyle="1" w:styleId="487FBD851FCC403582D343AFA8BA353C">
    <w:name w:val="487FBD851FCC403582D343AFA8BA353C"/>
  </w:style>
  <w:style w:type="paragraph" w:customStyle="1" w:styleId="263E7BA8FD8B4D3FB49F8A47DF3F1C90">
    <w:name w:val="263E7BA8FD8B4D3FB49F8A47DF3F1C90"/>
  </w:style>
  <w:style w:type="paragraph" w:customStyle="1" w:styleId="E8FBB1693C42492B8F8EF5D86554E641">
    <w:name w:val="E8FBB1693C42492B8F8EF5D86554E641"/>
  </w:style>
  <w:style w:type="paragraph" w:customStyle="1" w:styleId="58A60AF94E8F418CA9D9039AA656CE76">
    <w:name w:val="58A60AF94E8F418CA9D9039AA656CE76"/>
  </w:style>
  <w:style w:type="paragraph" w:customStyle="1" w:styleId="40E09FD8103C4040BBC8246001F248DA">
    <w:name w:val="40E09FD8103C4040BBC8246001F248DA"/>
    <w:rsid w:val="00BF16C1"/>
    <w:pPr>
      <w:spacing w:line="278" w:lineRule="auto"/>
    </w:pPr>
    <w:rPr>
      <w:kern w:val="2"/>
      <w:sz w:val="24"/>
      <w:szCs w:val="24"/>
      <w14:ligatures w14:val="standardContextual"/>
    </w:rPr>
  </w:style>
  <w:style w:type="paragraph" w:customStyle="1" w:styleId="3623774336344EE5AD9D7E7B1E7B80D9">
    <w:name w:val="3623774336344EE5AD9D7E7B1E7B80D9"/>
    <w:rsid w:val="00BF16C1"/>
    <w:pPr>
      <w:spacing w:line="278" w:lineRule="auto"/>
    </w:pPr>
    <w:rPr>
      <w:kern w:val="2"/>
      <w:sz w:val="24"/>
      <w:szCs w:val="24"/>
      <w14:ligatures w14:val="standardContextual"/>
    </w:rPr>
  </w:style>
  <w:style w:type="paragraph" w:customStyle="1" w:styleId="54A9A9232DE54E9BA2154DCE4A4C305A">
    <w:name w:val="54A9A9232DE54E9BA2154DCE4A4C305A"/>
    <w:rsid w:val="00BF16C1"/>
    <w:pPr>
      <w:spacing w:line="278" w:lineRule="auto"/>
    </w:pPr>
    <w:rPr>
      <w:kern w:val="2"/>
      <w:sz w:val="24"/>
      <w:szCs w:val="24"/>
      <w14:ligatures w14:val="standardContextual"/>
    </w:rPr>
  </w:style>
  <w:style w:type="paragraph" w:customStyle="1" w:styleId="15EB10DE0DC647B08B462B91DFB4D415">
    <w:name w:val="15EB10DE0DC647B08B462B91DFB4D415"/>
    <w:rsid w:val="00BF16C1"/>
    <w:pPr>
      <w:spacing w:line="278" w:lineRule="auto"/>
    </w:pPr>
    <w:rPr>
      <w:kern w:val="2"/>
      <w:sz w:val="24"/>
      <w:szCs w:val="24"/>
      <w14:ligatures w14:val="standardContextual"/>
    </w:rPr>
  </w:style>
  <w:style w:type="paragraph" w:customStyle="1" w:styleId="AB89EA94DDF049C7A1711CD503D0B3D4">
    <w:name w:val="AB89EA94DDF049C7A1711CD503D0B3D4"/>
    <w:rsid w:val="00BF16C1"/>
    <w:pPr>
      <w:spacing w:line="278" w:lineRule="auto"/>
    </w:pPr>
    <w:rPr>
      <w:kern w:val="2"/>
      <w:sz w:val="24"/>
      <w:szCs w:val="24"/>
      <w14:ligatures w14:val="standardContextual"/>
    </w:rPr>
  </w:style>
  <w:style w:type="paragraph" w:customStyle="1" w:styleId="0A5D3EED4DB9406EB55E1E132D8515AA">
    <w:name w:val="0A5D3EED4DB9406EB55E1E132D8515AA"/>
    <w:rsid w:val="00BF16C1"/>
    <w:pPr>
      <w:spacing w:line="278" w:lineRule="auto"/>
    </w:pPr>
    <w:rPr>
      <w:kern w:val="2"/>
      <w:sz w:val="24"/>
      <w:szCs w:val="24"/>
      <w14:ligatures w14:val="standardContextual"/>
    </w:rPr>
  </w:style>
  <w:style w:type="paragraph" w:customStyle="1" w:styleId="800EF980A97541E0B5BF37F31427666E">
    <w:name w:val="800EF980A97541E0B5BF37F31427666E"/>
    <w:rsid w:val="00BF16C1"/>
    <w:pPr>
      <w:spacing w:line="278" w:lineRule="auto"/>
    </w:pPr>
    <w:rPr>
      <w:kern w:val="2"/>
      <w:sz w:val="24"/>
      <w:szCs w:val="24"/>
      <w14:ligatures w14:val="standardContextual"/>
    </w:rPr>
  </w:style>
  <w:style w:type="paragraph" w:customStyle="1" w:styleId="5C728E8350B54FA3A62DC405E9AAF949">
    <w:name w:val="5C728E8350B54FA3A62DC405E9AAF949"/>
    <w:pPr>
      <w:spacing w:line="278" w:lineRule="auto"/>
    </w:pPr>
    <w:rPr>
      <w:kern w:val="2"/>
      <w:sz w:val="24"/>
      <w:szCs w:val="24"/>
      <w14:ligatures w14:val="standardContextual"/>
    </w:rPr>
  </w:style>
  <w:style w:type="paragraph" w:customStyle="1" w:styleId="A299955D4E484940807840F17E8BCFC9">
    <w:name w:val="A299955D4E484940807840F17E8BCFC9"/>
    <w:pPr>
      <w:spacing w:line="278" w:lineRule="auto"/>
    </w:pPr>
    <w:rPr>
      <w:kern w:val="2"/>
      <w:sz w:val="24"/>
      <w:szCs w:val="24"/>
      <w14:ligatures w14:val="standardContextual"/>
    </w:rPr>
  </w:style>
  <w:style w:type="paragraph" w:customStyle="1" w:styleId="4948F762E9C442BCAE60487B1BC3FFF6">
    <w:name w:val="4948F762E9C442BCAE60487B1BC3FFF6"/>
    <w:pPr>
      <w:spacing w:line="278" w:lineRule="auto"/>
    </w:pPr>
    <w:rPr>
      <w:kern w:val="2"/>
      <w:sz w:val="24"/>
      <w:szCs w:val="24"/>
      <w14:ligatures w14:val="standardContextual"/>
    </w:rPr>
  </w:style>
  <w:style w:type="paragraph" w:customStyle="1" w:styleId="5DA38A00A0094FAD9AA8EB35DA68F0D9">
    <w:name w:val="5DA38A00A0094FAD9AA8EB35DA68F0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127C79C8C0846B45AE972E687F476" ma:contentTypeVersion="14" ma:contentTypeDescription="Create a new document." ma:contentTypeScope="" ma:versionID="62711bb5f6905c0c1184575fa6b07747">
  <xsd:schema xmlns:xsd="http://www.w3.org/2001/XMLSchema" xmlns:xs="http://www.w3.org/2001/XMLSchema" xmlns:p="http://schemas.microsoft.com/office/2006/metadata/properties" xmlns:ns2="e4c185e8-40b5-43f5-a4f7-fd23d7c61be2" xmlns:ns3="62c92398-2d1f-4a78-a539-4a4aa580f663" targetNamespace="http://schemas.microsoft.com/office/2006/metadata/properties" ma:root="true" ma:fieldsID="3fb9ca5ebd484452626756c230206a6d" ns2:_="" ns3:_="">
    <xsd:import namespace="e4c185e8-40b5-43f5-a4f7-fd23d7c61be2"/>
    <xsd:import namespace="62c92398-2d1f-4a78-a539-4a4aa580f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185e8-40b5-43f5-a4f7-fd23d7c61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92398-2d1f-4a78-a539-4a4aa580f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c185e8-40b5-43f5-a4f7-fd23d7c61be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AE127C79C8C0846B45AE972E687F476" ma:contentTypeVersion="14" ma:contentTypeDescription="Create a new document." ma:contentTypeScope="" ma:versionID="62711bb5f6905c0c1184575fa6b07747">
  <xsd:schema xmlns:xsd="http://www.w3.org/2001/XMLSchema" xmlns:xs="http://www.w3.org/2001/XMLSchema" xmlns:p="http://schemas.microsoft.com/office/2006/metadata/properties" xmlns:ns2="e4c185e8-40b5-43f5-a4f7-fd23d7c61be2" xmlns:ns3="62c92398-2d1f-4a78-a539-4a4aa580f663" targetNamespace="http://schemas.microsoft.com/office/2006/metadata/properties" ma:root="true" ma:fieldsID="3fb9ca5ebd484452626756c230206a6d" ns2:_="" ns3:_="">
    <xsd:import namespace="e4c185e8-40b5-43f5-a4f7-fd23d7c61be2"/>
    <xsd:import namespace="62c92398-2d1f-4a78-a539-4a4aa580f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185e8-40b5-43f5-a4f7-fd23d7c61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92398-2d1f-4a78-a539-4a4aa580f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57F68-38D5-458C-B411-5C5AF6A2997F}">
  <ds:schemaRefs>
    <ds:schemaRef ds:uri="http://schemas.microsoft.com/sharepoint/v3/contenttype/forms"/>
  </ds:schemaRefs>
</ds:datastoreItem>
</file>

<file path=customXml/itemProps2.xml><?xml version="1.0" encoding="utf-8"?>
<ds:datastoreItem xmlns:ds="http://schemas.openxmlformats.org/officeDocument/2006/customXml" ds:itemID="{DD887911-8549-45E8-B4BC-CBB0D0038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185e8-40b5-43f5-a4f7-fd23d7c61be2"/>
    <ds:schemaRef ds:uri="62c92398-2d1f-4a78-a539-4a4aa580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3D714-37F7-44B1-BF26-D661D4CE8863}">
  <ds:schemaRefs>
    <ds:schemaRef ds:uri="http://schemas.microsoft.com/sharepoint/v3/contenttype/forms"/>
  </ds:schemaRefs>
</ds:datastoreItem>
</file>

<file path=customXml/itemProps4.xml><?xml version="1.0" encoding="utf-8"?>
<ds:datastoreItem xmlns:ds="http://schemas.openxmlformats.org/officeDocument/2006/customXml" ds:itemID="{89D73E8B-4D17-46FD-8269-9C58B802D027}">
  <ds:schemaRefs>
    <ds:schemaRef ds:uri="http://schemas.microsoft.com/office/2006/metadata/properties"/>
    <ds:schemaRef ds:uri="http://schemas.microsoft.com/office/infopath/2007/PartnerControls"/>
    <ds:schemaRef ds:uri="e4c185e8-40b5-43f5-a4f7-fd23d7c61be2"/>
  </ds:schemaRefs>
</ds:datastoreItem>
</file>

<file path=customXml/itemProps5.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customXml/itemProps6.xml><?xml version="1.0" encoding="utf-8"?>
<ds:datastoreItem xmlns:ds="http://schemas.openxmlformats.org/officeDocument/2006/customXml" ds:itemID="{87189FFC-6929-4648-918E-49DA56CCB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185e8-40b5-43f5-a4f7-fd23d7c61be2"/>
    <ds:schemaRef ds:uri="62c92398-2d1f-4a78-a539-4a4aa580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12082</Words>
  <Characters>68870</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Draft New Customer Contributions Framework</vt:lpstr>
    </vt:vector>
  </TitlesOfParts>
  <Company/>
  <LinksUpToDate>false</LinksUpToDate>
  <CharactersWithSpaces>80791</CharactersWithSpaces>
  <SharedDoc>false</SharedDoc>
  <HLinks>
    <vt:vector size="240" baseType="variant">
      <vt:variant>
        <vt:i4>7340117</vt:i4>
      </vt:variant>
      <vt:variant>
        <vt:i4>228</vt:i4>
      </vt:variant>
      <vt:variant>
        <vt:i4>0</vt:i4>
      </vt:variant>
      <vt:variant>
        <vt:i4>5</vt:i4>
      </vt:variant>
      <vt:variant>
        <vt:lpwstr>mailto:water@esc.vic.gov.au</vt:lpwstr>
      </vt:variant>
      <vt:variant>
        <vt:lpwstr/>
      </vt:variant>
      <vt:variant>
        <vt:i4>7798898</vt:i4>
      </vt:variant>
      <vt:variant>
        <vt:i4>225</vt:i4>
      </vt:variant>
      <vt:variant>
        <vt:i4>0</vt:i4>
      </vt:variant>
      <vt:variant>
        <vt:i4>5</vt:i4>
      </vt:variant>
      <vt:variant>
        <vt:lpwstr>https://www.esc.vic.gov.au/about-us/our-policies/our-submissions-policy</vt:lpwstr>
      </vt:variant>
      <vt:variant>
        <vt:lpwstr/>
      </vt:variant>
      <vt:variant>
        <vt:i4>1179710</vt:i4>
      </vt:variant>
      <vt:variant>
        <vt:i4>218</vt:i4>
      </vt:variant>
      <vt:variant>
        <vt:i4>0</vt:i4>
      </vt:variant>
      <vt:variant>
        <vt:i4>5</vt:i4>
      </vt:variant>
      <vt:variant>
        <vt:lpwstr/>
      </vt:variant>
      <vt:variant>
        <vt:lpwstr>_Toc211246901</vt:lpwstr>
      </vt:variant>
      <vt:variant>
        <vt:i4>1179710</vt:i4>
      </vt:variant>
      <vt:variant>
        <vt:i4>212</vt:i4>
      </vt:variant>
      <vt:variant>
        <vt:i4>0</vt:i4>
      </vt:variant>
      <vt:variant>
        <vt:i4>5</vt:i4>
      </vt:variant>
      <vt:variant>
        <vt:lpwstr/>
      </vt:variant>
      <vt:variant>
        <vt:lpwstr>_Toc211246900</vt:lpwstr>
      </vt:variant>
      <vt:variant>
        <vt:i4>1769535</vt:i4>
      </vt:variant>
      <vt:variant>
        <vt:i4>206</vt:i4>
      </vt:variant>
      <vt:variant>
        <vt:i4>0</vt:i4>
      </vt:variant>
      <vt:variant>
        <vt:i4>5</vt:i4>
      </vt:variant>
      <vt:variant>
        <vt:lpwstr/>
      </vt:variant>
      <vt:variant>
        <vt:lpwstr>_Toc211246899</vt:lpwstr>
      </vt:variant>
      <vt:variant>
        <vt:i4>1769535</vt:i4>
      </vt:variant>
      <vt:variant>
        <vt:i4>200</vt:i4>
      </vt:variant>
      <vt:variant>
        <vt:i4>0</vt:i4>
      </vt:variant>
      <vt:variant>
        <vt:i4>5</vt:i4>
      </vt:variant>
      <vt:variant>
        <vt:lpwstr/>
      </vt:variant>
      <vt:variant>
        <vt:lpwstr>_Toc211246898</vt:lpwstr>
      </vt:variant>
      <vt:variant>
        <vt:i4>1769535</vt:i4>
      </vt:variant>
      <vt:variant>
        <vt:i4>194</vt:i4>
      </vt:variant>
      <vt:variant>
        <vt:i4>0</vt:i4>
      </vt:variant>
      <vt:variant>
        <vt:i4>5</vt:i4>
      </vt:variant>
      <vt:variant>
        <vt:lpwstr/>
      </vt:variant>
      <vt:variant>
        <vt:lpwstr>_Toc211246897</vt:lpwstr>
      </vt:variant>
      <vt:variant>
        <vt:i4>1769535</vt:i4>
      </vt:variant>
      <vt:variant>
        <vt:i4>188</vt:i4>
      </vt:variant>
      <vt:variant>
        <vt:i4>0</vt:i4>
      </vt:variant>
      <vt:variant>
        <vt:i4>5</vt:i4>
      </vt:variant>
      <vt:variant>
        <vt:lpwstr/>
      </vt:variant>
      <vt:variant>
        <vt:lpwstr>_Toc211246893</vt:lpwstr>
      </vt:variant>
      <vt:variant>
        <vt:i4>1769535</vt:i4>
      </vt:variant>
      <vt:variant>
        <vt:i4>182</vt:i4>
      </vt:variant>
      <vt:variant>
        <vt:i4>0</vt:i4>
      </vt:variant>
      <vt:variant>
        <vt:i4>5</vt:i4>
      </vt:variant>
      <vt:variant>
        <vt:lpwstr/>
      </vt:variant>
      <vt:variant>
        <vt:lpwstr>_Toc211246892</vt:lpwstr>
      </vt:variant>
      <vt:variant>
        <vt:i4>1769535</vt:i4>
      </vt:variant>
      <vt:variant>
        <vt:i4>176</vt:i4>
      </vt:variant>
      <vt:variant>
        <vt:i4>0</vt:i4>
      </vt:variant>
      <vt:variant>
        <vt:i4>5</vt:i4>
      </vt:variant>
      <vt:variant>
        <vt:lpwstr/>
      </vt:variant>
      <vt:variant>
        <vt:lpwstr>_Toc211246891</vt:lpwstr>
      </vt:variant>
      <vt:variant>
        <vt:i4>1703999</vt:i4>
      </vt:variant>
      <vt:variant>
        <vt:i4>170</vt:i4>
      </vt:variant>
      <vt:variant>
        <vt:i4>0</vt:i4>
      </vt:variant>
      <vt:variant>
        <vt:i4>5</vt:i4>
      </vt:variant>
      <vt:variant>
        <vt:lpwstr/>
      </vt:variant>
      <vt:variant>
        <vt:lpwstr>_Toc211246889</vt:lpwstr>
      </vt:variant>
      <vt:variant>
        <vt:i4>1703999</vt:i4>
      </vt:variant>
      <vt:variant>
        <vt:i4>164</vt:i4>
      </vt:variant>
      <vt:variant>
        <vt:i4>0</vt:i4>
      </vt:variant>
      <vt:variant>
        <vt:i4>5</vt:i4>
      </vt:variant>
      <vt:variant>
        <vt:lpwstr/>
      </vt:variant>
      <vt:variant>
        <vt:lpwstr>_Toc211246888</vt:lpwstr>
      </vt:variant>
      <vt:variant>
        <vt:i4>1703999</vt:i4>
      </vt:variant>
      <vt:variant>
        <vt:i4>158</vt:i4>
      </vt:variant>
      <vt:variant>
        <vt:i4>0</vt:i4>
      </vt:variant>
      <vt:variant>
        <vt:i4>5</vt:i4>
      </vt:variant>
      <vt:variant>
        <vt:lpwstr/>
      </vt:variant>
      <vt:variant>
        <vt:lpwstr>_Toc211246887</vt:lpwstr>
      </vt:variant>
      <vt:variant>
        <vt:i4>1703999</vt:i4>
      </vt:variant>
      <vt:variant>
        <vt:i4>152</vt:i4>
      </vt:variant>
      <vt:variant>
        <vt:i4>0</vt:i4>
      </vt:variant>
      <vt:variant>
        <vt:i4>5</vt:i4>
      </vt:variant>
      <vt:variant>
        <vt:lpwstr/>
      </vt:variant>
      <vt:variant>
        <vt:lpwstr>_Toc211246886</vt:lpwstr>
      </vt:variant>
      <vt:variant>
        <vt:i4>1703999</vt:i4>
      </vt:variant>
      <vt:variant>
        <vt:i4>146</vt:i4>
      </vt:variant>
      <vt:variant>
        <vt:i4>0</vt:i4>
      </vt:variant>
      <vt:variant>
        <vt:i4>5</vt:i4>
      </vt:variant>
      <vt:variant>
        <vt:lpwstr/>
      </vt:variant>
      <vt:variant>
        <vt:lpwstr>_Toc211246881</vt:lpwstr>
      </vt:variant>
      <vt:variant>
        <vt:i4>1376319</vt:i4>
      </vt:variant>
      <vt:variant>
        <vt:i4>140</vt:i4>
      </vt:variant>
      <vt:variant>
        <vt:i4>0</vt:i4>
      </vt:variant>
      <vt:variant>
        <vt:i4>5</vt:i4>
      </vt:variant>
      <vt:variant>
        <vt:lpwstr/>
      </vt:variant>
      <vt:variant>
        <vt:lpwstr>_Toc211246879</vt:lpwstr>
      </vt:variant>
      <vt:variant>
        <vt:i4>1376319</vt:i4>
      </vt:variant>
      <vt:variant>
        <vt:i4>134</vt:i4>
      </vt:variant>
      <vt:variant>
        <vt:i4>0</vt:i4>
      </vt:variant>
      <vt:variant>
        <vt:i4>5</vt:i4>
      </vt:variant>
      <vt:variant>
        <vt:lpwstr/>
      </vt:variant>
      <vt:variant>
        <vt:lpwstr>_Toc211246878</vt:lpwstr>
      </vt:variant>
      <vt:variant>
        <vt:i4>1376319</vt:i4>
      </vt:variant>
      <vt:variant>
        <vt:i4>128</vt:i4>
      </vt:variant>
      <vt:variant>
        <vt:i4>0</vt:i4>
      </vt:variant>
      <vt:variant>
        <vt:i4>5</vt:i4>
      </vt:variant>
      <vt:variant>
        <vt:lpwstr/>
      </vt:variant>
      <vt:variant>
        <vt:lpwstr>_Toc211246876</vt:lpwstr>
      </vt:variant>
      <vt:variant>
        <vt:i4>1376319</vt:i4>
      </vt:variant>
      <vt:variant>
        <vt:i4>122</vt:i4>
      </vt:variant>
      <vt:variant>
        <vt:i4>0</vt:i4>
      </vt:variant>
      <vt:variant>
        <vt:i4>5</vt:i4>
      </vt:variant>
      <vt:variant>
        <vt:lpwstr/>
      </vt:variant>
      <vt:variant>
        <vt:lpwstr>_Toc211246875</vt:lpwstr>
      </vt:variant>
      <vt:variant>
        <vt:i4>1376319</vt:i4>
      </vt:variant>
      <vt:variant>
        <vt:i4>116</vt:i4>
      </vt:variant>
      <vt:variant>
        <vt:i4>0</vt:i4>
      </vt:variant>
      <vt:variant>
        <vt:i4>5</vt:i4>
      </vt:variant>
      <vt:variant>
        <vt:lpwstr/>
      </vt:variant>
      <vt:variant>
        <vt:lpwstr>_Toc211246874</vt:lpwstr>
      </vt:variant>
      <vt:variant>
        <vt:i4>1376319</vt:i4>
      </vt:variant>
      <vt:variant>
        <vt:i4>110</vt:i4>
      </vt:variant>
      <vt:variant>
        <vt:i4>0</vt:i4>
      </vt:variant>
      <vt:variant>
        <vt:i4>5</vt:i4>
      </vt:variant>
      <vt:variant>
        <vt:lpwstr/>
      </vt:variant>
      <vt:variant>
        <vt:lpwstr>_Toc211246870</vt:lpwstr>
      </vt:variant>
      <vt:variant>
        <vt:i4>1310783</vt:i4>
      </vt:variant>
      <vt:variant>
        <vt:i4>104</vt:i4>
      </vt:variant>
      <vt:variant>
        <vt:i4>0</vt:i4>
      </vt:variant>
      <vt:variant>
        <vt:i4>5</vt:i4>
      </vt:variant>
      <vt:variant>
        <vt:lpwstr/>
      </vt:variant>
      <vt:variant>
        <vt:lpwstr>_Toc211246867</vt:lpwstr>
      </vt:variant>
      <vt:variant>
        <vt:i4>1310783</vt:i4>
      </vt:variant>
      <vt:variant>
        <vt:i4>98</vt:i4>
      </vt:variant>
      <vt:variant>
        <vt:i4>0</vt:i4>
      </vt:variant>
      <vt:variant>
        <vt:i4>5</vt:i4>
      </vt:variant>
      <vt:variant>
        <vt:lpwstr/>
      </vt:variant>
      <vt:variant>
        <vt:lpwstr>_Toc211246860</vt:lpwstr>
      </vt:variant>
      <vt:variant>
        <vt:i4>1507391</vt:i4>
      </vt:variant>
      <vt:variant>
        <vt:i4>92</vt:i4>
      </vt:variant>
      <vt:variant>
        <vt:i4>0</vt:i4>
      </vt:variant>
      <vt:variant>
        <vt:i4>5</vt:i4>
      </vt:variant>
      <vt:variant>
        <vt:lpwstr/>
      </vt:variant>
      <vt:variant>
        <vt:lpwstr>_Toc211246857</vt:lpwstr>
      </vt:variant>
      <vt:variant>
        <vt:i4>1507391</vt:i4>
      </vt:variant>
      <vt:variant>
        <vt:i4>86</vt:i4>
      </vt:variant>
      <vt:variant>
        <vt:i4>0</vt:i4>
      </vt:variant>
      <vt:variant>
        <vt:i4>5</vt:i4>
      </vt:variant>
      <vt:variant>
        <vt:lpwstr/>
      </vt:variant>
      <vt:variant>
        <vt:lpwstr>_Toc211246856</vt:lpwstr>
      </vt:variant>
      <vt:variant>
        <vt:i4>1507391</vt:i4>
      </vt:variant>
      <vt:variant>
        <vt:i4>80</vt:i4>
      </vt:variant>
      <vt:variant>
        <vt:i4>0</vt:i4>
      </vt:variant>
      <vt:variant>
        <vt:i4>5</vt:i4>
      </vt:variant>
      <vt:variant>
        <vt:lpwstr/>
      </vt:variant>
      <vt:variant>
        <vt:lpwstr>_Toc211246855</vt:lpwstr>
      </vt:variant>
      <vt:variant>
        <vt:i4>1507391</vt:i4>
      </vt:variant>
      <vt:variant>
        <vt:i4>74</vt:i4>
      </vt:variant>
      <vt:variant>
        <vt:i4>0</vt:i4>
      </vt:variant>
      <vt:variant>
        <vt:i4>5</vt:i4>
      </vt:variant>
      <vt:variant>
        <vt:lpwstr/>
      </vt:variant>
      <vt:variant>
        <vt:lpwstr>_Toc211246854</vt:lpwstr>
      </vt:variant>
      <vt:variant>
        <vt:i4>1507391</vt:i4>
      </vt:variant>
      <vt:variant>
        <vt:i4>68</vt:i4>
      </vt:variant>
      <vt:variant>
        <vt:i4>0</vt:i4>
      </vt:variant>
      <vt:variant>
        <vt:i4>5</vt:i4>
      </vt:variant>
      <vt:variant>
        <vt:lpwstr/>
      </vt:variant>
      <vt:variant>
        <vt:lpwstr>_Toc211246853</vt:lpwstr>
      </vt:variant>
      <vt:variant>
        <vt:i4>1507391</vt:i4>
      </vt:variant>
      <vt:variant>
        <vt:i4>62</vt:i4>
      </vt:variant>
      <vt:variant>
        <vt:i4>0</vt:i4>
      </vt:variant>
      <vt:variant>
        <vt:i4>5</vt:i4>
      </vt:variant>
      <vt:variant>
        <vt:lpwstr/>
      </vt:variant>
      <vt:variant>
        <vt:lpwstr>_Toc211246852</vt:lpwstr>
      </vt:variant>
      <vt:variant>
        <vt:i4>1507391</vt:i4>
      </vt:variant>
      <vt:variant>
        <vt:i4>56</vt:i4>
      </vt:variant>
      <vt:variant>
        <vt:i4>0</vt:i4>
      </vt:variant>
      <vt:variant>
        <vt:i4>5</vt:i4>
      </vt:variant>
      <vt:variant>
        <vt:lpwstr/>
      </vt:variant>
      <vt:variant>
        <vt:lpwstr>_Toc211246851</vt:lpwstr>
      </vt:variant>
      <vt:variant>
        <vt:i4>1441855</vt:i4>
      </vt:variant>
      <vt:variant>
        <vt:i4>50</vt:i4>
      </vt:variant>
      <vt:variant>
        <vt:i4>0</vt:i4>
      </vt:variant>
      <vt:variant>
        <vt:i4>5</vt:i4>
      </vt:variant>
      <vt:variant>
        <vt:lpwstr/>
      </vt:variant>
      <vt:variant>
        <vt:lpwstr>_Toc211246848</vt:lpwstr>
      </vt:variant>
      <vt:variant>
        <vt:i4>1441855</vt:i4>
      </vt:variant>
      <vt:variant>
        <vt:i4>44</vt:i4>
      </vt:variant>
      <vt:variant>
        <vt:i4>0</vt:i4>
      </vt:variant>
      <vt:variant>
        <vt:i4>5</vt:i4>
      </vt:variant>
      <vt:variant>
        <vt:lpwstr/>
      </vt:variant>
      <vt:variant>
        <vt:lpwstr>_Toc211246844</vt:lpwstr>
      </vt:variant>
      <vt:variant>
        <vt:i4>1441855</vt:i4>
      </vt:variant>
      <vt:variant>
        <vt:i4>38</vt:i4>
      </vt:variant>
      <vt:variant>
        <vt:i4>0</vt:i4>
      </vt:variant>
      <vt:variant>
        <vt:i4>5</vt:i4>
      </vt:variant>
      <vt:variant>
        <vt:lpwstr/>
      </vt:variant>
      <vt:variant>
        <vt:lpwstr>_Toc211246843</vt:lpwstr>
      </vt:variant>
      <vt:variant>
        <vt:i4>1441855</vt:i4>
      </vt:variant>
      <vt:variant>
        <vt:i4>32</vt:i4>
      </vt:variant>
      <vt:variant>
        <vt:i4>0</vt:i4>
      </vt:variant>
      <vt:variant>
        <vt:i4>5</vt:i4>
      </vt:variant>
      <vt:variant>
        <vt:lpwstr/>
      </vt:variant>
      <vt:variant>
        <vt:lpwstr>_Toc211246842</vt:lpwstr>
      </vt:variant>
      <vt:variant>
        <vt:i4>1441855</vt:i4>
      </vt:variant>
      <vt:variant>
        <vt:i4>26</vt:i4>
      </vt:variant>
      <vt:variant>
        <vt:i4>0</vt:i4>
      </vt:variant>
      <vt:variant>
        <vt:i4>5</vt:i4>
      </vt:variant>
      <vt:variant>
        <vt:lpwstr/>
      </vt:variant>
      <vt:variant>
        <vt:lpwstr>_Toc211246841</vt:lpwstr>
      </vt:variant>
      <vt:variant>
        <vt:i4>1441855</vt:i4>
      </vt:variant>
      <vt:variant>
        <vt:i4>20</vt:i4>
      </vt:variant>
      <vt:variant>
        <vt:i4>0</vt:i4>
      </vt:variant>
      <vt:variant>
        <vt:i4>5</vt:i4>
      </vt:variant>
      <vt:variant>
        <vt:lpwstr/>
      </vt:variant>
      <vt:variant>
        <vt:lpwstr>_Toc211246840</vt:lpwstr>
      </vt:variant>
      <vt:variant>
        <vt:i4>1114175</vt:i4>
      </vt:variant>
      <vt:variant>
        <vt:i4>14</vt:i4>
      </vt:variant>
      <vt:variant>
        <vt:i4>0</vt:i4>
      </vt:variant>
      <vt:variant>
        <vt:i4>5</vt:i4>
      </vt:variant>
      <vt:variant>
        <vt:lpwstr/>
      </vt:variant>
      <vt:variant>
        <vt:lpwstr>_Toc211246837</vt:lpwstr>
      </vt:variant>
      <vt:variant>
        <vt:i4>1114175</vt:i4>
      </vt:variant>
      <vt:variant>
        <vt:i4>8</vt:i4>
      </vt:variant>
      <vt:variant>
        <vt:i4>0</vt:i4>
      </vt:variant>
      <vt:variant>
        <vt:i4>5</vt:i4>
      </vt:variant>
      <vt:variant>
        <vt:lpwstr/>
      </vt:variant>
      <vt:variant>
        <vt:lpwstr>_Toc211246836</vt:lpwstr>
      </vt:variant>
      <vt:variant>
        <vt:i4>1114175</vt:i4>
      </vt:variant>
      <vt:variant>
        <vt:i4>2</vt:i4>
      </vt:variant>
      <vt:variant>
        <vt:i4>0</vt:i4>
      </vt:variant>
      <vt:variant>
        <vt:i4>5</vt:i4>
      </vt:variant>
      <vt:variant>
        <vt:lpwstr/>
      </vt:variant>
      <vt:variant>
        <vt:lpwstr>_Toc211246835</vt:lpwstr>
      </vt:variant>
      <vt:variant>
        <vt:i4>3997736</vt:i4>
      </vt:variant>
      <vt:variant>
        <vt:i4>0</vt:i4>
      </vt:variant>
      <vt:variant>
        <vt:i4>0</vt:i4>
      </vt:variant>
      <vt:variant>
        <vt:i4>5</vt:i4>
      </vt:variant>
      <vt:variant>
        <vt:lpwstr>https://www.esc.vic.gov.au/sites/default/files/documents/public-submissions-policy-20200901.pdf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 Customer Contributions Framework</dc:title>
  <dc:subject/>
  <dc:creator>Robyn Keely (ESC)</dc:creator>
  <cp:keywords/>
  <dc:description>14 October 2025</dc:description>
  <cp:lastModifiedBy>Angeline Bilas (ESC)</cp:lastModifiedBy>
  <cp:revision>2689</cp:revision>
  <cp:lastPrinted>2018-01-10T07:51:00Z</cp:lastPrinted>
  <dcterms:created xsi:type="dcterms:W3CDTF">2025-09-17T06:42:00Z</dcterms:created>
  <dcterms:modified xsi:type="dcterms:W3CDTF">2025-10-13T03:22:00Z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25977ecc,7b476cbb,427a3791,62967bd5,23b20152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2025-09-15T04:49:04Z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8ee918f2-963a-4916-82c0-fd84aebfbbf2</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0x0101009AE127C79C8C0846B45AE972E687F476</vt:lpwstr>
  </property>
  <property fmtid="{D5CDD505-2E9C-101B-9397-08002B2CF9AE}" pid="14" name="MediaServiceImageTags">
    <vt:lpwstr/>
  </property>
</Properties>
</file>